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0C5C" w:rsidRPr="004D0C5C" w:rsidRDefault="004D0C5C" w:rsidP="004D0C5C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4D0C5C" w:rsidRPr="004D0C5C" w:rsidRDefault="004D0C5C" w:rsidP="004D0C5C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D0C5C" w:rsidRPr="004D0C5C" w:rsidRDefault="004D0C5C" w:rsidP="004D0C5C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4D0C5C" w:rsidRPr="004D0C5C" w:rsidRDefault="004D0C5C" w:rsidP="004D0C5C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D0C5C" w:rsidRPr="004D0C5C" w:rsidRDefault="004D0C5C" w:rsidP="004D0C5C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менеджменту та математичного моделювання ринкових процесів</w:t>
      </w:r>
    </w:p>
    <w:p w:rsidR="004D0C5C" w:rsidRPr="004D0C5C" w:rsidRDefault="004D0C5C" w:rsidP="004D0C5C">
      <w:pPr>
        <w:spacing w:after="0"/>
        <w:jc w:val="center"/>
        <w:rPr>
          <w:rFonts w:ascii="Times New Roman" w:eastAsia="Times New Roman" w:hAnsi="Times New Roman" w:cs="Times New Roman"/>
          <w:spacing w:val="60"/>
          <w:sz w:val="28"/>
          <w:szCs w:val="28"/>
          <w:lang w:eastAsia="ru-RU"/>
        </w:rPr>
      </w:pPr>
    </w:p>
    <w:p w:rsidR="004D0C5C" w:rsidRPr="004D0C5C" w:rsidRDefault="004D0C5C" w:rsidP="004D0C5C">
      <w:pPr>
        <w:spacing w:after="0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eastAsia="ru-RU"/>
        </w:rPr>
      </w:pPr>
    </w:p>
    <w:p w:rsidR="004D0C5C" w:rsidRPr="004D0C5C" w:rsidRDefault="004D0C5C" w:rsidP="004D0C5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eastAsia="ru-RU"/>
        </w:rPr>
      </w:pPr>
    </w:p>
    <w:p w:rsidR="004D0C5C" w:rsidRPr="004D0C5C" w:rsidRDefault="004D0C5C" w:rsidP="004D0C5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eastAsia="ru-RU"/>
        </w:rPr>
      </w:pPr>
    </w:p>
    <w:p w:rsidR="004D0C5C" w:rsidRPr="004D0C5C" w:rsidRDefault="004D0C5C" w:rsidP="004D0C5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eastAsia="ru-RU"/>
        </w:rPr>
      </w:pPr>
      <w:r w:rsidRPr="004D0C5C">
        <w:rPr>
          <w:rFonts w:ascii="Times New Roman" w:eastAsia="Times New Roman" w:hAnsi="Times New Roman" w:cs="Times New Roman"/>
          <w:b/>
          <w:spacing w:val="60"/>
          <w:sz w:val="28"/>
          <w:szCs w:val="28"/>
          <w:lang w:eastAsia="ru-RU"/>
        </w:rPr>
        <w:t>Дипломна робота</w:t>
      </w:r>
    </w:p>
    <w:p w:rsidR="004D0C5C" w:rsidRPr="004D0C5C" w:rsidRDefault="004D0C5C" w:rsidP="004D0C5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4D0C5C" w:rsidRPr="004D0C5C" w:rsidRDefault="004D0C5C" w:rsidP="004D0C5C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4D0C5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«Формування напрямків розвитку кредитної політики банку (на прикладі ПАТ «Альфа-Банк»)»</w:t>
      </w:r>
    </w:p>
    <w:p w:rsidR="004D0C5C" w:rsidRPr="004D0C5C" w:rsidRDefault="004D0C5C" w:rsidP="004D0C5C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0C5C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4D0C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Forming of directions of development of the bank’s credit policy (for example, PAO ALPHA-BANK</w:t>
      </w:r>
      <w:r w:rsidRPr="004D0C5C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4D0C5C" w:rsidRPr="004D0C5C" w:rsidRDefault="004D0C5C" w:rsidP="004D0C5C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4D0C5C" w:rsidRPr="004D0C5C" w:rsidRDefault="004D0C5C" w:rsidP="004D0C5C">
      <w:pPr>
        <w:spacing w:after="0" w:line="240" w:lineRule="auto"/>
        <w:ind w:left="368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C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Виконав: студент денної</w:t>
      </w:r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навчання,</w:t>
      </w:r>
    </w:p>
    <w:p w:rsidR="004D0C5C" w:rsidRPr="004D0C5C" w:rsidRDefault="004D0C5C" w:rsidP="004D0C5C">
      <w:pPr>
        <w:spacing w:after="0" w:line="240" w:lineRule="auto"/>
        <w:ind w:left="3686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0C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напряму підготовки 6.030601 Менеджмент</w:t>
      </w:r>
    </w:p>
    <w:p w:rsidR="004D0C5C" w:rsidRPr="004D0C5C" w:rsidRDefault="004D0C5C" w:rsidP="004D0C5C">
      <w:pPr>
        <w:tabs>
          <w:tab w:val="left" w:pos="3969"/>
        </w:tabs>
        <w:spacing w:after="0" w:line="240" w:lineRule="auto"/>
        <w:ind w:left="368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Контоністов</w:t>
      </w:r>
      <w:proofErr w:type="spellEnd"/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Максим Олегович</w:t>
      </w:r>
    </w:p>
    <w:p w:rsidR="004D0C5C" w:rsidRPr="004D0C5C" w:rsidRDefault="004D0C5C" w:rsidP="004D0C5C">
      <w:pPr>
        <w:tabs>
          <w:tab w:val="left" w:pos="3969"/>
        </w:tabs>
        <w:spacing w:after="0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D0C5C" w:rsidRPr="004D0C5C" w:rsidRDefault="004D0C5C" w:rsidP="004D0C5C">
      <w:pPr>
        <w:tabs>
          <w:tab w:val="left" w:pos="3969"/>
        </w:tabs>
        <w:spacing w:after="0"/>
        <w:ind w:left="368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Науковий керівник: старший викладач,</w:t>
      </w:r>
    </w:p>
    <w:p w:rsidR="004D0C5C" w:rsidRPr="004D0C5C" w:rsidRDefault="004D0C5C" w:rsidP="004D0C5C">
      <w:pPr>
        <w:tabs>
          <w:tab w:val="left" w:pos="3969"/>
        </w:tabs>
        <w:spacing w:after="0"/>
        <w:ind w:left="368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____________________ </w:t>
      </w:r>
      <w:proofErr w:type="spellStart"/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>Кіріліна</w:t>
      </w:r>
      <w:proofErr w:type="spellEnd"/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М.А.</w:t>
      </w:r>
    </w:p>
    <w:p w:rsidR="004D0C5C" w:rsidRPr="004D0C5C" w:rsidRDefault="004D0C5C" w:rsidP="004D0C5C">
      <w:pPr>
        <w:tabs>
          <w:tab w:val="left" w:pos="3969"/>
        </w:tabs>
        <w:spacing w:after="0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</w:t>
      </w:r>
    </w:p>
    <w:p w:rsidR="004D0C5C" w:rsidRPr="004D0C5C" w:rsidRDefault="004D0C5C" w:rsidP="004D0C5C">
      <w:pPr>
        <w:tabs>
          <w:tab w:val="left" w:pos="3969"/>
        </w:tabs>
        <w:spacing w:after="0"/>
        <w:ind w:left="368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>Рецензент: Директор відділення «Одеське №1» ПАО «Альфа-Банк» Довгань С.П.</w:t>
      </w:r>
    </w:p>
    <w:p w:rsidR="004D0C5C" w:rsidRPr="004D0C5C" w:rsidRDefault="004D0C5C" w:rsidP="004D0C5C">
      <w:pPr>
        <w:spacing w:after="0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D0C5C" w:rsidRPr="004D0C5C" w:rsidRDefault="004D0C5C" w:rsidP="004D0C5C">
      <w:pPr>
        <w:spacing w:after="0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233" w:type="pct"/>
        <w:jc w:val="center"/>
        <w:tblLook w:val="00A0" w:firstRow="1" w:lastRow="0" w:firstColumn="1" w:lastColumn="0" w:noHBand="0" w:noVBand="0"/>
      </w:tblPr>
      <w:tblGrid>
        <w:gridCol w:w="5214"/>
        <w:gridCol w:w="5100"/>
      </w:tblGrid>
      <w:tr w:rsidR="004D0C5C" w:rsidRPr="004D0C5C" w:rsidTr="004D0C5C">
        <w:trPr>
          <w:jc w:val="center"/>
        </w:trPr>
        <w:tc>
          <w:tcPr>
            <w:tcW w:w="5064" w:type="dxa"/>
            <w:hideMark/>
          </w:tcPr>
          <w:p w:rsidR="004D0C5C" w:rsidRPr="004D0C5C" w:rsidRDefault="004D0C5C" w:rsidP="004D0C5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D0C5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Рекомендовано до захисту на</w:t>
            </w:r>
          </w:p>
          <w:p w:rsidR="004D0C5C" w:rsidRPr="004D0C5C" w:rsidRDefault="004D0C5C" w:rsidP="004D0C5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D0C5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засіданні кафедри «___»_____2018 р.,</w:t>
            </w:r>
          </w:p>
          <w:p w:rsidR="004D0C5C" w:rsidRPr="004D0C5C" w:rsidRDefault="004D0C5C" w:rsidP="004D0C5C">
            <w:pPr>
              <w:spacing w:before="120"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D0C5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№_____</w:t>
            </w:r>
          </w:p>
          <w:p w:rsidR="004D0C5C" w:rsidRPr="004D0C5C" w:rsidRDefault="004D0C5C" w:rsidP="004D0C5C">
            <w:pPr>
              <w:spacing w:before="120"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D0C5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4D0C5C" w:rsidRPr="004D0C5C" w:rsidRDefault="004D0C5C" w:rsidP="004D0C5C">
            <w:pPr>
              <w:spacing w:before="120"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4D0C5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д.е.н</w:t>
            </w:r>
            <w:proofErr w:type="spellEnd"/>
            <w:r w:rsidRPr="004D0C5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проф. _________ </w:t>
            </w:r>
            <w:proofErr w:type="spellStart"/>
            <w:r w:rsidRPr="004D0C5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Садченко</w:t>
            </w:r>
            <w:proofErr w:type="spellEnd"/>
            <w:r w:rsidRPr="004D0C5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О.В.                               </w:t>
            </w:r>
          </w:p>
        </w:tc>
        <w:tc>
          <w:tcPr>
            <w:tcW w:w="4953" w:type="dxa"/>
            <w:hideMark/>
          </w:tcPr>
          <w:p w:rsidR="004D0C5C" w:rsidRPr="004D0C5C" w:rsidRDefault="004D0C5C" w:rsidP="004D0C5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D0C5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Захищено на засіданні ЕК №5 </w:t>
            </w:r>
          </w:p>
          <w:p w:rsidR="004D0C5C" w:rsidRPr="004D0C5C" w:rsidRDefault="004D0C5C" w:rsidP="004D0C5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D0C5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«___»_______2018 р., протокол №___</w:t>
            </w:r>
          </w:p>
          <w:p w:rsidR="004D0C5C" w:rsidRPr="004D0C5C" w:rsidRDefault="004D0C5C" w:rsidP="004D0C5C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D0C5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Оцінка________/_________/________</w:t>
            </w:r>
          </w:p>
          <w:p w:rsidR="004D0C5C" w:rsidRPr="004D0C5C" w:rsidRDefault="004D0C5C" w:rsidP="004D0C5C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D0C5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4D0C5C" w:rsidRPr="004D0C5C" w:rsidRDefault="004D0C5C" w:rsidP="004D0C5C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4D0C5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д.е.н</w:t>
            </w:r>
            <w:proofErr w:type="spellEnd"/>
            <w:r w:rsidRPr="004D0C5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проф._______   Головченко О.М.       </w:t>
            </w:r>
          </w:p>
        </w:tc>
      </w:tr>
    </w:tbl>
    <w:p w:rsidR="004D0C5C" w:rsidRPr="004D0C5C" w:rsidRDefault="004D0C5C" w:rsidP="004D0C5C">
      <w:pPr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D0C5C" w:rsidRPr="004D0C5C" w:rsidRDefault="004D0C5C" w:rsidP="004D0C5C">
      <w:pPr>
        <w:spacing w:after="0"/>
        <w:jc w:val="center"/>
        <w:rPr>
          <w:rFonts w:ascii="Calibri" w:eastAsia="Times New Roman" w:hAnsi="Calibri" w:cs="Times New Roman"/>
          <w:b/>
          <w:sz w:val="28"/>
          <w:szCs w:val="28"/>
          <w:lang w:eastAsia="ru-RU"/>
        </w:rPr>
      </w:pPr>
      <w:r w:rsidRPr="004D0C5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2018</w:t>
      </w:r>
    </w:p>
    <w:p w:rsidR="004D0C5C" w:rsidRPr="004D0C5C" w:rsidRDefault="004D0C5C" w:rsidP="004D0C5C">
      <w:p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</w:p>
    <w:p w:rsidR="004D0C5C" w:rsidRDefault="004D0C5C" w:rsidP="004D0C5C">
      <w:pPr>
        <w:suppressAutoHyphens/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ar-SA"/>
        </w:rPr>
      </w:pPr>
    </w:p>
    <w:p w:rsidR="004D0C5C" w:rsidRPr="004D0C5C" w:rsidRDefault="004D0C5C" w:rsidP="004D0C5C">
      <w:pPr>
        <w:suppressAutoHyphens/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lastRenderedPageBreak/>
        <w:t>ЗМІСТ</w:t>
      </w:r>
    </w:p>
    <w:p w:rsidR="004D0C5C" w:rsidRPr="004D0C5C" w:rsidRDefault="004D0C5C" w:rsidP="004D0C5C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szCs w:val="28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85"/>
        <w:gridCol w:w="8518"/>
        <w:gridCol w:w="635"/>
      </w:tblGrid>
      <w:tr w:rsidR="004D0C5C" w:rsidRPr="004D0C5C" w:rsidTr="004D0C5C">
        <w:tc>
          <w:tcPr>
            <w:tcW w:w="9003" w:type="dxa"/>
            <w:gridSpan w:val="2"/>
            <w:hideMark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ВСТУП ……………………………………..………………………………….</w:t>
            </w:r>
          </w:p>
        </w:tc>
        <w:tc>
          <w:tcPr>
            <w:tcW w:w="635" w:type="dxa"/>
            <w:hideMark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3</w:t>
            </w:r>
          </w:p>
        </w:tc>
      </w:tr>
      <w:tr w:rsidR="004D0C5C" w:rsidRPr="004D0C5C" w:rsidTr="004D0C5C">
        <w:tc>
          <w:tcPr>
            <w:tcW w:w="9003" w:type="dxa"/>
            <w:gridSpan w:val="2"/>
            <w:hideMark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РОЗДІЛ 1 ТЕОРЕТИЧНІ ОСНОВИ НАПРЯМКІВ РОЗВИТКУ КРЕДИТНОЇ ПОЛІТИКИ БАНКУ …………………………………………</w:t>
            </w:r>
          </w:p>
        </w:tc>
        <w:tc>
          <w:tcPr>
            <w:tcW w:w="635" w:type="dxa"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</w:p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4</w:t>
            </w:r>
          </w:p>
        </w:tc>
      </w:tr>
      <w:tr w:rsidR="004D0C5C" w:rsidRPr="004D0C5C" w:rsidTr="004D0C5C">
        <w:tc>
          <w:tcPr>
            <w:tcW w:w="485" w:type="dxa"/>
          </w:tcPr>
          <w:p w:rsidR="004D0C5C" w:rsidRPr="004D0C5C" w:rsidRDefault="004D0C5C" w:rsidP="004D0C5C">
            <w:pPr>
              <w:suppressAutoHyphens/>
              <w:spacing w:after="0" w:line="360" w:lineRule="auto"/>
              <w:ind w:firstLine="72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8518" w:type="dxa"/>
            <w:hideMark/>
          </w:tcPr>
          <w:p w:rsidR="004D0C5C" w:rsidRPr="004D0C5C" w:rsidRDefault="004D0C5C" w:rsidP="004D0C5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1.1 Дослідження проблем формування та тенденцій розвитку кредитної політики банку ……………………………………………......</w:t>
            </w:r>
          </w:p>
        </w:tc>
        <w:tc>
          <w:tcPr>
            <w:tcW w:w="635" w:type="dxa"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</w:p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4</w:t>
            </w:r>
          </w:p>
        </w:tc>
      </w:tr>
      <w:tr w:rsidR="004D0C5C" w:rsidRPr="004D0C5C" w:rsidTr="004D0C5C">
        <w:tc>
          <w:tcPr>
            <w:tcW w:w="485" w:type="dxa"/>
          </w:tcPr>
          <w:p w:rsidR="004D0C5C" w:rsidRPr="004D0C5C" w:rsidRDefault="004D0C5C" w:rsidP="004D0C5C">
            <w:pPr>
              <w:suppressAutoHyphens/>
              <w:spacing w:after="0" w:line="360" w:lineRule="auto"/>
              <w:ind w:firstLine="72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8518" w:type="dxa"/>
            <w:hideMark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1.2 Місце і роль бюро кредитних історій у функціонуванні банку ….</w:t>
            </w:r>
          </w:p>
        </w:tc>
        <w:tc>
          <w:tcPr>
            <w:tcW w:w="635" w:type="dxa"/>
            <w:hideMark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14</w:t>
            </w:r>
          </w:p>
        </w:tc>
      </w:tr>
      <w:tr w:rsidR="004D0C5C" w:rsidRPr="004D0C5C" w:rsidTr="004D0C5C">
        <w:tc>
          <w:tcPr>
            <w:tcW w:w="485" w:type="dxa"/>
          </w:tcPr>
          <w:p w:rsidR="004D0C5C" w:rsidRPr="004D0C5C" w:rsidRDefault="004D0C5C" w:rsidP="004D0C5C">
            <w:pPr>
              <w:suppressAutoHyphens/>
              <w:spacing w:after="0" w:line="360" w:lineRule="auto"/>
              <w:ind w:firstLine="72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8518" w:type="dxa"/>
            <w:hideMark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1.3 Методи управління кредитними ризиками ………………………...</w:t>
            </w:r>
          </w:p>
        </w:tc>
        <w:tc>
          <w:tcPr>
            <w:tcW w:w="635" w:type="dxa"/>
            <w:hideMark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20</w:t>
            </w:r>
          </w:p>
        </w:tc>
      </w:tr>
      <w:tr w:rsidR="004D0C5C" w:rsidRPr="004D0C5C" w:rsidTr="004D0C5C">
        <w:tc>
          <w:tcPr>
            <w:tcW w:w="9003" w:type="dxa"/>
            <w:gridSpan w:val="2"/>
            <w:hideMark/>
          </w:tcPr>
          <w:p w:rsidR="004D0C5C" w:rsidRPr="004D0C5C" w:rsidRDefault="004D0C5C" w:rsidP="004D0C5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РОЗДІЛ 2 ОРГАНІЗАЦІЙНО-ЕКОНОМІЧНИЙ АНАЛІЗ КРЕДИТНОЇ ПОЛІТИКИ ПАТ «АЛЬФА-БАНК» …………………………………………</w:t>
            </w:r>
          </w:p>
        </w:tc>
        <w:tc>
          <w:tcPr>
            <w:tcW w:w="635" w:type="dxa"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</w:p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36</w:t>
            </w:r>
          </w:p>
        </w:tc>
      </w:tr>
      <w:tr w:rsidR="004D0C5C" w:rsidRPr="004D0C5C" w:rsidTr="004D0C5C">
        <w:tc>
          <w:tcPr>
            <w:tcW w:w="485" w:type="dxa"/>
          </w:tcPr>
          <w:p w:rsidR="004D0C5C" w:rsidRPr="004D0C5C" w:rsidRDefault="004D0C5C" w:rsidP="004D0C5C">
            <w:pPr>
              <w:suppressAutoHyphens/>
              <w:spacing w:after="0" w:line="360" w:lineRule="auto"/>
              <w:ind w:firstLine="72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8518" w:type="dxa"/>
            <w:hideMark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2.1 Загальна та економічна характеристика ПАТ «Альфа-Банк ….…..</w:t>
            </w:r>
          </w:p>
        </w:tc>
        <w:tc>
          <w:tcPr>
            <w:tcW w:w="635" w:type="dxa"/>
            <w:hideMark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36</w:t>
            </w:r>
          </w:p>
        </w:tc>
      </w:tr>
      <w:tr w:rsidR="004D0C5C" w:rsidRPr="004D0C5C" w:rsidTr="004D0C5C">
        <w:tc>
          <w:tcPr>
            <w:tcW w:w="485" w:type="dxa"/>
          </w:tcPr>
          <w:p w:rsidR="004D0C5C" w:rsidRPr="004D0C5C" w:rsidRDefault="004D0C5C" w:rsidP="004D0C5C">
            <w:pPr>
              <w:suppressAutoHyphens/>
              <w:spacing w:after="0" w:line="360" w:lineRule="auto"/>
              <w:ind w:firstLine="72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8518" w:type="dxa"/>
            <w:hideMark/>
          </w:tcPr>
          <w:p w:rsidR="004D0C5C" w:rsidRPr="004D0C5C" w:rsidRDefault="004D0C5C" w:rsidP="004D0C5C">
            <w:pPr>
              <w:spacing w:after="0" w:line="360" w:lineRule="auto"/>
              <w:mirrorIndents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2.2</w:t>
            </w:r>
            <w:r w:rsidRPr="004D0C5C">
              <w:rPr>
                <w:rFonts w:ascii="Times New Roman" w:eastAsia="Calibri" w:hAnsi="Times New Roman" w:cs="Times New Roman"/>
                <w:sz w:val="28"/>
                <w:szCs w:val="28"/>
              </w:rPr>
              <w:t> Послуги по видачі кредитів та стадії кредитного процесу за технологією ПАТ «Альфа-Банк» …………………….……………..…..</w:t>
            </w:r>
          </w:p>
        </w:tc>
        <w:tc>
          <w:tcPr>
            <w:tcW w:w="635" w:type="dxa"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</w:p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53</w:t>
            </w:r>
          </w:p>
        </w:tc>
      </w:tr>
      <w:tr w:rsidR="004D0C5C" w:rsidRPr="004D0C5C" w:rsidTr="004D0C5C">
        <w:tc>
          <w:tcPr>
            <w:tcW w:w="485" w:type="dxa"/>
          </w:tcPr>
          <w:p w:rsidR="004D0C5C" w:rsidRPr="004D0C5C" w:rsidRDefault="004D0C5C" w:rsidP="004D0C5C">
            <w:pPr>
              <w:suppressAutoHyphens/>
              <w:spacing w:after="0" w:line="360" w:lineRule="auto"/>
              <w:ind w:firstLine="72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8518" w:type="dxa"/>
            <w:hideMark/>
          </w:tcPr>
          <w:p w:rsidR="004D0C5C" w:rsidRPr="004D0C5C" w:rsidRDefault="004D0C5C" w:rsidP="004D0C5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2.3 Фінансово-економічний аналіз діяльності ПАТ «Альфа-Банк» ….</w:t>
            </w:r>
          </w:p>
        </w:tc>
        <w:tc>
          <w:tcPr>
            <w:tcW w:w="635" w:type="dxa"/>
            <w:hideMark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59</w:t>
            </w:r>
          </w:p>
        </w:tc>
      </w:tr>
      <w:tr w:rsidR="004D0C5C" w:rsidRPr="004D0C5C" w:rsidTr="004D0C5C">
        <w:tc>
          <w:tcPr>
            <w:tcW w:w="9003" w:type="dxa"/>
            <w:gridSpan w:val="2"/>
            <w:hideMark/>
          </w:tcPr>
          <w:p w:rsidR="004D0C5C" w:rsidRPr="004D0C5C" w:rsidRDefault="004D0C5C" w:rsidP="004D0C5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РОЗДІЛ 3 ШЛЯХИ ВДОСКОНАЛЕННЯ НАПРЯМКІВ РОЗВИТКУ КРЕДИТНОЇ ПОЛІТИКИ НА ПРИКЛАДІ ПАТ «АЛЬФА-БАНК» ……</w:t>
            </w:r>
          </w:p>
        </w:tc>
        <w:tc>
          <w:tcPr>
            <w:tcW w:w="635" w:type="dxa"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</w:p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75</w:t>
            </w:r>
          </w:p>
        </w:tc>
      </w:tr>
      <w:tr w:rsidR="004D0C5C" w:rsidRPr="004D0C5C" w:rsidTr="004D0C5C">
        <w:tc>
          <w:tcPr>
            <w:tcW w:w="485" w:type="dxa"/>
          </w:tcPr>
          <w:p w:rsidR="004D0C5C" w:rsidRPr="004D0C5C" w:rsidRDefault="004D0C5C" w:rsidP="004D0C5C">
            <w:pPr>
              <w:suppressAutoHyphens/>
              <w:spacing w:after="0" w:line="360" w:lineRule="auto"/>
              <w:ind w:firstLine="72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8518" w:type="dxa"/>
            <w:hideMark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3.1 Напрями розвитку системи управління якістю кредитної політики ПАТ «Альфа-Банк» ………………………………………….……</w:t>
            </w:r>
          </w:p>
        </w:tc>
        <w:tc>
          <w:tcPr>
            <w:tcW w:w="635" w:type="dxa"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</w:p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75</w:t>
            </w:r>
          </w:p>
        </w:tc>
      </w:tr>
      <w:tr w:rsidR="004D0C5C" w:rsidRPr="004D0C5C" w:rsidTr="004D0C5C">
        <w:tc>
          <w:tcPr>
            <w:tcW w:w="485" w:type="dxa"/>
          </w:tcPr>
          <w:p w:rsidR="004D0C5C" w:rsidRPr="004D0C5C" w:rsidRDefault="004D0C5C" w:rsidP="004D0C5C">
            <w:pPr>
              <w:suppressAutoHyphens/>
              <w:spacing w:after="0" w:line="360" w:lineRule="auto"/>
              <w:ind w:firstLine="72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8518" w:type="dxa"/>
            <w:hideMark/>
          </w:tcPr>
          <w:p w:rsidR="004D0C5C" w:rsidRPr="004D0C5C" w:rsidRDefault="004D0C5C" w:rsidP="004D0C5C">
            <w:pPr>
              <w:spacing w:after="0" w:line="360" w:lineRule="auto"/>
              <w:mirrorIndents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3.2 Методика формування та аналіз кредитного портфеля ПАТ «Альфа-Банк»</w:t>
            </w:r>
            <w:r w:rsidRPr="004D0C5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……………………………………………………………</w:t>
            </w:r>
          </w:p>
        </w:tc>
        <w:tc>
          <w:tcPr>
            <w:tcW w:w="635" w:type="dxa"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</w:p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78</w:t>
            </w:r>
          </w:p>
        </w:tc>
      </w:tr>
      <w:tr w:rsidR="004D0C5C" w:rsidRPr="004D0C5C" w:rsidTr="004D0C5C">
        <w:tc>
          <w:tcPr>
            <w:tcW w:w="9003" w:type="dxa"/>
            <w:gridSpan w:val="2"/>
            <w:hideMark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ИСНОВКИ …………………………………………………………………</w:t>
            </w:r>
          </w:p>
        </w:tc>
        <w:tc>
          <w:tcPr>
            <w:tcW w:w="635" w:type="dxa"/>
            <w:hideMark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91</w:t>
            </w:r>
          </w:p>
        </w:tc>
      </w:tr>
      <w:tr w:rsidR="004D0C5C" w:rsidRPr="004D0C5C" w:rsidTr="004D0C5C">
        <w:tc>
          <w:tcPr>
            <w:tcW w:w="9003" w:type="dxa"/>
            <w:gridSpan w:val="2"/>
            <w:hideMark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eastAsia="ar-SA"/>
              </w:rPr>
              <w:t>СПИСОК ВИКОРИСТАНИХ ДЖЕРЕЛ ……………………………………</w:t>
            </w:r>
          </w:p>
        </w:tc>
        <w:tc>
          <w:tcPr>
            <w:tcW w:w="635" w:type="dxa"/>
            <w:hideMark/>
          </w:tcPr>
          <w:p w:rsidR="004D0C5C" w:rsidRPr="004D0C5C" w:rsidRDefault="004D0C5C" w:rsidP="004D0C5C">
            <w:pPr>
              <w:suppressAutoHyphens/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ru-RU" w:eastAsia="ar-SA"/>
              </w:rPr>
            </w:pPr>
            <w:r w:rsidRPr="004D0C5C">
              <w:rPr>
                <w:rFonts w:ascii="Times New Roman" w:eastAsia="Calibri" w:hAnsi="Times New Roman" w:cs="Times New Roman"/>
                <w:sz w:val="28"/>
                <w:szCs w:val="28"/>
                <w:lang w:val="ru-RU" w:eastAsia="ar-SA"/>
              </w:rPr>
              <w:t>93</w:t>
            </w:r>
          </w:p>
        </w:tc>
      </w:tr>
    </w:tbl>
    <w:p w:rsidR="004D0C5C" w:rsidRPr="004D0C5C" w:rsidRDefault="004D0C5C" w:rsidP="004D0C5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ar-SA"/>
        </w:rPr>
      </w:pPr>
    </w:p>
    <w:p w:rsidR="004D0C5C" w:rsidRPr="004D0C5C" w:rsidRDefault="004D0C5C" w:rsidP="004D0C5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ar-SA"/>
        </w:rPr>
      </w:pPr>
    </w:p>
    <w:p w:rsidR="004D0C5C" w:rsidRPr="004D0C5C" w:rsidRDefault="004D0C5C" w:rsidP="004D0C5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ar-SA"/>
        </w:rPr>
      </w:pPr>
    </w:p>
    <w:p w:rsidR="004D0C5C" w:rsidRPr="004D0C5C" w:rsidRDefault="004D0C5C" w:rsidP="004D0C5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ar-SA"/>
        </w:rPr>
      </w:pPr>
    </w:p>
    <w:p w:rsidR="004D0C5C" w:rsidRDefault="004D0C5C" w:rsidP="004D0C5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 w:eastAsia="ar-SA"/>
        </w:rPr>
      </w:pPr>
    </w:p>
    <w:p w:rsidR="004D0C5C" w:rsidRPr="004D0C5C" w:rsidRDefault="004D0C5C" w:rsidP="004D0C5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b/>
          <w:bCs/>
          <w:sz w:val="28"/>
          <w:szCs w:val="28"/>
          <w:lang w:eastAsia="ar-SA"/>
        </w:rPr>
        <w:lastRenderedPageBreak/>
        <w:t>ВСТУП</w:t>
      </w:r>
    </w:p>
    <w:p w:rsidR="004D0C5C" w:rsidRPr="004D0C5C" w:rsidRDefault="004D0C5C" w:rsidP="004D0C5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ar-SA"/>
        </w:rPr>
      </w:pPr>
    </w:p>
    <w:p w:rsidR="004D0C5C" w:rsidRPr="004D0C5C" w:rsidRDefault="004D0C5C" w:rsidP="004D0C5C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D0C5C">
        <w:rPr>
          <w:rFonts w:ascii="Times New Roman" w:eastAsia="Times New Roman" w:hAnsi="Times New Roman" w:cs="Times New Roman"/>
          <w:sz w:val="28"/>
          <w:szCs w:val="20"/>
          <w:lang w:eastAsia="ru-RU"/>
        </w:rPr>
        <w:t>Ефективна національна економіка — гарантія незалежності держави. Вона вимагає комплексних програм економічних реформ, реальних гарантій невідхильності переходу від адміністративно-господарських методів керівництва до ринкової економіки.</w:t>
      </w:r>
    </w:p>
    <w:p w:rsidR="004D0C5C" w:rsidRPr="004D0C5C" w:rsidRDefault="004D0C5C" w:rsidP="004D0C5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 xml:space="preserve">Значна роль в економічних реформах належить ефективній фінансовій та грошово-кредитній політиці. В сукупності з напрямом введення власної грошової одиниці і системи грошового обігу, скорочення бюджетного дефіциту, поліпшення податкового регулювання економіки важливе місце в оздоровленні економіки займає реформа кредитної системи. </w:t>
      </w:r>
    </w:p>
    <w:p w:rsidR="004D0C5C" w:rsidRPr="004D0C5C" w:rsidRDefault="004D0C5C" w:rsidP="004D0C5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Банківські реформи складаються із зміни структури кредитного обігу, що приведе до нових форм надання кредитів та їх вільного продажу підприємствам, а також громадянам.</w:t>
      </w:r>
    </w:p>
    <w:p w:rsidR="004D0C5C" w:rsidRPr="004D0C5C" w:rsidRDefault="004D0C5C" w:rsidP="004D0C5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Характерною ознакою ринкової економіки є високо розвинута і розгалужена кредитна політика. Через неї здійснюється процес акумуляції фінансових ресурсів суспільства і забезпечується їх найефективніше і раціональне використання. Звідси походить і провідна роль різноманітних фінансових інститутів (насамперед, банків) у суспільстві.</w:t>
      </w:r>
    </w:p>
    <w:p w:rsidR="004D0C5C" w:rsidRPr="004D0C5C" w:rsidRDefault="004D0C5C" w:rsidP="004D0C5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Метою даної роботи є вивчення кредитної політики банку як основи ефективності.</w:t>
      </w:r>
    </w:p>
    <w:p w:rsidR="004D0C5C" w:rsidRPr="004D0C5C" w:rsidRDefault="004D0C5C" w:rsidP="004D0C5C">
      <w:pPr>
        <w:shd w:val="clear" w:color="auto" w:fill="FFFFFF"/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Під час виконання роботи слід вирішити наступні завдання:</w:t>
      </w:r>
    </w:p>
    <w:p w:rsidR="004D0C5C" w:rsidRPr="004D0C5C" w:rsidRDefault="004D0C5C" w:rsidP="004D0C5C">
      <w:pPr>
        <w:widowControl w:val="0"/>
        <w:suppressAutoHyphens/>
        <w:spacing w:after="0" w:line="360" w:lineRule="auto"/>
        <w:ind w:firstLine="709"/>
        <w:mirrorIndents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-  дослідити теоретичні та методологічні основи розвитку кредитної політики;</w:t>
      </w:r>
    </w:p>
    <w:p w:rsidR="004D0C5C" w:rsidRPr="004D0C5C" w:rsidRDefault="004D0C5C" w:rsidP="004D0C5C">
      <w:pPr>
        <w:widowControl w:val="0"/>
        <w:suppressAutoHyphens/>
        <w:spacing w:after="0" w:line="360" w:lineRule="auto"/>
        <w:ind w:firstLine="709"/>
        <w:mirrorIndents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проаналізувати проблеми формування та тенденцій розвитку кредитної політики банку;</w:t>
      </w:r>
    </w:p>
    <w:p w:rsidR="004D0C5C" w:rsidRPr="004D0C5C" w:rsidRDefault="004D0C5C" w:rsidP="004D0C5C">
      <w:pPr>
        <w:widowControl w:val="0"/>
        <w:numPr>
          <w:ilvl w:val="0"/>
          <w:numId w:val="1"/>
        </w:numPr>
        <w:suppressAutoHyphens/>
        <w:spacing w:after="0" w:line="360" w:lineRule="auto"/>
        <w:ind w:left="993"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розглянути методи управління кредитними ризиками;</w:t>
      </w:r>
    </w:p>
    <w:p w:rsidR="004D0C5C" w:rsidRPr="004D0C5C" w:rsidRDefault="004D0C5C" w:rsidP="004D0C5C">
      <w:pPr>
        <w:widowControl w:val="0"/>
        <w:numPr>
          <w:ilvl w:val="0"/>
          <w:numId w:val="1"/>
        </w:numPr>
        <w:suppressAutoHyphens/>
        <w:spacing w:after="0" w:line="360" w:lineRule="auto"/>
        <w:ind w:left="993"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провести аналіз кредитної діяльності ПАТ «Альфа-Банк»</w:t>
      </w:r>
    </w:p>
    <w:p w:rsidR="00513DFC" w:rsidRDefault="00513DFC">
      <w:pPr>
        <w:rPr>
          <w:lang w:val="ru-RU"/>
        </w:rPr>
      </w:pPr>
    </w:p>
    <w:p w:rsidR="004D0C5C" w:rsidRDefault="004D0C5C">
      <w:pPr>
        <w:rPr>
          <w:lang w:val="ru-RU"/>
        </w:rPr>
      </w:pPr>
    </w:p>
    <w:p w:rsidR="004D0C5C" w:rsidRDefault="004D0C5C">
      <w:pPr>
        <w:rPr>
          <w:lang w:val="ru-RU"/>
        </w:rPr>
      </w:pPr>
    </w:p>
    <w:p w:rsidR="004D0C5C" w:rsidRPr="004D0C5C" w:rsidRDefault="004D0C5C" w:rsidP="004D0C5C">
      <w:pPr>
        <w:tabs>
          <w:tab w:val="left" w:pos="996"/>
        </w:tabs>
        <w:spacing w:after="0" w:line="360" w:lineRule="auto"/>
        <w:ind w:firstLine="709"/>
        <w:mirrorIndents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4D0C5C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4D0C5C" w:rsidRPr="004D0C5C" w:rsidRDefault="004D0C5C" w:rsidP="004D0C5C">
      <w:pPr>
        <w:tabs>
          <w:tab w:val="left" w:pos="996"/>
        </w:tabs>
        <w:spacing w:after="0" w:line="360" w:lineRule="auto"/>
        <w:ind w:firstLine="709"/>
        <w:mirrorIndents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4D0C5C" w:rsidRPr="004D0C5C" w:rsidRDefault="004D0C5C" w:rsidP="004D0C5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В ході проведеного дослідження необхідно зробити наступні висновки:</w:t>
      </w:r>
    </w:p>
    <w:p w:rsidR="004D0C5C" w:rsidRPr="004D0C5C" w:rsidRDefault="004D0C5C" w:rsidP="004D0C5C">
      <w:pPr>
        <w:widowControl w:val="0"/>
        <w:numPr>
          <w:ilvl w:val="0"/>
          <w:numId w:val="2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 xml:space="preserve">Питання структурного аналізу кредитного портфеля та проведення його диверсифікації є актуальними для банківської системи України. На думку іноземних аналітиків, вразливість української банківської системи зростає також через високу концентрацію кредитних ризиків. </w:t>
      </w:r>
    </w:p>
    <w:p w:rsidR="004D0C5C" w:rsidRPr="004D0C5C" w:rsidRDefault="004D0C5C" w:rsidP="004D0C5C">
      <w:pPr>
        <w:widowControl w:val="0"/>
        <w:numPr>
          <w:ilvl w:val="0"/>
          <w:numId w:val="2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 xml:space="preserve">Аналіз діяльності вітчизняних комерційних банків показав , що кредитні операції мають найбільшу частку в структурі активних операцій, отже є пріоритетним напрямком їх діяльності. </w:t>
      </w:r>
    </w:p>
    <w:p w:rsidR="004D0C5C" w:rsidRPr="004D0C5C" w:rsidRDefault="004D0C5C" w:rsidP="004D0C5C">
      <w:pPr>
        <w:widowControl w:val="0"/>
        <w:numPr>
          <w:ilvl w:val="0"/>
          <w:numId w:val="2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Кредитування середніх і дрібних підприємств, що займаються переробкою продукції, що збільшують додану вартість — це основа для оздоровлення та зміцнення банківської системи.</w:t>
      </w:r>
    </w:p>
    <w:p w:rsidR="004D0C5C" w:rsidRPr="004D0C5C" w:rsidRDefault="004D0C5C" w:rsidP="004D0C5C">
      <w:pPr>
        <w:widowControl w:val="0"/>
        <w:numPr>
          <w:ilvl w:val="0"/>
          <w:numId w:val="2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На сьогодні відзначається тенденція заміщення великих позичальників більш дрібними. Це явище можна визнати в цілому позитивним, так як розширюється коло банківської клієнтури, збільшується амплітуда диверсифікації кредитної політики.</w:t>
      </w:r>
    </w:p>
    <w:p w:rsidR="004D0C5C" w:rsidRPr="004D0C5C" w:rsidRDefault="004D0C5C" w:rsidP="004D0C5C">
      <w:pPr>
        <w:widowControl w:val="0"/>
        <w:numPr>
          <w:ilvl w:val="0"/>
          <w:numId w:val="2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Основною метою проведення структурного аналізу є оцінка концентрації кредитних вкладень, вироблення шляхів формування збалансованого портфеля (ризик — прибутковість — ліквідність), а також складання і використання кількісних правил у кредитній політиці банку.</w:t>
      </w:r>
    </w:p>
    <w:p w:rsidR="004D0C5C" w:rsidRPr="004D0C5C" w:rsidRDefault="004D0C5C" w:rsidP="004D0C5C">
      <w:pPr>
        <w:widowControl w:val="0"/>
        <w:numPr>
          <w:ilvl w:val="0"/>
          <w:numId w:val="2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Сукупний кредитний портфель можна розділити на так звані сектора, в які включені кредити, які стосуються тієї чи іншої групи, в залежності від критерію класифікації. Це дасть можливість розглядати окремо різні види кредитних портфелів, які складають сукупний кредитний портфель.</w:t>
      </w:r>
    </w:p>
    <w:p w:rsidR="004D0C5C" w:rsidRPr="004D0C5C" w:rsidRDefault="004D0C5C" w:rsidP="004D0C5C">
      <w:pPr>
        <w:widowControl w:val="0"/>
        <w:numPr>
          <w:ilvl w:val="0"/>
          <w:numId w:val="2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Кожному сегменту кредитних вкладень притаманний певний рівень кредитного ризику. Тому, визначення частки, яку має займати кожен сегмент, вкрай важливо для банку.</w:t>
      </w:r>
    </w:p>
    <w:p w:rsidR="004D0C5C" w:rsidRPr="004D0C5C" w:rsidRDefault="004D0C5C" w:rsidP="004D0C5C">
      <w:pPr>
        <w:widowControl w:val="0"/>
        <w:numPr>
          <w:ilvl w:val="0"/>
          <w:numId w:val="2"/>
        </w:num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 xml:space="preserve">Встановлення лімітів кредитування покликане контролювати </w:t>
      </w: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lastRenderedPageBreak/>
        <w:t>формування кредитного портфеля.</w:t>
      </w:r>
    </w:p>
    <w:p w:rsidR="004D0C5C" w:rsidRPr="004D0C5C" w:rsidRDefault="004D0C5C" w:rsidP="004D0C5C">
      <w:pPr>
        <w:widowControl w:val="0"/>
        <w:numPr>
          <w:ilvl w:val="0"/>
          <w:numId w:val="2"/>
        </w:num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У сучасних умовах не розроблено єдиної кредитної політики для всіх банківських установ. З метою забезпечення найефективнішої організації кредитної діяльності кожен банк визначає та реалізує власну кредитну політику, беручи до уваги всю множину ризиків (внутрішніх і зовнішніх), якими він обтяжений та які впливають на ефективність його діяльності, а також ставлення керівництва банку до ризику.</w:t>
      </w:r>
    </w:p>
    <w:p w:rsidR="004D0C5C" w:rsidRPr="004D0C5C" w:rsidRDefault="004D0C5C" w:rsidP="004D0C5C">
      <w:pPr>
        <w:widowControl w:val="0"/>
        <w:numPr>
          <w:ilvl w:val="0"/>
          <w:numId w:val="2"/>
        </w:num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Державою введена система обов'язкових нормативів ліквідності і банківського ризику, які регулюють мінімальні значення певних показників діяльності комерційного банку. В цілому ж існує ряд показників, які дозволяють оцінити ефективність проведеної банком кредитної політики.</w:t>
      </w:r>
    </w:p>
    <w:p w:rsidR="004D0C5C" w:rsidRPr="004D0C5C" w:rsidRDefault="004D0C5C" w:rsidP="004D0C5C">
      <w:pPr>
        <w:widowControl w:val="0"/>
        <w:numPr>
          <w:ilvl w:val="0"/>
          <w:numId w:val="2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Ефективність одного конкретного банку, так і банківської системи в цілому визначається виходячи з близькості значень показників роботи комерційного банку до якоїсь, вже певної межі ефективності.</w:t>
      </w:r>
    </w:p>
    <w:p w:rsidR="004D0C5C" w:rsidRPr="004D0C5C" w:rsidRDefault="004D0C5C" w:rsidP="004D0C5C">
      <w:pPr>
        <w:widowControl w:val="0"/>
        <w:numPr>
          <w:ilvl w:val="0"/>
          <w:numId w:val="2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Прибуток або збиток є кількісним відображенням ефективності роботи комерційного банку, тобто абсолютним показником. Чим більше величина прибутку і вище рівень рентабельності, тим ефективніше функціонує комерційний банк, тим стійкіше його фінансовий стан і тим ефективнішою можна вважати обрану банком кредитну політику.</w:t>
      </w:r>
    </w:p>
    <w:p w:rsidR="004D0C5C" w:rsidRPr="004D0C5C" w:rsidRDefault="004D0C5C" w:rsidP="004D0C5C">
      <w:pPr>
        <w:widowControl w:val="0"/>
        <w:numPr>
          <w:ilvl w:val="0"/>
          <w:numId w:val="2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В ході проведеного фінансового аналізу підприємства ПАТ «Альфа-Банк» можна зробити висновок, що всі розглянуті відносні показники платоспроможності та фінансової стійкості відповідають нормативним значенням. Отже, структура балансу підприємства ПАТ «Альфа-Банк» вважається задовільною, а саме підприємство — платоспроможним.</w:t>
      </w:r>
    </w:p>
    <w:p w:rsidR="004D0C5C" w:rsidRPr="004D0C5C" w:rsidRDefault="004D0C5C" w:rsidP="004D0C5C">
      <w:pPr>
        <w:widowControl w:val="0"/>
        <w:numPr>
          <w:ilvl w:val="0"/>
          <w:numId w:val="2"/>
        </w:numPr>
        <w:suppressAutoHyphens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 xml:space="preserve">Аналіз показників ліквідності балансу показав, що ПАТ «Альфа-Банк» має стійке фінансове становище. Оцінка коефіцієнтів ліквідності та </w:t>
      </w:r>
      <w:bookmarkStart w:id="0" w:name="_GoBack"/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платоспроможності підтверджує, що підприємство знаходиться у стійкому фінансовому становищі, оскільки значення коефіцієнтів вище нормативних.</w:t>
      </w:r>
      <w:bookmarkEnd w:id="0"/>
    </w:p>
    <w:p w:rsidR="004D0C5C" w:rsidRPr="004D0C5C" w:rsidRDefault="004D0C5C" w:rsidP="004D0C5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ar-SA"/>
        </w:rPr>
      </w:pPr>
      <w:r w:rsidRPr="004D0C5C">
        <w:rPr>
          <w:rFonts w:ascii="Times New Roman" w:eastAsia="Calibri" w:hAnsi="Times New Roman" w:cs="Times New Roman"/>
          <w:b/>
          <w:sz w:val="28"/>
          <w:szCs w:val="28"/>
          <w:lang w:eastAsia="ar-SA"/>
        </w:rPr>
        <w:br w:type="page"/>
      </w:r>
      <w:r w:rsidRPr="004D0C5C">
        <w:rPr>
          <w:rFonts w:ascii="Times New Roman" w:eastAsia="Calibri" w:hAnsi="Times New Roman" w:cs="Times New Roman"/>
          <w:b/>
          <w:sz w:val="28"/>
          <w:szCs w:val="28"/>
          <w:lang w:eastAsia="ar-SA"/>
        </w:rPr>
        <w:lastRenderedPageBreak/>
        <w:t>СПИСОК ВИКОРИСТАНИХ ДЖЕРЕЛ</w:t>
      </w:r>
    </w:p>
    <w:p w:rsidR="004D0C5C" w:rsidRPr="004D0C5C" w:rsidRDefault="004D0C5C" w:rsidP="004D0C5C">
      <w:pPr>
        <w:spacing w:after="0" w:line="360" w:lineRule="auto"/>
        <w:ind w:left="714" w:firstLine="709"/>
        <w:contextualSpacing/>
        <w:mirrorIndents/>
        <w:jc w:val="center"/>
        <w:rPr>
          <w:rFonts w:ascii="Times New Roman" w:eastAsia="Calibri" w:hAnsi="Times New Roman" w:cs="Times New Roman"/>
          <w:sz w:val="28"/>
          <w:szCs w:val="28"/>
          <w:lang w:eastAsia="ar-SA"/>
        </w:rPr>
      </w:pP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contextualSpacing/>
        <w:mirrorIndents/>
        <w:jc w:val="both"/>
        <w:rPr>
          <w:rFonts w:ascii="Times New Roman" w:eastAsia="Calibri" w:hAnsi="Times New Roman" w:cs="Times New Roman"/>
          <w:sz w:val="28"/>
          <w:lang w:val="ru-RU" w:eastAsia="ar-SA"/>
        </w:rPr>
      </w:pPr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Артеменко В. Г. Фінансовий аналіз [Текст] :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навч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.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посіб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>. / В. Г. Артеменко, А. О. Чемерис, Р. М. 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Рудніцька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 ; за наук. ред. В. Г. Артеменко. — К. : «Знання», 2009. — 378 с.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contextualSpacing/>
        <w:mirrorIndents/>
        <w:jc w:val="both"/>
        <w:rPr>
          <w:rFonts w:ascii="Times New Roman" w:eastAsia="Calibri" w:hAnsi="Times New Roman" w:cs="Times New Roman"/>
          <w:sz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Банківська справа [Електронний ресурс]. — Режим доступу : </w:t>
      </w:r>
      <w:hyperlink r:id="rId6" w:history="1">
        <w:r w:rsidRPr="004D0C5C">
          <w:rPr>
            <w:rFonts w:ascii="Times New Roman" w:eastAsia="Calibri" w:hAnsi="Times New Roman" w:cs="Times New Roman"/>
            <w:color w:val="0000FF"/>
            <w:sz w:val="28"/>
            <w:u w:val="single"/>
            <w:lang w:eastAsia="ar-SA"/>
          </w:rPr>
          <w:t>http://5ka.at.ua/load/bankivska_sprava/finansovij_menedzhment_u_banku_referat/7-1-0-4605</w:t>
        </w:r>
      </w:hyperlink>
      <w:r w:rsidRPr="004D0C5C">
        <w:rPr>
          <w:rFonts w:ascii="Times New Roman" w:eastAsia="Calibri" w:hAnsi="Times New Roman" w:cs="Times New Roman"/>
          <w:sz w:val="28"/>
          <w:lang w:eastAsia="ar-SA"/>
        </w:rPr>
        <w:t>. — Назва з екрану.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contextualSpacing/>
        <w:mirrorIndents/>
        <w:jc w:val="both"/>
        <w:rPr>
          <w:rFonts w:ascii="Times New Roman" w:eastAsia="Calibri" w:hAnsi="Times New Roman" w:cs="Times New Roman"/>
          <w:sz w:val="28"/>
          <w:lang w:eastAsia="ar-SA"/>
        </w:rPr>
      </w:pP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Бальжинов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 А. В. Аналіз і діагностика фінансового-господарської діяльності банку [Текст] :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навч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.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посіб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>. / А. В. 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Бальжинов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>, Т. Б. 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Бердникова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>, В. Г. Блохіна ; за наук. ред. А. В. 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Бальжинова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. — Львів : ЛРІДУ УАДУ, 2009. — 158 с. 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contextualSpacing/>
        <w:mirrorIndents/>
        <w:jc w:val="both"/>
        <w:rPr>
          <w:rFonts w:ascii="Times New Roman" w:eastAsia="Times New Roman" w:hAnsi="Times New Roman" w:cs="Times New Roman"/>
          <w:sz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Власенко М. І. Вступ до банківської справи [Текст] :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навч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.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посіб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>. / відп. ред. М. І. Власенко.</w:t>
      </w:r>
      <w:r w:rsidRPr="004D0C5C">
        <w:rPr>
          <w:rFonts w:ascii="Times New Roman" w:eastAsia="SimSun" w:hAnsi="Times New Roman" w:cs="Times New Roman"/>
          <w:sz w:val="28"/>
          <w:lang w:eastAsia="ar-SA"/>
        </w:rPr>
        <w:t xml:space="preserve"> — </w:t>
      </w:r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К. :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Лібра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, 2010. </w:t>
      </w:r>
      <w:r w:rsidRPr="004D0C5C">
        <w:rPr>
          <w:rFonts w:ascii="Times New Roman" w:eastAsia="SimSun" w:hAnsi="Times New Roman" w:cs="Times New Roman"/>
          <w:sz w:val="28"/>
          <w:lang w:eastAsia="ar-SA"/>
        </w:rPr>
        <w:t xml:space="preserve">— </w:t>
      </w:r>
      <w:r w:rsidRPr="004D0C5C">
        <w:rPr>
          <w:rFonts w:ascii="Times New Roman" w:eastAsia="Calibri" w:hAnsi="Times New Roman" w:cs="Times New Roman"/>
          <w:sz w:val="28"/>
          <w:lang w:eastAsia="ar-SA"/>
        </w:rPr>
        <w:t>344 с.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contextualSpacing/>
        <w:mirrorIndents/>
        <w:jc w:val="both"/>
        <w:rPr>
          <w:rFonts w:ascii="Times New Roman" w:eastAsia="SimSun" w:hAnsi="Times New Roman" w:cs="Times New Roman"/>
          <w:sz w:val="28"/>
          <w:szCs w:val="24"/>
          <w:lang w:eastAsia="ar-SA"/>
        </w:rPr>
      </w:pP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Грещак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 М. Г. Розвиток кредитної політики банку [Текст] :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навч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.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посіб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>. / М. Г. 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Грещак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>.</w:t>
      </w:r>
      <w:r w:rsidRPr="004D0C5C">
        <w:rPr>
          <w:rFonts w:ascii="Times New Roman" w:eastAsia="SimSun" w:hAnsi="Times New Roman" w:cs="Times New Roman"/>
          <w:sz w:val="28"/>
          <w:lang w:eastAsia="ar-SA"/>
        </w:rPr>
        <w:t xml:space="preserve"> — К. : КНЕУ, 2011. — 228 с.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contextualSpacing/>
        <w:mirrorIndents/>
        <w:jc w:val="both"/>
        <w:rPr>
          <w:rFonts w:ascii="Times New Roman" w:eastAsia="SimSun" w:hAnsi="Times New Roman" w:cs="Times New Roman"/>
          <w:sz w:val="28"/>
          <w:lang w:eastAsia="ar-SA"/>
        </w:rPr>
      </w:pPr>
      <w:r w:rsidRPr="004D0C5C">
        <w:rPr>
          <w:rFonts w:ascii="Times New Roman" w:eastAsia="SimSun" w:hAnsi="Times New Roman" w:cs="Times New Roman"/>
          <w:sz w:val="28"/>
          <w:lang w:eastAsia="ar-SA"/>
        </w:rPr>
        <w:t xml:space="preserve">Гроші та кредит </w:t>
      </w:r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[Текст] : </w:t>
      </w:r>
      <w:r w:rsidRPr="004D0C5C">
        <w:rPr>
          <w:rFonts w:ascii="Times New Roman" w:eastAsia="SimSun" w:hAnsi="Times New Roman" w:cs="Times New Roman"/>
          <w:sz w:val="28"/>
          <w:lang w:eastAsia="ar-SA"/>
        </w:rPr>
        <w:t>підручник / М. І.</w:t>
      </w:r>
      <w:r w:rsidRPr="004D0C5C">
        <w:rPr>
          <w:rFonts w:ascii="Times New Roman" w:eastAsia="Calibri" w:hAnsi="Times New Roman" w:cs="Times New Roman"/>
          <w:sz w:val="28"/>
          <w:lang w:eastAsia="ar-SA"/>
        </w:rPr>
        <w:t> </w:t>
      </w:r>
      <w:proofErr w:type="spellStart"/>
      <w:r w:rsidRPr="004D0C5C">
        <w:rPr>
          <w:rFonts w:ascii="Times New Roman" w:eastAsia="SimSun" w:hAnsi="Times New Roman" w:cs="Times New Roman"/>
          <w:sz w:val="28"/>
          <w:lang w:eastAsia="ar-SA"/>
        </w:rPr>
        <w:t>Савлук</w:t>
      </w:r>
      <w:proofErr w:type="spellEnd"/>
      <w:r w:rsidRPr="004D0C5C">
        <w:rPr>
          <w:rFonts w:ascii="Times New Roman" w:eastAsia="SimSun" w:hAnsi="Times New Roman" w:cs="Times New Roman"/>
          <w:sz w:val="28"/>
          <w:lang w:eastAsia="ar-SA"/>
        </w:rPr>
        <w:t>, М. Г. </w:t>
      </w:r>
      <w:proofErr w:type="spellStart"/>
      <w:r w:rsidRPr="004D0C5C">
        <w:rPr>
          <w:rFonts w:ascii="Times New Roman" w:eastAsia="SimSun" w:hAnsi="Times New Roman" w:cs="Times New Roman"/>
          <w:sz w:val="28"/>
          <w:lang w:eastAsia="ar-SA"/>
        </w:rPr>
        <w:t>Грещак</w:t>
      </w:r>
      <w:proofErr w:type="spellEnd"/>
      <w:r w:rsidRPr="004D0C5C">
        <w:rPr>
          <w:rFonts w:ascii="Times New Roman" w:eastAsia="SimSun" w:hAnsi="Times New Roman" w:cs="Times New Roman"/>
          <w:sz w:val="28"/>
          <w:lang w:eastAsia="ar-SA"/>
        </w:rPr>
        <w:t>. — К. : КНЕУ, 2009. — 578 с.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contextualSpacing/>
        <w:mirrorIndents/>
        <w:jc w:val="both"/>
        <w:rPr>
          <w:rFonts w:ascii="Times New Roman" w:eastAsia="Times New Roman" w:hAnsi="Times New Roman" w:cs="Times New Roman"/>
          <w:sz w:val="28"/>
          <w:lang w:eastAsia="ar-SA"/>
        </w:rPr>
      </w:pP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Дзюблюк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 О. В. Організація грошово-кредитних відносин суспільства в умовах ринкового реформування економіки [Текст] :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навч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.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посіб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>. / О. В. 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Дзюблюк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. — К. :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Поліграфкнига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, 2009. </w:t>
      </w:r>
      <w:r w:rsidRPr="004D0C5C">
        <w:rPr>
          <w:rFonts w:ascii="Times New Roman" w:eastAsia="SimSun" w:hAnsi="Times New Roman" w:cs="Times New Roman"/>
          <w:sz w:val="28"/>
          <w:lang w:eastAsia="ar-SA"/>
        </w:rPr>
        <w:t xml:space="preserve">— </w:t>
      </w:r>
      <w:r w:rsidRPr="004D0C5C">
        <w:rPr>
          <w:rFonts w:ascii="Times New Roman" w:eastAsia="Calibri" w:hAnsi="Times New Roman" w:cs="Times New Roman"/>
          <w:sz w:val="28"/>
          <w:lang w:eastAsia="ar-SA"/>
        </w:rPr>
        <w:t>512 с.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contextualSpacing/>
        <w:mirrorIndents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 xml:space="preserve">Коваленко В. В. Чистий процентний </w:t>
      </w:r>
      <w:proofErr w:type="spellStart"/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спред</w:t>
      </w:r>
      <w:proofErr w:type="spellEnd"/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 xml:space="preserve"> як чинник розвитку банківської системи </w:t>
      </w:r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[Текст] :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навч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.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посіб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. / В. В. Коваленко. </w:t>
      </w:r>
      <w:r w:rsidRPr="004D0C5C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— </w:t>
      </w: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 xml:space="preserve">Актуальні проблеми економіки. </w:t>
      </w:r>
      <w:r w:rsidRPr="004D0C5C">
        <w:rPr>
          <w:rFonts w:ascii="Times New Roman" w:eastAsia="SimSun" w:hAnsi="Times New Roman" w:cs="Times New Roman"/>
          <w:sz w:val="28"/>
          <w:szCs w:val="28"/>
          <w:lang w:eastAsia="ar-SA"/>
        </w:rPr>
        <w:t>—</w:t>
      </w: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 xml:space="preserve"> Донецьк : ДРІДУ НАДУ, 2010 </w:t>
      </w:r>
      <w:r w:rsidRPr="004D0C5C">
        <w:rPr>
          <w:rFonts w:ascii="Times New Roman" w:eastAsia="SimSun" w:hAnsi="Times New Roman" w:cs="Times New Roman"/>
          <w:sz w:val="28"/>
          <w:szCs w:val="28"/>
          <w:lang w:eastAsia="ar-SA"/>
        </w:rPr>
        <w:t>—</w:t>
      </w: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 xml:space="preserve"> 239 с.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contextualSpacing/>
        <w:mirrorIndents/>
        <w:jc w:val="both"/>
        <w:rPr>
          <w:rFonts w:ascii="Times New Roman" w:eastAsia="Calibri" w:hAnsi="Times New Roman" w:cs="Times New Roman"/>
          <w:sz w:val="28"/>
          <w:szCs w:val="24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 Компанієць С. П. Довіра до банківської системи зміцнюється [Текст] : С. П. Компанієць. // Вісник НБУ, 2001. — №8. — 190 с.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contextualSpacing/>
        <w:mirrorIndents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 Ковбасюк М. Р. </w:t>
      </w: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 xml:space="preserve">Економічний аналіз діяльності комерційних банків і підприємств </w:t>
      </w:r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[Текст] :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навч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.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посіб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. / М. Р. Ковбасюк. </w:t>
      </w:r>
      <w:r w:rsidRPr="004D0C5C">
        <w:rPr>
          <w:rFonts w:ascii="Times New Roman" w:eastAsia="Calibri" w:hAnsi="Times New Roman" w:cs="Times New Roman"/>
          <w:sz w:val="28"/>
          <w:szCs w:val="28"/>
          <w:lang w:eastAsia="ar-SA"/>
        </w:rPr>
        <w:t>— К. : Видавничий дім «Скарби», 2003 — 336 с.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ar-SA"/>
        </w:rPr>
      </w:pPr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Кручок Н. O.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Моделювання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кредитоспроможності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позичальників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іпотечних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кредитів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[Текст] / Н. О. Кручок // </w:t>
      </w:r>
      <w:proofErr w:type="spellStart"/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В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існик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НБУ. — </w:t>
      </w:r>
      <w:r w:rsidRPr="004D0C5C">
        <w:rPr>
          <w:rFonts w:ascii="Times New Roman" w:eastAsia="Calibri" w:hAnsi="Times New Roman" w:cs="Times New Roman"/>
          <w:sz w:val="28"/>
          <w:lang w:val="ru-RU" w:eastAsia="ar-SA"/>
        </w:rPr>
        <w:lastRenderedPageBreak/>
        <w:t>2010. — №13. — С. 38—39.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ar-SA"/>
        </w:rPr>
      </w:pP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Марцин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 В. В.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Основні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складові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оцінки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фінансового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стану </w:t>
      </w:r>
      <w:proofErr w:type="spellStart"/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п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ідприємства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[Текст] :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навч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.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посіб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. / В. В. 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Марцин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. — К.</w:t>
      </w:r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: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КНЕУ, 2008. — 130 с.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ar-SA"/>
        </w:rPr>
      </w:pPr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Альфа-Банк [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Електронний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ресурс]. — Режим доступу</w:t>
      </w:r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: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http://www.alfabank.ua/ru/o-banke/o-banke_o-banke.htm. —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Назва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з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екрану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ar-SA"/>
        </w:rPr>
      </w:pP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Науменкова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 С. В.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Проблеми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формування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та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реалізації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кредитної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політики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комерційних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банків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[Текст] / С. В. 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Науменкова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. // </w:t>
      </w:r>
      <w:proofErr w:type="spellStart"/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Вісник</w:t>
      </w:r>
      <w:proofErr w:type="spellEnd"/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НБУ. — 2006. — №3. — С. 98.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ar-SA"/>
        </w:rPr>
      </w:pP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Олійник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 О. Г.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Механізм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формування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та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реалізації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кредитної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політики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банку [Текст] :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навч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. </w:t>
      </w:r>
      <w:proofErr w:type="spellStart"/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пос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іб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. / О. Г. 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Олійник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. — К</w:t>
      </w:r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: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«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Знання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», 2009. — 217 с.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ar-SA"/>
        </w:rPr>
      </w:pP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Онікієнко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 С. В.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Банківський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кредит, як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об’єкт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оцінки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економічної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ефективності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[Текст] / С. В. 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Онікієнко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// </w:t>
      </w:r>
      <w:proofErr w:type="spellStart"/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В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існик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НБУ. — 2009. — №12. — С. 30—33.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ar-SA"/>
        </w:rPr>
      </w:pP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Оптимізація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оцінки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кредитоспроможності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[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Електронний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ресурс]. — Режим доступу</w:t>
      </w:r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: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http://www.refine.org.ua/pageid-6719-2.html. —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Назва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з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екрану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ar-SA"/>
        </w:rPr>
      </w:pP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Парасій-Вергуненко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 І. М.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Аналіз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банківської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діяльності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[Текст] :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навч</w:t>
      </w:r>
      <w:proofErr w:type="spellEnd"/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.-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метод.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посіб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. / І. М. 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Парасій-Вергуненко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. — К.</w:t>
      </w:r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: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КНЕУ, 2003. — 347 с.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ar-SA"/>
        </w:rPr>
      </w:pP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Примостка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 Л. О.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Фінансовий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менеджмент банку [Текст] :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навч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. </w:t>
      </w:r>
      <w:proofErr w:type="spellStart"/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пос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іб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. / Л. О. 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Примостка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. — К.</w:t>
      </w:r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: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КНЕУ, 2009. — 280 с.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ar-SA"/>
        </w:rPr>
      </w:pPr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Слобода Л. В.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Класифікація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та характеристика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чинників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кредитних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ризиків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банківських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установ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[Текст] :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навч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. </w:t>
      </w:r>
      <w:proofErr w:type="spellStart"/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пос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іб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. / Л. В. Слобода, Т. В. Майорова. —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Регіональна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економіка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— К.</w:t>
      </w:r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: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КНЕУ, 2005. — 193 с.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ar-SA"/>
        </w:rPr>
      </w:pP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Тиркало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 Р. І.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Фінансовий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аналіз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комерційного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банку [Текст] :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навч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. </w:t>
      </w:r>
      <w:proofErr w:type="spellStart"/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пос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іб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. / Р. І. 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Тиркало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, З. І. 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Щибиволок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. — К.</w:t>
      </w:r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: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Знання-Прес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, 2003. — 233 с.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ar-SA"/>
        </w:rPr>
      </w:pPr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Функціонування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бюро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кредитних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історій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[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Електронний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ресурс]. — Режим доступу</w:t>
      </w:r>
      <w:proofErr w:type="gram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:</w:t>
      </w:r>
      <w:proofErr w:type="gram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http://bibliofond.ru/view.aspx?id=488680. —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lastRenderedPageBreak/>
        <w:t>Назва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 xml:space="preserve"> з </w:t>
      </w:r>
      <w:proofErr w:type="spellStart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екрану</w:t>
      </w:r>
      <w:proofErr w:type="spellEnd"/>
      <w:r w:rsidRPr="004D0C5C">
        <w:rPr>
          <w:rFonts w:ascii="Times New Roman" w:eastAsia="Calibri" w:hAnsi="Times New Roman" w:cs="Times New Roman"/>
          <w:sz w:val="28"/>
          <w:lang w:val="ru-RU" w:eastAsia="ar-SA"/>
        </w:rPr>
        <w:t>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ar-SA"/>
        </w:rPr>
      </w:pPr>
      <w:r w:rsidRPr="004D0C5C">
        <w:rPr>
          <w:rFonts w:ascii="Times New Roman" w:eastAsia="Calibri" w:hAnsi="Times New Roman" w:cs="Times New Roman"/>
          <w:sz w:val="28"/>
          <w:szCs w:val="28"/>
          <w:lang w:val="ru-RU" w:eastAsia="ar-SA"/>
        </w:rPr>
        <w:t xml:space="preserve"> </w:t>
      </w:r>
      <w:proofErr w:type="spellStart"/>
      <w:r w:rsidRPr="004D0C5C">
        <w:rPr>
          <w:rFonts w:ascii="Times New Roman" w:eastAsia="Calibri" w:hAnsi="Times New Roman" w:cs="Times New Roman"/>
          <w:sz w:val="28"/>
          <w:szCs w:val="28"/>
          <w:lang w:val="ru-RU" w:eastAsia="ar-SA"/>
        </w:rPr>
        <w:t>Фінансовий</w:t>
      </w:r>
      <w:proofErr w:type="spellEnd"/>
      <w:r w:rsidRPr="004D0C5C">
        <w:rPr>
          <w:rFonts w:ascii="Times New Roman" w:eastAsia="Calibri" w:hAnsi="Times New Roman" w:cs="Times New Roman"/>
          <w:sz w:val="28"/>
          <w:szCs w:val="28"/>
          <w:lang w:val="ru-RU" w:eastAsia="ar-SA"/>
        </w:rPr>
        <w:t xml:space="preserve"> менеджмент банку [</w:t>
      </w:r>
      <w:proofErr w:type="spellStart"/>
      <w:r w:rsidRPr="004D0C5C">
        <w:rPr>
          <w:rFonts w:ascii="Times New Roman" w:eastAsia="Calibri" w:hAnsi="Times New Roman" w:cs="Times New Roman"/>
          <w:sz w:val="28"/>
          <w:szCs w:val="28"/>
          <w:lang w:val="ru-RU" w:eastAsia="ar-SA"/>
        </w:rPr>
        <w:t>Електронний</w:t>
      </w:r>
      <w:proofErr w:type="spellEnd"/>
      <w:r w:rsidRPr="004D0C5C">
        <w:rPr>
          <w:rFonts w:ascii="Times New Roman" w:eastAsia="Calibri" w:hAnsi="Times New Roman" w:cs="Times New Roman"/>
          <w:sz w:val="28"/>
          <w:szCs w:val="28"/>
          <w:lang w:val="ru-RU" w:eastAsia="ar-SA"/>
        </w:rPr>
        <w:t xml:space="preserve"> ресурс]. — Режим доступу</w:t>
      </w:r>
      <w:proofErr w:type="gramStart"/>
      <w:r w:rsidRPr="004D0C5C">
        <w:rPr>
          <w:rFonts w:ascii="Times New Roman" w:eastAsia="Calibri" w:hAnsi="Times New Roman" w:cs="Times New Roman"/>
          <w:sz w:val="28"/>
          <w:szCs w:val="28"/>
          <w:lang w:val="ru-RU" w:eastAsia="ar-SA"/>
        </w:rPr>
        <w:t> :</w:t>
      </w:r>
      <w:proofErr w:type="gramEnd"/>
      <w:r w:rsidRPr="004D0C5C">
        <w:rPr>
          <w:rFonts w:ascii="Times New Roman" w:eastAsia="Calibri" w:hAnsi="Times New Roman" w:cs="Times New Roman"/>
          <w:sz w:val="28"/>
          <w:szCs w:val="28"/>
          <w:lang w:val="ru-RU" w:eastAsia="ar-SA"/>
        </w:rPr>
        <w:t xml:space="preserve"> </w:t>
      </w:r>
      <w:hyperlink r:id="rId7" w:history="1">
        <w:r w:rsidRPr="004D0C5C">
          <w:rPr>
            <w:rFonts w:ascii="Times New Roman" w:eastAsia="Calibri" w:hAnsi="Times New Roman" w:cs="Times New Roman"/>
            <w:sz w:val="28"/>
            <w:szCs w:val="28"/>
            <w:lang w:val="ru-RU" w:eastAsia="ar-SA"/>
          </w:rPr>
          <w:t>http://bukvar.su/bankovskoe-delo/4294-F-nansoviiy-menedzhment-banka.html</w:t>
        </w:r>
      </w:hyperlink>
      <w:r w:rsidRPr="004D0C5C">
        <w:rPr>
          <w:rFonts w:ascii="Times New Roman" w:eastAsia="Calibri" w:hAnsi="Times New Roman" w:cs="Times New Roman"/>
          <w:sz w:val="28"/>
          <w:szCs w:val="28"/>
          <w:lang w:val="ru-RU" w:eastAsia="ar-SA"/>
        </w:rPr>
        <w:t xml:space="preserve">. — </w:t>
      </w:r>
      <w:proofErr w:type="spellStart"/>
      <w:r w:rsidRPr="004D0C5C">
        <w:rPr>
          <w:rFonts w:ascii="Times New Roman" w:eastAsia="Calibri" w:hAnsi="Times New Roman" w:cs="Times New Roman"/>
          <w:sz w:val="28"/>
          <w:szCs w:val="28"/>
          <w:lang w:val="ru-RU" w:eastAsia="ar-SA"/>
        </w:rPr>
        <w:t>Назва</w:t>
      </w:r>
      <w:proofErr w:type="spellEnd"/>
      <w:r w:rsidRPr="004D0C5C">
        <w:rPr>
          <w:rFonts w:ascii="Times New Roman" w:eastAsia="Calibri" w:hAnsi="Times New Roman" w:cs="Times New Roman"/>
          <w:sz w:val="28"/>
          <w:szCs w:val="28"/>
          <w:lang w:val="ru-RU" w:eastAsia="ar-SA"/>
        </w:rPr>
        <w:t xml:space="preserve"> з </w:t>
      </w:r>
      <w:proofErr w:type="spellStart"/>
      <w:r w:rsidRPr="004D0C5C">
        <w:rPr>
          <w:rFonts w:ascii="Times New Roman" w:eastAsia="Calibri" w:hAnsi="Times New Roman" w:cs="Times New Roman"/>
          <w:sz w:val="28"/>
          <w:szCs w:val="28"/>
          <w:lang w:val="ru-RU" w:eastAsia="ar-SA"/>
        </w:rPr>
        <w:t>екрану</w:t>
      </w:r>
      <w:proofErr w:type="spellEnd"/>
      <w:r w:rsidRPr="004D0C5C">
        <w:rPr>
          <w:rFonts w:ascii="Times New Roman" w:eastAsia="Calibri" w:hAnsi="Times New Roman" w:cs="Times New Roman"/>
          <w:sz w:val="28"/>
          <w:szCs w:val="28"/>
          <w:lang w:val="ru-RU" w:eastAsia="ar-SA"/>
        </w:rPr>
        <w:t>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contextualSpacing/>
        <w:mirrorIndents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lang w:eastAsia="ar-SA"/>
        </w:rPr>
        <w:t>Кредитна політика банку [Електронний ресурс]. — Режим доступу : http://posibnyky.vntu.edu.ua/fin/7.htm. — Назва з екрану.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contextualSpacing/>
        <w:mirrorIndents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Лагутін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 В. Д. Кредитування : теорія і практика [Текст] :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навч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. 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посіб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>. / В. Д. </w:t>
      </w:r>
      <w:proofErr w:type="spellStart"/>
      <w:r w:rsidRPr="004D0C5C">
        <w:rPr>
          <w:rFonts w:ascii="Times New Roman" w:eastAsia="Calibri" w:hAnsi="Times New Roman" w:cs="Times New Roman"/>
          <w:sz w:val="28"/>
          <w:lang w:eastAsia="ar-SA"/>
        </w:rPr>
        <w:t>Лагутін</w:t>
      </w:r>
      <w:proofErr w:type="spellEnd"/>
      <w:r w:rsidRPr="004D0C5C">
        <w:rPr>
          <w:rFonts w:ascii="Times New Roman" w:eastAsia="Calibri" w:hAnsi="Times New Roman" w:cs="Times New Roman"/>
          <w:sz w:val="28"/>
          <w:lang w:eastAsia="ar-SA"/>
        </w:rPr>
        <w:t xml:space="preserve"> — К. : Знання, 2008. — 235 с.</w:t>
      </w:r>
    </w:p>
    <w:p w:rsidR="004D0C5C" w:rsidRPr="004D0C5C" w:rsidRDefault="004D0C5C" w:rsidP="004D0C5C">
      <w:pPr>
        <w:widowControl w:val="0"/>
        <w:numPr>
          <w:ilvl w:val="0"/>
          <w:numId w:val="3"/>
        </w:numPr>
        <w:suppressAutoHyphens/>
        <w:spacing w:after="0" w:line="360" w:lineRule="auto"/>
        <w:ind w:firstLine="709"/>
        <w:contextualSpacing/>
        <w:mirrorIndents/>
        <w:jc w:val="both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4D0C5C">
        <w:rPr>
          <w:rFonts w:ascii="Times New Roman" w:eastAsia="Calibri" w:hAnsi="Times New Roman" w:cs="Times New Roman"/>
          <w:sz w:val="28"/>
          <w:lang w:eastAsia="ar-SA"/>
        </w:rPr>
        <w:t>Малахова О. В. Напрями оптимізації роботи банків щодо управління кредитним ризиком [Текст] / О. В. Малахова. // Вісник НБУ. — 2010. — №2 (15). — С. 112—114.</w:t>
      </w:r>
    </w:p>
    <w:p w:rsidR="004D0C5C" w:rsidRPr="004D0C5C" w:rsidRDefault="004D0C5C"/>
    <w:sectPr w:rsidR="004D0C5C" w:rsidRPr="004D0C5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67224"/>
    <w:multiLevelType w:val="hybridMultilevel"/>
    <w:tmpl w:val="D048047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E951166"/>
    <w:multiLevelType w:val="hybridMultilevel"/>
    <w:tmpl w:val="FE28E3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400995"/>
    <w:multiLevelType w:val="hybridMultilevel"/>
    <w:tmpl w:val="8A569534"/>
    <w:lvl w:ilvl="0" w:tplc="B4E2DE0A">
      <w:numFmt w:val="bullet"/>
      <w:lvlText w:val="-"/>
      <w:lvlJc w:val="left"/>
      <w:pPr>
        <w:ind w:left="1440" w:hanging="360"/>
      </w:pPr>
      <w:rPr>
        <w:rFonts w:ascii="Times New Roman" w:eastAsia="Calibri" w:hAnsi="Times New Roman" w:cs="Times New Roman" w:hint="default"/>
        <w:color w:val="000000"/>
        <w:sz w:val="23"/>
      </w:rPr>
    </w:lvl>
    <w:lvl w:ilvl="1" w:tplc="0422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2A27"/>
    <w:rsid w:val="004D0C5C"/>
    <w:rsid w:val="00513DFC"/>
    <w:rsid w:val="00C72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1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bukvar.su/bankovskoe-delo/4294-F-nansoviiy-menedzhment-banka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5ka.at.ua/load/bankivska_sprava/finansovij_menedzhment_u_banku_referat/7-1-0-460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7122</Words>
  <Characters>4061</Characters>
  <Application>Microsoft Office Word</Application>
  <DocSecurity>0</DocSecurity>
  <Lines>33</Lines>
  <Paragraphs>22</Paragraphs>
  <ScaleCrop>false</ScaleCrop>
  <Company/>
  <LinksUpToDate>false</LinksUpToDate>
  <CharactersWithSpaces>11161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2018-10-09T06:37:00Z</dcterms:created>
  <dcterms:modified xsi:type="dcterms:W3CDTF">2018-10-09T06:39:00Z</dcterms:modified>
</cp:coreProperties>
</file>