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A45" w:rsidRPr="00321D44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ОДЕCЬКИЙ НАЦІОНАЛЬНИЙ УНІВЕРCИТЕТ імені І. І. МЕЧНИКОВА</w:t>
      </w:r>
    </w:p>
    <w:p w:rsidR="000F1A45" w:rsidRPr="00321D44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Біологічний факультет</w:t>
      </w:r>
    </w:p>
    <w:p w:rsidR="000F1A45" w:rsidRPr="00321D44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Кафедра </w:t>
      </w:r>
      <w:r w:rsidR="004650BF"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фізіології людини та тварин</w:t>
      </w:r>
    </w:p>
    <w:p w:rsidR="000F1A45" w:rsidRPr="00321D44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</w:pPr>
    </w:p>
    <w:p w:rsidR="000F1A45" w:rsidRPr="00321D44" w:rsidRDefault="000F1A45" w:rsidP="000F1A4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321D44">
        <w:rPr>
          <w:rFonts w:ascii="Times New Roman" w:eastAsia="Times New Roman" w:hAnsi="Times New Roman" w:cs="Times New Roman"/>
          <w:b/>
          <w:spacing w:val="60"/>
          <w:sz w:val="32"/>
          <w:szCs w:val="24"/>
          <w:lang w:val="uk-UA" w:eastAsia="ru-RU"/>
        </w:rPr>
        <w:t>Дипломна робота</w:t>
      </w:r>
    </w:p>
    <w:p w:rsidR="000F1A45" w:rsidRPr="00321D44" w:rsidRDefault="000F1A45" w:rsidP="000F1A45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360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A00530" w:rsidRPr="00321D44" w:rsidRDefault="000F1A45" w:rsidP="00A00530">
      <w:pPr>
        <w:autoSpaceDE w:val="0"/>
        <w:spacing w:after="0" w:line="240" w:lineRule="auto"/>
        <w:jc w:val="center"/>
        <w:rPr>
          <w:rFonts w:ascii="Times New Roman" w:hAnsi="Times New Roman" w:cs="Times New Roman"/>
          <w:b/>
          <w:kern w:val="1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на тему</w:t>
      </w:r>
      <w:r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 xml:space="preserve"> </w:t>
      </w:r>
      <w:r w:rsidRPr="00321D4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</w:t>
      </w:r>
      <w:r w:rsidR="00A00530" w:rsidRPr="00321D44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Показники печінкового профілю хворих на гепатит з цукровим діабетом 2 типу при терапії гепатопротекторами</w:t>
      </w:r>
      <w:r w:rsidR="00A00530" w:rsidRPr="00321D44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»</w:t>
      </w:r>
    </w:p>
    <w:p w:rsidR="00A00530" w:rsidRPr="00321D44" w:rsidRDefault="00A00530" w:rsidP="00A00530">
      <w:pPr>
        <w:autoSpaceDE w:val="0"/>
        <w:spacing w:after="0" w:line="240" w:lineRule="auto"/>
        <w:jc w:val="center"/>
        <w:rPr>
          <w:rFonts w:ascii="Times New Roman" w:hAnsi="Times New Roman" w:cs="Times New Roman"/>
          <w:kern w:val="1"/>
          <w:sz w:val="24"/>
          <w:szCs w:val="24"/>
          <w:lang w:val="uk-UA"/>
        </w:rPr>
      </w:pPr>
      <w:r w:rsidRPr="00321D44">
        <w:rPr>
          <w:rFonts w:ascii="Times New Roman" w:hAnsi="Times New Roman" w:cs="Times New Roman"/>
          <w:kern w:val="1"/>
          <w:sz w:val="24"/>
          <w:szCs w:val="24"/>
          <w:lang w:val="uk-UA"/>
        </w:rPr>
        <w:t xml:space="preserve">Indicators of the hepatic profile of patients with hepatitis with diabetes </w:t>
      </w:r>
      <w:r w:rsidR="00097C93" w:rsidRPr="00321D44">
        <w:rPr>
          <w:rFonts w:ascii="Times New Roman" w:hAnsi="Times New Roman" w:cs="Times New Roman"/>
          <w:kern w:val="1"/>
          <w:sz w:val="24"/>
          <w:szCs w:val="24"/>
          <w:lang w:val="uk-UA"/>
        </w:rPr>
        <w:t>2</w:t>
      </w:r>
      <w:r w:rsidR="00097C93" w:rsidRPr="00321D44">
        <w:rPr>
          <w:rFonts w:ascii="Times New Roman" w:hAnsi="Times New Roman" w:cs="Times New Roman"/>
          <w:kern w:val="1"/>
          <w:sz w:val="24"/>
          <w:szCs w:val="24"/>
          <w:lang w:val="en-US"/>
        </w:rPr>
        <w:t xml:space="preserve"> type </w:t>
      </w:r>
      <w:r w:rsidRPr="00321D44">
        <w:rPr>
          <w:rFonts w:ascii="Times New Roman" w:hAnsi="Times New Roman" w:cs="Times New Roman"/>
          <w:kern w:val="1"/>
          <w:sz w:val="24"/>
          <w:szCs w:val="24"/>
          <w:lang w:val="uk-UA"/>
        </w:rPr>
        <w:t xml:space="preserve">during hepatoprotective therapy </w:t>
      </w:r>
    </w:p>
    <w:p w:rsidR="00C46FFD" w:rsidRPr="00321D44" w:rsidRDefault="00C46FFD" w:rsidP="00A00530">
      <w:pPr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val="uk-UA" w:eastAsia="ru-RU"/>
        </w:rPr>
      </w:pPr>
    </w:p>
    <w:p w:rsidR="000F1A45" w:rsidRPr="00321D44" w:rsidRDefault="000F1A45" w:rsidP="000F1A45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Викона</w:t>
      </w:r>
      <w:r w:rsidR="00730C21"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ла</w:t>
      </w:r>
      <w:r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:</w:t>
      </w: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 студент</w:t>
      </w:r>
      <w:r w:rsidR="00730C21"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ка</w:t>
      </w: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 </w:t>
      </w:r>
      <w:r w:rsidR="00097C93" w:rsidRPr="00321D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заочної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 навчання</w:t>
      </w:r>
    </w:p>
    <w:p w:rsidR="000F1A45" w:rsidRPr="00321D44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Спеціальність 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091 Біологія</w:t>
      </w: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 </w:t>
      </w:r>
    </w:p>
    <w:p w:rsidR="00545D98" w:rsidRPr="00321D44" w:rsidRDefault="00545D98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ОП Біологія</w:t>
      </w:r>
    </w:p>
    <w:p w:rsidR="00730C21" w:rsidRPr="00321D44" w:rsidRDefault="00A00530" w:rsidP="00730C21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Малишева</w:t>
      </w:r>
      <w:r w:rsidR="00730C21"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 xml:space="preserve"> </w:t>
      </w:r>
      <w:r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Діана</w:t>
      </w:r>
      <w:r w:rsidR="00730C21"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 xml:space="preserve"> </w:t>
      </w:r>
      <w:r w:rsidRPr="00321D44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Владиславівна</w:t>
      </w:r>
    </w:p>
    <w:p w:rsidR="000F1A45" w:rsidRPr="00321D44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</w:pPr>
    </w:p>
    <w:p w:rsidR="000F1A45" w:rsidRPr="00321D44" w:rsidRDefault="000F1A45" w:rsidP="000F1A45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 xml:space="preserve">Науковий керівник: </w:t>
      </w:r>
    </w:p>
    <w:p w:rsidR="000F1A45" w:rsidRPr="00321D44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730C21" w:rsidRPr="00321D44" w:rsidRDefault="00730C21" w:rsidP="00730C21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Майкова Ганна Вікторівна</w:t>
      </w:r>
    </w:p>
    <w:p w:rsidR="000F1A45" w:rsidRPr="00321D44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0F1A45" w:rsidRPr="00321D44" w:rsidRDefault="000F1A45" w:rsidP="000F1A45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Рецензен</w:t>
      </w:r>
      <w:r w:rsidRPr="00321D44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т:</w:t>
      </w:r>
    </w:p>
    <w:p w:rsidR="000F1A45" w:rsidRPr="00321D44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730C21" w:rsidRPr="00321D44" w:rsidRDefault="00333D14" w:rsidP="00333D14">
      <w:pPr>
        <w:spacing w:after="0" w:line="240" w:lineRule="auto"/>
        <w:ind w:firstLine="4678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Мірось Світлана Леонідівна</w:t>
      </w:r>
    </w:p>
    <w:p w:rsidR="00730C21" w:rsidRPr="00321D44" w:rsidRDefault="00730C21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730C21" w:rsidRPr="00321D44" w:rsidRDefault="00730C21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0F1A45" w:rsidRPr="00321D44" w:rsidTr="00006BD1">
        <w:tc>
          <w:tcPr>
            <w:tcW w:w="4785" w:type="dxa"/>
          </w:tcPr>
          <w:p w:rsidR="000F1A45" w:rsidRPr="00321D44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Рекомендовано до захисту:</w:t>
            </w:r>
          </w:p>
        </w:tc>
        <w:tc>
          <w:tcPr>
            <w:tcW w:w="4785" w:type="dxa"/>
          </w:tcPr>
          <w:p w:rsidR="000F1A45" w:rsidRPr="00321D44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Захищено на засіданні ЕК № 1</w:t>
            </w:r>
          </w:p>
        </w:tc>
      </w:tr>
      <w:tr w:rsidR="000F1A45" w:rsidRPr="00321D44" w:rsidTr="00006BD1">
        <w:tc>
          <w:tcPr>
            <w:tcW w:w="4785" w:type="dxa"/>
          </w:tcPr>
          <w:p w:rsidR="000F1A45" w:rsidRPr="00321D44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0F1A45" w:rsidRPr="00321D44" w:rsidRDefault="000F1A45" w:rsidP="00730C21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Протокол №_____від «___» </w:t>
            </w:r>
            <w:r w:rsidR="00730C21"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 2020 </w:t>
            </w: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р.</w:t>
            </w:r>
          </w:p>
        </w:tc>
      </w:tr>
      <w:tr w:rsidR="000F1A45" w:rsidRPr="00321D44" w:rsidTr="00006BD1">
        <w:tc>
          <w:tcPr>
            <w:tcW w:w="4785" w:type="dxa"/>
          </w:tcPr>
          <w:p w:rsidR="000F1A45" w:rsidRPr="00321D44" w:rsidRDefault="000F1A45" w:rsidP="00730C21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№_____від «___» </w:t>
            </w:r>
            <w:r w:rsidR="00730C21"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 2020 </w:t>
            </w: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р.</w:t>
            </w:r>
          </w:p>
        </w:tc>
        <w:tc>
          <w:tcPr>
            <w:tcW w:w="4785" w:type="dxa"/>
          </w:tcPr>
          <w:p w:rsidR="000F1A45" w:rsidRPr="00321D44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Оцінка_____/________/__________</w:t>
            </w:r>
          </w:p>
          <w:p w:rsidR="000F1A45" w:rsidRPr="00321D44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 xml:space="preserve">            </w:t>
            </w: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>(за національною шкалою, шкалою ЕCТS, бал)</w:t>
            </w:r>
          </w:p>
        </w:tc>
      </w:tr>
      <w:tr w:rsidR="000F1A45" w:rsidRPr="00321D44" w:rsidTr="00006BD1">
        <w:tc>
          <w:tcPr>
            <w:tcW w:w="4785" w:type="dxa"/>
          </w:tcPr>
          <w:p w:rsidR="000F1A45" w:rsidRPr="00321D44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Завідувач кафедри</w:t>
            </w:r>
          </w:p>
          <w:p w:rsidR="000F1A45" w:rsidRPr="00321D44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</w:p>
        </w:tc>
        <w:tc>
          <w:tcPr>
            <w:tcW w:w="4785" w:type="dxa"/>
          </w:tcPr>
          <w:p w:rsidR="000F1A45" w:rsidRPr="00321D44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Голова ЕК</w:t>
            </w:r>
          </w:p>
        </w:tc>
      </w:tr>
      <w:tr w:rsidR="000F1A45" w:rsidRPr="00321D44" w:rsidTr="00006BD1">
        <w:tc>
          <w:tcPr>
            <w:tcW w:w="4785" w:type="dxa"/>
          </w:tcPr>
          <w:p w:rsidR="000F1A45" w:rsidRPr="00321D44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_______               </w:t>
            </w:r>
            <w:r w:rsidR="00730C21"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 Макаренко О. А.</w:t>
            </w:r>
          </w:p>
        </w:tc>
        <w:tc>
          <w:tcPr>
            <w:tcW w:w="4785" w:type="dxa"/>
          </w:tcPr>
          <w:p w:rsidR="000F1A45" w:rsidRPr="00321D44" w:rsidRDefault="000F1A45" w:rsidP="00A00530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_______                          </w:t>
            </w:r>
            <w:r w:rsidR="00A00530"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Філіпова Т. О.</w:t>
            </w:r>
          </w:p>
        </w:tc>
      </w:tr>
      <w:tr w:rsidR="000F1A45" w:rsidRPr="00321D44" w:rsidTr="00006BD1">
        <w:tc>
          <w:tcPr>
            <w:tcW w:w="4785" w:type="dxa"/>
          </w:tcPr>
          <w:p w:rsidR="000F1A45" w:rsidRPr="00321D44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:rsidR="000F1A45" w:rsidRPr="00321D44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321D44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  (підпиc)                                          (прізвище та ініціали)</w:t>
            </w:r>
          </w:p>
        </w:tc>
      </w:tr>
    </w:tbl>
    <w:p w:rsidR="000F1A45" w:rsidRPr="00321D44" w:rsidRDefault="000F1A45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 w:eastAsia="ru-RU"/>
        </w:rPr>
      </w:pPr>
    </w:p>
    <w:p w:rsidR="000F1A45" w:rsidRPr="00321D44" w:rsidRDefault="000F1A45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 w:eastAsia="ru-RU"/>
        </w:rPr>
      </w:pPr>
    </w:p>
    <w:p w:rsidR="00F602FE" w:rsidRPr="00321D44" w:rsidRDefault="00F602FE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 w:eastAsia="ru-RU"/>
        </w:rPr>
      </w:pPr>
    </w:p>
    <w:p w:rsidR="00F602FE" w:rsidRPr="00321D44" w:rsidRDefault="00F602FE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 w:eastAsia="ru-RU"/>
        </w:rPr>
      </w:pPr>
    </w:p>
    <w:p w:rsidR="000F1A45" w:rsidRPr="00321D44" w:rsidRDefault="000F1A45" w:rsidP="000F1A45">
      <w:pPr>
        <w:spacing w:after="24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b/>
          <w:kern w:val="1"/>
          <w:sz w:val="28"/>
          <w:szCs w:val="24"/>
          <w:lang w:val="uk-UA" w:eastAsia="ru-RU"/>
        </w:rPr>
        <w:t>Одеcа – 2020</w:t>
      </w:r>
    </w:p>
    <w:p w:rsidR="00A00530" w:rsidRPr="00321D44" w:rsidRDefault="00A0053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B67A9" w:rsidRPr="00321D44" w:rsidRDefault="00DB67A9" w:rsidP="004650BF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0A113D" w:rsidRPr="00321D44" w:rsidRDefault="000A113D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>Проведенно дослідження впливу Антралю або Есенціале форте Н на показники печінкового профілю у хворих на гепатит та гепатит з цукровим діабетом 2 типу.</w:t>
      </w:r>
    </w:p>
    <w:p w:rsidR="000A113D" w:rsidRPr="00321D44" w:rsidRDefault="000A113D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>Виявлено, що на тлі гепатопротекторів в більшому ступені змінюються  показники вмісту білків, глюкози, білірубіну та трансаміназ, ніж на тлі стандартної антигепатитної та цукрознижувальної терапії.</w:t>
      </w:r>
    </w:p>
    <w:p w:rsidR="00DB67A9" w:rsidRPr="00321D44" w:rsidRDefault="00DB4068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Роботу викладено на 4</w:t>
      </w:r>
      <w:r w:rsidR="00F71E8C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DB67A9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сторін</w:t>
      </w:r>
      <w:r>
        <w:rPr>
          <w:rFonts w:ascii="Times New Roman" w:hAnsi="Times New Roman" w:cs="Times New Roman"/>
          <w:sz w:val="28"/>
          <w:szCs w:val="28"/>
          <w:lang w:val="uk-UA"/>
        </w:rPr>
        <w:t>ках</w:t>
      </w:r>
      <w:r w:rsidR="00545D98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67A9" w:rsidRPr="00321D44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997933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укованого тексту, вона включає </w:t>
      </w:r>
      <w:r w:rsidR="000A113D" w:rsidRPr="00321D44">
        <w:rPr>
          <w:rFonts w:ascii="Times New Roman" w:hAnsi="Times New Roman" w:cs="Times New Roman"/>
          <w:sz w:val="28"/>
          <w:szCs w:val="28"/>
          <w:lang w:val="uk-UA"/>
        </w:rPr>
        <w:t>3 таблиці</w:t>
      </w:r>
      <w:r w:rsidR="00997933" w:rsidRPr="00321D44">
        <w:rPr>
          <w:rFonts w:ascii="Times New Roman" w:hAnsi="Times New Roman" w:cs="Times New Roman"/>
          <w:sz w:val="28"/>
          <w:szCs w:val="28"/>
          <w:lang w:val="uk-UA"/>
        </w:rPr>
        <w:t>, 5</w:t>
      </w:r>
      <w:r w:rsidR="00DB67A9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рисунків. </w:t>
      </w:r>
      <w:r w:rsidR="00997933" w:rsidRPr="00321D4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F4F1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робо</w:t>
      </w:r>
      <w:r w:rsidR="00973E16" w:rsidRPr="00321D44">
        <w:rPr>
          <w:rFonts w:ascii="Times New Roman" w:hAnsi="Times New Roman" w:cs="Times New Roman"/>
          <w:sz w:val="28"/>
          <w:szCs w:val="28"/>
          <w:lang w:val="uk-UA"/>
        </w:rPr>
        <w:t>ті наведено посилання на 62 публікації (43 кирилицею, 19</w:t>
      </w:r>
      <w:r w:rsidR="00DB67A9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латиницею).</w:t>
      </w:r>
    </w:p>
    <w:p w:rsidR="00DB67A9" w:rsidRPr="00321D44" w:rsidRDefault="00DB67A9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>Ключові слова:</w:t>
      </w:r>
      <w:r w:rsidRPr="00321D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A113D" w:rsidRPr="00321D44">
        <w:rPr>
          <w:rFonts w:ascii="Times New Roman" w:hAnsi="Times New Roman" w:cs="Times New Roman"/>
          <w:i/>
          <w:sz w:val="28"/>
          <w:szCs w:val="28"/>
          <w:lang w:val="uk-UA"/>
        </w:rPr>
        <w:t>гепатит, цукровий діабет  2 типу, гепатопротектори</w:t>
      </w:r>
    </w:p>
    <w:p w:rsidR="00997933" w:rsidRPr="00321D44" w:rsidRDefault="00997933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113D" w:rsidRPr="00321D44" w:rsidRDefault="000A113D" w:rsidP="004650B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113D" w:rsidRPr="00321D44" w:rsidRDefault="000A113D" w:rsidP="000A113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21D44">
        <w:rPr>
          <w:rFonts w:ascii="Times New Roman" w:hAnsi="Times New Roman"/>
          <w:sz w:val="28"/>
          <w:szCs w:val="28"/>
          <w:lang w:val="uk-UA"/>
        </w:rPr>
        <w:t>A study of the effect of Antral or Essentiale forte H on the liver profile in patients with hepatitis and hepatitis with type 2 diabetes.</w:t>
      </w:r>
    </w:p>
    <w:p w:rsidR="000A113D" w:rsidRPr="00321D44" w:rsidRDefault="000A113D" w:rsidP="000A113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21D44">
        <w:rPr>
          <w:rFonts w:ascii="Times New Roman" w:hAnsi="Times New Roman"/>
          <w:sz w:val="28"/>
          <w:szCs w:val="28"/>
          <w:lang w:val="uk-UA"/>
        </w:rPr>
        <w:t>It was found that on the background of hepatoprotectors change the content of protein, glucose, bilirubin and transaminases to a greater extent than on the background of standard antihepatitis and hypoglycemic therapy.</w:t>
      </w:r>
    </w:p>
    <w:p w:rsidR="00006BD1" w:rsidRPr="00321D44" w:rsidRDefault="00545D98" w:rsidP="000A113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21D44">
        <w:rPr>
          <w:rFonts w:ascii="Times New Roman" w:hAnsi="Times New Roman"/>
          <w:sz w:val="28"/>
          <w:szCs w:val="28"/>
          <w:lang w:val="uk-UA"/>
        </w:rPr>
        <w:t> The work is presented on 4</w:t>
      </w:r>
      <w:r w:rsidR="00F71E8C">
        <w:rPr>
          <w:rFonts w:ascii="Times New Roman" w:hAnsi="Times New Roman"/>
          <w:sz w:val="28"/>
          <w:szCs w:val="28"/>
          <w:lang w:val="uk-UA"/>
        </w:rPr>
        <w:t>6</w:t>
      </w:r>
      <w:r w:rsidR="00006BD1" w:rsidRPr="00321D44">
        <w:rPr>
          <w:rFonts w:ascii="Times New Roman" w:hAnsi="Times New Roman"/>
          <w:sz w:val="28"/>
          <w:szCs w:val="28"/>
          <w:lang w:val="uk-UA"/>
        </w:rPr>
        <w:t xml:space="preserve"> pages of printed text, it includes </w:t>
      </w:r>
      <w:r w:rsidR="000A113D" w:rsidRPr="00321D44">
        <w:rPr>
          <w:rFonts w:ascii="Times New Roman" w:hAnsi="Times New Roman"/>
          <w:sz w:val="28"/>
          <w:szCs w:val="28"/>
          <w:lang w:val="uk-UA"/>
        </w:rPr>
        <w:t>3</w:t>
      </w:r>
      <w:r w:rsidR="00006BD1" w:rsidRPr="00321D44">
        <w:rPr>
          <w:rFonts w:ascii="Times New Roman" w:hAnsi="Times New Roman"/>
          <w:sz w:val="28"/>
          <w:szCs w:val="28"/>
          <w:lang w:val="uk-UA"/>
        </w:rPr>
        <w:t xml:space="preserve"> tables, 5 </w:t>
      </w:r>
      <w:r w:rsidR="00B90206" w:rsidRPr="00321D44">
        <w:rPr>
          <w:rFonts w:ascii="Times New Roman" w:hAnsi="Times New Roman"/>
          <w:sz w:val="28"/>
          <w:szCs w:val="28"/>
          <w:lang w:val="uk-UA"/>
        </w:rPr>
        <w:t>f</w:t>
      </w:r>
      <w:r w:rsidR="00973E16" w:rsidRPr="00321D44">
        <w:rPr>
          <w:rFonts w:ascii="Times New Roman" w:hAnsi="Times New Roman"/>
          <w:sz w:val="28"/>
          <w:szCs w:val="28"/>
          <w:lang w:val="uk-UA"/>
        </w:rPr>
        <w:t>igures.  The paper refers to 62 publications (43 in Cyrillic, 19</w:t>
      </w:r>
      <w:r w:rsidR="00006BD1" w:rsidRPr="00321D44">
        <w:rPr>
          <w:rFonts w:ascii="Times New Roman" w:hAnsi="Times New Roman"/>
          <w:sz w:val="28"/>
          <w:szCs w:val="28"/>
          <w:lang w:val="uk-UA"/>
        </w:rPr>
        <w:t xml:space="preserve"> in Latin).</w:t>
      </w:r>
    </w:p>
    <w:p w:rsidR="004650BF" w:rsidRPr="00321D44" w:rsidRDefault="00006BD1" w:rsidP="000C40BC">
      <w:pPr>
        <w:spacing w:after="0" w:line="360" w:lineRule="auto"/>
        <w:ind w:firstLine="72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21D44">
        <w:rPr>
          <w:rFonts w:ascii="Times New Roman" w:hAnsi="Times New Roman"/>
          <w:sz w:val="28"/>
          <w:szCs w:val="28"/>
          <w:lang w:val="uk-UA"/>
        </w:rPr>
        <w:t xml:space="preserve"> Key words: </w:t>
      </w:r>
      <w:r w:rsidRPr="00321D44">
        <w:rPr>
          <w:rFonts w:ascii="Times New Roman" w:hAnsi="Times New Roman"/>
          <w:i/>
          <w:sz w:val="28"/>
          <w:szCs w:val="28"/>
          <w:lang w:val="uk-UA"/>
        </w:rPr>
        <w:t xml:space="preserve">osteoporosis, </w:t>
      </w:r>
      <w:r w:rsidR="000C40BC" w:rsidRPr="00321D44">
        <w:rPr>
          <w:rFonts w:ascii="Times New Roman" w:hAnsi="Times New Roman"/>
          <w:i/>
          <w:sz w:val="28"/>
          <w:szCs w:val="28"/>
          <w:lang w:val="uk-UA"/>
        </w:rPr>
        <w:t>hepatitis, type 2 diabetes mellitus, hepatoprotectors</w:t>
      </w:r>
      <w:r w:rsidR="004650BF" w:rsidRPr="00321D44">
        <w:rPr>
          <w:rFonts w:ascii="Times New Roman" w:hAnsi="Times New Roman"/>
          <w:i/>
          <w:sz w:val="28"/>
          <w:szCs w:val="28"/>
          <w:lang w:val="uk-UA"/>
        </w:rPr>
        <w:br w:type="page"/>
      </w: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2"/>
          <w:szCs w:val="22"/>
          <w:lang w:eastAsia="en-US"/>
        </w:rPr>
        <w:id w:val="311295183"/>
        <w:docPartObj>
          <w:docPartGallery w:val="Table of Contents"/>
          <w:docPartUnique/>
        </w:docPartObj>
      </w:sdtPr>
      <w:sdtEndPr/>
      <w:sdtContent>
        <w:p w:rsidR="00CB2B48" w:rsidRPr="00DB4068" w:rsidRDefault="00CB2B48" w:rsidP="00265BE8">
          <w:pPr>
            <w:pStyle w:val="af7"/>
            <w:spacing w:before="0" w:line="360" w:lineRule="auto"/>
            <w:jc w:val="center"/>
            <w:rPr>
              <w:rFonts w:ascii="Times New Roman" w:hAnsi="Times New Roman" w:cs="Times New Roman"/>
              <w:b w:val="0"/>
              <w:color w:val="auto"/>
            </w:rPr>
          </w:pPr>
          <w:r w:rsidRPr="00265BE8">
            <w:rPr>
              <w:rFonts w:ascii="Times New Roman" w:hAnsi="Times New Roman" w:cs="Times New Roman"/>
              <w:color w:val="auto"/>
            </w:rPr>
            <w:t>ЗМ</w:t>
          </w:r>
          <w:r w:rsidRPr="00265BE8">
            <w:rPr>
              <w:rFonts w:ascii="Times New Roman" w:hAnsi="Times New Roman" w:cs="Times New Roman"/>
              <w:color w:val="auto"/>
              <w:lang w:val="uk-UA"/>
            </w:rPr>
            <w:t>І</w:t>
          </w:r>
          <w:r w:rsidRPr="00265BE8">
            <w:rPr>
              <w:rFonts w:ascii="Times New Roman" w:hAnsi="Times New Roman" w:cs="Times New Roman"/>
              <w:color w:val="auto"/>
            </w:rPr>
            <w:t>СТ</w:t>
          </w:r>
        </w:p>
        <w:p w:rsidR="00DB4068" w:rsidRPr="00DB4068" w:rsidRDefault="00CB2B48" w:rsidP="00DB4068">
          <w:pPr>
            <w:pStyle w:val="1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DB4068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DB4068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DB4068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57809003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_Toc57809003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11"/>
            <w:tabs>
              <w:tab w:val="left" w:pos="440"/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04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</w:t>
            </w:r>
            <w:r w:rsidR="00DB4068" w:rsidRPr="00DB4068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ab/>
            </w:r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ОГЛЯД ЛІТЕРАТУРИ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_Toc57809004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21"/>
            <w:tabs>
              <w:tab w:val="left" w:pos="880"/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05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</w:t>
            </w:r>
            <w:r w:rsidR="00DB4068" w:rsidRPr="00DB4068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ab/>
            </w:r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Етіологія та патогенез гепатитів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_Toc57809005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3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06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1.1.1. Гепатит С, його етіологія та патогенез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_Toc57809006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3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07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1.1.2. Гепатит В, його етіологія та патогенез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_Toc57809007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11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21"/>
            <w:tabs>
              <w:tab w:val="left" w:pos="880"/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08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</w:t>
            </w:r>
            <w:r w:rsidR="00DB4068" w:rsidRPr="00DB4068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ab/>
            </w:r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Класифікація цукрового діабету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_Toc57809008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3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09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1.2.1. Етіологія та патогенез цукрового діабету 2 типу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_Toc57809009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21"/>
            <w:tabs>
              <w:tab w:val="left" w:pos="880"/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0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1.3.</w:t>
            </w:r>
            <w:r w:rsidR="00DB4068" w:rsidRPr="00DB4068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ab/>
            </w:r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Гепатопротектори в клінічній практиці лікування гепатобіліарної системи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_Toc57809010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1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1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 МАТЕРІАЛИ ТА МЕТОДИ ДОСЛІДЖЕНЬ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_Toc57809011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2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2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 Методи визначення біохімічних показників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_Toc57809012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2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3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2.2. Статистична обробка результатів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_Toc57809013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1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4" w:history="1">
            <w:r w:rsidR="00DB4068" w:rsidRPr="00DB4068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 РЕЗУЛЬТАТИ ДОСЛІДЖЕНЬ ТА ЇХ ОБГОВОРЕННЯ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_Toc57809014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2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5" w:history="1">
            <w:r w:rsidR="00DB4068" w:rsidRPr="00DB4068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3.1. Білковий та вуглеводний обмін у хворих на гепатит та цукровий діабет 2 типу на тлі введення до стандартної терапії гепатопротекторів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_Toc57809015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2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6" w:history="1">
            <w:r w:rsidR="00DB4068" w:rsidRPr="00DB4068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3.2. Показники печінкового профілю у хворих на гепатит та цукровий діабет 2 типу на тлі введення до стандартної терапії гепатопротекторів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_Toc57809016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29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1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7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УЗАГАЛЬНЕННЯ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_Toc57809017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11"/>
            <w:tabs>
              <w:tab w:val="right" w:leader="dot" w:pos="9345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8" w:history="1">
            <w:r w:rsidR="00DB4068" w:rsidRPr="00DB4068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_Toc57809018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39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B4068" w:rsidRPr="00DB4068" w:rsidRDefault="00E44EBD" w:rsidP="00DB4068">
          <w:pPr>
            <w:pStyle w:val="21"/>
            <w:tabs>
              <w:tab w:val="right" w:leader="dot" w:pos="9345"/>
            </w:tabs>
            <w:spacing w:line="360" w:lineRule="auto"/>
            <w:ind w:left="0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809019" w:history="1">
            <w:r w:rsidR="00DB4068" w:rsidRPr="00DB4068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СПИСОК ЛІТЕРАТУРИ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_Toc57809019 \h </w:instrTex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71E8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="00DB4068" w:rsidRPr="00DB406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2B48" w:rsidRPr="00321D44" w:rsidRDefault="00CB2B48" w:rsidP="00DB4068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DB4068">
            <w:rPr>
              <w:rFonts w:ascii="Times New Roman" w:hAnsi="Times New Roman" w:cs="Times New Roman"/>
              <w:bCs/>
              <w:sz w:val="28"/>
              <w:szCs w:val="28"/>
            </w:rPr>
            <w:fldChar w:fldCharType="end"/>
          </w:r>
        </w:p>
      </w:sdtContent>
    </w:sdt>
    <w:p w:rsidR="004650BF" w:rsidRPr="00321D44" w:rsidRDefault="004650BF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</w:p>
    <w:p w:rsidR="005B6CD8" w:rsidRPr="00321D44" w:rsidRDefault="005B6CD8" w:rsidP="005C08D2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ПРИЙНЯТІ СКОРОЧЕННЯ ТА АБРЕВІАТУРИ</w:t>
      </w:r>
    </w:p>
    <w:p w:rsidR="000147CE" w:rsidRPr="00321D44" w:rsidRDefault="000147CE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F840AB" w:rsidRPr="00321D44" w:rsidRDefault="00F840AB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АлАТ 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аланінамінотрасфераза</w:t>
      </w:r>
    </w:p>
    <w:p w:rsidR="00F840AB" w:rsidRPr="00321D44" w:rsidRDefault="00F840AB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АсАТ 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аспартатамінотрасфераза</w:t>
      </w:r>
    </w:p>
    <w:p w:rsidR="00F840AB" w:rsidRPr="00321D44" w:rsidRDefault="00F840AB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ГГТ 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sym w:font="Symbol" w:char="F067"/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-глутамілтрансфераза</w:t>
      </w:r>
    </w:p>
    <w:p w:rsidR="00D06844" w:rsidRPr="00321D44" w:rsidRDefault="00D06844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ЕФ 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есенціальні фосфоліпіди </w:t>
      </w:r>
    </w:p>
    <w:p w:rsidR="00F602FE" w:rsidRPr="00321D44" w:rsidRDefault="00F602FE" w:rsidP="00F602FE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НАЖХП 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неалкогольна жирова хвороба печінки </w:t>
      </w:r>
    </w:p>
    <w:p w:rsidR="00F602FE" w:rsidRPr="00321D44" w:rsidRDefault="00F602FE" w:rsidP="00F602FE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ЦД – цукровий діабет </w:t>
      </w:r>
    </w:p>
    <w:p w:rsidR="00F602FE" w:rsidRPr="00321D44" w:rsidRDefault="00F602FE" w:rsidP="00F602FE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>ЦП – цироз печінки</w:t>
      </w:r>
    </w:p>
    <w:p w:rsidR="00F602FE" w:rsidRPr="00321D44" w:rsidRDefault="00F602FE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B6CD8" w:rsidRPr="00321D44" w:rsidRDefault="005B6CD8" w:rsidP="005B6CD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BF67BA" w:rsidRPr="00321D44" w:rsidRDefault="00BF67BA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</w:p>
    <w:p w:rsidR="00A00530" w:rsidRPr="00321D44" w:rsidRDefault="00A00530" w:rsidP="00A00530">
      <w:pPr>
        <w:pStyle w:val="1"/>
        <w:jc w:val="center"/>
        <w:rPr>
          <w:rFonts w:ascii="Times New Roman" w:hAnsi="Times New Roman" w:cs="Times New Roman"/>
          <w:color w:val="auto"/>
        </w:rPr>
      </w:pPr>
      <w:bookmarkStart w:id="0" w:name="_Toc57809003"/>
      <w:r w:rsidRPr="00321D44">
        <w:rPr>
          <w:rFonts w:ascii="Times New Roman" w:hAnsi="Times New Roman" w:cs="Times New Roman"/>
          <w:color w:val="auto"/>
        </w:rPr>
        <w:lastRenderedPageBreak/>
        <w:t>ВСТУП</w:t>
      </w:r>
      <w:bookmarkEnd w:id="0"/>
    </w:p>
    <w:p w:rsidR="00A00530" w:rsidRPr="00321D44" w:rsidRDefault="00A00530" w:rsidP="00A00530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захворювання печінки широко поширені серед населення Землі. Це обумовлено зростанням дії на печінку ві</w:t>
      </w:r>
      <w:r w:rsidR="006D3B82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русних, токсичних, лікарських,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аутоімунних факторів, що є особливо актуальним останнім часом, на тлі метаболічних розладів, ожиріння та цукрового діабету [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Кляритская и др., 2012;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Olson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2016;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Sayiner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et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al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.,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2016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A00530" w:rsidRPr="00321D44" w:rsidRDefault="00A00530" w:rsidP="00BE6C1B">
      <w:pPr>
        <w:pStyle w:val="a4"/>
        <w:shd w:val="clear" w:color="auto" w:fill="FFFFFF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Згідно з останніми оцінками, ураження печінки </w:t>
      </w:r>
      <w:r w:rsidR="00BE6C1B" w:rsidRPr="00321D4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одна з найбільш частих патологій при ЦД. У пацієнтів з ЦД 2 типу спостерігається практично повний спектр захворювань печінки, що включає відхилення печінкових ферментів, неалкогольна жирова хвороба печінки (НАЖХП), цироз печінки (ЦП), гепатоцеллюлярна карцинома, гостра печінкова недостатність. Крім того, відзначена асоціація ЦД 1 і 2 типів навіть з вірусним гепатитом </w:t>
      </w:r>
      <w:r w:rsidR="004C23A6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321D44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Chan</w:t>
      </w:r>
      <w:r w:rsidRPr="00321D44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et</w:t>
      </w:r>
      <w:r w:rsidRPr="00321D44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al</w:t>
      </w:r>
      <w:r w:rsidRPr="00321D44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., 2003; </w:t>
      </w:r>
      <w:r w:rsidRPr="00321D44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Bugianesi</w:t>
      </w:r>
      <w:r w:rsidRPr="00321D44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, 2006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00530" w:rsidRPr="00321D44" w:rsidRDefault="00A00530" w:rsidP="00A005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На етапі </w:t>
      </w:r>
      <w:r w:rsidR="004C23A6" w:rsidRPr="00321D44">
        <w:rPr>
          <w:rFonts w:ascii="Times New Roman" w:hAnsi="Times New Roman" w:cs="Times New Roman"/>
          <w:sz w:val="28"/>
          <w:szCs w:val="28"/>
          <w:lang w:val="uk-UA"/>
        </w:rPr>
        <w:t>терапії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</w:t>
      </w:r>
      <w:r w:rsidR="004C23A6" w:rsidRPr="00321D4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печінки, таким пацієнтам </w:t>
      </w:r>
      <w:r w:rsidR="004C23A6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з урахуванням синдромального підходу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призначаються гепатотропні препарати, </w:t>
      </w:r>
      <w:r w:rsidR="004C23A6" w:rsidRPr="00321D44">
        <w:rPr>
          <w:rFonts w:ascii="Times New Roman" w:hAnsi="Times New Roman" w:cs="Times New Roman"/>
          <w:sz w:val="28"/>
          <w:szCs w:val="28"/>
          <w:lang w:val="uk-UA"/>
        </w:rPr>
        <w:t>які часто називають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гепатопротекторами.</w:t>
      </w:r>
    </w:p>
    <w:p w:rsidR="00A00530" w:rsidRPr="00321D44" w:rsidRDefault="004C23A6" w:rsidP="00EF5662">
      <w:pPr>
        <w:pStyle w:val="a4"/>
        <w:shd w:val="clear" w:color="auto" w:fill="FFFFFF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епатопротектори </w:t>
      </w:r>
      <w:r w:rsidR="00EF5662" w:rsidRPr="00321D4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це лікарські засоби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, дія яких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на відновлення гомеостазу в гепатоцитах, що сприяє підвищенню стійкості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печінки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до впливу патогенних факторів, нормалізації функціональної активності і стимуляції репаративної-регенеративних процесів в печінці. На жаль, до теперішнього часу не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остаточн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судження про межі застосування, ефектив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ність та безпеку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цих препаратів, що обумовлено недостатнім числом контрольованих клінічних досліджень, що відповідають сучасним принципам доказової медицини [</w:t>
      </w:r>
      <w:r w:rsidR="00A00530" w:rsidRPr="00321D44">
        <w:rPr>
          <w:rFonts w:ascii="Times New Roman" w:eastAsia="Times New Roman" w:hAnsi="Times New Roman" w:cs="Times New Roman"/>
          <w:iCs/>
          <w:color w:val="231F20"/>
          <w:sz w:val="28"/>
          <w:szCs w:val="28"/>
          <w:bdr w:val="none" w:sz="0" w:space="0" w:color="auto" w:frame="1"/>
          <w:lang w:eastAsia="ru-RU"/>
        </w:rPr>
        <w:t>Оковитый</w:t>
      </w:r>
      <w:r w:rsidR="00A00530" w:rsidRPr="00321D44">
        <w:rPr>
          <w:rFonts w:ascii="Times New Roman" w:eastAsia="Times New Roman" w:hAnsi="Times New Roman" w:cs="Times New Roman"/>
          <w:iCs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и др., 2010, 2012</w:t>
      </w:r>
      <w:r w:rsidR="00A00530" w:rsidRPr="00321D4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0B4A20" w:rsidRPr="00321D44" w:rsidRDefault="005B6CD8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0B4A20" w:rsidRPr="00321D44">
          <w:headerReference w:type="default" r:id="rId9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У зв’язку з цим </w:t>
      </w:r>
      <w:r w:rsidRPr="00321D44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9D0ED3" w:rsidRPr="00321D44">
        <w:rPr>
          <w:rFonts w:ascii="Times New Roman" w:hAnsi="Times New Roman" w:cs="Times New Roman"/>
          <w:sz w:val="28"/>
          <w:szCs w:val="28"/>
          <w:lang w:val="uk-UA"/>
        </w:rPr>
        <w:t>було визначення показників печінкового профілю у хворих на гепатит та гепатит з цукровим діабетом 2 типу на тлі</w:t>
      </w:r>
      <w:r w:rsidR="00EE2258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додавання до терапії Антралю або</w:t>
      </w:r>
      <w:r w:rsidR="009D0ED3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Есенціале форте Н.</w:t>
      </w:r>
    </w:p>
    <w:p w:rsidR="005B6CD8" w:rsidRPr="00321D44" w:rsidRDefault="005B6CD8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6CD8" w:rsidRPr="00321D44" w:rsidRDefault="005B6CD8" w:rsidP="000B4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>Для досягнення мети бу</w:t>
      </w:r>
      <w:r w:rsidR="000B4A20" w:rsidRPr="00321D44">
        <w:rPr>
          <w:rFonts w:ascii="Times New Roman" w:hAnsi="Times New Roman" w:cs="Times New Roman"/>
          <w:sz w:val="28"/>
          <w:szCs w:val="28"/>
          <w:lang w:val="uk-UA"/>
        </w:rPr>
        <w:t>ли поставлені наступні завдання::</w:t>
      </w:r>
    </w:p>
    <w:p w:rsidR="005B6CD8" w:rsidRPr="00321D44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382670" w:rsidRPr="00321D44"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ED3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білковий та вуглеводний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обмін</w:t>
      </w:r>
      <w:r w:rsidR="009D0ED3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гепатит та гепатит з цукровим діабетом 2 типу на тлі додавання до терапії Антралю </w:t>
      </w:r>
      <w:r w:rsidR="00EE2258" w:rsidRPr="00321D44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9D0ED3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Есенціале форте Н.</w:t>
      </w:r>
    </w:p>
    <w:p w:rsidR="005B6CD8" w:rsidRPr="00321D44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2. Визначити </w:t>
      </w:r>
      <w:r w:rsidR="009D0ED3" w:rsidRPr="00321D44">
        <w:rPr>
          <w:rFonts w:ascii="Times New Roman" w:hAnsi="Times New Roman" w:cs="Times New Roman"/>
          <w:sz w:val="28"/>
          <w:szCs w:val="28"/>
          <w:lang w:val="uk-UA"/>
        </w:rPr>
        <w:t>кількість загального та звязанного білірубіну у хворих на гепатит та гепатит з цукровим діабетом 2 типу на тлі</w:t>
      </w:r>
      <w:r w:rsidR="00EE2258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додавання до терапії Антралю або</w:t>
      </w:r>
      <w:r w:rsidR="009D0ED3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Есенціале форте Н.</w:t>
      </w:r>
    </w:p>
    <w:p w:rsidR="0055536A" w:rsidRPr="00321D44" w:rsidRDefault="005B6CD8" w:rsidP="0055536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8674E9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</w:t>
      </w:r>
      <w:r w:rsidR="009D0ED3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зміни активності </w:t>
      </w:r>
      <w:r w:rsidR="0055536A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аланінамінотрансферази, аспартатамінотранферази та </w:t>
      </w:r>
      <w:r w:rsidR="0055536A" w:rsidRPr="00321D44">
        <w:rPr>
          <w:rFonts w:ascii="Times New Roman" w:hAnsi="Times New Roman" w:cs="Times New Roman"/>
          <w:sz w:val="28"/>
          <w:szCs w:val="28"/>
          <w:lang w:val="uk-UA"/>
        </w:rPr>
        <w:sym w:font="Symbol" w:char="F067"/>
      </w:r>
      <w:r w:rsidR="0055536A" w:rsidRPr="00321D44">
        <w:rPr>
          <w:rFonts w:ascii="Times New Roman" w:hAnsi="Times New Roman" w:cs="Times New Roman"/>
          <w:sz w:val="28"/>
          <w:szCs w:val="28"/>
          <w:lang w:val="uk-UA"/>
        </w:rPr>
        <w:t>-глутаміламінотрансферази у хворих на гепатит та гепатит з цукровим діабетом 2 типу на тл</w:t>
      </w:r>
      <w:r w:rsidR="00EE2258" w:rsidRPr="00321D44">
        <w:rPr>
          <w:rFonts w:ascii="Times New Roman" w:hAnsi="Times New Roman" w:cs="Times New Roman"/>
          <w:sz w:val="28"/>
          <w:szCs w:val="28"/>
          <w:lang w:val="uk-UA"/>
        </w:rPr>
        <w:t>і додавання до терапії Антралю або</w:t>
      </w:r>
      <w:r w:rsidR="0055536A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Есенціале форте Н.</w:t>
      </w:r>
    </w:p>
    <w:p w:rsidR="005B6CD8" w:rsidRPr="00DB4068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B4068">
        <w:rPr>
          <w:rFonts w:ascii="Times New Roman" w:hAnsi="Times New Roman" w:cs="Times New Roman"/>
          <w:i/>
          <w:sz w:val="28"/>
          <w:szCs w:val="28"/>
          <w:lang w:val="uk-UA"/>
        </w:rPr>
        <w:t>Об’єкт дослідження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55536A" w:rsidRPr="00321D44">
        <w:rPr>
          <w:rFonts w:ascii="Times New Roman" w:hAnsi="Times New Roman" w:cs="Times New Roman"/>
          <w:sz w:val="28"/>
          <w:szCs w:val="28"/>
          <w:lang w:val="uk-UA"/>
        </w:rPr>
        <w:t>стан печінки при гепатиті та цукровому діабеті 2 типу.</w:t>
      </w:r>
    </w:p>
    <w:p w:rsidR="005B6CD8" w:rsidRPr="00321D44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4068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– біохімічні показники </w:t>
      </w:r>
      <w:r w:rsidR="0055536A" w:rsidRPr="00321D44">
        <w:rPr>
          <w:rFonts w:ascii="Times New Roman" w:hAnsi="Times New Roman" w:cs="Times New Roman"/>
          <w:sz w:val="28"/>
          <w:szCs w:val="28"/>
          <w:lang w:val="uk-UA"/>
        </w:rPr>
        <w:t>печінкового профілю на тлі лікування гепатопротекторами.</w:t>
      </w:r>
    </w:p>
    <w:p w:rsidR="005B6CD8" w:rsidRPr="00321D44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0530" w:rsidRPr="00321D44" w:rsidRDefault="00A0053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B67A9" w:rsidRPr="00321D44" w:rsidRDefault="00DB67A9" w:rsidP="007B682B">
      <w:pPr>
        <w:pStyle w:val="1"/>
        <w:jc w:val="center"/>
        <w:rPr>
          <w:rFonts w:ascii="Times New Roman" w:hAnsi="Times New Roman" w:cs="Times New Roman"/>
          <w:color w:val="auto"/>
        </w:rPr>
      </w:pPr>
      <w:bookmarkStart w:id="1" w:name="_Toc57809017"/>
      <w:bookmarkStart w:id="2" w:name="_GoBack"/>
      <w:bookmarkEnd w:id="2"/>
      <w:r w:rsidRPr="00321D44">
        <w:rPr>
          <w:rFonts w:ascii="Times New Roman" w:hAnsi="Times New Roman" w:cs="Times New Roman"/>
          <w:color w:val="auto"/>
        </w:rPr>
        <w:lastRenderedPageBreak/>
        <w:t>УЗАГАЛЬНЕННЯ</w:t>
      </w:r>
      <w:bookmarkEnd w:id="1"/>
    </w:p>
    <w:p w:rsidR="00C80DE7" w:rsidRPr="00321D44" w:rsidRDefault="00C80DE7" w:rsidP="00DB67A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37B" w:rsidRPr="00321D44" w:rsidRDefault="009C1B79" w:rsidP="009C1B7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>Всесвітня організація охорони здоров'я (ВООЗ) повідомила,</w:t>
      </w:r>
      <w:r w:rsidR="00DD7BA5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BA5">
        <w:rPr>
          <w:rFonts w:ascii="Times New Roman" w:hAnsi="Times New Roman" w:cs="Times New Roman"/>
          <w:sz w:val="28"/>
          <w:szCs w:val="28"/>
          <w:lang w:val="uk-UA"/>
        </w:rPr>
        <w:t>вірусним</w:t>
      </w:r>
      <w:r w:rsidR="00C27DC0" w:rsidRPr="00E44EBD">
        <w:rPr>
          <w:rFonts w:ascii="Times New Roman" w:hAnsi="Times New Roman" w:cs="Times New Roman"/>
          <w:sz w:val="28"/>
          <w:szCs w:val="28"/>
          <w:lang w:val="uk-UA"/>
        </w:rPr>
        <w:t xml:space="preserve"> гепатитом </w:t>
      </w:r>
      <w:r w:rsidR="00C27DC0" w:rsidRPr="00321D44">
        <w:rPr>
          <w:rFonts w:ascii="Times New Roman" w:hAnsi="Times New Roman" w:cs="Times New Roman"/>
          <w:sz w:val="28"/>
          <w:szCs w:val="28"/>
        </w:rPr>
        <w:t>B</w:t>
      </w:r>
      <w:r w:rsidR="00C27DC0" w:rsidRPr="00E44EBD">
        <w:rPr>
          <w:rFonts w:ascii="Times New Roman" w:hAnsi="Times New Roman" w:cs="Times New Roman"/>
          <w:sz w:val="28"/>
          <w:szCs w:val="28"/>
          <w:lang w:val="uk-UA"/>
        </w:rPr>
        <w:t xml:space="preserve"> или </w:t>
      </w:r>
      <w:r w:rsidR="00C27DC0" w:rsidRPr="00321D44">
        <w:rPr>
          <w:rFonts w:ascii="Times New Roman" w:hAnsi="Times New Roman" w:cs="Times New Roman"/>
          <w:sz w:val="28"/>
          <w:szCs w:val="28"/>
        </w:rPr>
        <w:t>C</w:t>
      </w:r>
      <w:r w:rsidR="00C27DC0" w:rsidRPr="00E44E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BA5">
        <w:rPr>
          <w:rFonts w:ascii="Times New Roman" w:hAnsi="Times New Roman" w:cs="Times New Roman"/>
          <w:sz w:val="28"/>
          <w:szCs w:val="28"/>
          <w:lang w:val="uk-UA"/>
        </w:rPr>
        <w:t>інфіковано</w:t>
      </w:r>
      <w:r w:rsidR="00C27DC0" w:rsidRPr="00E44EBD">
        <w:rPr>
          <w:rFonts w:ascii="Times New Roman" w:hAnsi="Times New Roman" w:cs="Times New Roman"/>
          <w:sz w:val="28"/>
          <w:szCs w:val="28"/>
          <w:lang w:val="uk-UA"/>
        </w:rPr>
        <w:t xml:space="preserve"> 325 млн </w:t>
      </w:r>
      <w:r w:rsidR="00DD3890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C27DC0" w:rsidRPr="00E44E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BA5">
        <w:rPr>
          <w:rFonts w:ascii="Times New Roman" w:hAnsi="Times New Roman" w:cs="Times New Roman"/>
          <w:sz w:val="28"/>
          <w:szCs w:val="28"/>
          <w:lang w:val="uk-UA"/>
        </w:rPr>
        <w:t>по всьому світі</w:t>
      </w:r>
      <w:r w:rsidR="00C27DC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DC0"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C27DC0" w:rsidRPr="00321D44">
        <w:rPr>
          <w:rFonts w:ascii="Times New Roman" w:hAnsi="Times New Roman" w:cs="Times New Roman"/>
          <w:sz w:val="28"/>
          <w:szCs w:val="28"/>
          <w:lang w:val="uk-UA"/>
        </w:rPr>
        <w:t>https://www.who.int/ru/campaigns/world-hepatitis-day/2019/10-messages-for-policymakers</w:t>
      </w:r>
      <w:r w:rsidR="00C27DC0"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C27DC0" w:rsidRPr="00321D44">
        <w:rPr>
          <w:rFonts w:ascii="Times New Roman" w:hAnsi="Times New Roman" w:cs="Times New Roman"/>
          <w:sz w:val="28"/>
          <w:szCs w:val="28"/>
          <w:lang w:val="uk-UA"/>
        </w:rPr>
        <w:t>, а 422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млн. </w:t>
      </w:r>
      <w:r w:rsidR="00DD3890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страждають на цукровий діабет (ЦД) 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https://www.who.int/diabetes/ru/</w:t>
      </w:r>
      <w:r w:rsidRPr="00321D44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537B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випадків інфікування гепатитами пацієнтів з цукровим діабетом вимагає вжиття додаткових заходів щодо профілактики та лікування, для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зменшення</w:t>
      </w:r>
      <w:r w:rsidR="0067537B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ускладнень</w:t>
      </w:r>
      <w:r w:rsidR="0067537B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перебіг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у т</w:t>
      </w:r>
      <w:r w:rsidR="0067537B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</w:t>
      </w:r>
      <w:r w:rsidR="0067537B" w:rsidRPr="00321D44">
        <w:rPr>
          <w:rFonts w:ascii="Times New Roman" w:hAnsi="Times New Roman" w:cs="Times New Roman"/>
          <w:sz w:val="28"/>
          <w:szCs w:val="28"/>
          <w:lang w:val="uk-UA"/>
        </w:rPr>
        <w:t>ефективн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ості </w:t>
      </w:r>
      <w:r w:rsidR="0067537B" w:rsidRPr="00321D44">
        <w:rPr>
          <w:rFonts w:ascii="Times New Roman" w:hAnsi="Times New Roman" w:cs="Times New Roman"/>
          <w:sz w:val="28"/>
          <w:szCs w:val="28"/>
          <w:lang w:val="uk-UA"/>
        </w:rPr>
        <w:t>цукрознижувальної терапії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67537B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>антигепатитної терапії.</w:t>
      </w:r>
    </w:p>
    <w:p w:rsidR="005064E3" w:rsidRPr="00321D44" w:rsidRDefault="005064E3" w:rsidP="005064E3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Взаємозв'язок ЦД і </w:t>
      </w:r>
      <w:r w:rsidR="00C02551"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хвороби</w:t>
      </w:r>
      <w:r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печінки можна умов</w:t>
      </w:r>
      <w:r w:rsidR="009C1B79"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но поділити на 3 категорії</w:t>
      </w:r>
      <w:r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хвороби печінки можуть бути наслідком ЦД, діабет може виникнути як наслідок хвороби печінки і захворювання печінки можуть розвинутися випадково у осіб, які страждають на діабет</w:t>
      </w:r>
      <w:r w:rsidR="009C1B79"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9C1B79" w:rsidRPr="00321D44">
        <w:rPr>
          <w:rFonts w:ascii="Times New Roman" w:hAnsi="Times New Roman" w:cs="Times New Roman"/>
          <w:color w:val="000000"/>
          <w:sz w:val="28"/>
          <w:szCs w:val="28"/>
          <w:lang w:val="uk-UA"/>
        </w:rPr>
        <w:t>Аметов, 2002</w:t>
      </w:r>
      <w:r w:rsidR="009C1B79"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5064E3" w:rsidRPr="00321D44" w:rsidRDefault="005C75E8" w:rsidP="005064E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Серед патологічних механізмів, які лежать в основі швидкого прогресування багатьох захворювань, в тому числі гепатитів та ЦД </w:t>
      </w:r>
      <w:r w:rsidR="00C02551" w:rsidRPr="00321D44">
        <w:rPr>
          <w:rFonts w:ascii="Times New Roman" w:hAnsi="Times New Roman" w:cs="Times New Roman"/>
          <w:sz w:val="28"/>
          <w:szCs w:val="28"/>
          <w:lang w:val="uk-UA"/>
        </w:rPr>
        <w:t>розглядають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чутливості до оксидативного стресу [Щёкотова и др., 2014</w:t>
      </w:r>
      <w:r w:rsidR="000139D5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139D5" w:rsidRPr="00321D44">
        <w:rPr>
          <w:rFonts w:ascii="Times New Roman" w:hAnsi="Times New Roman" w:cs="Times New Roman"/>
          <w:sz w:val="28"/>
          <w:szCs w:val="28"/>
          <w:lang w:val="en-US"/>
        </w:rPr>
        <w:t>Levent</w:t>
      </w:r>
      <w:r w:rsidR="000139D5" w:rsidRPr="00321D44">
        <w:rPr>
          <w:rFonts w:ascii="Times New Roman" w:hAnsi="Times New Roman" w:cs="Times New Roman"/>
          <w:sz w:val="28"/>
          <w:szCs w:val="28"/>
          <w:lang w:val="uk-UA"/>
        </w:rPr>
        <w:t>, 2006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5064E3"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Окислювальний стрес визначається як дисбаланс співвідношення концентрації окислювачів і антиоксидантів, що обумовлює утворення вільних радикалів, при цьому центральним фактором пошкодження клітин печінки є продукція вільних радикалів активованими клітинами Купфера. Гіперпродукція активних форм кисню також призводить до різних несприятливих наслідків, таким як необоротна окислювальна модифікація ліпідів, жирів і вуглеводів. Більш того, активні форми кисню можуть активувати вивільнення медіаторів запалення, а також провокувати апоптоз гепатоцитів, викликаючи масивну деструкцію тканини печінки.</w:t>
      </w:r>
      <w:r w:rsidR="000139D5"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B079F5" w:rsidRPr="00321D44" w:rsidRDefault="00B37BD8" w:rsidP="0008517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цьому слід відзначити, що 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ряд авторів звертає увагу на те що цукрознижуючі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препарат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 (похідні сульфонілсечовини, бігуаніди, інгібітори </w:t>
      </w:r>
      <w:r w:rsidR="003C6D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α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-глюкозидази,  тіазолідиндіони), які активно використовуються в клініці 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можуть призводити до розвитку ускладнень печінки [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Майоров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и др., 2001; Моргунов, 2017].</w:t>
      </w:r>
      <w:r w:rsidR="00972ADD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Тому </w:t>
      </w:r>
      <w:r w:rsidR="00396236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захворюваннях печінки, особливо при 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96236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цукровому діабет необхідно використовувати препарати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які здатні коригувати внутрішньопечінкові аномалії, </w:t>
      </w:r>
      <w:r w:rsidR="00396236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що 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залучені в патогенез захворювань</w:t>
      </w:r>
      <w:r w:rsidR="00396236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72F38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печінки</w:t>
      </w:r>
      <w:r w:rsidR="00396236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85174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Гепатопротектори – лікарські засоби, що поліпшують метаболічні процеси в печінці, підвищують її стійкість до патогенетичних впливів, а також сприяють відновленню її функцій [Новиков и др., 2005</w:t>
      </w:r>
      <w:r w:rsidR="004B28A1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4B28A1" w:rsidRPr="00321D44">
        <w:rPr>
          <w:rFonts w:ascii="Times New Roman" w:hAnsi="Times New Roman" w:cs="Times New Roman"/>
          <w:sz w:val="28"/>
          <w:szCs w:val="28"/>
          <w:lang w:val="uk-UA"/>
        </w:rPr>
        <w:t>Мубаракшина, 2008</w:t>
      </w:r>
      <w:r w:rsidR="000C40BC" w:rsidRPr="00321D44">
        <w:rPr>
          <w:rFonts w:ascii="Times New Roman" w:hAnsi="Times New Roman" w:cs="Times New Roman"/>
          <w:sz w:val="28"/>
          <w:szCs w:val="28"/>
          <w:lang w:val="uk-UA"/>
        </w:rPr>
        <w:t>; Ткач, 2009</w:t>
      </w:r>
      <w:r w:rsidR="00085174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085174" w:rsidRPr="00321D44" w:rsidRDefault="00085174" w:rsidP="0008517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даній дослідницькій роботі було виявлено, що показники печінкового профілю у хворих на гепатит та цукровий діабет 2 типу мали більше </w:t>
      </w:r>
      <w:r w:rsidR="00C02551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відхилення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 </w:t>
      </w:r>
      <w:r w:rsidR="00C02551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референтних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значень, ніж хворі з гепатитом, що </w:t>
      </w:r>
      <w:r w:rsidR="00C02551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підтверджує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літературні дані про </w:t>
      </w:r>
      <w:r w:rsidR="000E6E7E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взаємний вплив обох патологій [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Кляритская др. 2010., </w:t>
      </w:r>
      <w:r w:rsidR="00A147B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Моргунов, 2017; </w:t>
      </w:r>
      <w:r w:rsidR="00A147B0" w:rsidRPr="00321D44">
        <w:rPr>
          <w:rFonts w:ascii="Times New Roman" w:hAnsi="Times New Roman" w:cs="Times New Roman"/>
          <w:color w:val="000000"/>
          <w:sz w:val="28"/>
          <w:szCs w:val="28"/>
          <w:lang w:val="en-US"/>
        </w:rPr>
        <w:t>Shintani</w:t>
      </w:r>
      <w:r w:rsidR="00A147B0" w:rsidRPr="00321D4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147B0" w:rsidRPr="00321D44">
        <w:rPr>
          <w:rFonts w:ascii="Times New Roman" w:hAnsi="Times New Roman" w:cs="Times New Roman"/>
          <w:color w:val="000000"/>
          <w:sz w:val="28"/>
          <w:szCs w:val="28"/>
          <w:lang w:val="en-US"/>
        </w:rPr>
        <w:t>et</w:t>
      </w:r>
      <w:r w:rsidR="00A147B0" w:rsidRPr="00321D4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147B0" w:rsidRPr="00321D44">
        <w:rPr>
          <w:rFonts w:ascii="Times New Roman" w:hAnsi="Times New Roman" w:cs="Times New Roman"/>
          <w:color w:val="000000"/>
          <w:sz w:val="28"/>
          <w:szCs w:val="28"/>
          <w:lang w:val="en-US"/>
        </w:rPr>
        <w:t>al</w:t>
      </w:r>
      <w:r w:rsidR="00A147B0" w:rsidRPr="00321D44">
        <w:rPr>
          <w:rFonts w:ascii="Times New Roman" w:hAnsi="Times New Roman" w:cs="Times New Roman"/>
          <w:color w:val="000000"/>
          <w:sz w:val="28"/>
          <w:szCs w:val="28"/>
          <w:lang w:val="uk-UA"/>
        </w:rPr>
        <w:t>., 2004</w:t>
      </w:r>
      <w:r w:rsidR="000E6E7E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A147B0" w:rsidRPr="00321D44" w:rsidRDefault="00A410BA" w:rsidP="0008517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Проведення терапії</w:t>
      </w:r>
      <w:r w:rsidR="00A147B0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тлі використання </w:t>
      </w:r>
      <w:r w:rsidR="00A147B0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гепаторпротекторів призводило до біль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</w:t>
      </w:r>
      <w:r w:rsidR="00A147B0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вираженого покращення показників вмісту білків, глюкози, білірубіну та активності трансаміназ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ніж за стандартної терапії. Аналіз ступеня впливу Антралю </w:t>
      </w:r>
      <w:r w:rsidR="00F376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або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Ессенціале форте Н на показники, що досліджувались, виявив </w:t>
      </w:r>
      <w:r w:rsidR="00C02551"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порівнянність</w:t>
      </w:r>
      <w:r w:rsidRPr="00321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їх дії та відсутність відмінностей.</w:t>
      </w:r>
    </w:p>
    <w:p w:rsidR="00DB67A9" w:rsidRPr="00321D44" w:rsidRDefault="00DB67A9" w:rsidP="005C0051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B67A9" w:rsidRPr="00321D44" w:rsidRDefault="00C80DE7" w:rsidP="007B682B">
      <w:pPr>
        <w:pStyle w:val="1"/>
        <w:jc w:val="center"/>
        <w:rPr>
          <w:rFonts w:ascii="Times New Roman" w:hAnsi="Times New Roman" w:cs="Times New Roman"/>
          <w:color w:val="auto"/>
        </w:rPr>
      </w:pPr>
      <w:bookmarkStart w:id="3" w:name="_Toc57809018"/>
      <w:r w:rsidRPr="00321D44">
        <w:rPr>
          <w:rFonts w:ascii="Times New Roman" w:hAnsi="Times New Roman" w:cs="Times New Roman"/>
          <w:color w:val="auto"/>
        </w:rPr>
        <w:lastRenderedPageBreak/>
        <w:t>ВИСНОВКИ</w:t>
      </w:r>
      <w:bookmarkEnd w:id="3"/>
    </w:p>
    <w:p w:rsidR="00C80DE7" w:rsidRPr="00321D44" w:rsidRDefault="00C80DE7" w:rsidP="00033E30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3FEF" w:rsidRPr="00321D44" w:rsidRDefault="00263FEF" w:rsidP="0067537B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1. У хворих на гепатит та цукровий діабет спос</w:t>
      </w:r>
      <w:r w:rsidR="0067537B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ерігались більш виражен</w:t>
      </w:r>
      <w:r w:rsidR="0067537B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зміни вмісту загального білка, глюкози, </w:t>
      </w: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 також </w:t>
      </w:r>
      <w:r w:rsidR="0067537B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білірубіну та трансаміназ</w:t>
      </w: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ніж у хворих  тільки з гепатитом.</w:t>
      </w:r>
    </w:p>
    <w:p w:rsidR="00263FEF" w:rsidRPr="00321D44" w:rsidRDefault="00263FEF" w:rsidP="0067537B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2. </w:t>
      </w:r>
      <w:r w:rsidR="00BE1077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Вміст білка та альбуміна за </w:t>
      </w: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умов </w:t>
      </w:r>
      <w:r w:rsidR="00EE2258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стандартної терапії, терапії з додаванням Антралю або </w:t>
      </w:r>
      <w:r w:rsidR="00C02551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Ессенціале</w:t>
      </w:r>
      <w:r w:rsidR="00EE2258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форте Н збільшувався на 14</w:t>
      </w:r>
      <w:r w:rsidR="00EE2258" w:rsidRPr="00321D44">
        <w:rPr>
          <w:lang w:val="uk-UA"/>
        </w:rPr>
        <w:t> </w:t>
      </w:r>
      <w:r w:rsidR="00EE2258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% та 22 %, 21 % та 30 %, 23 % та 47 % у хворих на гепатит, а у хворих на г</w:t>
      </w:r>
      <w:r w:rsidR="00891E38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епатит з цукровим діабетом 2 ти</w:t>
      </w:r>
      <w:r w:rsidR="00891E38" w:rsidRPr="00321D4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EE2258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на 24 % та 27 %, 29 </w:t>
      </w:r>
      <w:r w:rsidR="00EE2258" w:rsidRPr="00321D4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%</w:t>
      </w:r>
      <w:r w:rsidR="00EE2258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40 %, 28 % та 39 % відповідно</w:t>
      </w:r>
      <w:r w:rsidR="00BE1077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BE1077" w:rsidRPr="00321D44" w:rsidRDefault="00BE1077" w:rsidP="0067537B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3. Вміст </w:t>
      </w:r>
      <w:r w:rsidR="00033E30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глюкоз</w:t>
      </w: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 </w:t>
      </w:r>
      <w:r w:rsidR="00033E30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знижувався за стандартної дієти н</w:t>
      </w:r>
      <w:r w:rsidR="00974877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033E30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6 % та 5</w:t>
      </w:r>
      <w:r w:rsidR="00033E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 %, за терапії з Антралем на 11 % та 13 %, за терапії з </w:t>
      </w:r>
      <w:r w:rsidR="00C02551" w:rsidRPr="00321D44">
        <w:rPr>
          <w:rFonts w:ascii="Times New Roman" w:hAnsi="Times New Roman" w:cs="Times New Roman"/>
          <w:sz w:val="28"/>
          <w:szCs w:val="28"/>
          <w:lang w:val="uk-UA"/>
        </w:rPr>
        <w:t>Ессенціале</w:t>
      </w:r>
      <w:r w:rsidR="00033E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форте Н – на 9 %</w:t>
      </w:r>
      <w:r w:rsidR="00891E38" w:rsidRPr="00321D44">
        <w:rPr>
          <w:rFonts w:ascii="Times New Roman" w:hAnsi="Times New Roman" w:cs="Times New Roman"/>
          <w:sz w:val="28"/>
          <w:szCs w:val="28"/>
        </w:rPr>
        <w:t xml:space="preserve"> </w:t>
      </w:r>
      <w:r w:rsidR="00033E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та 13 %  у пацієнтів першої та другої груп. Кількість глікірованого гемоглобіну </w:t>
      </w:r>
      <w:r w:rsidR="00033E30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після стандартної дієти знижувалась на 27 та 24 %, </w:t>
      </w:r>
      <w:r w:rsidR="00033E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за терапії з Антралем </w:t>
      </w:r>
      <w:r w:rsidR="0067537B" w:rsidRPr="00321D44">
        <w:rPr>
          <w:rFonts w:ascii="Times New Roman" w:hAnsi="Times New Roman" w:cs="Times New Roman"/>
          <w:sz w:val="28"/>
          <w:szCs w:val="28"/>
        </w:rPr>
        <w:t>–</w:t>
      </w:r>
      <w:r w:rsidR="00891E38" w:rsidRPr="00321D44">
        <w:rPr>
          <w:rFonts w:ascii="Times New Roman" w:hAnsi="Times New Roman" w:cs="Times New Roman"/>
          <w:sz w:val="28"/>
          <w:szCs w:val="28"/>
        </w:rPr>
        <w:t xml:space="preserve"> </w:t>
      </w:r>
      <w:r w:rsidR="0067537B" w:rsidRPr="00321D4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33E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а 34 % та 33 %, за терапії з </w:t>
      </w:r>
      <w:r w:rsidR="00C02551" w:rsidRPr="00321D44">
        <w:rPr>
          <w:rFonts w:ascii="Times New Roman" w:hAnsi="Times New Roman" w:cs="Times New Roman"/>
          <w:sz w:val="28"/>
          <w:szCs w:val="28"/>
          <w:lang w:val="uk-UA"/>
        </w:rPr>
        <w:t>Ессенціале</w:t>
      </w:r>
      <w:r w:rsidR="00033E30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форте Н – на 35 %та 37 %  у пацієнтів першої та другої груп відповідно.</w:t>
      </w:r>
    </w:p>
    <w:p w:rsidR="00974877" w:rsidRDefault="0023628A" w:rsidP="0067537B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4.</w:t>
      </w:r>
      <w:r w:rsidR="00974877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551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Вміст загального білірубіну </w:t>
      </w:r>
      <w:r w:rsidR="007C6B07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хворих на гепатит </w:t>
      </w:r>
      <w:r w:rsidR="00C02551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за умов  стандартної терапії, терапії з додаванням Антралю або Ессенціале форте Н </w:t>
      </w:r>
      <w:r w:rsidR="007C6B07">
        <w:rPr>
          <w:rFonts w:ascii="Times New Roman" w:eastAsia="Times New Roman" w:hAnsi="Times New Roman" w:cs="Times New Roman"/>
          <w:color w:val="000000"/>
          <w:sz w:val="28"/>
          <w:szCs w:val="28"/>
        </w:rPr>
        <w:t>знижувався в 1</w:t>
      </w:r>
      <w:r w:rsidR="00C02551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7C6B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3; 1,5; 1,6 разів</w:t>
      </w:r>
      <w:r w:rsidR="003C6D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7C6B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6DDA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 у хворих на гепатит з цукровим діабетом 2 ти</w:t>
      </w:r>
      <w:r w:rsidR="003C6DDA" w:rsidRPr="00321D4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3C6DDA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3C6D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 2,1; 2,2; 2,1 рази, відповідно. Вміст зв</w:t>
      </w:r>
      <w:r w:rsidR="003C6DDA" w:rsidRPr="00E44EBD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 w:rsidR="003C6D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язанного</w:t>
      </w:r>
      <w:r w:rsidR="003C6DDA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білірубіну </w:t>
      </w:r>
      <w:r w:rsidR="003C6D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хворих на гепатит за різних лікувальних підходів в </w:t>
      </w:r>
      <w:r w:rsidR="00C02551" w:rsidRPr="00321D44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="007C6B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,6; 4,9; 4,6 разів,</w:t>
      </w:r>
      <w:r w:rsidR="00C02551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6B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="003C6DDA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хворих на гепатит з цукровим діабетом 2 ти</w:t>
      </w:r>
      <w:r w:rsidR="003C6DDA" w:rsidRPr="00321D4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3C6DDA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3C6D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6B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 3,1; 4,1; 4,0 рази</w:t>
      </w:r>
      <w:r w:rsidR="003C6D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551" w:rsidRPr="00321D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відповідно. </w:t>
      </w:r>
    </w:p>
    <w:p w:rsidR="00891E38" w:rsidRPr="00321D44" w:rsidRDefault="003C6DDA" w:rsidP="0067537B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5. </w:t>
      </w:r>
      <w:r w:rsidR="00891E38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У хворих на гепатит активність АлАТ, АсАТ та ГГТ знижувалась за використання стандартної терапії </w:t>
      </w:r>
      <w:r w:rsidR="00046325">
        <w:rPr>
          <w:rFonts w:ascii="Times New Roman" w:hAnsi="Times New Roman" w:cs="Times New Roman"/>
          <w:sz w:val="28"/>
          <w:szCs w:val="28"/>
          <w:lang w:val="uk-UA"/>
        </w:rPr>
        <w:t>в 2,7; 1,6; 3,2 рази</w:t>
      </w:r>
      <w:r w:rsidR="00891E38" w:rsidRPr="00321D44">
        <w:rPr>
          <w:rFonts w:ascii="Times New Roman" w:hAnsi="Times New Roman" w:cs="Times New Roman"/>
          <w:sz w:val="28"/>
          <w:szCs w:val="28"/>
          <w:lang w:val="uk-UA"/>
        </w:rPr>
        <w:t>, за використання Антралю</w:t>
      </w:r>
      <w:r w:rsidR="00046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6325" w:rsidRPr="00321D4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46325">
        <w:rPr>
          <w:rFonts w:ascii="Times New Roman" w:hAnsi="Times New Roman" w:cs="Times New Roman"/>
          <w:sz w:val="28"/>
          <w:szCs w:val="28"/>
          <w:lang w:val="uk-UA"/>
        </w:rPr>
        <w:t xml:space="preserve"> в 3,0; 2,0; 3,5 рази</w:t>
      </w:r>
      <w:r w:rsidR="00891E38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, а за використання  Ессенціале форте Н – </w:t>
      </w:r>
      <w:r w:rsidR="00046325">
        <w:rPr>
          <w:rFonts w:ascii="Times New Roman" w:hAnsi="Times New Roman" w:cs="Times New Roman"/>
          <w:sz w:val="28"/>
          <w:szCs w:val="28"/>
          <w:lang w:val="uk-UA"/>
        </w:rPr>
        <w:t>в 3,0 2,3; 3,4 рази</w:t>
      </w:r>
      <w:r w:rsidR="00891E38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</w:t>
      </w:r>
    </w:p>
    <w:p w:rsidR="00891E38" w:rsidRPr="00321D44" w:rsidRDefault="0023628A" w:rsidP="0067537B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891E38"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У хворих на гепатит та цукровий діабет 2 типу активність АлАТ, АсАТ та ГГТ знижувалась  за використання стандартної терапії </w:t>
      </w:r>
      <w:r w:rsidR="00046325">
        <w:rPr>
          <w:rFonts w:ascii="Times New Roman" w:hAnsi="Times New Roman" w:cs="Times New Roman"/>
          <w:sz w:val="28"/>
          <w:szCs w:val="28"/>
          <w:lang w:val="uk-UA"/>
        </w:rPr>
        <w:t xml:space="preserve"> в 1,8; 1,4, 1,7 рази, </w:t>
      </w:r>
      <w:r w:rsidR="00891E38" w:rsidRPr="00321D44">
        <w:rPr>
          <w:rFonts w:ascii="Times New Roman" w:hAnsi="Times New Roman" w:cs="Times New Roman"/>
          <w:sz w:val="28"/>
          <w:szCs w:val="28"/>
          <w:lang w:val="uk-UA"/>
        </w:rPr>
        <w:t>за використання Антралю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6325" w:rsidRPr="00321D4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46325">
        <w:rPr>
          <w:rFonts w:ascii="Times New Roman" w:hAnsi="Times New Roman" w:cs="Times New Roman"/>
          <w:sz w:val="28"/>
          <w:szCs w:val="28"/>
          <w:lang w:val="uk-UA"/>
        </w:rPr>
        <w:t xml:space="preserve"> в 2,6; 1,8; 3,8 рази</w:t>
      </w:r>
      <w:r w:rsidR="00891E38" w:rsidRPr="00321D44">
        <w:rPr>
          <w:rFonts w:ascii="Times New Roman" w:hAnsi="Times New Roman" w:cs="Times New Roman"/>
          <w:sz w:val="28"/>
          <w:szCs w:val="28"/>
          <w:lang w:val="uk-UA"/>
        </w:rPr>
        <w:t>, а за використання  Ессенціале ф</w:t>
      </w:r>
      <w:r w:rsidRPr="00321D44">
        <w:rPr>
          <w:rFonts w:ascii="Times New Roman" w:hAnsi="Times New Roman" w:cs="Times New Roman"/>
          <w:sz w:val="28"/>
          <w:szCs w:val="28"/>
          <w:lang w:val="uk-UA"/>
        </w:rPr>
        <w:t xml:space="preserve">орте Н – </w:t>
      </w:r>
      <w:r w:rsidR="00046325">
        <w:rPr>
          <w:rFonts w:ascii="Times New Roman" w:hAnsi="Times New Roman" w:cs="Times New Roman"/>
          <w:sz w:val="28"/>
          <w:szCs w:val="28"/>
          <w:lang w:val="uk-UA"/>
        </w:rPr>
        <w:t>в 2,7; 1,9;</w:t>
      </w:r>
      <w:r w:rsidR="006B00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6325">
        <w:rPr>
          <w:rFonts w:ascii="Times New Roman" w:hAnsi="Times New Roman" w:cs="Times New Roman"/>
          <w:sz w:val="28"/>
          <w:szCs w:val="28"/>
          <w:lang w:val="uk-UA"/>
        </w:rPr>
        <w:t xml:space="preserve">4,0 рази </w:t>
      </w:r>
      <w:r w:rsidR="00891E38" w:rsidRPr="00321D44">
        <w:rPr>
          <w:rFonts w:ascii="Times New Roman" w:hAnsi="Times New Roman" w:cs="Times New Roman"/>
          <w:sz w:val="28"/>
          <w:szCs w:val="28"/>
          <w:lang w:val="uk-UA"/>
        </w:rPr>
        <w:t>відповідно.</w:t>
      </w:r>
    </w:p>
    <w:p w:rsidR="00BF67BA" w:rsidRPr="00321D44" w:rsidRDefault="00BF67BA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321D4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br w:type="page"/>
      </w:r>
    </w:p>
    <w:p w:rsidR="00057558" w:rsidRPr="00321D44" w:rsidRDefault="00057558" w:rsidP="007B682B">
      <w:pPr>
        <w:pStyle w:val="2"/>
        <w:jc w:val="center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bookmarkStart w:id="4" w:name="_Toc57809019"/>
      <w:r w:rsidRPr="00321D44">
        <w:rPr>
          <w:rFonts w:ascii="Times New Roman" w:eastAsia="Times New Roman" w:hAnsi="Times New Roman" w:cs="Times New Roman"/>
          <w:color w:val="auto"/>
          <w:sz w:val="28"/>
          <w:szCs w:val="28"/>
        </w:rPr>
        <w:lastRenderedPageBreak/>
        <w:t>СПИСОК ЛІТЕРАТУРИ</w:t>
      </w:r>
      <w:bookmarkEnd w:id="4"/>
    </w:p>
    <w:p w:rsidR="00B159BC" w:rsidRPr="00321D44" w:rsidRDefault="00B159BC" w:rsidP="00184086">
      <w:pPr>
        <w:pStyle w:val="sm"/>
        <w:numPr>
          <w:ilvl w:val="0"/>
          <w:numId w:val="21"/>
        </w:numPr>
        <w:spacing w:before="0" w:beforeAutospacing="0" w:after="0" w:afterAutospacing="0" w:line="360" w:lineRule="auto"/>
        <w:ind w:left="567" w:hanging="567"/>
        <w:jc w:val="both"/>
        <w:rPr>
          <w:color w:val="000000" w:themeColor="text1"/>
          <w:sz w:val="28"/>
          <w:szCs w:val="28"/>
          <w:lang w:val="uk-UA"/>
        </w:rPr>
      </w:pPr>
      <w:r w:rsidRPr="00321D44">
        <w:rPr>
          <w:color w:val="000000" w:themeColor="text1"/>
          <w:sz w:val="28"/>
          <w:szCs w:val="28"/>
          <w:shd w:val="clear" w:color="auto" w:fill="FFFFFF"/>
          <w:lang w:val="uk-UA"/>
        </w:rPr>
        <w:t>Абдурахманов Д. Т. Алкогольный гепатит / Д. Т. Абдурахманов // Клиническая гепатология. – 2008. –Т. 4(2). – С. 3–10.</w:t>
      </w:r>
      <w:r w:rsidRPr="00321D44">
        <w:rPr>
          <w:color w:val="000000" w:themeColor="text1"/>
          <w:sz w:val="28"/>
          <w:szCs w:val="28"/>
          <w:lang w:val="uk-UA"/>
        </w:rPr>
        <w:t xml:space="preserve"> 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Style w:val="af2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Аметов А. С. В. Эффективное и безопасное управление сахарным диабетом 2 типа на современном уровне / А. С. Аметов, Е. В. Карпова , Е. В. Иванова // Сахарный диабет. – 2009.– № 2.– С. 18 – 24.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Style w:val="af2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Аметов А. С. Сахарный диабет 2 типа. Проблемы и решения / А. С. Аметов– М.: ГЭОТАР– Медиа, 2011. – 704 с.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Аметов А.С. Инсулиносекреция и инсулинорезистентность: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две стороны одной медали / А. С. Аметов // Проблемы эндокринологии.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2002.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Т.48, №3.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С.31-36.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Балаболкин М. И. Диагностика и классификация сахарного диабета / М. И. Балаболкин, Е. М. Клебанов, В. М. Креминская // Сахарный диабет. – 1999. – № 3. – С. 15 – 22.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Style w:val="af5"/>
          <w:rFonts w:ascii="Times New Roman" w:hAnsi="Times New Roman" w:cs="Times New Roman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</w:pPr>
      <w:r w:rsidRPr="00321D44">
        <w:rPr>
          <w:rStyle w:val="af5"/>
          <w:rFonts w:ascii="Times New Roman" w:hAnsi="Times New Roman" w:cs="Times New Roman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Балаболкин М. И. Лечение сахарного диабета и его осложнений: Учеб. пособие 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 И. Балаболкин, Е. М. Клебанов, В. М. Креминская</w:t>
      </w:r>
      <w:r w:rsidRPr="00321D44">
        <w:rPr>
          <w:rStyle w:val="af5"/>
          <w:rFonts w:ascii="Times New Roman" w:hAnsi="Times New Roman" w:cs="Times New Roman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– Москва: Медицина, 2005. – 512 с.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Боднар П. М. Ендокринология / П. М. Боднар. – Вінниця: Нова Книга, 2007 – 344 с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Буеверов А. О.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Безопасность метформина с точки зрения гепатолога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А. О.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Буеверов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Ожирен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е и метаболизм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2010. – 2. – С. 73-77.</w:t>
      </w:r>
    </w:p>
    <w:p w:rsidR="00B159BC" w:rsidRPr="00321D44" w:rsidRDefault="00B159BC" w:rsidP="00184086">
      <w:pPr>
        <w:pStyle w:val="4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>Горячковский А. М. Клиническая биохимия в лабораторной диагностике / А. М. Горячковский– О.: Астропринт, 2005. – 607 с.</w:t>
      </w:r>
    </w:p>
    <w:p w:rsidR="00A40310" w:rsidRPr="00321D44" w:rsidRDefault="00A40310" w:rsidP="00184086">
      <w:pPr>
        <w:pStyle w:val="4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/>
          <w:color w:val="000000" w:themeColor="text1"/>
          <w:sz w:val="28"/>
          <w:szCs w:val="28"/>
        </w:rPr>
        <w:t>Гураль А.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Л. Гепатит С: проблемы эпидемиологии. В кн.: Вирусные гепатиты с парентеральным механизмом передачи возбудителей и их исходы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А.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Л.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Гураль. – К., 2001. – С. 21–24</w:t>
      </w:r>
    </w:p>
    <w:p w:rsidR="004C1D9F" w:rsidRPr="00321D44" w:rsidRDefault="00DA7DDF" w:rsidP="00184086">
      <w:pPr>
        <w:pStyle w:val="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/>
          <w:color w:val="000000" w:themeColor="text1"/>
          <w:sz w:val="28"/>
          <w:szCs w:val="28"/>
        </w:rPr>
        <w:t>Дуда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A40310"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О.К. 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Вирусный гепатит С: современное видение проблемы. Часть ІІІ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/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О.</w:t>
      </w:r>
      <w:r w:rsidR="00A40310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К. Дуда, Е</w:t>
      </w:r>
      <w:r w:rsidR="00A40310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.В. Менжулина</w:t>
      </w:r>
      <w:r w:rsidR="00A40310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//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МЛ</w:t>
      </w:r>
      <w:r w:rsidR="00A40310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>. –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A40310" w:rsidRPr="00321D44">
        <w:rPr>
          <w:rFonts w:ascii="Times New Roman" w:hAnsi="Times New Roman"/>
          <w:color w:val="000000" w:themeColor="text1"/>
          <w:sz w:val="28"/>
          <w:szCs w:val="28"/>
        </w:rPr>
        <w:t>2011</w:t>
      </w:r>
      <w:r w:rsidR="00A40310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="00661A3C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="00661A3C"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№8 (84)</w:t>
      </w:r>
      <w:r w:rsidR="00A40310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>. – С. 39-45.</w:t>
      </w:r>
    </w:p>
    <w:p w:rsidR="00E72CFD" w:rsidRPr="00321D44" w:rsidRDefault="004C1D9F" w:rsidP="00184086">
      <w:pPr>
        <w:pStyle w:val="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Ивашкин В.Т., Галимова С.Ф., Маевская М.В. Основные рекомендации Американской ассоциации по изучению болезней печени по ведению 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lastRenderedPageBreak/>
        <w:t xml:space="preserve">больных хроническим вирусным гепатитом В // Клинические перспективы гастроэнтерологии, гепатологии. 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 2007. </w:t>
      </w:r>
      <w:r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E72CFD"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№4. </w:t>
      </w:r>
      <w:r w:rsidR="00E72CFD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="00E72CFD"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 С. 3</w:t>
      </w:r>
      <w:r w:rsidR="00E72CFD" w:rsidRPr="00321D44">
        <w:rPr>
          <w:rFonts w:ascii="Times New Roman" w:hAnsi="Times New Roman"/>
          <w:color w:val="000000" w:themeColor="text1"/>
          <w:sz w:val="28"/>
          <w:szCs w:val="28"/>
          <w:lang w:val="uk-UA"/>
        </w:rPr>
        <w:t>-</w:t>
      </w:r>
      <w:r w:rsidRPr="00321D44">
        <w:rPr>
          <w:rFonts w:ascii="Times New Roman" w:hAnsi="Times New Roman"/>
          <w:color w:val="000000" w:themeColor="text1"/>
          <w:sz w:val="28"/>
          <w:szCs w:val="28"/>
        </w:rPr>
        <w:t>10.</w:t>
      </w:r>
    </w:p>
    <w:p w:rsidR="00B159BC" w:rsidRPr="00321D44" w:rsidRDefault="000A113D" w:rsidP="00184086">
      <w:pPr>
        <w:pStyle w:val="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/>
          <w:iCs/>
          <w:color w:val="000000" w:themeColor="text1"/>
          <w:sz w:val="28"/>
          <w:szCs w:val="28"/>
          <w:bdr w:val="none" w:sz="0" w:space="0" w:color="auto" w:frame="1"/>
        </w:rPr>
        <w:t xml:space="preserve">Ивашкин </w:t>
      </w:r>
      <w:r w:rsidR="00B159BC"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А. Л.  Современное состояние и проблемы эпидемиологии гепатита С в Украине / </w:t>
      </w:r>
      <w:r w:rsidR="008E572E" w:rsidRPr="00321D44">
        <w:rPr>
          <w:rFonts w:ascii="Times New Roman" w:hAnsi="Times New Roman"/>
          <w:color w:val="000000" w:themeColor="text1"/>
          <w:sz w:val="28"/>
          <w:szCs w:val="28"/>
        </w:rPr>
        <w:t xml:space="preserve">А. Л. </w:t>
      </w:r>
      <w:r w:rsidR="008E572E" w:rsidRPr="00321D44">
        <w:rPr>
          <w:rFonts w:ascii="Times New Roman" w:hAnsi="Times New Roman"/>
          <w:iCs/>
          <w:color w:val="000000" w:themeColor="text1"/>
          <w:sz w:val="28"/>
          <w:szCs w:val="28"/>
          <w:bdr w:val="none" w:sz="0" w:space="0" w:color="auto" w:frame="1"/>
        </w:rPr>
        <w:t xml:space="preserve">Ивашкин , </w:t>
      </w:r>
      <w:r w:rsidR="00B159BC" w:rsidRPr="00321D44">
        <w:rPr>
          <w:rFonts w:ascii="Times New Roman" w:hAnsi="Times New Roman"/>
          <w:color w:val="000000" w:themeColor="text1"/>
          <w:sz w:val="28"/>
          <w:szCs w:val="28"/>
        </w:rPr>
        <w:t>А. Л. Гураль, В. Ф. Мариевский, Т. А. Сергеева [и др.] // Мир вирусных гепатитов. – 2009. – № 2. – С. 27.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Гураль А. Л. Современное состояние проблемы парентеральных вирусных гепатитов в Украине / А. Л. Гураль, Ж. Б. Клименко // Здоров’я України. – 2011. – № 1(19). – С. 40–41. 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Демиденко Т.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П. Неверов В. А. Вирусные гепатиты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Т.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П. Демиденко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В.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А.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Неверов. – С-Пб.: Питер, 2011. – 229 с.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Драпкина О. М. Применение эссенциальных фосфолипидов в комплексной терапии стеатогепатита смешанного</w:t>
      </w:r>
      <w:r w:rsidR="004C068F"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 генеза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О. М. Драпкина // Consilium medicum (приложен</w:t>
      </w:r>
      <w:r w:rsidR="004C068F"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ие «Гастроэнтерология»). – 2009.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 </w:t>
      </w:r>
      <w:r w:rsidR="004C068F"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–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 № 2. </w:t>
      </w:r>
      <w:r w:rsidR="004C068F"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–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C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.. 3–5.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84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Игнатова Т. М. Внепеченочные проявления хронической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HCV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-инфекции / Т.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 Игнатова, З.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Г. Апросина, В.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 Серов // Рос. мед. журнал.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2001. 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№2. 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13-18.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Style w:val="citation"/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Каминский А. В. </w:t>
      </w:r>
      <w:r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Сахарный диабет и ожирение: клиническое руководство по диагностике и лечению / </w:t>
      </w:r>
      <w:r w:rsidRPr="00321D44">
        <w:rPr>
          <w:rStyle w:val="citation"/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А. В. Каминский, А. Н. Коваленко</w:t>
      </w:r>
      <w:r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Київ: Медицина, 2010. – 256 с.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Кірієнко В. Т.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Ефективність Антралю у хворих на хронічний гепатит С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В. Т. Кірієнко, В. В. Потій 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Вісник наукових досліджень. 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2015.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№ 3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С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28-31. 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doi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10.11603/1681-276Х.2015.3.5182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Клодченко Н.Н. Препарат антраль в комплексном лечении язвенной болезни двенадцатиперстной кишки  / Н. Н. Клодченко // Український медичний альманах. – 2005. – Т. 8, № 2. – С. 63-64.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Кляритская И.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Л.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Поражение печени у пациентов с сахарным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диабетом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И.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Л.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Кляритская, Е.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В. Максимова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КТЖ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2010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Т. 2,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№2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С. 8-14.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Кравченко А. В. Сравнение эффективности и безопасности схем антиретровирусной терапии первой линии, включавших Фосфазид или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Тенофовир / А. В. Кравченко, У. А. Куимова, О. С. Ефремова, Э.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С. Иванова, А. А. Попова //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Журнал инфектологии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2018. –  10(4). – С. 37-41. </w:t>
      </w:r>
      <w:hyperlink r:id="rId10" w:tgtFrame="_blank" w:history="1">
        <w:r w:rsidRPr="00321D4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https://doi.org/10.22625/2072-6732-2018-10-4-37-41</w:t>
        </w:r>
      </w:hyperlink>
      <w:r w:rsidR="001356E4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t>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Лакин Г. Ф. Биометрия / Г. Ф. Лакин– М.: Высшая школа, 1990. – 312 c. </w:t>
      </w:r>
    </w:p>
    <w:p w:rsidR="004C1D9F" w:rsidRPr="00321D44" w:rsidRDefault="004C1D9F" w:rsidP="00184086">
      <w:pPr>
        <w:pStyle w:val="a4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Львов Д.К. Медицинская вирусология: Руководство / Под. ред. Д.К. Львова. – М.: ООО “Медицинское информационное агентство”, 2008. – 656 с.</w:t>
      </w:r>
    </w:p>
    <w:p w:rsidR="00661A3C" w:rsidRPr="00321D44" w:rsidRDefault="00661A3C" w:rsidP="00184086">
      <w:pPr>
        <w:pStyle w:val="a4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Майер К.-П. Гепатит и последствия гепатита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К.-П.  Майер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– М.: ГЭОТАР Медицина, 1999. – 423 с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37BD8" w:rsidRPr="00321D44" w:rsidRDefault="00B37BD8" w:rsidP="00184086">
      <w:pPr>
        <w:pStyle w:val="a4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21D44">
        <w:rPr>
          <w:color w:val="000000" w:themeColor="text1"/>
          <w:sz w:val="21"/>
          <w:szCs w:val="21"/>
          <w:shd w:val="clear" w:color="auto" w:fill="FFFFFF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Майоров А. Ю. Современные сахароснижающие средства в лечении сахарного диабета 2 типа  / А. Ю. </w:t>
      </w:r>
      <w:hyperlink r:id="rId11" w:history="1">
        <w:r w:rsidRPr="00321D4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Майоров</w:t>
        </w:r>
      </w:hyperlink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И. В. </w:t>
      </w:r>
      <w:hyperlink r:id="rId12" w:history="1">
        <w:r w:rsidRPr="00321D4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 xml:space="preserve">Науменкова </w:t>
        </w:r>
      </w:hyperlink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Русский медицинский журнал.</w:t>
      </w:r>
      <w:r w:rsidRPr="00321D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– 2001. – №24. – С. 1105.</w:t>
      </w:r>
    </w:p>
    <w:p w:rsidR="00B159BC" w:rsidRPr="00FD52BF" w:rsidRDefault="00B159BC" w:rsidP="00FD52BF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Минушкин О.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Н.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Лечение алкогольной болезни печени с использованием Эссенциале форте Н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О.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Н.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Минушкин, Л.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В.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Масловский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Лечебное дело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2015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FD52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№3. – С. 83-85.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Моргунов Л.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Ю.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Сахарный диабет у пациентов с циррозом печени: новые возможности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лечения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Л.Ю.Моргунов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Исследования и практика в медицине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2017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Т.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4, №3/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С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. 75-85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doi: 10.17709/2409-2231-2017-4-3-7 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Мубаракшина О. Л. Гепатопротекторы: сравнительная характеристика и аспекты клинического использования / О. Л. Мубаракшина // Медицинский весник. – 2008. – № 34. 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С. 45-51.</w:t>
      </w:r>
    </w:p>
    <w:p w:rsidR="00085174" w:rsidRPr="00321D44" w:rsidRDefault="00085174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Новиков В. Е.  Фармакология гепатопротекторов / В. Е. Новиков, Е. И. Климкина // Обз. клин. фармакол. лек. тер. – 2005. – Т. 4, № 1. – 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2-20.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 xml:space="preserve">Оковитый С. В.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Гепатопротекторы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>С. В. Оковитый, Н. Н. Безбородкина, С. Г. Улейчик, С. Н.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>Шуленин</w:t>
      </w:r>
      <w:r w:rsidR="004C068F"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 xml:space="preserve">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М.: ГЭОТАР-Медиа, 2010. 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112 с.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lastRenderedPageBreak/>
        <w:t xml:space="preserve">Оковитый С. В.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Гепатотропные средства: современное состояние проблемы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>С. В. Оковитый, Д. С. Суханов, М. Г.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 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 xml:space="preserve">Романцов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// Терапевтический архив.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2012.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Т. 84, № 2.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С. 62–68.</w:t>
      </w:r>
    </w:p>
    <w:p w:rsidR="00B159BC" w:rsidRPr="00321D44" w:rsidRDefault="00845958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E44EB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B159BC"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Опарин А. Г. Гепатопротекторы: тактика клинического применения / А. Г.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B159BC"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Опарин, Н. В. Лаврова, А. В. Благовещенская // 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Сх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дноєвропейський журнал внутр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шньої та с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мейної медицини. </w:t>
      </w:r>
      <w:r w:rsidR="00B159BC"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="00B159BC"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2016. </w:t>
      </w:r>
      <w:r w:rsidR="00B159BC"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="00B159BC"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1. </w:t>
      </w:r>
      <w:r w:rsidR="00B159BC"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 С. 75-81.</w:t>
      </w:r>
    </w:p>
    <w:p w:rsidR="00845958" w:rsidRPr="00321D44" w:rsidRDefault="00845958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491DA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Парахонский А.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Патогенез сахарного диабета 2-го типа и его осложнений 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Парахонский А.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// Фундаментальные исследования. – 2006. – № 12. – С. 97-97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4C1D9F" w:rsidRPr="00321D44" w:rsidRDefault="004C1D9F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Полунина Т.Е.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Хронический гепатит B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Т.Е.Полунина, И.В.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Маев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Медицинский Cовет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2008.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№3-4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С. 33-40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159BC" w:rsidRPr="00321D44" w:rsidRDefault="00184086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91DA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B159BC"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Радченко В. Г.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Основы клинической гепатологии. Заболевания печени и билиарной системы / </w:t>
      </w:r>
      <w:r w:rsidR="00B159BC"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В. Г. Радченко, А. В. Шабров, Е. Н. Зиновьева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Санкт-Петербург: Диалект, 2005. –  864 с.</w:t>
      </w:r>
    </w:p>
    <w:p w:rsidR="00B159BC" w:rsidRPr="00321D44" w:rsidRDefault="00184086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44EBD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Старкова Н. Т. Клиническая ендокринология: Руководство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</w:rPr>
        <w:t xml:space="preserve"> / 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Старкова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="00B159BC"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– Санкт– Петербург: Питер, 2002. – 576 с. </w:t>
      </w:r>
    </w:p>
    <w:p w:rsidR="00B159BC" w:rsidRPr="00321D44" w:rsidRDefault="00184086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44E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59BC"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Татаренко О. Місце Антралю у комплексному лікуванні хворих з патологією печінки [підгот. О. Татаренко] // Здоров’я України. – Темат. номер: Гастроентерологія. Гепатологія. Колопроктологія. – 2010. – № 3. – С. 50–51.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Ткач С. М. Эффективность и безопасность гепатопротекторов с точки зрения доказательной медицины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С. М. Ткач // Здоровье Украины. – 2009. – № 6. – С. 7–10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Style w:val="citation"/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Уоткинс П. Дж. </w:t>
      </w:r>
      <w:r w:rsidRPr="00321D44">
        <w:rPr>
          <w:rStyle w:val="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Сахарный диабет / Под ред. М. И. Балаболкина. – Москва: Бином, 2006. – 134 с. 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Фролов В.М. Антраль - эффективный препарат для лечения заболеваний печени / В.М. Фролов, Г.С. Григорьева // Український медичний часопис. – 2003. – № 2 (34). – C. 65–68.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pacing w:line="360" w:lineRule="auto"/>
        <w:ind w:left="567" w:hanging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Щербинина М. Б.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Заболевания печени /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М. Б.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Щербинина</w:t>
      </w:r>
      <w:r w:rsidR="00FD52B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 К.:</w:t>
      </w:r>
      <w:r w:rsidRPr="00321D4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Медкнига-Киев, 2014. – 168 с.</w:t>
      </w:r>
    </w:p>
    <w:p w:rsidR="005C75E8" w:rsidRPr="00321D44" w:rsidRDefault="005C75E8" w:rsidP="00184086">
      <w:pPr>
        <w:pStyle w:val="a4"/>
        <w:numPr>
          <w:ilvl w:val="0"/>
          <w:numId w:val="21"/>
        </w:numPr>
        <w:spacing w:line="360" w:lineRule="auto"/>
        <w:ind w:left="567" w:hanging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Щёкотова А. П. Особенности окислительного стресса при хроническом гепатите С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 П. Щёкотова, П.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Улитина, И. А. Булатова, О.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</w:rPr>
        <w:t>Ю.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Ненашева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Пермский медицинский журнал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2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014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XXXI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1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С</w:t>
      </w:r>
      <w:r w:rsidR="00FD52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98 – 102.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Bugianesi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E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Hepatitis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C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and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Diabetes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E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. 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Bugianesi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//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Hot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topics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in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Viral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Hepatitis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. – 2006. – № 2. –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P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 7–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15.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Chan K. A. A cohort study of the incidence of serious acute liver injury in diabetic patients treated with hypoglycemic agents / K. A. Chan, A. Truman, J. H. Gurwitz et al.  // Arch Intern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Med. – 2003. – Vol. 163. – P. 728–734.</w:t>
      </w:r>
    </w:p>
    <w:p w:rsidR="00E72CFD" w:rsidRPr="00321D44" w:rsidRDefault="00E72CFD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E44E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Chang T. A comparison of entecavir and lamivudine for HBeAg-positive chronic hepatitis B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Chang, R.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Gish, R.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De Man et al. 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N Engl J Med.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2006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 Vol.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354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1001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</w:rPr>
        <w:t>1010.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84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Huang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Hepatitis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viremia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increases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association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with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type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diabetes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mellitus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hepatitis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and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endemic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area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epidemiological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link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with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virological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implication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Huang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et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Am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Gastroenterol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- 2007. -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Vol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.102. - Р.1237-1243.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84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Knobler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Increased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risk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type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diabetes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noncirrhotic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patients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with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chronic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hepatitis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virus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infection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Н.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Knobler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et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.] 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Mayo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Clin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Proc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2000. 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Vol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.75. 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Р.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355-359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139D5" w:rsidRPr="00321D44" w:rsidRDefault="000139D5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84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color w:val="000000" w:themeColor="text1"/>
          <w:lang w:val="en-US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Levent G. Oxidative stress and antioxidant defense in patients with chronic hepatitis C patients before and after pegylated interferon alfa-2b plus ribavirin therapy / G. Levent, A. Ali, A. Ahmet, E. Can Polat et al // Journal of Translational Medicine. – 2006. – Vol. 4. – P. 25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doi:10.1186/1479-5876-4-25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Loguercio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>С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 Silybin combined with phosphatidylcholine and vitamin E in patients with nonalcoholic fatty liver disease: a randomized controlled trial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lastRenderedPageBreak/>
        <w:t>С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. Loguercio, P. Andreone, C. Brisc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et al.  // Free Radical Biology &amp; Medicine.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2012.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Vol. 52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P. 1658–1665.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Martínez-Uña M.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 S-Adenosylmethionine increases circulating very-low density lipoprotein clearance in non-alcoholic fatty liver disease /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 M.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 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Martínez-Uña, M. Varela-Rey, D. Mestre 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et al. // J Hepatol.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2015.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Vol. 62, № 3.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P. 673–681.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Nammour F.E. Metformin-induced cholestatic hepatitis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F.E.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Nammour, N.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Fayad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R. Peitcin // Endocr. Pract.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2003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Vol. 9. – P.307–309. 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Olson J. C.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 Acute-on-chronic and decompensated chronic liver failure: definitions, epidemiology and prognostication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J. C.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 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Olson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// Crit Care Clin.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2016.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Vol. 32, № 3.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P. 301–309.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Olsson R.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 High-dose ursodeoxycholic acid in primary sclerosing cholangitis: a 5-year multicenter, randomized, controlled study 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R. Olsson, K. M. Boberg, O. S.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 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de Muckadell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et al. // Gastroenterology.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2005.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Vol. 129, № 5.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 P. 1464–1472.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Parés A.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Excellent long-term survival in patients with primary biliary cirrhosis and biochemical response to ursodeoxycholic acid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A. Parés, L. Caballería, J.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 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Rodés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// Gastroenterology.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2006.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Vol. 130, № 3.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P. 715–720.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Poza-Gomes G. Constitutional syndrome associated to metformin induced hepatotoxicity / G. Poza-Gomes, F. Rivero Fernandez, M. Vaguez Romero et al. // Gastroenterol. Hepatol. – 2008. – Vol. 31. – P.  643–645.</w:t>
      </w:r>
    </w:p>
    <w:p w:rsidR="001C15CE" w:rsidRPr="00321D44" w:rsidRDefault="001C15CE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44E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Rossi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44E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Hepatitis C virus-related cryoglobulinemic glomerulonephritis: long-term remission after antiviral therapy / P. Rossi, T. Bertani, P. Baio [et al.] // Hepatology. – 2003. – Vol. 63. – P. 2236–2241.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Sayiner M., Koenig A., Henry L., Younossi Z. M.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 Epidemiology of nonalcoholic fatty liver disease and nonalcoholic steatohepatitis in the United States and the rest of the world // Clin Liver Dis.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2016.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Vol. 20, № 2.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P. 205–214.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84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Shintani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Hepatitis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virus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infection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and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diabetes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direct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involvement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virus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development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insulin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resistance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30F14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Shintani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Н.</w:t>
      </w:r>
      <w:r w:rsidR="00C30F14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Fujie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Н.</w:t>
      </w:r>
      <w:r w:rsidR="00C30F14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Miyoshi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Gastroenterology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2004. 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Vol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4C068F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126. </w:t>
      </w:r>
      <w:r w:rsidR="00A147B0"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21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Р.840-848.</w:t>
      </w:r>
    </w:p>
    <w:p w:rsidR="00B159BC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Virukalpattigopalratnam M. P. 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Heptral (ademetionine) in patients with intrahepatic cholestasis in chronic liver disease due to non-alcoholic liver disease: results of a multicentre observational study in India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M. P. Virukalpattigopalratnam, T. Singh, A. C. Ravishankar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// J Indian Med Assoc.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2013.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Vol. 111, № 12.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P. 856–859.</w:t>
      </w:r>
    </w:p>
    <w:p w:rsidR="00C27DC0" w:rsidRPr="00321D44" w:rsidRDefault="00B159BC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Yang Z.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 Effects and tolerance of silymarin (milk thistle) in chronic hepatitis C virus infection patients: a meta-analysis of randomized controlled trials /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Z. Yang, L. Zhuang, Y. Lu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 et al. // Biomed Res Int. 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–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2014.</w:t>
      </w:r>
      <w:r w:rsidRPr="00321D44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–</w:t>
      </w:r>
      <w:r w:rsidRPr="00321D4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 xml:space="preserve"> 2014:941085.</w:t>
      </w:r>
    </w:p>
    <w:p w:rsidR="00B159BC" w:rsidRPr="00321D44" w:rsidRDefault="00E44EBD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hyperlink r:id="rId13" w:history="1">
        <w:r w:rsidR="00C27DC0" w:rsidRPr="00321D4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https://www.who.int/ru/campaigns/world-hepatitis-day/2019/10-messages-for-policymakers</w:t>
        </w:r>
      </w:hyperlink>
    </w:p>
    <w:p w:rsidR="00C27DC0" w:rsidRPr="00321D44" w:rsidRDefault="00E44EBD" w:rsidP="00184086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hyperlink r:id="rId14" w:history="1">
        <w:r w:rsidR="00C27DC0" w:rsidRPr="00321D4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https://www.who.int/diabetes/ru/</w:t>
        </w:r>
      </w:hyperlink>
    </w:p>
    <w:p w:rsidR="00C27DC0" w:rsidRPr="00184086" w:rsidRDefault="00C27DC0" w:rsidP="00184086">
      <w:pPr>
        <w:pStyle w:val="a4"/>
        <w:shd w:val="clear" w:color="auto" w:fill="FFFFFF"/>
        <w:spacing w:after="0" w:line="360" w:lineRule="auto"/>
        <w:ind w:left="567" w:hanging="567"/>
        <w:jc w:val="both"/>
        <w:textAlignment w:val="baseline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</w:p>
    <w:sectPr w:rsidR="00C27DC0" w:rsidRPr="00184086">
      <w:headerReference w:type="default" r:id="rId1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4BE9" w:rsidRDefault="00EC4BE9" w:rsidP="00DB67A9">
      <w:pPr>
        <w:spacing w:after="0" w:line="240" w:lineRule="auto"/>
      </w:pPr>
      <w:r>
        <w:separator/>
      </w:r>
    </w:p>
  </w:endnote>
  <w:endnote w:type="continuationSeparator" w:id="0">
    <w:p w:rsidR="00EC4BE9" w:rsidRDefault="00EC4BE9" w:rsidP="00DB6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4BE9" w:rsidRDefault="00EC4BE9" w:rsidP="00DB67A9">
      <w:pPr>
        <w:spacing w:after="0" w:line="240" w:lineRule="auto"/>
      </w:pPr>
      <w:r>
        <w:separator/>
      </w:r>
    </w:p>
  </w:footnote>
  <w:footnote w:type="continuationSeparator" w:id="0">
    <w:p w:rsidR="00EC4BE9" w:rsidRDefault="00EC4BE9" w:rsidP="00DB67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4BE9" w:rsidRPr="005D0C15" w:rsidRDefault="00EC4BE9">
    <w:pPr>
      <w:pStyle w:val="a7"/>
      <w:jc w:val="right"/>
      <w:rPr>
        <w:rFonts w:ascii="Times New Roman" w:hAnsi="Times New Roman" w:cs="Times New Roman"/>
      </w:rPr>
    </w:pPr>
  </w:p>
  <w:p w:rsidR="00EC4BE9" w:rsidRDefault="00EC4BE9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5338996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EC4BE9" w:rsidRPr="005D0C15" w:rsidRDefault="00EC4BE9">
        <w:pPr>
          <w:pStyle w:val="a7"/>
          <w:jc w:val="right"/>
          <w:rPr>
            <w:rFonts w:ascii="Times New Roman" w:hAnsi="Times New Roman" w:cs="Times New Roman"/>
          </w:rPr>
        </w:pPr>
        <w:r w:rsidRPr="005D0C15">
          <w:rPr>
            <w:rFonts w:ascii="Times New Roman" w:hAnsi="Times New Roman" w:cs="Times New Roman"/>
          </w:rPr>
          <w:fldChar w:fldCharType="begin"/>
        </w:r>
        <w:r w:rsidRPr="005D0C15">
          <w:rPr>
            <w:rFonts w:ascii="Times New Roman" w:hAnsi="Times New Roman" w:cs="Times New Roman"/>
          </w:rPr>
          <w:instrText>PAGE   \* MERGEFORMAT</w:instrText>
        </w:r>
        <w:r w:rsidRPr="005D0C15">
          <w:rPr>
            <w:rFonts w:ascii="Times New Roman" w:hAnsi="Times New Roman" w:cs="Times New Roman"/>
          </w:rPr>
          <w:fldChar w:fldCharType="separate"/>
        </w:r>
        <w:r w:rsidR="00E44EBD">
          <w:rPr>
            <w:rFonts w:ascii="Times New Roman" w:hAnsi="Times New Roman" w:cs="Times New Roman"/>
            <w:noProof/>
          </w:rPr>
          <w:t>7</w:t>
        </w:r>
        <w:r w:rsidRPr="005D0C15">
          <w:rPr>
            <w:rFonts w:ascii="Times New Roman" w:hAnsi="Times New Roman" w:cs="Times New Roman"/>
          </w:rPr>
          <w:fldChar w:fldCharType="end"/>
        </w:r>
      </w:p>
    </w:sdtContent>
  </w:sdt>
  <w:p w:rsidR="00EC4BE9" w:rsidRDefault="00EC4BE9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3.1pt;height:17.1pt;visibility:visible" o:bullet="t">
        <v:imagedata r:id="rId1" o:title=""/>
      </v:shape>
    </w:pict>
  </w:numPicBullet>
  <w:abstractNum w:abstractNumId="0">
    <w:nsid w:val="0D646349"/>
    <w:multiLevelType w:val="multilevel"/>
    <w:tmpl w:val="62C8F778"/>
    <w:lvl w:ilvl="0">
      <w:start w:val="1"/>
      <w:numFmt w:val="decimal"/>
      <w:lvlText w:val="%1."/>
      <w:lvlJc w:val="left"/>
      <w:pPr>
        <w:ind w:left="717" w:hanging="360"/>
      </w:p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abstractNum w:abstractNumId="1">
    <w:nsid w:val="124E69E6"/>
    <w:multiLevelType w:val="hybridMultilevel"/>
    <w:tmpl w:val="F82089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AA1A6F"/>
    <w:multiLevelType w:val="multilevel"/>
    <w:tmpl w:val="37F0767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3">
    <w:nsid w:val="24D6715A"/>
    <w:multiLevelType w:val="multilevel"/>
    <w:tmpl w:val="2C96DE24"/>
    <w:lvl w:ilvl="0">
      <w:start w:val="1"/>
      <w:numFmt w:val="decimal"/>
      <w:lvlText w:val="%1."/>
      <w:lvlJc w:val="left"/>
      <w:pPr>
        <w:ind w:left="810" w:hanging="8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0" w:hanging="8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70" w:hanging="81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00" w:hanging="2160"/>
      </w:pPr>
      <w:rPr>
        <w:rFonts w:hint="default"/>
      </w:rPr>
    </w:lvl>
  </w:abstractNum>
  <w:abstractNum w:abstractNumId="4">
    <w:nsid w:val="344A36E7"/>
    <w:multiLevelType w:val="multilevel"/>
    <w:tmpl w:val="F7040C76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20" w:hanging="2160"/>
      </w:pPr>
      <w:rPr>
        <w:rFonts w:hint="default"/>
      </w:rPr>
    </w:lvl>
  </w:abstractNum>
  <w:abstractNum w:abstractNumId="5">
    <w:nsid w:val="38444598"/>
    <w:multiLevelType w:val="multilevel"/>
    <w:tmpl w:val="340E4BD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0" w:hanging="2160"/>
      </w:pPr>
      <w:rPr>
        <w:rFonts w:hint="default"/>
      </w:rPr>
    </w:lvl>
  </w:abstractNum>
  <w:abstractNum w:abstractNumId="6">
    <w:nsid w:val="3B351382"/>
    <w:multiLevelType w:val="hybridMultilevel"/>
    <w:tmpl w:val="2FF8C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592DDE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485B0CC4"/>
    <w:multiLevelType w:val="multilevel"/>
    <w:tmpl w:val="D7C402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77209C"/>
    <w:multiLevelType w:val="multilevel"/>
    <w:tmpl w:val="7B562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A961F43"/>
    <w:multiLevelType w:val="multilevel"/>
    <w:tmpl w:val="37F0767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11">
    <w:nsid w:val="54BD2879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5C24262B"/>
    <w:multiLevelType w:val="multilevel"/>
    <w:tmpl w:val="0BAE74FA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20" w:hanging="2160"/>
      </w:pPr>
      <w:rPr>
        <w:rFonts w:hint="default"/>
      </w:rPr>
    </w:lvl>
  </w:abstractNum>
  <w:abstractNum w:abstractNumId="13">
    <w:nsid w:val="6B915B07"/>
    <w:multiLevelType w:val="multilevel"/>
    <w:tmpl w:val="D3BECCD2"/>
    <w:lvl w:ilvl="0">
      <w:start w:val="1"/>
      <w:numFmt w:val="decimal"/>
      <w:lvlText w:val="%1."/>
      <w:lvlJc w:val="left"/>
      <w:pPr>
        <w:ind w:left="1211" w:hanging="360"/>
      </w:pPr>
    </w:lvl>
    <w:lvl w:ilvl="1">
      <w:start w:val="1"/>
      <w:numFmt w:val="decimal"/>
      <w:lvlText w:val="%1.%2."/>
      <w:lvlJc w:val="left"/>
      <w:pPr>
        <w:ind w:left="1571" w:hanging="720"/>
      </w:pPr>
    </w:lvl>
    <w:lvl w:ilvl="2">
      <w:start w:val="1"/>
      <w:numFmt w:val="decimal"/>
      <w:lvlText w:val="%1.%2.%3."/>
      <w:lvlJc w:val="left"/>
      <w:pPr>
        <w:ind w:left="1571" w:hanging="720"/>
      </w:pPr>
    </w:lvl>
    <w:lvl w:ilvl="3">
      <w:start w:val="1"/>
      <w:numFmt w:val="decimal"/>
      <w:lvlText w:val="%1.%2.%3.%4."/>
      <w:lvlJc w:val="left"/>
      <w:pPr>
        <w:ind w:left="1931" w:hanging="1080"/>
      </w:pPr>
    </w:lvl>
    <w:lvl w:ilvl="4">
      <w:start w:val="1"/>
      <w:numFmt w:val="decimal"/>
      <w:lvlText w:val="%1.%2.%3.%4.%5."/>
      <w:lvlJc w:val="left"/>
      <w:pPr>
        <w:ind w:left="1931" w:hanging="1080"/>
      </w:pPr>
    </w:lvl>
    <w:lvl w:ilvl="5">
      <w:start w:val="1"/>
      <w:numFmt w:val="decimal"/>
      <w:lvlText w:val="%1.%2.%3.%4.%5.%6."/>
      <w:lvlJc w:val="left"/>
      <w:pPr>
        <w:ind w:left="2291" w:hanging="1440"/>
      </w:pPr>
    </w:lvl>
    <w:lvl w:ilvl="6">
      <w:start w:val="1"/>
      <w:numFmt w:val="decimal"/>
      <w:lvlText w:val="%1.%2.%3.%4.%5.%6.%7."/>
      <w:lvlJc w:val="left"/>
      <w:pPr>
        <w:ind w:left="2651" w:hanging="1799"/>
      </w:pPr>
    </w:lvl>
    <w:lvl w:ilvl="7">
      <w:start w:val="1"/>
      <w:numFmt w:val="decimal"/>
      <w:lvlText w:val="%1.%2.%3.%4.%5.%6.%7.%8."/>
      <w:lvlJc w:val="left"/>
      <w:pPr>
        <w:ind w:left="2651" w:hanging="1799"/>
      </w:pPr>
    </w:lvl>
    <w:lvl w:ilvl="8">
      <w:start w:val="1"/>
      <w:numFmt w:val="decimal"/>
      <w:lvlText w:val="%1.%2.%3.%4.%5.%6.%7.%8.%9."/>
      <w:lvlJc w:val="left"/>
      <w:pPr>
        <w:ind w:left="3011" w:hanging="2160"/>
      </w:pPr>
    </w:lvl>
  </w:abstractNum>
  <w:abstractNum w:abstractNumId="14">
    <w:nsid w:val="70315E72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713F41FE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715A5252"/>
    <w:multiLevelType w:val="hybridMultilevel"/>
    <w:tmpl w:val="CF4ADF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8B3A0B"/>
    <w:multiLevelType w:val="multilevel"/>
    <w:tmpl w:val="2C96DE24"/>
    <w:lvl w:ilvl="0">
      <w:start w:val="1"/>
      <w:numFmt w:val="decimal"/>
      <w:lvlText w:val="%1."/>
      <w:lvlJc w:val="left"/>
      <w:pPr>
        <w:ind w:left="810" w:hanging="8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0" w:hanging="8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70" w:hanging="81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00" w:hanging="2160"/>
      </w:pPr>
      <w:rPr>
        <w:rFonts w:hint="default"/>
      </w:rPr>
    </w:lvl>
  </w:abstractNum>
  <w:abstractNum w:abstractNumId="18">
    <w:nsid w:val="71EF1DCE"/>
    <w:multiLevelType w:val="hybridMultilevel"/>
    <w:tmpl w:val="23584E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BF5036"/>
    <w:multiLevelType w:val="multilevel"/>
    <w:tmpl w:val="E5963BF4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1">
      <w:start w:val="5"/>
      <w:numFmt w:val="decimal"/>
      <w:isLgl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20">
    <w:nsid w:val="7F0128E7"/>
    <w:multiLevelType w:val="hybridMultilevel"/>
    <w:tmpl w:val="FBF44380"/>
    <w:lvl w:ilvl="0" w:tplc="2000000F">
      <w:start w:val="1"/>
      <w:numFmt w:val="decimal"/>
      <w:lvlText w:val="%1."/>
      <w:lvlJc w:val="left"/>
      <w:pPr>
        <w:ind w:left="6173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0"/>
  </w:num>
  <w:num w:numId="3">
    <w:abstractNumId w:val="17"/>
  </w:num>
  <w:num w:numId="4">
    <w:abstractNumId w:val="15"/>
  </w:num>
  <w:num w:numId="5">
    <w:abstractNumId w:val="3"/>
  </w:num>
  <w:num w:numId="6">
    <w:abstractNumId w:val="14"/>
  </w:num>
  <w:num w:numId="7">
    <w:abstractNumId w:val="4"/>
  </w:num>
  <w:num w:numId="8">
    <w:abstractNumId w:val="12"/>
  </w:num>
  <w:num w:numId="9">
    <w:abstractNumId w:val="7"/>
  </w:num>
  <w:num w:numId="10">
    <w:abstractNumId w:val="11"/>
  </w:num>
  <w:num w:numId="11">
    <w:abstractNumId w:val="0"/>
  </w:num>
  <w:num w:numId="12">
    <w:abstractNumId w:val="19"/>
  </w:num>
  <w:num w:numId="13">
    <w:abstractNumId w:val="16"/>
  </w:num>
  <w:num w:numId="14">
    <w:abstractNumId w:val="5"/>
  </w:num>
  <w:num w:numId="15">
    <w:abstractNumId w:val="10"/>
  </w:num>
  <w:num w:numId="16">
    <w:abstractNumId w:val="18"/>
  </w:num>
  <w:num w:numId="17">
    <w:abstractNumId w:val="2"/>
  </w:num>
  <w:num w:numId="18">
    <w:abstractNumId w:val="1"/>
  </w:num>
  <w:num w:numId="19">
    <w:abstractNumId w:val="9"/>
  </w:num>
  <w:num w:numId="20">
    <w:abstractNumId w:val="8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CD8"/>
    <w:rsid w:val="00006BD1"/>
    <w:rsid w:val="000139D5"/>
    <w:rsid w:val="000147CE"/>
    <w:rsid w:val="00020134"/>
    <w:rsid w:val="000317AB"/>
    <w:rsid w:val="00033E30"/>
    <w:rsid w:val="00042179"/>
    <w:rsid w:val="00046325"/>
    <w:rsid w:val="00057558"/>
    <w:rsid w:val="00062B0F"/>
    <w:rsid w:val="000671DB"/>
    <w:rsid w:val="0007002B"/>
    <w:rsid w:val="00085174"/>
    <w:rsid w:val="00097C93"/>
    <w:rsid w:val="000A113D"/>
    <w:rsid w:val="000A2EF6"/>
    <w:rsid w:val="000B4A20"/>
    <w:rsid w:val="000C02AE"/>
    <w:rsid w:val="000C40BC"/>
    <w:rsid w:val="000D54F1"/>
    <w:rsid w:val="000D560D"/>
    <w:rsid w:val="000E6E7E"/>
    <w:rsid w:val="000F16D4"/>
    <w:rsid w:val="000F1A45"/>
    <w:rsid w:val="00104EDE"/>
    <w:rsid w:val="00114E67"/>
    <w:rsid w:val="001306A2"/>
    <w:rsid w:val="00132963"/>
    <w:rsid w:val="001356E4"/>
    <w:rsid w:val="00182838"/>
    <w:rsid w:val="00184086"/>
    <w:rsid w:val="001859BE"/>
    <w:rsid w:val="00195939"/>
    <w:rsid w:val="001A7DE3"/>
    <w:rsid w:val="001B3B4E"/>
    <w:rsid w:val="001B688A"/>
    <w:rsid w:val="001B7C66"/>
    <w:rsid w:val="001C15CE"/>
    <w:rsid w:val="001C445A"/>
    <w:rsid w:val="001D1CA4"/>
    <w:rsid w:val="001D78D0"/>
    <w:rsid w:val="001E52F2"/>
    <w:rsid w:val="0020133F"/>
    <w:rsid w:val="002018B2"/>
    <w:rsid w:val="00222480"/>
    <w:rsid w:val="0023628A"/>
    <w:rsid w:val="002436CA"/>
    <w:rsid w:val="00251D59"/>
    <w:rsid w:val="00263FEF"/>
    <w:rsid w:val="00265BE8"/>
    <w:rsid w:val="00270111"/>
    <w:rsid w:val="00275B9C"/>
    <w:rsid w:val="002B6363"/>
    <w:rsid w:val="002C2EEA"/>
    <w:rsid w:val="002C38CD"/>
    <w:rsid w:val="002D35C8"/>
    <w:rsid w:val="002E17D4"/>
    <w:rsid w:val="002F1546"/>
    <w:rsid w:val="002F521B"/>
    <w:rsid w:val="00305363"/>
    <w:rsid w:val="00316EB9"/>
    <w:rsid w:val="00321D44"/>
    <w:rsid w:val="00330DA7"/>
    <w:rsid w:val="00333D14"/>
    <w:rsid w:val="00346019"/>
    <w:rsid w:val="00346E1F"/>
    <w:rsid w:val="00347F2F"/>
    <w:rsid w:val="00350403"/>
    <w:rsid w:val="00352B4C"/>
    <w:rsid w:val="0036228E"/>
    <w:rsid w:val="00366168"/>
    <w:rsid w:val="0036732A"/>
    <w:rsid w:val="00382670"/>
    <w:rsid w:val="0038616A"/>
    <w:rsid w:val="00386E21"/>
    <w:rsid w:val="00391EF9"/>
    <w:rsid w:val="0039456A"/>
    <w:rsid w:val="00396236"/>
    <w:rsid w:val="003A32CC"/>
    <w:rsid w:val="003C4D2C"/>
    <w:rsid w:val="003C6DDA"/>
    <w:rsid w:val="003D325D"/>
    <w:rsid w:val="003E5585"/>
    <w:rsid w:val="003F35E2"/>
    <w:rsid w:val="00414300"/>
    <w:rsid w:val="00414D44"/>
    <w:rsid w:val="00415FA4"/>
    <w:rsid w:val="00420A8C"/>
    <w:rsid w:val="0042531E"/>
    <w:rsid w:val="00441049"/>
    <w:rsid w:val="004615DF"/>
    <w:rsid w:val="004650BF"/>
    <w:rsid w:val="004705BF"/>
    <w:rsid w:val="0048096C"/>
    <w:rsid w:val="00481F79"/>
    <w:rsid w:val="00482955"/>
    <w:rsid w:val="00483145"/>
    <w:rsid w:val="00491DAD"/>
    <w:rsid w:val="004963D7"/>
    <w:rsid w:val="00497B46"/>
    <w:rsid w:val="004A1F31"/>
    <w:rsid w:val="004B2212"/>
    <w:rsid w:val="004B23F0"/>
    <w:rsid w:val="004B28A1"/>
    <w:rsid w:val="004B320B"/>
    <w:rsid w:val="004C068F"/>
    <w:rsid w:val="004C1D9F"/>
    <w:rsid w:val="004C23A6"/>
    <w:rsid w:val="004C310A"/>
    <w:rsid w:val="004D05CD"/>
    <w:rsid w:val="004D33E1"/>
    <w:rsid w:val="004E384C"/>
    <w:rsid w:val="004E462D"/>
    <w:rsid w:val="004E7B0E"/>
    <w:rsid w:val="004F25D2"/>
    <w:rsid w:val="004F52AA"/>
    <w:rsid w:val="004F6E4A"/>
    <w:rsid w:val="00501424"/>
    <w:rsid w:val="005064E3"/>
    <w:rsid w:val="005101D9"/>
    <w:rsid w:val="005155D6"/>
    <w:rsid w:val="00537174"/>
    <w:rsid w:val="00545D98"/>
    <w:rsid w:val="0055536A"/>
    <w:rsid w:val="00563834"/>
    <w:rsid w:val="00564699"/>
    <w:rsid w:val="00574BD9"/>
    <w:rsid w:val="0059391D"/>
    <w:rsid w:val="00594DF2"/>
    <w:rsid w:val="005A1D8F"/>
    <w:rsid w:val="005B6CD8"/>
    <w:rsid w:val="005C0051"/>
    <w:rsid w:val="005C08D2"/>
    <w:rsid w:val="005C75E8"/>
    <w:rsid w:val="005D0C15"/>
    <w:rsid w:val="005E1CA5"/>
    <w:rsid w:val="006357CE"/>
    <w:rsid w:val="0064005F"/>
    <w:rsid w:val="00661A3C"/>
    <w:rsid w:val="00667883"/>
    <w:rsid w:val="00671D31"/>
    <w:rsid w:val="00674679"/>
    <w:rsid w:val="0067537B"/>
    <w:rsid w:val="00681C6C"/>
    <w:rsid w:val="006923E1"/>
    <w:rsid w:val="006A4F24"/>
    <w:rsid w:val="006A79A1"/>
    <w:rsid w:val="006B0050"/>
    <w:rsid w:val="006D3B82"/>
    <w:rsid w:val="006F4F10"/>
    <w:rsid w:val="007053AB"/>
    <w:rsid w:val="0070540C"/>
    <w:rsid w:val="00730C21"/>
    <w:rsid w:val="00734A76"/>
    <w:rsid w:val="007421EA"/>
    <w:rsid w:val="00744652"/>
    <w:rsid w:val="00751BE9"/>
    <w:rsid w:val="0076657A"/>
    <w:rsid w:val="00773D0E"/>
    <w:rsid w:val="00775087"/>
    <w:rsid w:val="00776BD2"/>
    <w:rsid w:val="007805F9"/>
    <w:rsid w:val="0078478B"/>
    <w:rsid w:val="0079531E"/>
    <w:rsid w:val="0079758F"/>
    <w:rsid w:val="007A1796"/>
    <w:rsid w:val="007A4FFC"/>
    <w:rsid w:val="007B060A"/>
    <w:rsid w:val="007B4747"/>
    <w:rsid w:val="007B682B"/>
    <w:rsid w:val="007B6D21"/>
    <w:rsid w:val="007C6B07"/>
    <w:rsid w:val="007D5D5C"/>
    <w:rsid w:val="007E27A7"/>
    <w:rsid w:val="007E4BC3"/>
    <w:rsid w:val="007F3083"/>
    <w:rsid w:val="007F6B76"/>
    <w:rsid w:val="008044E9"/>
    <w:rsid w:val="00816488"/>
    <w:rsid w:val="00822000"/>
    <w:rsid w:val="00845958"/>
    <w:rsid w:val="00846F2A"/>
    <w:rsid w:val="00850AA3"/>
    <w:rsid w:val="00854C27"/>
    <w:rsid w:val="008674E9"/>
    <w:rsid w:val="00867BA8"/>
    <w:rsid w:val="008740B3"/>
    <w:rsid w:val="008762C2"/>
    <w:rsid w:val="00883FEA"/>
    <w:rsid w:val="00885DB7"/>
    <w:rsid w:val="00891E38"/>
    <w:rsid w:val="008926B6"/>
    <w:rsid w:val="008B12EA"/>
    <w:rsid w:val="008C20A6"/>
    <w:rsid w:val="008D556D"/>
    <w:rsid w:val="008E29AA"/>
    <w:rsid w:val="008E572E"/>
    <w:rsid w:val="00904754"/>
    <w:rsid w:val="00906991"/>
    <w:rsid w:val="00914912"/>
    <w:rsid w:val="00920AE9"/>
    <w:rsid w:val="0094355A"/>
    <w:rsid w:val="00972ADD"/>
    <w:rsid w:val="00973E16"/>
    <w:rsid w:val="00974877"/>
    <w:rsid w:val="00997097"/>
    <w:rsid w:val="00997160"/>
    <w:rsid w:val="00997933"/>
    <w:rsid w:val="009A47E0"/>
    <w:rsid w:val="009A6118"/>
    <w:rsid w:val="009C10E9"/>
    <w:rsid w:val="009C1B79"/>
    <w:rsid w:val="009C6AEE"/>
    <w:rsid w:val="009D0ED3"/>
    <w:rsid w:val="009D6A93"/>
    <w:rsid w:val="009D78C4"/>
    <w:rsid w:val="009E19D1"/>
    <w:rsid w:val="009E4E9D"/>
    <w:rsid w:val="009E702B"/>
    <w:rsid w:val="009F3D66"/>
    <w:rsid w:val="00A00530"/>
    <w:rsid w:val="00A0310A"/>
    <w:rsid w:val="00A06D85"/>
    <w:rsid w:val="00A147B0"/>
    <w:rsid w:val="00A153A3"/>
    <w:rsid w:val="00A21ABA"/>
    <w:rsid w:val="00A35527"/>
    <w:rsid w:val="00A40310"/>
    <w:rsid w:val="00A410BA"/>
    <w:rsid w:val="00A425C6"/>
    <w:rsid w:val="00A47FAA"/>
    <w:rsid w:val="00A50E4E"/>
    <w:rsid w:val="00A615A6"/>
    <w:rsid w:val="00A72F38"/>
    <w:rsid w:val="00A95553"/>
    <w:rsid w:val="00AA242C"/>
    <w:rsid w:val="00AB4633"/>
    <w:rsid w:val="00AF46EB"/>
    <w:rsid w:val="00B04CF3"/>
    <w:rsid w:val="00B079F5"/>
    <w:rsid w:val="00B1062A"/>
    <w:rsid w:val="00B1089B"/>
    <w:rsid w:val="00B159BC"/>
    <w:rsid w:val="00B22110"/>
    <w:rsid w:val="00B264F8"/>
    <w:rsid w:val="00B271D1"/>
    <w:rsid w:val="00B34BC3"/>
    <w:rsid w:val="00B376D5"/>
    <w:rsid w:val="00B37BD8"/>
    <w:rsid w:val="00B5007E"/>
    <w:rsid w:val="00B52247"/>
    <w:rsid w:val="00B6423A"/>
    <w:rsid w:val="00B64C4E"/>
    <w:rsid w:val="00B7541D"/>
    <w:rsid w:val="00B8018C"/>
    <w:rsid w:val="00B82F3E"/>
    <w:rsid w:val="00B90169"/>
    <w:rsid w:val="00B90206"/>
    <w:rsid w:val="00B93D95"/>
    <w:rsid w:val="00BA1CF1"/>
    <w:rsid w:val="00BB42E8"/>
    <w:rsid w:val="00BB7C67"/>
    <w:rsid w:val="00BC1F17"/>
    <w:rsid w:val="00BC59F6"/>
    <w:rsid w:val="00BD55A3"/>
    <w:rsid w:val="00BE1077"/>
    <w:rsid w:val="00BE3936"/>
    <w:rsid w:val="00BE6C1B"/>
    <w:rsid w:val="00BF67BA"/>
    <w:rsid w:val="00BF7525"/>
    <w:rsid w:val="00BF7E46"/>
    <w:rsid w:val="00C013A9"/>
    <w:rsid w:val="00C02551"/>
    <w:rsid w:val="00C04632"/>
    <w:rsid w:val="00C06864"/>
    <w:rsid w:val="00C163A0"/>
    <w:rsid w:val="00C1684D"/>
    <w:rsid w:val="00C220A3"/>
    <w:rsid w:val="00C2277C"/>
    <w:rsid w:val="00C24E42"/>
    <w:rsid w:val="00C27DC0"/>
    <w:rsid w:val="00C30F14"/>
    <w:rsid w:val="00C32B3A"/>
    <w:rsid w:val="00C46FFD"/>
    <w:rsid w:val="00C574F9"/>
    <w:rsid w:val="00C62582"/>
    <w:rsid w:val="00C6508F"/>
    <w:rsid w:val="00C6562B"/>
    <w:rsid w:val="00C665B6"/>
    <w:rsid w:val="00C67494"/>
    <w:rsid w:val="00C73993"/>
    <w:rsid w:val="00C80DE7"/>
    <w:rsid w:val="00C81817"/>
    <w:rsid w:val="00CA25B4"/>
    <w:rsid w:val="00CA3947"/>
    <w:rsid w:val="00CA690B"/>
    <w:rsid w:val="00CB143E"/>
    <w:rsid w:val="00CB1724"/>
    <w:rsid w:val="00CB2B48"/>
    <w:rsid w:val="00CC0949"/>
    <w:rsid w:val="00CC7613"/>
    <w:rsid w:val="00CD1A96"/>
    <w:rsid w:val="00CE3487"/>
    <w:rsid w:val="00CF2E76"/>
    <w:rsid w:val="00D06844"/>
    <w:rsid w:val="00D1300F"/>
    <w:rsid w:val="00D15302"/>
    <w:rsid w:val="00D35817"/>
    <w:rsid w:val="00D42B7C"/>
    <w:rsid w:val="00D46160"/>
    <w:rsid w:val="00D47672"/>
    <w:rsid w:val="00D63CFF"/>
    <w:rsid w:val="00D96904"/>
    <w:rsid w:val="00DA7DDF"/>
    <w:rsid w:val="00DB4068"/>
    <w:rsid w:val="00DB67A9"/>
    <w:rsid w:val="00DC3429"/>
    <w:rsid w:val="00DD3890"/>
    <w:rsid w:val="00DD7BA5"/>
    <w:rsid w:val="00DE3138"/>
    <w:rsid w:val="00DF0C33"/>
    <w:rsid w:val="00DF3F6A"/>
    <w:rsid w:val="00DF60BD"/>
    <w:rsid w:val="00E11586"/>
    <w:rsid w:val="00E126EC"/>
    <w:rsid w:val="00E17075"/>
    <w:rsid w:val="00E44EBD"/>
    <w:rsid w:val="00E54199"/>
    <w:rsid w:val="00E56D13"/>
    <w:rsid w:val="00E72CCD"/>
    <w:rsid w:val="00E72CFD"/>
    <w:rsid w:val="00E86BD3"/>
    <w:rsid w:val="00E96EE4"/>
    <w:rsid w:val="00EB2A74"/>
    <w:rsid w:val="00EC4BE9"/>
    <w:rsid w:val="00ED0C6E"/>
    <w:rsid w:val="00ED1B4B"/>
    <w:rsid w:val="00ED2DA2"/>
    <w:rsid w:val="00ED46DD"/>
    <w:rsid w:val="00EE2258"/>
    <w:rsid w:val="00EF5662"/>
    <w:rsid w:val="00F0640B"/>
    <w:rsid w:val="00F17EB8"/>
    <w:rsid w:val="00F2031F"/>
    <w:rsid w:val="00F37601"/>
    <w:rsid w:val="00F532CC"/>
    <w:rsid w:val="00F602FE"/>
    <w:rsid w:val="00F71E8C"/>
    <w:rsid w:val="00F82082"/>
    <w:rsid w:val="00F840AB"/>
    <w:rsid w:val="00F86B1C"/>
    <w:rsid w:val="00F955A3"/>
    <w:rsid w:val="00FA651A"/>
    <w:rsid w:val="00FA7F0D"/>
    <w:rsid w:val="00FB0F3F"/>
    <w:rsid w:val="00FC02C1"/>
    <w:rsid w:val="00FD4613"/>
    <w:rsid w:val="00FD52BF"/>
    <w:rsid w:val="00FF4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F6A"/>
  </w:style>
  <w:style w:type="paragraph" w:styleId="1">
    <w:name w:val="heading 1"/>
    <w:basedOn w:val="a"/>
    <w:next w:val="a"/>
    <w:link w:val="10"/>
    <w:rsid w:val="00F955A3"/>
    <w:pPr>
      <w:keepNext/>
      <w:keepLines/>
      <w:spacing w:before="480" w:after="0" w:line="360" w:lineRule="auto"/>
      <w:jc w:val="both"/>
      <w:outlineLvl w:val="0"/>
    </w:pPr>
    <w:rPr>
      <w:rFonts w:ascii="Calibri" w:eastAsia="Calibri" w:hAnsi="Calibri" w:cs="Calibri"/>
      <w:b/>
      <w:color w:val="2F5496"/>
      <w:sz w:val="28"/>
      <w:szCs w:val="28"/>
      <w:lang w:val="uk-UA"/>
    </w:rPr>
  </w:style>
  <w:style w:type="paragraph" w:styleId="2">
    <w:name w:val="heading 2"/>
    <w:basedOn w:val="a"/>
    <w:next w:val="a"/>
    <w:link w:val="20"/>
    <w:rsid w:val="00F955A3"/>
    <w:pPr>
      <w:keepNext/>
      <w:keepLines/>
      <w:spacing w:before="200" w:after="0"/>
      <w:outlineLvl w:val="1"/>
    </w:pPr>
    <w:rPr>
      <w:rFonts w:ascii="Calibri" w:eastAsia="Calibri" w:hAnsi="Calibri" w:cs="Calibri"/>
      <w:b/>
      <w:color w:val="4472C4"/>
      <w:sz w:val="26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317A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955A3"/>
    <w:rPr>
      <w:rFonts w:ascii="Calibri" w:eastAsia="Calibri" w:hAnsi="Calibri" w:cs="Calibri"/>
      <w:b/>
      <w:color w:val="2F5496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rsid w:val="00F955A3"/>
    <w:rPr>
      <w:rFonts w:ascii="Calibri" w:eastAsia="Calibri" w:hAnsi="Calibri" w:cs="Calibri"/>
      <w:b/>
      <w:color w:val="4472C4"/>
      <w:sz w:val="26"/>
      <w:szCs w:val="26"/>
      <w:lang w:val="uk-UA"/>
    </w:rPr>
  </w:style>
  <w:style w:type="character" w:styleId="a3">
    <w:name w:val="Hyperlink"/>
    <w:basedOn w:val="a0"/>
    <w:uiPriority w:val="99"/>
    <w:unhideWhenUsed/>
    <w:rsid w:val="005B6CD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B12EA"/>
    <w:pPr>
      <w:spacing w:after="200" w:line="276" w:lineRule="auto"/>
      <w:ind w:left="720"/>
      <w:contextualSpacing/>
    </w:pPr>
  </w:style>
  <w:style w:type="table" w:styleId="a5">
    <w:name w:val="Table Grid"/>
    <w:basedOn w:val="a1"/>
    <w:rsid w:val="00F064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1">
    <w:name w:val="toc 1"/>
    <w:basedOn w:val="a"/>
    <w:next w:val="a"/>
    <w:autoRedefine/>
    <w:uiPriority w:val="39"/>
    <w:unhideWhenUsed/>
    <w:rsid w:val="00D1530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D15302"/>
    <w:pPr>
      <w:spacing w:after="100"/>
      <w:ind w:left="220"/>
    </w:pPr>
  </w:style>
  <w:style w:type="table" w:customStyle="1" w:styleId="100">
    <w:name w:val="10"/>
    <w:basedOn w:val="a1"/>
    <w:rsid w:val="00D15302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2">
    <w:name w:val="12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10">
    <w:name w:val="11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9">
    <w:name w:val="9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8">
    <w:name w:val="8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paragraph" w:styleId="a6">
    <w:name w:val="caption"/>
    <w:basedOn w:val="a"/>
    <w:next w:val="a"/>
    <w:uiPriority w:val="35"/>
    <w:unhideWhenUsed/>
    <w:qFormat/>
    <w:rsid w:val="0079758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B67A9"/>
  </w:style>
  <w:style w:type="paragraph" w:styleId="a9">
    <w:name w:val="footer"/>
    <w:basedOn w:val="a"/>
    <w:link w:val="aa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B67A9"/>
  </w:style>
  <w:style w:type="paragraph" w:styleId="ab">
    <w:name w:val="Balloon Text"/>
    <w:basedOn w:val="a"/>
    <w:link w:val="ac"/>
    <w:uiPriority w:val="99"/>
    <w:semiHidden/>
    <w:unhideWhenUsed/>
    <w:rsid w:val="00AB4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B4633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ED2DA2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ED2DA2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ED2DA2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ED2DA2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ED2DA2"/>
    <w:rPr>
      <w:b/>
      <w:bCs/>
      <w:sz w:val="20"/>
      <w:szCs w:val="20"/>
    </w:rPr>
  </w:style>
  <w:style w:type="character" w:customStyle="1" w:styleId="citation">
    <w:name w:val="citation"/>
    <w:basedOn w:val="a0"/>
    <w:rsid w:val="00A00530"/>
  </w:style>
  <w:style w:type="character" w:styleId="af2">
    <w:name w:val="Strong"/>
    <w:basedOn w:val="a0"/>
    <w:uiPriority w:val="22"/>
    <w:qFormat/>
    <w:rsid w:val="00A00530"/>
    <w:rPr>
      <w:b/>
      <w:bCs/>
    </w:rPr>
  </w:style>
  <w:style w:type="paragraph" w:styleId="af3">
    <w:name w:val="Body Text Indent"/>
    <w:basedOn w:val="a"/>
    <w:link w:val="af4"/>
    <w:rsid w:val="00A00530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4">
    <w:name w:val="Основной текст с отступом Знак"/>
    <w:basedOn w:val="a0"/>
    <w:link w:val="af3"/>
    <w:rsid w:val="00A0053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5">
    <w:name w:val="Emphasis"/>
    <w:basedOn w:val="a0"/>
    <w:qFormat/>
    <w:rsid w:val="00BF67BA"/>
    <w:rPr>
      <w:i/>
      <w:iCs/>
    </w:rPr>
  </w:style>
  <w:style w:type="paragraph" w:customStyle="1" w:styleId="sm">
    <w:name w:val="sm"/>
    <w:basedOn w:val="a"/>
    <w:rsid w:val="00BF6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Абзац списка4"/>
    <w:basedOn w:val="a"/>
    <w:rsid w:val="00BF67BA"/>
    <w:pPr>
      <w:spacing w:after="200" w:line="276" w:lineRule="auto"/>
      <w:ind w:left="720"/>
    </w:pPr>
    <w:rPr>
      <w:rFonts w:ascii="Calibri" w:eastAsia="Times New Roman" w:hAnsi="Calibri" w:cs="Times New Roman"/>
      <w:lang w:eastAsia="ru-RU"/>
    </w:rPr>
  </w:style>
  <w:style w:type="paragraph" w:styleId="af6">
    <w:name w:val="Normal (Web)"/>
    <w:basedOn w:val="a"/>
    <w:uiPriority w:val="99"/>
    <w:semiHidden/>
    <w:unhideWhenUsed/>
    <w:rsid w:val="007A4FF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f7">
    <w:name w:val="TOC Heading"/>
    <w:basedOn w:val="1"/>
    <w:next w:val="a"/>
    <w:uiPriority w:val="39"/>
    <w:semiHidden/>
    <w:unhideWhenUsed/>
    <w:qFormat/>
    <w:rsid w:val="00CB2B48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bCs/>
      <w:color w:val="2E74B5" w:themeColor="accent1" w:themeShade="BF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0317AB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31">
    <w:name w:val="toc 3"/>
    <w:basedOn w:val="a"/>
    <w:next w:val="a"/>
    <w:autoRedefine/>
    <w:uiPriority w:val="39"/>
    <w:unhideWhenUsed/>
    <w:rsid w:val="005101D9"/>
    <w:pPr>
      <w:spacing w:after="100"/>
      <w:ind w:left="44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F6A"/>
  </w:style>
  <w:style w:type="paragraph" w:styleId="1">
    <w:name w:val="heading 1"/>
    <w:basedOn w:val="a"/>
    <w:next w:val="a"/>
    <w:link w:val="10"/>
    <w:rsid w:val="00F955A3"/>
    <w:pPr>
      <w:keepNext/>
      <w:keepLines/>
      <w:spacing w:before="480" w:after="0" w:line="360" w:lineRule="auto"/>
      <w:jc w:val="both"/>
      <w:outlineLvl w:val="0"/>
    </w:pPr>
    <w:rPr>
      <w:rFonts w:ascii="Calibri" w:eastAsia="Calibri" w:hAnsi="Calibri" w:cs="Calibri"/>
      <w:b/>
      <w:color w:val="2F5496"/>
      <w:sz w:val="28"/>
      <w:szCs w:val="28"/>
      <w:lang w:val="uk-UA"/>
    </w:rPr>
  </w:style>
  <w:style w:type="paragraph" w:styleId="2">
    <w:name w:val="heading 2"/>
    <w:basedOn w:val="a"/>
    <w:next w:val="a"/>
    <w:link w:val="20"/>
    <w:rsid w:val="00F955A3"/>
    <w:pPr>
      <w:keepNext/>
      <w:keepLines/>
      <w:spacing w:before="200" w:after="0"/>
      <w:outlineLvl w:val="1"/>
    </w:pPr>
    <w:rPr>
      <w:rFonts w:ascii="Calibri" w:eastAsia="Calibri" w:hAnsi="Calibri" w:cs="Calibri"/>
      <w:b/>
      <w:color w:val="4472C4"/>
      <w:sz w:val="26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317A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955A3"/>
    <w:rPr>
      <w:rFonts w:ascii="Calibri" w:eastAsia="Calibri" w:hAnsi="Calibri" w:cs="Calibri"/>
      <w:b/>
      <w:color w:val="2F5496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rsid w:val="00F955A3"/>
    <w:rPr>
      <w:rFonts w:ascii="Calibri" w:eastAsia="Calibri" w:hAnsi="Calibri" w:cs="Calibri"/>
      <w:b/>
      <w:color w:val="4472C4"/>
      <w:sz w:val="26"/>
      <w:szCs w:val="26"/>
      <w:lang w:val="uk-UA"/>
    </w:rPr>
  </w:style>
  <w:style w:type="character" w:styleId="a3">
    <w:name w:val="Hyperlink"/>
    <w:basedOn w:val="a0"/>
    <w:uiPriority w:val="99"/>
    <w:unhideWhenUsed/>
    <w:rsid w:val="005B6CD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B12EA"/>
    <w:pPr>
      <w:spacing w:after="200" w:line="276" w:lineRule="auto"/>
      <w:ind w:left="720"/>
      <w:contextualSpacing/>
    </w:pPr>
  </w:style>
  <w:style w:type="table" w:styleId="a5">
    <w:name w:val="Table Grid"/>
    <w:basedOn w:val="a1"/>
    <w:rsid w:val="00F064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1">
    <w:name w:val="toc 1"/>
    <w:basedOn w:val="a"/>
    <w:next w:val="a"/>
    <w:autoRedefine/>
    <w:uiPriority w:val="39"/>
    <w:unhideWhenUsed/>
    <w:rsid w:val="00D1530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D15302"/>
    <w:pPr>
      <w:spacing w:after="100"/>
      <w:ind w:left="220"/>
    </w:pPr>
  </w:style>
  <w:style w:type="table" w:customStyle="1" w:styleId="100">
    <w:name w:val="10"/>
    <w:basedOn w:val="a1"/>
    <w:rsid w:val="00D15302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2">
    <w:name w:val="12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10">
    <w:name w:val="11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9">
    <w:name w:val="9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8">
    <w:name w:val="8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paragraph" w:styleId="a6">
    <w:name w:val="caption"/>
    <w:basedOn w:val="a"/>
    <w:next w:val="a"/>
    <w:uiPriority w:val="35"/>
    <w:unhideWhenUsed/>
    <w:qFormat/>
    <w:rsid w:val="0079758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B67A9"/>
  </w:style>
  <w:style w:type="paragraph" w:styleId="a9">
    <w:name w:val="footer"/>
    <w:basedOn w:val="a"/>
    <w:link w:val="aa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B67A9"/>
  </w:style>
  <w:style w:type="paragraph" w:styleId="ab">
    <w:name w:val="Balloon Text"/>
    <w:basedOn w:val="a"/>
    <w:link w:val="ac"/>
    <w:uiPriority w:val="99"/>
    <w:semiHidden/>
    <w:unhideWhenUsed/>
    <w:rsid w:val="00AB4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B4633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ED2DA2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ED2DA2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ED2DA2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ED2DA2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ED2DA2"/>
    <w:rPr>
      <w:b/>
      <w:bCs/>
      <w:sz w:val="20"/>
      <w:szCs w:val="20"/>
    </w:rPr>
  </w:style>
  <w:style w:type="character" w:customStyle="1" w:styleId="citation">
    <w:name w:val="citation"/>
    <w:basedOn w:val="a0"/>
    <w:rsid w:val="00A00530"/>
  </w:style>
  <w:style w:type="character" w:styleId="af2">
    <w:name w:val="Strong"/>
    <w:basedOn w:val="a0"/>
    <w:uiPriority w:val="22"/>
    <w:qFormat/>
    <w:rsid w:val="00A00530"/>
    <w:rPr>
      <w:b/>
      <w:bCs/>
    </w:rPr>
  </w:style>
  <w:style w:type="paragraph" w:styleId="af3">
    <w:name w:val="Body Text Indent"/>
    <w:basedOn w:val="a"/>
    <w:link w:val="af4"/>
    <w:rsid w:val="00A00530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4">
    <w:name w:val="Основной текст с отступом Знак"/>
    <w:basedOn w:val="a0"/>
    <w:link w:val="af3"/>
    <w:rsid w:val="00A0053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5">
    <w:name w:val="Emphasis"/>
    <w:basedOn w:val="a0"/>
    <w:qFormat/>
    <w:rsid w:val="00BF67BA"/>
    <w:rPr>
      <w:i/>
      <w:iCs/>
    </w:rPr>
  </w:style>
  <w:style w:type="paragraph" w:customStyle="1" w:styleId="sm">
    <w:name w:val="sm"/>
    <w:basedOn w:val="a"/>
    <w:rsid w:val="00BF6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Абзац списка4"/>
    <w:basedOn w:val="a"/>
    <w:rsid w:val="00BF67BA"/>
    <w:pPr>
      <w:spacing w:after="200" w:line="276" w:lineRule="auto"/>
      <w:ind w:left="720"/>
    </w:pPr>
    <w:rPr>
      <w:rFonts w:ascii="Calibri" w:eastAsia="Times New Roman" w:hAnsi="Calibri" w:cs="Times New Roman"/>
      <w:lang w:eastAsia="ru-RU"/>
    </w:rPr>
  </w:style>
  <w:style w:type="paragraph" w:styleId="af6">
    <w:name w:val="Normal (Web)"/>
    <w:basedOn w:val="a"/>
    <w:uiPriority w:val="99"/>
    <w:semiHidden/>
    <w:unhideWhenUsed/>
    <w:rsid w:val="007A4FF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f7">
    <w:name w:val="TOC Heading"/>
    <w:basedOn w:val="1"/>
    <w:next w:val="a"/>
    <w:uiPriority w:val="39"/>
    <w:semiHidden/>
    <w:unhideWhenUsed/>
    <w:qFormat/>
    <w:rsid w:val="00CB2B48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bCs/>
      <w:color w:val="2E74B5" w:themeColor="accent1" w:themeShade="BF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0317AB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31">
    <w:name w:val="toc 3"/>
    <w:basedOn w:val="a"/>
    <w:next w:val="a"/>
    <w:autoRedefine/>
    <w:uiPriority w:val="39"/>
    <w:unhideWhenUsed/>
    <w:rsid w:val="005101D9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6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6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6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60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who.int/ru/campaigns/world-hepatitis-day/2019/10-messages-for-policymakers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rmj.ru/authors/naumenkova_i_v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rmj.ru/authors/mayorov_a_yu/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s://doi.org/10.22625/2072-6732-2018-10-4-37-41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www.who.int/diabetes/ru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4D0393-849F-4626-BEAD-CDD988349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14861</Words>
  <Characters>8471</Characters>
  <Application>Microsoft Office Word</Application>
  <DocSecurity>0</DocSecurity>
  <Lines>70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Romeo1994</Company>
  <LinksUpToDate>false</LinksUpToDate>
  <CharactersWithSpaces>23286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Yarik</dc:creator>
  <cp:lastModifiedBy>admin</cp:lastModifiedBy>
  <cp:revision>2</cp:revision>
  <dcterms:created xsi:type="dcterms:W3CDTF">2021-09-02T07:07:00Z</dcterms:created>
  <dcterms:modified xsi:type="dcterms:W3CDTF">2021-09-02T07:07:00Z</dcterms:modified>
</cp:coreProperties>
</file>