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E56F81" w:rsidRDefault="00E56F81" w:rsidP="00E56F81">
      <w:pP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t>ДИПЛОМНА РОБОТА</w:t>
      </w: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на здобуття ступеня вищої освіти </w:t>
      </w:r>
      <w:r>
        <w:rPr>
          <w:rFonts w:ascii="Times New Roman" w:hAnsi="Times New Roman"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sz w:val="28"/>
          <w:szCs w:val="28"/>
          <w:lang w:val="uk-UA" w:eastAsia="ru-RU"/>
        </w:rPr>
        <w:t>магістр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E56F81" w:rsidRDefault="00E56F81" w:rsidP="00E56F81">
      <w:pPr>
        <w:tabs>
          <w:tab w:val="left" w:pos="59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 w:eastAsia="uk-UA"/>
        </w:rPr>
        <w:t>на тему: «</w:t>
      </w:r>
      <w:r>
        <w:rPr>
          <w:rFonts w:ascii="Times New Roman" w:hAnsi="Times New Roman"/>
          <w:b/>
          <w:sz w:val="28"/>
          <w:szCs w:val="28"/>
          <w:lang w:val="uk-UA"/>
        </w:rPr>
        <w:t>Сучасні тенденції функціонування державних банків у світовій економіці»</w:t>
      </w: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 w:eastAsia="uk-UA"/>
        </w:rPr>
      </w:pPr>
      <w:r>
        <w:rPr>
          <w:rFonts w:ascii="Times New Roman" w:hAnsi="Times New Roman"/>
          <w:sz w:val="24"/>
          <w:szCs w:val="24"/>
          <w:lang w:val="en-US"/>
        </w:rPr>
        <w:t>«Current trends in the functioning of state-owned banks in the world economy»</w:t>
      </w:r>
    </w:p>
    <w:p w:rsidR="00E56F81" w:rsidRDefault="00E56F81" w:rsidP="00E56F81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</w:t>
      </w:r>
    </w:p>
    <w:p w:rsidR="00E56F81" w:rsidRDefault="00E56F81" w:rsidP="00E56F81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ind w:left="282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Виконав: студент денної форми навчання</w:t>
      </w:r>
    </w:p>
    <w:p w:rsidR="00E56F81" w:rsidRDefault="00E56F81" w:rsidP="00E56F81">
      <w:pPr>
        <w:spacing w:after="0" w:line="240" w:lineRule="auto"/>
        <w:ind w:left="282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4"/>
          <w:lang w:val="uk-UA" w:eastAsia="ru-RU"/>
        </w:rPr>
        <w:t>спеціальності 292 «Міжнародні економічні відносини»</w:t>
      </w:r>
    </w:p>
    <w:p w:rsidR="00E56F81" w:rsidRDefault="00E56F81" w:rsidP="00E56F81">
      <w:pPr>
        <w:spacing w:after="0" w:line="240" w:lineRule="auto"/>
        <w:ind w:left="282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Артем Максимович</w:t>
      </w:r>
    </w:p>
    <w:p w:rsidR="00E56F81" w:rsidRDefault="00E56F81" w:rsidP="00E56F81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</w:t>
      </w:r>
    </w:p>
    <w:p w:rsidR="00E56F81" w:rsidRDefault="00E56F81" w:rsidP="00E56F81">
      <w:pPr>
        <w:spacing w:after="0" w:line="240" w:lineRule="auto"/>
        <w:ind w:left="4956" w:firstLine="240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56F81" w:rsidRDefault="00E56F81" w:rsidP="00E56F81">
      <w:pPr>
        <w:tabs>
          <w:tab w:val="left" w:pos="6300"/>
        </w:tabs>
        <w:spacing w:after="0" w:line="240" w:lineRule="auto"/>
        <w:ind w:left="2829" w:right="-7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Науковий керівник: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 w:eastAsia="ru-RU"/>
        </w:rPr>
        <w:t>доц. Родіонова Т.А. ________</w:t>
      </w:r>
    </w:p>
    <w:p w:rsidR="00E56F81" w:rsidRDefault="00E56F81" w:rsidP="00E56F81">
      <w:pPr>
        <w:spacing w:after="0" w:line="240" w:lineRule="auto"/>
        <w:ind w:left="282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Рецензент: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., проф.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Горняк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О.В.</w:t>
      </w:r>
    </w:p>
    <w:p w:rsidR="00E56F81" w:rsidRDefault="00E56F81" w:rsidP="00E56F81">
      <w:pPr>
        <w:spacing w:after="0" w:line="240" w:lineRule="auto"/>
        <w:ind w:firstLine="240"/>
        <w:rPr>
          <w:rFonts w:ascii="Times New Roman" w:hAnsi="Times New Roman"/>
          <w:sz w:val="20"/>
          <w:szCs w:val="20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240"/>
        <w:rPr>
          <w:rFonts w:ascii="Times New Roman" w:hAnsi="Times New Roman"/>
          <w:sz w:val="20"/>
          <w:szCs w:val="20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</w:t>
      </w:r>
    </w:p>
    <w:p w:rsidR="00E56F81" w:rsidRDefault="00E56F81" w:rsidP="00E56F81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</w:t>
      </w: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Рекомендовано до захисту:                 Захищено на засіданні ЕК № 4</w:t>
      </w: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Протокол засідання кафедри               протокол №___від ___12. 2020р.</w:t>
      </w: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№ 3 від 25.11.2020 р.                            Оцінка____________/______/______                         </w:t>
      </w: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Завідувач кафедри                                 Голова ЕК</w:t>
      </w:r>
    </w:p>
    <w:p w:rsidR="00E56F81" w:rsidRDefault="00E56F81" w:rsidP="00E56F81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__________ Якубовський С.О.             __________ Якубовський С.О.</w:t>
      </w:r>
    </w:p>
    <w:p w:rsidR="00E56F81" w:rsidRDefault="00E56F81" w:rsidP="00E56F8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56F81" w:rsidRDefault="00E56F81" w:rsidP="00E56F8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en-US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Одеса – 2020</w:t>
      </w:r>
    </w:p>
    <w:tbl>
      <w:tblPr>
        <w:tblW w:w="9570" w:type="dxa"/>
        <w:jc w:val="center"/>
        <w:tblLayout w:type="fixed"/>
        <w:tblLook w:val="04A0" w:firstRow="1" w:lastRow="0" w:firstColumn="1" w:lastColumn="0" w:noHBand="0" w:noVBand="1"/>
      </w:tblPr>
      <w:tblGrid>
        <w:gridCol w:w="8896"/>
        <w:gridCol w:w="674"/>
      </w:tblGrid>
      <w:tr w:rsidR="00E56F81" w:rsidTr="00E56F81">
        <w:trPr>
          <w:trHeight w:val="399"/>
          <w:jc w:val="center"/>
        </w:trPr>
        <w:tc>
          <w:tcPr>
            <w:tcW w:w="8897" w:type="dxa"/>
          </w:tcPr>
          <w:p w:rsidR="00E56F81" w:rsidRDefault="00E56F81" w:rsidP="00E56F81">
            <w:pPr>
              <w:spacing w:after="0" w:line="360" w:lineRule="auto"/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  <w:lastRenderedPageBreak/>
              <w:t>ЗМІСТ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proofErr w:type="gramStart"/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ВСТУП</w:t>
            </w:r>
            <w:proofErr w:type="gramEnd"/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……………………………...………………………………………...</w:t>
            </w:r>
          </w:p>
        </w:tc>
        <w:tc>
          <w:tcPr>
            <w:tcW w:w="674" w:type="dxa"/>
          </w:tcPr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стр</w:t>
            </w:r>
            <w:proofErr w:type="spellEnd"/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.</w:t>
            </w:r>
          </w:p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 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3</w:t>
            </w:r>
          </w:p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</w:tc>
      </w:tr>
      <w:tr w:rsidR="00E56F81" w:rsidTr="00E56F81">
        <w:trPr>
          <w:trHeight w:val="573"/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РОЗДІЛ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 xml:space="preserve"> 1</w:t>
            </w:r>
            <w:r w:rsidRPr="00E56F81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ТЕОРЕТИЧНІ ОСНОВИ АНАЛІЗУ ФУНКЦІОНУВАННЯ ДЕРЖАВНИХ БАНКІВ……………………………………………………..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  6</w:t>
            </w:r>
          </w:p>
        </w:tc>
      </w:tr>
      <w:tr w:rsidR="00E56F81" w:rsidTr="00E56F81">
        <w:trPr>
          <w:jc w:val="center"/>
        </w:trPr>
        <w:tc>
          <w:tcPr>
            <w:tcW w:w="8897" w:type="dxa"/>
            <w:hideMark/>
          </w:tcPr>
          <w:p w:rsidR="00E56F81" w:rsidRPr="00E56F81" w:rsidRDefault="00E56F81" w:rsidP="0079082E">
            <w:pPr>
              <w:pStyle w:val="a3"/>
              <w:numPr>
                <w:ilvl w:val="1"/>
                <w:numId w:val="1"/>
              </w:num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Державні банки та їх вплив на економіку країн …………....…</w:t>
            </w:r>
            <w:r w:rsidRPr="00E56F81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………</w:t>
            </w:r>
          </w:p>
          <w:p w:rsidR="00E56F81" w:rsidRPr="00E56F81" w:rsidRDefault="00E56F81" w:rsidP="0079082E">
            <w:pPr>
              <w:pStyle w:val="a3"/>
              <w:numPr>
                <w:ilvl w:val="1"/>
                <w:numId w:val="1"/>
              </w:num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Підходи до моделювання ефективності державних банків…………..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  6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12  </w:t>
            </w:r>
          </w:p>
        </w:tc>
      </w:tr>
      <w:tr w:rsidR="00E56F81" w:rsidTr="00E56F81">
        <w:trPr>
          <w:jc w:val="center"/>
        </w:trPr>
        <w:tc>
          <w:tcPr>
            <w:tcW w:w="8897" w:type="dxa"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</w:tc>
        <w:tc>
          <w:tcPr>
            <w:tcW w:w="674" w:type="dxa"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</w:tc>
      </w:tr>
      <w:tr w:rsidR="00E56F81" w:rsidTr="00E56F81">
        <w:trPr>
          <w:trHeight w:val="393"/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РОЗДІЛ 2 ПОРІВНЯННЯ ЕФЕКТИВНОСТІ ФУНКЦІОНУВАННЯ ПРИВАТНИХ, ДЕРЖАВНИХ ТА ІНШИХ БАНКІВ НА ПРИКЛАДІ ДЕЯКИХ КРАЇН СВІТУ...………………………………………………….</w:t>
            </w:r>
          </w:p>
        </w:tc>
        <w:tc>
          <w:tcPr>
            <w:tcW w:w="674" w:type="dxa"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18</w:t>
            </w:r>
          </w:p>
        </w:tc>
      </w:tr>
      <w:tr w:rsidR="00E56F81" w:rsidTr="00E56F81">
        <w:trPr>
          <w:trHeight w:val="187"/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2.1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Особливості функціонування банківської системи Німеччини……..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18</w:t>
            </w:r>
          </w:p>
        </w:tc>
      </w:tr>
      <w:tr w:rsidR="00E56F81" w:rsidTr="00E56F81">
        <w:trPr>
          <w:trHeight w:val="627"/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2.2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Аналіз основних показників банківської системи Індії………..…….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2.3 Оцінка ролі державних банків у банківській системі Росії…………..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27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31</w:t>
            </w:r>
          </w:p>
        </w:tc>
      </w:tr>
      <w:tr w:rsidR="00E56F81" w:rsidTr="00E56F81">
        <w:trPr>
          <w:trHeight w:val="627"/>
          <w:jc w:val="center"/>
        </w:trPr>
        <w:tc>
          <w:tcPr>
            <w:tcW w:w="8897" w:type="dxa"/>
          </w:tcPr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</w:p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</w:p>
        </w:tc>
        <w:tc>
          <w:tcPr>
            <w:tcW w:w="674" w:type="dxa"/>
          </w:tcPr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</w:tc>
      </w:tr>
      <w:tr w:rsidR="00E56F81" w:rsidTr="00E56F81">
        <w:trPr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ind w:right="-481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bCs/>
                <w:sz w:val="28"/>
                <w:szCs w:val="28"/>
                <w:lang w:val="uk-UA" w:eastAsia="ru-RU"/>
              </w:rPr>
              <w:t>РОЗДІЛ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3 АНАЛІЗ ЕФЕКТИВНОСТІ ДЕРЖАВНИХ, ПРИВАТНИХ І ІНОЗЕМНИХ БАНКІВ УКРАЇНИ……………………….……………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….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</w:t>
            </w:r>
          </w:p>
          <w:p w:rsidR="00E56F81" w:rsidRDefault="00E56F81">
            <w:pPr>
              <w:spacing w:after="0" w:line="360" w:lineRule="auto"/>
              <w:ind w:right="-481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3.1 Аналіз основних показників діяльності банківської системи України………………………………………………………………………</w:t>
            </w:r>
          </w:p>
          <w:p w:rsidR="00E56F81" w:rsidRPr="00E56F81" w:rsidRDefault="00E56F81">
            <w:pPr>
              <w:spacing w:after="0" w:line="360" w:lineRule="auto"/>
              <w:ind w:right="-481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3.2 Шляхи до реформування діяльності державних банків……………...</w:t>
            </w:r>
          </w:p>
          <w:p w:rsidR="00E56F81" w:rsidRDefault="00E56F81">
            <w:pPr>
              <w:spacing w:after="0" w:line="360" w:lineRule="auto"/>
              <w:ind w:right="-481"/>
              <w:rPr>
                <w:rFonts w:ascii="Times New Roman" w:eastAsia="Arial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56F8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3.3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Моделювання ефективності державних банків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Україні….………...</w:t>
            </w:r>
          </w:p>
        </w:tc>
        <w:tc>
          <w:tcPr>
            <w:tcW w:w="674" w:type="dxa"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37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 xml:space="preserve"> 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37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50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53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</w:tc>
      </w:tr>
      <w:tr w:rsidR="00E56F81" w:rsidTr="00E56F81">
        <w:trPr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ВИСНОВКИ………………………………………………………………...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56</w:t>
            </w:r>
          </w:p>
        </w:tc>
      </w:tr>
      <w:tr w:rsidR="00E56F81" w:rsidTr="00E56F81">
        <w:trPr>
          <w:jc w:val="center"/>
        </w:trPr>
        <w:tc>
          <w:tcPr>
            <w:tcW w:w="8897" w:type="dxa"/>
            <w:hideMark/>
          </w:tcPr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>СПИСОК ВИКОРИСТАН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ИХ</w:t>
            </w: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 xml:space="preserve"> ДЖЕРЕ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Л</w:t>
            </w: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>……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……………………………...</w:t>
            </w:r>
          </w:p>
          <w:p w:rsidR="00E56F81" w:rsidRDefault="00E56F81">
            <w:pPr>
              <w:spacing w:after="0" w:line="360" w:lineRule="auto"/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ДОДАТКИ…………………………………………………………………...</w:t>
            </w:r>
          </w:p>
        </w:tc>
        <w:tc>
          <w:tcPr>
            <w:tcW w:w="674" w:type="dxa"/>
            <w:hideMark/>
          </w:tcPr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59</w:t>
            </w:r>
          </w:p>
          <w:p w:rsidR="00E56F81" w:rsidRDefault="00E56F81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6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GB" w:eastAsia="ru-RU"/>
              </w:rPr>
              <w:t>7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 </w:t>
            </w:r>
          </w:p>
        </w:tc>
      </w:tr>
    </w:tbl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Державні банки як і раніше широко поширені у всьому світі, незважаючи на велику кількість приватизацій, що мали місце протягом останніх чотирьох десятиліть, коли уряди скоротили свою роль в економіці. У середньому державні банки володіють 21% активів банківської системи у всьому світі.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Зростання фінансової глобалізації з 1990-х років призвело до значних змін у банківській системі багатьох країн світу. Як у розвинених, так і в країнах, що розвиваються, частка іноземних банків значно збільшилася, тоді як частка державних банків зменшилась. Світова фінансова криза 2008-2009 рр. знову викликала суперечки щодо структури власності банківського сектору та його наслідків для фінансового посередництва. Деякі дослідники стверджували, що присутність іноземних інвесторів в економіках як розвинених, так і країн, що розвиваються, суттєво вплинула на поширення кризи. Водночас країни, в яких державні банки відіграють значну роль, змогли швидше оговтатися від наслідків кризи.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Основним аргументом на користь існування державних банків є те, що вони можуть сприяти розвитку певних секторів чи регіонів, які не обслуговувалися б приватними банками. Вони виконують функції, які не виконуються приватними банками: вони забезпечують фінансування проектів, які приносять користь решті економіки, і надають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антициклічне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кредитування (чим слабша економіка, тим суттєвіше кредитування). Але державні банки через очевидну участь держави в їх управлінні найчастіше виконують вказівки уряду. Як результат, участь уряду в банківській системі може послабити фінансову дисципліну, дозволяючи державному сектору отримати доступ до фінансування, яке вони не отримуватимуть з інших джерел. Деякі економісти та політики стверджують, що державна власність на банки необхідна для стимулювання фінансового розвитку та стимулювання економічного зростання. Інші стверджують протилежне і стверджують, що державна власність на банки стримує фінансовий розвиток та гальмує економічне зростання.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 контексті цього дослідження аналіз ефективності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державних, приватних та інших банків деяких країн світу є актуальним.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дипломної роботи є порівняльний аналіз ефективності державних, приватних та інших банків деяких країн світу.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цілей дипломної роботи були поставлені наступні завдання:</w:t>
      </w:r>
    </w:p>
    <w:p w:rsidR="00E56F81" w:rsidRDefault="00E56F81" w:rsidP="00E56F8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теорії функціонування банківської системи та визначити вплив державних банків на економіку країн</w:t>
      </w:r>
    </w:p>
    <w:p w:rsidR="00E56F81" w:rsidRDefault="00E56F81" w:rsidP="00E56F8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теоретичні основи до моделювання ефективності державних банків</w:t>
      </w:r>
    </w:p>
    <w:p w:rsidR="00E56F81" w:rsidRDefault="00E56F81" w:rsidP="00E56F8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Порівняти ефективність функціонування приватних, державних та інших банків на прикладі деяких країн світу</w:t>
      </w:r>
    </w:p>
    <w:p w:rsidR="00E56F81" w:rsidRDefault="00E56F81" w:rsidP="00E56F8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ефективність державних, приватних і іноземних банків України</w:t>
      </w:r>
    </w:p>
    <w:p w:rsidR="00E56F81" w:rsidRDefault="00E56F81" w:rsidP="00E56F8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Надати рекомендації щодо покращення діяльності державних банків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Об'єктом даного дослідження є вплив державних банків на економіку країн, предметом - ефективність функціонування приватних, державних та інших банків у деяких країнах світу.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 робота складається з вступу, трьох розділів, висновків, списку з  використаних джерел.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першому розділі описані теоретичні основи функціонування банківської системи, впливу державних банків на економіку та були наведені теоретичні основи до моделювання ефективності державних банків. У другому розділі проведено порівняння ефективності функціонування приватних, державних та інших банків на прикладі деяких країн світу. У третьому розділі проаналізовано ефективність державних, приватних і іноземних банків України та наведено рекомендації щодо покращення діяльності державних банків.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Теоретичною частиною даної дипломної роботи виступили наукові статті іноземних видавців дослідників, свої особисті дослідження, які пройшли апробацію на наукових конференціях, та особисті наукові статті:</w:t>
      </w:r>
    </w:p>
    <w:p w:rsidR="00E56F81" w:rsidRDefault="00E56F81" w:rsidP="00E56F81">
      <w:pPr>
        <w:pStyle w:val="a3"/>
        <w:numPr>
          <w:ilvl w:val="0"/>
          <w:numId w:val="3"/>
        </w:numPr>
        <w:spacing w:after="0" w:line="360" w:lineRule="auto"/>
        <w:ind w:left="1066" w:hanging="35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М., Родіонова Т. А. Особливості функціонування та структура банківських систем країн ЄС // Збірник наукових праць десятої міжнародної науково-практичної конференції «Добробут націй в умовах європейської інтеграції». - 2020. - С. 35-37.</w:t>
      </w:r>
    </w:p>
    <w:p w:rsidR="00E56F81" w:rsidRDefault="00E56F81" w:rsidP="00E56F81">
      <w:pPr>
        <w:pStyle w:val="a3"/>
        <w:numPr>
          <w:ilvl w:val="0"/>
          <w:numId w:val="3"/>
        </w:numPr>
        <w:spacing w:after="0" w:line="360" w:lineRule="auto"/>
        <w:ind w:left="1066" w:hanging="35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М., Родіонова Т. А. Особливості функціонування та структура банківської системи України // Збірник наукових праць міжнародної науково-практичної конференції «Прогнозування розвитку соціально-економічних систем». - 2020. - С. 13-17.</w:t>
      </w:r>
    </w:p>
    <w:p w:rsidR="00E56F81" w:rsidRDefault="00E56F81" w:rsidP="00E56F81">
      <w:pPr>
        <w:pStyle w:val="a3"/>
        <w:numPr>
          <w:ilvl w:val="0"/>
          <w:numId w:val="3"/>
        </w:numPr>
        <w:spacing w:after="0" w:line="360" w:lineRule="auto"/>
        <w:ind w:left="1066" w:hanging="35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Piatkov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Artem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Rodionova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Tatiana. Analysis of the performance of private, state and cooperative banks in Germany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 // </w:t>
      </w:r>
      <w:r>
        <w:rPr>
          <w:rFonts w:ascii="Times New Roman" w:hAnsi="Times New Roman"/>
          <w:sz w:val="28"/>
          <w:szCs w:val="28"/>
          <w:lang w:val="uk-UA"/>
        </w:rPr>
        <w:t xml:space="preserve">Приазовський економічний вісник: електрон. наук. ж.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4 (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21) 2020, </w:t>
      </w:r>
      <w:r>
        <w:rPr>
          <w:rFonts w:ascii="Times New Roman" w:hAnsi="Times New Roman"/>
          <w:sz w:val="28"/>
          <w:szCs w:val="28"/>
        </w:rPr>
        <w:t>с</w:t>
      </w:r>
      <w:r w:rsidRPr="00E56F81">
        <w:rPr>
          <w:rFonts w:ascii="Times New Roman" w:hAnsi="Times New Roman"/>
          <w:sz w:val="28"/>
          <w:szCs w:val="28"/>
          <w:lang w:val="en-US"/>
        </w:rPr>
        <w:t>. 8-14.</w:t>
      </w:r>
    </w:p>
    <w:p w:rsidR="00E56F81" w:rsidRDefault="00E56F81" w:rsidP="00E56F81">
      <w:pPr>
        <w:pStyle w:val="a3"/>
        <w:numPr>
          <w:ilvl w:val="0"/>
          <w:numId w:val="3"/>
        </w:numPr>
        <w:spacing w:after="0" w:line="360" w:lineRule="auto"/>
        <w:ind w:left="1066" w:hanging="35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Артем Максимович, Родіонова Тетяна Андріївна. Аналіз ефективності державних, приватних і іноземних банків України // Вісник Харківського національного університету імені В.Н. Каразіна. Серія «Міжнародні відносини. Економіка. Країнознавство. Туризм». - 2020. №12 (у друці).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були використані звіти наступних статистичних джерел – </w:t>
      </w:r>
      <w:r>
        <w:rPr>
          <w:rFonts w:ascii="Times New Roman" w:hAnsi="Times New Roman"/>
          <w:sz w:val="28"/>
          <w:szCs w:val="28"/>
          <w:lang w:val="en-GB"/>
        </w:rPr>
        <w:t>EBF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DSGV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Deutsche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Bundesbank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IBEF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Reserve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Bank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of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India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NBU</w:t>
      </w:r>
      <w:r w:rsidRPr="00E56F8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Minfin</w:t>
      </w:r>
      <w:proofErr w:type="spellEnd"/>
      <w:r w:rsidRPr="00E56F8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інші.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 робота є самостійно виконаним науковим дослідженням, усі викладені наукові результати у роботі, що виносяться на захист – отримані автором особисто. За темою дипломної роботи автором у співавторстві опубліковано 2 наукові роботи у провідних наукових фахових виданнях України, а саме у збірнику «Вісник Харківського національного університету імені В.Н. Каразіна» та «Приазовський економічний вісник». Матеріали дослідження обговорювалися на десятій міжнародній науково-практичній конференції «Добробут націй в умовах європейської інтеграції».</w:t>
      </w:r>
    </w:p>
    <w:p w:rsidR="006B7CDC" w:rsidRDefault="006B7CDC">
      <w:pPr>
        <w:rPr>
          <w:lang w:val="uk-UA"/>
        </w:rPr>
      </w:pPr>
    </w:p>
    <w:p w:rsidR="00E56F81" w:rsidRDefault="00E56F81">
      <w:pPr>
        <w:rPr>
          <w:lang w:val="uk-UA"/>
        </w:rPr>
      </w:pPr>
    </w:p>
    <w:p w:rsidR="00E56F81" w:rsidRDefault="00E56F81">
      <w:pPr>
        <w:rPr>
          <w:lang w:val="uk-UA"/>
        </w:rPr>
      </w:pPr>
    </w:p>
    <w:p w:rsidR="00E56F81" w:rsidRDefault="00E56F81">
      <w:pPr>
        <w:rPr>
          <w:lang w:val="uk-UA"/>
        </w:rPr>
      </w:pPr>
    </w:p>
    <w:p w:rsidR="00E56F81" w:rsidRDefault="00E56F81">
      <w:pPr>
        <w:rPr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E56F81" w:rsidRDefault="00E56F81" w:rsidP="00E56F8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56F81" w:rsidRP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Після проведення дослідження можна зробити наступні висновки.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Німеччина – країна, яка володіє найбільшою кількістю кредитних організацій в Єврозоні (1536 станом на 2019 рік). Дослідження показало, що комерційні банки займають найбільшу частку обсягу бізнесу в банківському секторі і складають 38,8%. Державний банківський сектор складає 28,1% від загальної суми активів банків та кооперативні банки складають 13%.</w:t>
      </w:r>
      <w: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Найвищу відсоткову маржу підтримують кооперативні та ощадні банки (однак цей показник за останні роки зменшується в обох категоріях). Процентна маржа комерційних банків станом на 2018 рік становила 1,02%.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Рентабельність власного капіталу кооперативних та ощадних банків також є найвищою серед усіх категорій німецьких банків. Ощадні банки за фінансовий рік 2018 показали хорошу прибутковість (7,25% до оподаткування та 4,82% після). Кооперативні установи показали найкращу прибутковість капіталу серед усіх категорій банків за 2018 фінансовий рік (8,2% до оподаткування та 5,51% після). Ощадні та кооперативні банки також продемонстрували найбільшу віддачу від акціонерного капіталу. Рентабельність кооперативних банків станом на 2018 рік становила 0,7%. Рентабельність ощадних банків станом на 2018 рік становила 0,65%.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співвідношенням витрат і доходів у вузькому визначенні найбільш ефективними виявились ощадні та кооперативні банки (69,9% та 67,4% відповідно).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Індійська банківська система складається з 20 банків державного сектору, 22 банків приватного сектору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44 іноземних банків</w:t>
      </w:r>
      <w:r w:rsidRPr="00E56F81">
        <w:rPr>
          <w:rFonts w:ascii="Times New Roman" w:hAnsi="Times New Roman"/>
          <w:sz w:val="28"/>
          <w:szCs w:val="28"/>
        </w:rPr>
        <w:t>.</w:t>
      </w:r>
      <w:r w:rsidRPr="00E56F81"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Найбільшими активами банківського сектору володіють держані банки, причому їх розмір збільшується в період 2016-2018 років. Активи приватного сектору помітно виросли порівнюючи з 2014 роком (майже в 2). Розмір активів іноземних банків за період 2014-2018 років майже не змінився. Найбільший процентний дохід за весь досліджуваний період також зафіксований державними банками.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Найбільша прибутковість була зафіксована у 2015 році. Прибутковість приватних банків зростає за весь досліджуваний період.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Іноземні банки в період 2014-2016 років продемонстрували найкращу рентабельність акціонерного капіталу. Проте в 2017 році відбулося помітне погіршення рентабельності капіталу. Приватні банки продемонстрували найбільш стабільну рентабельність акціонерного капіталу за період 2014-2018 років. Рентабельність акціонерного капіталу державних банків була гіршою серед усіх категорій в період 2014-2017. Проте у 2018 році рентабельність акціонерного капіталу державних банків покращилася.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Російський банківський сектор в останні роки все більше націоналізується і монополізується в результаті політики Центрального Банку Росії. Кількість діючих банків у Росії наприкінці 2018 року становила 440 і вона продовжувала скорочуватися. У 2014-18 роках Росія втратила майже близько 500 банків через суворіші вимоги до капіталізації та нагляду, а також через збільшення кількості внутрішніх злиття та поглинання, ініційованих банківськими холдинговими групами. Державні банки зробили найбільший внесок у фінансовий результат банківського сектору (1,4 трлн руб), тоді як внесок іноземних банків склав 279 млрд руб, а приватних банків - 137 млрд руб. Державні банки також продемонстрували найкращу рентабельність власного капіталу в період 2014-2018 (19,6% у 2018 році). Проте найкращу рентабельність акціонерного капіталу за весь досліджуваний період 2014-2018 років (крім 2016), продемонстрували іноземні банки (2,8% у 2018 році), що є доволі значним показником.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початку 90-х років істотну роль в банківській системі України починав грати приватний капітал, тоді як державний сектор був представлений лише 2 банками: «Ощадбанком» та «Укрексімбанком». Проте після фінансової кризи 2008-2009 років кількість державних банків зросла. Станом на кінець 2019 року в Україні налічувалося 75 банків (з них 4 – державних та 35 – з іноземним капіталом). Найбільшу долю чистих активів у банківській системі України займають державні банки (55,2% у 2019 році). Доля приватних банків збільшилася до 15%. Доля іноземних банків склала 29,8%.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Найкращі показники чистої процентної маржі продемонстрували іноземні банки. У 2019 році чиста процентна маржа іноземних банків склала 9,57%. Приватні банки також продемонстрували гарні показники, та їх процентна маржа станом на 2019 рік склала 9,08%. Чиста процентна маржа державних банків була найгіршою серед усіх категорій, та станом на 2019 рік склала 3,5%.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Найкращий середній показник рентабельності власного капіталу за останні 3 роки показали іноземні банки. Слід відзначити, що державні банки змогли значно покращити свої результати в порівнянні з 2016 роком (зокрема це стосується «ПриватБанку»). Найкращу рентабельність активів в період 2017-2019 років також продемонстрували іноземні банки.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Найкраще співвідношення витрат і доходів за останні 3 роки продемонстрували іноземні банки (50,01% у 2019 році). Показник приватних банків погіршується в період 2017-2019 років (через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Таскомбанк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») і в 2019 році склав 64,16%. Співвідношення витрат і доходів державних банків в період 2017-2019 помітно покращується, та в 2019 році воно склало 67,54%.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Проведений регресійний аналіз ефективності банків демонструє, що в період 2010-2019 на ефективність всіх банків в Україні значимо вплинули тип власності, загальний капітал, адміністративні витрати, та результати від торгівлі в іноземній валюті. Застосування бінарної змінної в моделі дозволило встановити, що ефективність державних банків в Україні була нижчою, ніж інших комерційних банків.</w:t>
      </w:r>
    </w:p>
    <w:p w:rsidR="00E56F81" w:rsidRDefault="00E56F81" w:rsidP="00E56F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можна зробити загальний висновок, що значний вплив на чисту прибутковість державних банків мають загальний капітал, адміністративні витрати, та результати від торгівлі в іноземній валюті. На прибутковість іноземних та приватних банків також впливає розмір загальних активів.</w:t>
      </w: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E56F81" w:rsidRDefault="00E56F81" w:rsidP="00E56F8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56F81" w:rsidRPr="00E56F81" w:rsidRDefault="00E56F81" w:rsidP="00E56F81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Cull and etc. (2</w:t>
      </w:r>
      <w:r>
        <w:rPr>
          <w:rFonts w:ascii="Times New Roman" w:hAnsi="Times New Roman"/>
          <w:sz w:val="28"/>
          <w:szCs w:val="28"/>
          <w:lang w:val="uk-UA"/>
        </w:rPr>
        <w:t>018</w:t>
      </w:r>
      <w:r>
        <w:rPr>
          <w:rFonts w:ascii="Times New Roman" w:hAnsi="Times New Roman"/>
          <w:sz w:val="28"/>
          <w:szCs w:val="28"/>
          <w:lang w:val="en-US"/>
        </w:rPr>
        <w:t>), Bank Ownership: Trends and Implications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" w:history="1">
        <w:r>
          <w:rPr>
            <w:rStyle w:val="a4"/>
            <w:rFonts w:ascii="Times New Roman" w:hAnsi="Times New Roman"/>
            <w:sz w:val="28"/>
            <w:szCs w:val="28"/>
          </w:rPr>
          <w:t>http://documents1.worldbank.org/curated/en/810621515444012541/pdf/WPS8297.pdf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Pr="00E56F81" w:rsidRDefault="00E56F81" w:rsidP="00E56F81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Carvalho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(2013), </w:t>
      </w:r>
      <w:r w:rsidRPr="00E56F81">
        <w:rPr>
          <w:rFonts w:ascii="Times New Roman" w:hAnsi="Times New Roman"/>
          <w:sz w:val="28"/>
          <w:szCs w:val="28"/>
          <w:lang w:val="en-US"/>
        </w:rPr>
        <w:t>The Real Effects of Government-Owned Banks: Evidence from an Emerging Market</w:t>
      </w:r>
      <w:r>
        <w:rPr>
          <w:rFonts w:ascii="Times New Roman" w:hAnsi="Times New Roman"/>
          <w:sz w:val="28"/>
          <w:szCs w:val="28"/>
          <w:lang w:val="en-US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7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sgh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pl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niezbednik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plik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php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?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id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=27301127&amp;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pid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=3161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Pr="00E56F81" w:rsidRDefault="00E56F81" w:rsidP="00E56F81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F. Aurora and etc. (2017), State ownership of financial institutions in Europe and Central Asia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8" w:history="1">
        <w:r>
          <w:rPr>
            <w:rStyle w:val="a4"/>
            <w:rFonts w:ascii="Times New Roman" w:hAnsi="Times New Roman"/>
            <w:sz w:val="28"/>
            <w:szCs w:val="28"/>
          </w:rPr>
          <w:t>http://documents.worldbank.org/curated/en/774471513778818629/State-ownership-of-financial-institutions-in-Europe-and-Central-Asia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A. Torre and etc. (2017), Innovative Experiences in Access to Finance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9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openknowledge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worldbank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org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bitstream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handle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/10986/27529/9780821370803.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pdf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?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sequence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=2&amp;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US"/>
          </w:rPr>
          <w:t>isAllowed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=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y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R. Raj and etc. (2014), Does banking development matter for new firm creation in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informalsector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? Evidence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from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India</w:t>
      </w:r>
      <w:r w:rsidRPr="00E56F81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E56F8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ресурс]. Режим доступу: </w:t>
      </w:r>
      <w:hyperlink r:id="rId10" w:history="1">
        <w:r>
          <w:rPr>
            <w:rStyle w:val="a4"/>
            <w:rFonts w:ascii="Times New Roman" w:hAnsi="Times New Roman"/>
            <w:sz w:val="28"/>
            <w:szCs w:val="28"/>
          </w:rPr>
          <w:t>https://www.sciencedirect.com/science/article/pii/S1879933714000062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  <w:lang w:val="en-US"/>
        </w:rPr>
        <w:t xml:space="preserve">M. </w:t>
      </w:r>
      <w:proofErr w:type="spellStart"/>
      <w:r w:rsidRPr="00E56F81">
        <w:rPr>
          <w:rFonts w:ascii="Times New Roman" w:hAnsi="Times New Roman"/>
          <w:sz w:val="28"/>
          <w:szCs w:val="28"/>
          <w:lang w:val="en-US"/>
        </w:rPr>
        <w:t>Schmit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and etc. (2011), Public Financial Institutions in Europe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11" w:history="1">
        <w:r>
          <w:rPr>
            <w:rStyle w:val="a4"/>
            <w:rFonts w:ascii="Times New Roman" w:hAnsi="Times New Roman"/>
            <w:sz w:val="28"/>
            <w:szCs w:val="28"/>
          </w:rPr>
          <w:t>http://www.adfiap.org/wp-content/uploads/2011/06/2011_03_28_Publ-Fin-Inst-in-Europe_Final.pdf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Iannotta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 etc.</w:t>
      </w:r>
      <w:r>
        <w:rPr>
          <w:rFonts w:ascii="Times New Roman" w:hAnsi="Times New Roman"/>
          <w:sz w:val="28"/>
          <w:szCs w:val="28"/>
          <w:lang w:val="uk-UA"/>
        </w:rPr>
        <w:t xml:space="preserve"> (20</w:t>
      </w:r>
      <w:r>
        <w:rPr>
          <w:rFonts w:ascii="Times New Roman" w:hAnsi="Times New Roman"/>
          <w:sz w:val="28"/>
          <w:szCs w:val="28"/>
          <w:lang w:val="en-GB"/>
        </w:rPr>
        <w:t>13</w:t>
      </w:r>
      <w:r>
        <w:rPr>
          <w:rFonts w:ascii="Times New Roman" w:hAnsi="Times New Roman"/>
          <w:sz w:val="28"/>
          <w:szCs w:val="28"/>
          <w:lang w:val="uk-UA"/>
        </w:rPr>
        <w:t>),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The Impact of Government Ownership on Bank Risk</w:t>
      </w:r>
      <w:r>
        <w:rPr>
          <w:rFonts w:ascii="Times New Roman" w:hAnsi="Times New Roman"/>
          <w:sz w:val="28"/>
          <w:szCs w:val="28"/>
          <w:lang w:val="en-US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https://bit.ly/2ZXjADv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H.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Kotz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H. Schmidt (2017), </w:t>
      </w:r>
      <w:r w:rsidRPr="00E56F81">
        <w:rPr>
          <w:rFonts w:ascii="Times New Roman" w:hAnsi="Times New Roman"/>
          <w:sz w:val="28"/>
          <w:szCs w:val="28"/>
          <w:lang w:val="en-US"/>
        </w:rPr>
        <w:t>Corporate governance of banks: A German alternative to the "standard model"</w:t>
      </w:r>
      <w:r>
        <w:rPr>
          <w:rFonts w:ascii="Times New Roman" w:hAnsi="Times New Roman"/>
          <w:sz w:val="28"/>
          <w:szCs w:val="28"/>
          <w:lang w:val="en-US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3" w:history="1">
        <w:r>
          <w:rPr>
            <w:rStyle w:val="a4"/>
            <w:rFonts w:ascii="Times New Roman" w:hAnsi="Times New Roman"/>
            <w:sz w:val="28"/>
            <w:szCs w:val="28"/>
          </w:rPr>
          <w:t>https://www.econstor.eu/bitstream/10419/168417/1/897419286.pdf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A.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Karas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(2010), Are private banks more efficient than public banks? </w:t>
      </w:r>
      <w:r w:rsidRPr="00E56F81">
        <w:rPr>
          <w:rFonts w:ascii="Times New Roman" w:hAnsi="Times New Roman"/>
          <w:sz w:val="28"/>
          <w:szCs w:val="28"/>
        </w:rPr>
        <w:t>[</w:t>
      </w:r>
      <w:proofErr w:type="spellStart"/>
      <w:r w:rsidRPr="00E56F8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ресурс]. Режим доступу: </w:t>
      </w:r>
      <w:hyperlink r:id="rId14" w:history="1">
        <w:r>
          <w:rPr>
            <w:rStyle w:val="a4"/>
            <w:rFonts w:ascii="Times New Roman" w:hAnsi="Times New Roman"/>
            <w:sz w:val="28"/>
            <w:szCs w:val="28"/>
          </w:rPr>
          <w:t>http://www.fbv.kit.edu/symposium/11th/Paper/02EmpiricalBankingI/weill.pdf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Řepková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(2015), </w:t>
      </w:r>
      <w:r w:rsidRPr="00E56F81">
        <w:rPr>
          <w:rFonts w:ascii="Times New Roman" w:hAnsi="Times New Roman"/>
          <w:sz w:val="28"/>
          <w:szCs w:val="28"/>
          <w:lang w:val="en-US"/>
        </w:rPr>
        <w:t>Banking Efficiency Determinants in the Czech Banking Sector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5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https://bit.ly/3eRHPHd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E56F81" w:rsidRP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G.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Nabi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and etc. (2019), </w:t>
      </w:r>
      <w:r w:rsidRPr="00E56F81">
        <w:rPr>
          <w:rFonts w:ascii="Times New Roman" w:hAnsi="Times New Roman"/>
          <w:sz w:val="28"/>
          <w:szCs w:val="28"/>
          <w:lang w:val="en-US"/>
        </w:rPr>
        <w:t>Do Private Commercial Banks Outperform State-owned Commercial Banks? Empirical Evidence from Bangladesh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6" w:history="1">
        <w:r w:rsidRPr="00E56F81">
          <w:rPr>
            <w:rStyle w:val="a4"/>
            <w:rFonts w:ascii="Times New Roman" w:hAnsi="Times New Roman"/>
            <w:sz w:val="28"/>
            <w:szCs w:val="28"/>
            <w:lang w:val="en-US"/>
          </w:rPr>
          <w:t>http://www.scienpress.com/Upload/JAFB%2fVol%209_5_9.pdf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A. Waleed and etc. (2015), Comparison of Private and Public Banks Performance</w:t>
      </w:r>
      <w:r>
        <w:rPr>
          <w:rFonts w:ascii="Times New Roman" w:hAnsi="Times New Roman"/>
          <w:sz w:val="28"/>
          <w:szCs w:val="28"/>
          <w:lang w:val="uk-UA"/>
        </w:rPr>
        <w:t xml:space="preserve">, IOSR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Business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Volume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17,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Issue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7.Ver. III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July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2015), </w:t>
      </w:r>
      <w:r>
        <w:rPr>
          <w:rFonts w:ascii="Times New Roman" w:hAnsi="Times New Roman"/>
          <w:sz w:val="28"/>
          <w:szCs w:val="28"/>
          <w:lang w:val="en-GB"/>
        </w:rPr>
        <w:t>p.</w:t>
      </w:r>
      <w:r>
        <w:rPr>
          <w:rFonts w:ascii="Times New Roman" w:hAnsi="Times New Roman"/>
          <w:sz w:val="28"/>
          <w:szCs w:val="28"/>
          <w:lang w:val="uk-UA"/>
        </w:rPr>
        <w:t xml:space="preserve"> 32-38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17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https://pdfs.semanticscholar.org/1ba5/b9176eb89a456d308fd1885e3d39b77ba3b1.pdf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Number of credit institutions in </w:t>
      </w:r>
      <w:proofErr w:type="spellStart"/>
      <w:r w:rsidRPr="00E56F81">
        <w:rPr>
          <w:rFonts w:ascii="Times New Roman" w:hAnsi="Times New Roman"/>
          <w:sz w:val="28"/>
          <w:szCs w:val="28"/>
          <w:lang w:val="en-US"/>
        </w:rPr>
        <w:t>eurozone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countries</w:t>
      </w:r>
      <w:r>
        <w:rPr>
          <w:rFonts w:ascii="Times New Roman" w:hAnsi="Times New Roman"/>
          <w:sz w:val="28"/>
          <w:szCs w:val="28"/>
          <w:lang w:val="uk-UA"/>
        </w:rPr>
        <w:t xml:space="preserve"> (2019)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8" w:history="1">
        <w:r>
          <w:rPr>
            <w:rStyle w:val="a4"/>
            <w:rFonts w:ascii="Times New Roman" w:hAnsi="Times New Roman"/>
            <w:sz w:val="28"/>
            <w:szCs w:val="28"/>
          </w:rPr>
          <w:t>https://www.statista.com/statistics/349129/eu-18-credit-institutions-number/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Banking in Europe: EBF Facts &amp; Figures 2018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19" w:history="1">
        <w:r>
          <w:rPr>
            <w:rStyle w:val="a4"/>
            <w:rFonts w:ascii="Times New Roman" w:hAnsi="Times New Roman"/>
            <w:sz w:val="28"/>
            <w:szCs w:val="28"/>
          </w:rPr>
          <w:t>https://www.ebf.eu/wp-content/uploads/2018/09/Banking-in-Europe-2018-EBF-Facts-and-Figures.pdf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</w:t>
      </w:r>
      <w:r w:rsidRPr="00E56F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Behr</w:t>
      </w:r>
      <w:r w:rsidRPr="00E56F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H</w:t>
      </w:r>
      <w:r w:rsidRPr="00E56F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Schmidt</w:t>
      </w:r>
      <w:r w:rsidRPr="00E56F81">
        <w:rPr>
          <w:rFonts w:ascii="Times New Roman" w:hAnsi="Times New Roman"/>
          <w:sz w:val="28"/>
          <w:szCs w:val="28"/>
        </w:rPr>
        <w:t xml:space="preserve"> (2016), </w:t>
      </w:r>
      <w:proofErr w:type="spellStart"/>
      <w:r>
        <w:rPr>
          <w:rFonts w:ascii="Times New Roman" w:hAnsi="Times New Roman"/>
          <w:sz w:val="28"/>
          <w:szCs w:val="28"/>
        </w:rPr>
        <w:t>The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German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Banking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System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 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20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bit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ly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/3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eZUWWW</w:t>
        </w:r>
        <w:proofErr w:type="spellEnd"/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M.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Wollrab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(2018),</w:t>
      </w:r>
      <w:r>
        <w:rPr>
          <w:rFonts w:ascii="Times New Roman" w:hAnsi="Times New Roman"/>
          <w:sz w:val="28"/>
          <w:szCs w:val="28"/>
          <w:lang w:val="en-GB"/>
        </w:rPr>
        <w:t xml:space="preserve"> First successful privatisation of a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Landesbank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completed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>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https://www.hcob-bank.de/en/presse/pressemitteilungen/press-release-12806336/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Financial Report of the Savings Banks Finance Group</w:t>
      </w:r>
      <w:r>
        <w:rPr>
          <w:rFonts w:ascii="Times New Roman" w:hAnsi="Times New Roman"/>
          <w:sz w:val="28"/>
          <w:szCs w:val="28"/>
          <w:lang w:val="en-GB"/>
        </w:rPr>
        <w:t xml:space="preserve"> (2018), Facts &amp; Figures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22" w:history="1">
        <w:r>
          <w:rPr>
            <w:rStyle w:val="a4"/>
            <w:rFonts w:ascii="Times New Roman" w:hAnsi="Times New Roman"/>
            <w:sz w:val="28"/>
            <w:szCs w:val="28"/>
          </w:rPr>
          <w:t>https://www.dsgv.de/en/facts/facts-figures.html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Financial Report of the Savings Banks Finance Group</w:t>
      </w:r>
      <w:r>
        <w:rPr>
          <w:rFonts w:ascii="Times New Roman" w:hAnsi="Times New Roman"/>
          <w:sz w:val="28"/>
          <w:szCs w:val="28"/>
          <w:lang w:val="en-GB"/>
        </w:rPr>
        <w:t xml:space="preserve"> (201</w:t>
      </w:r>
      <w:r w:rsidRPr="00E56F81">
        <w:rPr>
          <w:rFonts w:ascii="Times New Roman" w:hAnsi="Times New Roman"/>
          <w:sz w:val="28"/>
          <w:szCs w:val="28"/>
          <w:lang w:val="en-US"/>
        </w:rPr>
        <w:t>9</w:t>
      </w:r>
      <w:r>
        <w:rPr>
          <w:rFonts w:ascii="Times New Roman" w:hAnsi="Times New Roman"/>
          <w:sz w:val="28"/>
          <w:szCs w:val="28"/>
          <w:lang w:val="en-GB"/>
        </w:rPr>
        <w:t xml:space="preserve">), Facts &amp; Figures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 xml:space="preserve">Режим доступу: </w:t>
      </w:r>
      <w:hyperlink r:id="rId23" w:history="1">
        <w:r>
          <w:rPr>
            <w:rStyle w:val="a4"/>
            <w:rFonts w:ascii="Times New Roman" w:hAnsi="Times New Roman"/>
            <w:sz w:val="28"/>
            <w:szCs w:val="28"/>
          </w:rPr>
          <w:t>https://bit.ly/3eTUeui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GB"/>
        </w:rPr>
        <w:lastRenderedPageBreak/>
        <w:t xml:space="preserve"> Commerzbank, Financial Reports (2020)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24" w:history="1">
        <w:r>
          <w:rPr>
            <w:rStyle w:val="a4"/>
            <w:rFonts w:ascii="Times New Roman" w:hAnsi="Times New Roman"/>
            <w:sz w:val="28"/>
            <w:szCs w:val="28"/>
          </w:rPr>
          <w:t>https://www.commerzbank.com/en/hauptnavigation/aktionaere/publikationen_und_veranstaltungen/unternehmensberichterstattung_1/index.html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Deutsche Bundesbank Monthly Report</w:t>
      </w:r>
      <w:r>
        <w:rPr>
          <w:rFonts w:ascii="Times New Roman" w:hAnsi="Times New Roman"/>
          <w:sz w:val="28"/>
          <w:szCs w:val="28"/>
          <w:lang w:val="uk-UA"/>
        </w:rPr>
        <w:t xml:space="preserve"> (2019)</w:t>
      </w:r>
      <w:r>
        <w:rPr>
          <w:rFonts w:ascii="Times New Roman" w:hAnsi="Times New Roman"/>
          <w:sz w:val="28"/>
          <w:szCs w:val="28"/>
          <w:lang w:val="en-GB"/>
        </w:rPr>
        <w:t xml:space="preserve">, </w:t>
      </w:r>
      <w:proofErr w:type="gramStart"/>
      <w:r w:rsidRPr="00E56F81"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 w:rsidRPr="00E56F81">
        <w:rPr>
          <w:rFonts w:ascii="Times New Roman" w:hAnsi="Times New Roman"/>
          <w:sz w:val="28"/>
          <w:szCs w:val="28"/>
          <w:lang w:val="en-US"/>
        </w:rPr>
        <w:t xml:space="preserve"> performance of German credit institutions in 2018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25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bundesbank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resource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blob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/810788/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bbffa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5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64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fcc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6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672243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3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2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0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70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7/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mL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/2019-09-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ertragslage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data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Deutsche Bundesbank</w:t>
      </w:r>
      <w:r>
        <w:rPr>
          <w:rFonts w:ascii="Times New Roman" w:hAnsi="Times New Roman"/>
          <w:sz w:val="28"/>
          <w:szCs w:val="28"/>
          <w:lang w:val="uk-UA"/>
        </w:rPr>
        <w:t xml:space="preserve"> (2019), </w:t>
      </w:r>
      <w:proofErr w:type="gramStart"/>
      <w:r w:rsidRPr="00E56F81"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 w:rsidRPr="00E56F81">
        <w:rPr>
          <w:rFonts w:ascii="Times New Roman" w:hAnsi="Times New Roman"/>
          <w:sz w:val="28"/>
          <w:szCs w:val="28"/>
          <w:lang w:val="en-US"/>
        </w:rPr>
        <w:t xml:space="preserve"> performance of German credit institutions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56F81">
        <w:rPr>
          <w:rFonts w:ascii="Times New Roman" w:hAnsi="Times New Roman"/>
          <w:sz w:val="28"/>
          <w:szCs w:val="28"/>
          <w:lang w:val="en-US"/>
        </w:rPr>
        <w:t>Cost/income ratios, by category of banks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https://www.bundesbank.de/resource/blob/651100/ef298b91f3f92e2bf83c07e744470748/mL/guv-tab4-en-data.pdf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Deutsche Bundesbank</w:t>
      </w:r>
      <w:r>
        <w:rPr>
          <w:rFonts w:ascii="Times New Roman" w:hAnsi="Times New Roman"/>
          <w:sz w:val="28"/>
          <w:szCs w:val="28"/>
          <w:lang w:val="uk-UA"/>
        </w:rPr>
        <w:t xml:space="preserve"> (2019), </w:t>
      </w:r>
      <w:r w:rsidRPr="00E56F81">
        <w:rPr>
          <w:rFonts w:ascii="Times New Roman" w:hAnsi="Times New Roman"/>
          <w:sz w:val="28"/>
          <w:szCs w:val="28"/>
          <w:lang w:val="en-US"/>
        </w:rPr>
        <w:t>Explanatory notes and glossary of statistics of the banks’ profit and loss accounts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].  </w:t>
      </w:r>
      <w:r>
        <w:rPr>
          <w:rFonts w:ascii="Times New Roman" w:hAnsi="Times New Roman"/>
          <w:sz w:val="28"/>
          <w:szCs w:val="28"/>
        </w:rPr>
        <w:t>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7" w:history="1">
        <w:r>
          <w:rPr>
            <w:rStyle w:val="a4"/>
            <w:rFonts w:ascii="Times New Roman" w:hAnsi="Times New Roman"/>
            <w:sz w:val="28"/>
            <w:szCs w:val="28"/>
          </w:rPr>
          <w:t>https://www.bundesbank.de/resource/blob/618098/6f05706d078422fbd738fc0d24c6fb6d/mL/glossary-gundv-statistic-data.pdf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IBEF (2020),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Indian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Industry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 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28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ibef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org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archives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industry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banking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reports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indian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banking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industry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analysis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january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-2020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Reserve Bank of India (2020)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9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rbi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org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N.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Kalyan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(2017), Banking Sector Reforms in India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0" w:history="1">
        <w:r>
          <w:rPr>
            <w:rStyle w:val="a4"/>
            <w:rFonts w:ascii="Times New Roman" w:hAnsi="Times New Roman"/>
            <w:sz w:val="28"/>
            <w:szCs w:val="28"/>
          </w:rPr>
          <w:t>https://www.researchgate.net/publication/325710011_Banking_Sector_Reforms_In_India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IBEF (201</w:t>
      </w:r>
      <w:r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en-GB"/>
        </w:rPr>
        <w:t>), Indian Banking System, Executive Summary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>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1" w:history="1">
        <w:r>
          <w:rPr>
            <w:rStyle w:val="a4"/>
            <w:rFonts w:ascii="Times New Roman" w:hAnsi="Times New Roman"/>
            <w:sz w:val="28"/>
            <w:szCs w:val="28"/>
          </w:rPr>
          <w:t>https://www.ibef.org/download/Banking-February-2018.pdf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IBEF (2019), Indian Banking System, Executive Summary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2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ibef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org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download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Banking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December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-2019.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Statista (2020), Banking industry in India - Statistics &amp; Facts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3" w:anchor="dossierSummary__chapter3" w:history="1">
        <w:r>
          <w:rPr>
            <w:rStyle w:val="a4"/>
            <w:rFonts w:ascii="Times New Roman" w:hAnsi="Times New Roman"/>
            <w:sz w:val="28"/>
            <w:szCs w:val="28"/>
          </w:rPr>
          <w:t>https://www.statista.com/topics/5362/banking-industry-in-india/#dossierSummary__chapter3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C.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Murphy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(2020),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Loan-to-Deposit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Ratio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(LDR) [Електронний ресурс]. Режим доступу: </w:t>
      </w:r>
      <w:hyperlink r:id="rId34" w:history="1">
        <w:r>
          <w:rPr>
            <w:rStyle w:val="a4"/>
            <w:rFonts w:ascii="Times New Roman" w:hAnsi="Times New Roman"/>
            <w:sz w:val="28"/>
            <w:szCs w:val="28"/>
          </w:rPr>
          <w:t>https://www.investopedia.com/terms/l/loan-to-deposit-ratio.asp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V.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Gorshkov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(2019), The State in Russia's Banking Sector </w:t>
      </w:r>
      <w:r>
        <w:rPr>
          <w:rFonts w:ascii="Times New Roman" w:hAnsi="Times New Roman"/>
          <w:sz w:val="28"/>
          <w:szCs w:val="28"/>
          <w:lang w:val="uk-UA"/>
        </w:rPr>
        <w:t>[Електронний ресурс]. Режим доступу: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hyperlink r:id="rId35" w:history="1">
        <w:r>
          <w:rPr>
            <w:rStyle w:val="a4"/>
            <w:rFonts w:ascii="Times New Roman" w:hAnsi="Times New Roman"/>
            <w:sz w:val="28"/>
            <w:szCs w:val="28"/>
          </w:rPr>
          <w:t>http://www.kier.kyoto-u.ac.jp/DP/DP1015.pdf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V.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Gorshkov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(2019), Foreign Entry of Asian Banks into the Russian Market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6" w:history="1">
        <w:r>
          <w:rPr>
            <w:rStyle w:val="a4"/>
            <w:rFonts w:ascii="Times New Roman" w:hAnsi="Times New Roman"/>
            <w:sz w:val="28"/>
            <w:szCs w:val="28"/>
          </w:rPr>
          <w:t>https://www.researchgate.net/publication/332393824_Foreign_Entry_of_Asian_Banks_into_the_Russian_Market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Bank of Russia (2019), </w:t>
      </w:r>
      <w:r w:rsidRPr="00E56F81">
        <w:rPr>
          <w:rFonts w:ascii="Times New Roman" w:hAnsi="Times New Roman"/>
          <w:sz w:val="28"/>
          <w:szCs w:val="28"/>
          <w:lang w:val="en-US"/>
        </w:rPr>
        <w:t>Banking Supervision Report 2018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7" w:history="1">
        <w:r>
          <w:rPr>
            <w:rStyle w:val="a4"/>
            <w:rFonts w:ascii="Times New Roman" w:hAnsi="Times New Roman"/>
            <w:sz w:val="28"/>
            <w:szCs w:val="28"/>
          </w:rPr>
          <w:t>http://www.cbr.ru/Content/Document/File/82951/bsr_e_2018.pdf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Bank of Russia (2018), </w:t>
      </w:r>
      <w:r w:rsidRPr="00E56F81">
        <w:rPr>
          <w:rFonts w:ascii="Times New Roman" w:hAnsi="Times New Roman"/>
          <w:sz w:val="28"/>
          <w:szCs w:val="28"/>
          <w:lang w:val="en-US"/>
        </w:rPr>
        <w:t>Banking Supervision Report 201</w:t>
      </w:r>
      <w:r>
        <w:rPr>
          <w:rFonts w:ascii="Times New Roman" w:hAnsi="Times New Roman"/>
          <w:sz w:val="28"/>
          <w:szCs w:val="28"/>
          <w:lang w:val="en-GB"/>
        </w:rPr>
        <w:t>7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38" w:history="1">
        <w:r>
          <w:rPr>
            <w:rStyle w:val="a4"/>
            <w:rFonts w:ascii="Times New Roman" w:hAnsi="Times New Roman"/>
            <w:sz w:val="28"/>
            <w:szCs w:val="28"/>
          </w:rPr>
          <w:t>http://www.cbr.ru/Content/Document/File/48502/bsr_e_2017.pdf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Bank of Russia (2016), </w:t>
      </w:r>
      <w:r w:rsidRPr="00E56F81">
        <w:rPr>
          <w:rFonts w:ascii="Times New Roman" w:hAnsi="Times New Roman"/>
          <w:sz w:val="28"/>
          <w:szCs w:val="28"/>
          <w:lang w:val="en-US"/>
        </w:rPr>
        <w:t>Banking Supervision Report 201</w:t>
      </w:r>
      <w:r>
        <w:rPr>
          <w:rFonts w:ascii="Times New Roman" w:hAnsi="Times New Roman"/>
          <w:sz w:val="28"/>
          <w:szCs w:val="28"/>
          <w:lang w:val="en-GB"/>
        </w:rPr>
        <w:t>5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>Режим доступу:</w:t>
      </w:r>
      <w:r w:rsidRPr="00E56F81">
        <w:t xml:space="preserve"> </w:t>
      </w:r>
      <w:hyperlink r:id="rId39" w:history="1">
        <w:r>
          <w:rPr>
            <w:rStyle w:val="a4"/>
            <w:rFonts w:ascii="Times New Roman" w:hAnsi="Times New Roman"/>
            <w:sz w:val="28"/>
            <w:szCs w:val="28"/>
          </w:rPr>
          <w:t>http://www.cbr.ru/Content/Document/File/48504/bsr_e_2015.pdf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Bank of Russia (2020), Statistics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0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cbr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ru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eng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statistics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Banki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Full list of banks that ceased operations as a result of liquidation or revocation of licenses by the Bank of Russia in the period from 1991 to 2020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41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https://www.banki.ru/banks/memory/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E56F81">
        <w:rPr>
          <w:rFonts w:ascii="Times New Roman" w:hAnsi="Times New Roman"/>
          <w:sz w:val="28"/>
          <w:szCs w:val="28"/>
          <w:lang w:val="en-US"/>
        </w:rPr>
        <w:t>Bc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E56F81">
        <w:rPr>
          <w:rFonts w:ascii="Times New Roman" w:hAnsi="Times New Roman"/>
          <w:sz w:val="28"/>
          <w:szCs w:val="28"/>
          <w:lang w:val="en-US"/>
        </w:rPr>
        <w:t>Yiping</w:t>
      </w:r>
      <w:proofErr w:type="spellEnd"/>
      <w:r w:rsidRPr="00E56F81">
        <w:rPr>
          <w:rFonts w:ascii="Times New Roman" w:hAnsi="Times New Roman"/>
          <w:sz w:val="28"/>
          <w:szCs w:val="28"/>
          <w:lang w:val="en-US"/>
        </w:rPr>
        <w:t xml:space="preserve"> Jing</w:t>
      </w:r>
      <w:r>
        <w:rPr>
          <w:rFonts w:ascii="Times New Roman" w:hAnsi="Times New Roman"/>
          <w:sz w:val="28"/>
          <w:szCs w:val="28"/>
          <w:lang w:val="uk-UA"/>
        </w:rPr>
        <w:t xml:space="preserve"> (2016),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Comparison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China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2" w:history="1">
        <w:r>
          <w:rPr>
            <w:rStyle w:val="a4"/>
            <w:rFonts w:ascii="Times New Roman" w:hAnsi="Times New Roman"/>
            <w:sz w:val="28"/>
            <w:szCs w:val="28"/>
          </w:rPr>
          <w:t>https://dspace.vsb.cz/bitstream/handle/10084/113579/JIN0014_EKF_N6202_6202T010_2016.pdf?sequence=1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A. </w:t>
      </w:r>
      <w:proofErr w:type="spellStart"/>
      <w:r w:rsidRPr="00E56F81">
        <w:rPr>
          <w:rFonts w:ascii="Times New Roman" w:hAnsi="Times New Roman"/>
          <w:sz w:val="28"/>
          <w:szCs w:val="28"/>
          <w:lang w:val="en-US"/>
        </w:rPr>
        <w:t>Kijewska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(2016), </w:t>
      </w:r>
      <w:r w:rsidRPr="00E56F81">
        <w:rPr>
          <w:rFonts w:ascii="Times New Roman" w:hAnsi="Times New Roman"/>
          <w:sz w:val="28"/>
          <w:szCs w:val="28"/>
          <w:lang w:val="en-US"/>
        </w:rPr>
        <w:t>Determinants Of The Return On Equity Ratio (R</w:t>
      </w:r>
      <w:r>
        <w:rPr>
          <w:rFonts w:ascii="Times New Roman" w:hAnsi="Times New Roman"/>
          <w:sz w:val="28"/>
          <w:szCs w:val="28"/>
          <w:lang w:val="en-GB"/>
        </w:rPr>
        <w:t>OE</w:t>
      </w:r>
      <w:r w:rsidRPr="00E56F81">
        <w:rPr>
          <w:rFonts w:ascii="Times New Roman" w:hAnsi="Times New Roman"/>
          <w:sz w:val="28"/>
          <w:szCs w:val="28"/>
          <w:lang w:val="en-US"/>
        </w:rPr>
        <w:t xml:space="preserve">) On The Example Of Companies </w:t>
      </w:r>
      <w:proofErr w:type="gramStart"/>
      <w:r w:rsidRPr="00E56F81">
        <w:rPr>
          <w:rFonts w:ascii="Times New Roman" w:hAnsi="Times New Roman"/>
          <w:sz w:val="28"/>
          <w:szCs w:val="28"/>
          <w:lang w:val="en-US"/>
        </w:rPr>
        <w:t>From</w:t>
      </w:r>
      <w:proofErr w:type="gramEnd"/>
      <w:r w:rsidRPr="00E56F81">
        <w:rPr>
          <w:rFonts w:ascii="Times New Roman" w:hAnsi="Times New Roman"/>
          <w:sz w:val="28"/>
          <w:szCs w:val="28"/>
          <w:lang w:val="en-US"/>
        </w:rPr>
        <w:t xml:space="preserve"> Metallurgy And Mining Sector In Poland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43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https://pdfs.semanticscholar.org/7885/f850dceb636618ca871228a4f110bcda306c.pdf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 M. Hargrave (2020), Return on Assets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4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investopedia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terms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returnonassets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asp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P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A.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Bloomenthal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Net Interest Margin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45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https://www.investopedia.com/terms/n/netinterestmargin.asp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W. Kenton (2019), Return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On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Average Equity (ROAE)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6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investopedia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terms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roae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asp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W. Kenton (2019), Return on Average Assets – ROAA Definition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7" w:history="1">
        <w:r>
          <w:rPr>
            <w:rStyle w:val="a4"/>
            <w:rFonts w:ascii="Times New Roman" w:hAnsi="Times New Roman"/>
            <w:sz w:val="28"/>
            <w:szCs w:val="28"/>
          </w:rPr>
          <w:t>https://www.investopedia.com/terms/r/roaa.asp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J. Thompson (2018), How to Calculate a Cost-to-Income Ratio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8" w:history="1">
        <w:r>
          <w:rPr>
            <w:rStyle w:val="a4"/>
            <w:rFonts w:ascii="Times New Roman" w:hAnsi="Times New Roman"/>
            <w:sz w:val="28"/>
            <w:szCs w:val="28"/>
          </w:rPr>
          <w:t>https://bizfluent.com/how-6398870-calculate-cost-to-income-ratio.html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V.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Protsenko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, A.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Ivantsova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(2019), From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Oschadbank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PrivatBank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: How Ukraine Got Its State-Owned Banks And Why Wants To Sell Them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49" w:history="1">
        <w:r>
          <w:rPr>
            <w:rStyle w:val="a4"/>
            <w:rFonts w:ascii="Times New Roman" w:hAnsi="Times New Roman"/>
            <w:sz w:val="28"/>
            <w:szCs w:val="28"/>
          </w:rPr>
          <w:t>https://voxukraine.org/en/from-oschadbank-to-privatbank-how-ukraine-got-its-state-owned-banks-and-why-wants-to-sell-them/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Minfin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Number of banks in Ukraine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0" w:history="1">
        <w:r>
          <w:rPr>
            <w:rStyle w:val="a4"/>
            <w:rFonts w:ascii="Times New Roman" w:hAnsi="Times New Roman"/>
            <w:sz w:val="28"/>
            <w:szCs w:val="28"/>
          </w:rPr>
          <w:t>https://index.minfin.com.ua/banks/stat/count/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 xml:space="preserve">Y.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Tustanovskyi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and etc. (2019), The Corporate Governance Reforms Of The State-Owned Banks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Of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Ukraine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1" w:history="1">
        <w:r>
          <w:rPr>
            <w:rStyle w:val="a4"/>
            <w:rFonts w:ascii="Times New Roman" w:hAnsi="Times New Roman"/>
            <w:sz w:val="28"/>
            <w:szCs w:val="28"/>
          </w:rPr>
          <w:t>http://we.clmconsulting.pl/index.php/we/article/view/463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NBU</w:t>
      </w:r>
      <w:r w:rsidRPr="00E56F81">
        <w:rPr>
          <w:rFonts w:ascii="Times New Roman" w:hAnsi="Times New Roman"/>
          <w:sz w:val="28"/>
          <w:szCs w:val="28"/>
        </w:rPr>
        <w:t xml:space="preserve"> (2019), </w:t>
      </w:r>
      <w:r>
        <w:rPr>
          <w:rFonts w:ascii="Times New Roman" w:hAnsi="Times New Roman"/>
          <w:sz w:val="28"/>
          <w:szCs w:val="28"/>
          <w:lang w:val="en-GB"/>
        </w:rPr>
        <w:t>Annual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Report</w:t>
      </w:r>
      <w:r w:rsidRPr="00E56F81">
        <w:rPr>
          <w:rFonts w:ascii="Times New Roman" w:hAnsi="Times New Roman"/>
          <w:sz w:val="28"/>
          <w:szCs w:val="28"/>
        </w:rPr>
        <w:t xml:space="preserve"> 2018 [</w:t>
      </w:r>
      <w:proofErr w:type="spellStart"/>
      <w:r w:rsidRPr="00E56F8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ресурс]. Режим доступу: </w:t>
      </w:r>
      <w:hyperlink r:id="rId52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gov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files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annual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_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report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_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_2018.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pdf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NBU</w:t>
      </w:r>
      <w:r w:rsidRPr="00E56F81">
        <w:rPr>
          <w:rFonts w:ascii="Times New Roman" w:hAnsi="Times New Roman"/>
          <w:sz w:val="28"/>
          <w:szCs w:val="28"/>
        </w:rPr>
        <w:t xml:space="preserve"> (2020), </w:t>
      </w:r>
      <w:r>
        <w:rPr>
          <w:rFonts w:ascii="Times New Roman" w:hAnsi="Times New Roman"/>
          <w:sz w:val="28"/>
          <w:szCs w:val="28"/>
          <w:lang w:val="en-GB"/>
        </w:rPr>
        <w:t>Annual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Report</w:t>
      </w:r>
      <w:r w:rsidRPr="00E56F81">
        <w:rPr>
          <w:rFonts w:ascii="Times New Roman" w:hAnsi="Times New Roman"/>
          <w:sz w:val="28"/>
          <w:szCs w:val="28"/>
        </w:rPr>
        <w:t xml:space="preserve"> 2019 [</w:t>
      </w:r>
      <w:proofErr w:type="spellStart"/>
      <w:r w:rsidRPr="00E56F8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ресурс]. Режим доступу: </w:t>
      </w:r>
      <w:hyperlink r:id="rId53" w:history="1">
        <w:r>
          <w:rPr>
            <w:rStyle w:val="a4"/>
            <w:rFonts w:ascii="Times New Roman" w:hAnsi="Times New Roman"/>
            <w:sz w:val="28"/>
            <w:szCs w:val="28"/>
          </w:rPr>
          <w:t>https://bank.gov.ua/admin_uploads/article/annual_report_2019_final-eng.pdf?v=4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Kahkonen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(2017), Competitive and Well-Governed State Banks that Serve Everyone – A Prerequisite for Stronger Growth in Ukraine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4" w:history="1">
        <w:r>
          <w:rPr>
            <w:rStyle w:val="a4"/>
            <w:rFonts w:ascii="Times New Roman" w:hAnsi="Times New Roman"/>
            <w:sz w:val="28"/>
            <w:szCs w:val="28"/>
          </w:rPr>
          <w:t>https://www.worldbank.org/en/news/opinion/2017/12/14/ukraine-state-banks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Privatebank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Financial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statements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5" w:history="1">
        <w:r>
          <w:rPr>
            <w:rStyle w:val="a4"/>
            <w:rFonts w:ascii="Times New Roman" w:hAnsi="Times New Roman"/>
            <w:sz w:val="28"/>
            <w:szCs w:val="28"/>
          </w:rPr>
          <w:t>https://en.privatbank.ua/about/financial-statements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Oschadbank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Financial Reporting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6" w:history="1">
        <w:r>
          <w:rPr>
            <w:rStyle w:val="a4"/>
            <w:rFonts w:ascii="Times New Roman" w:hAnsi="Times New Roman"/>
            <w:sz w:val="28"/>
            <w:szCs w:val="28"/>
          </w:rPr>
          <w:t>https://www.oschadbank.ua/ua/about/financial-reporting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Ukreximbank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(2020), </w:t>
      </w:r>
      <w:r>
        <w:rPr>
          <w:rFonts w:ascii="Times New Roman" w:hAnsi="Times New Roman"/>
          <w:sz w:val="28"/>
          <w:szCs w:val="28"/>
          <w:lang w:val="en-GB"/>
        </w:rPr>
        <w:t>IFRS</w:t>
      </w: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Financials</w:t>
      </w:r>
      <w:r w:rsidRPr="00E56F81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E56F8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56F81">
        <w:rPr>
          <w:rFonts w:ascii="Times New Roman" w:hAnsi="Times New Roman"/>
          <w:sz w:val="28"/>
          <w:szCs w:val="28"/>
        </w:rPr>
        <w:t xml:space="preserve"> ресурс]. Режим доступу: </w:t>
      </w:r>
      <w:hyperlink r:id="rId57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eximb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eng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menu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financials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financial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statements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ifrs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financials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html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Ukrgasbank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Annual Financial Statements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58" w:history="1">
        <w:r>
          <w:rPr>
            <w:rStyle w:val="a4"/>
            <w:rFonts w:ascii="Times New Roman" w:hAnsi="Times New Roman"/>
            <w:sz w:val="28"/>
            <w:szCs w:val="28"/>
          </w:rPr>
          <w:t>https://www.ukrgasbank.com/en/about/fin_results/rishfin/auditors_report/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Raiffeisen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Bank Aval (2020), Financial Statements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59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https://www.aval.ua/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 Alfa-Bank Ukraine (2020), Financial Statements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60" w:history="1">
        <w:r>
          <w:rPr>
            <w:rStyle w:val="a4"/>
            <w:rFonts w:ascii="Times New Roman" w:hAnsi="Times New Roman"/>
            <w:sz w:val="28"/>
            <w:szCs w:val="28"/>
          </w:rPr>
          <w:t>https://alfabank.ua/ru/investor-relations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UkrSibbank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Financial Statements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1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my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ukrsibbank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about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financial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reports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OTP Bank (2020), Reports and Publications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2" w:history="1">
        <w:r>
          <w:rPr>
            <w:rStyle w:val="a4"/>
            <w:rFonts w:ascii="Times New Roman" w:hAnsi="Times New Roman"/>
            <w:sz w:val="28"/>
            <w:szCs w:val="28"/>
          </w:rPr>
          <w:t>https://en.otpbank.com.ua/about/informations/annual-reports/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PUMB (2020), Annual reports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3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about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pumb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finance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annual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_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reports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Tascombank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(2019), Annual Reporting and Audit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4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old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tascombank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content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view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/92/97/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lang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,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ukrainian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NBA (2020), Ukraine unblocks NPL sales by state banks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5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eba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uryad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zaprovadyv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protseduru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prodazhu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nepratsyuyuchyh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kredytiv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derzhavnymy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bankamy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UNIAN (2020),</w:t>
      </w:r>
      <w:r>
        <w:rPr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World Bank supports governance reform of Ukraine's state-owned banks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6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www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unian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info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economics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/10654761-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world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supports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governance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reform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of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ukraine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state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owned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html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E56F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Ukraine Open for Business (2020), Business news from Ukraine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E56F81">
        <w:rPr>
          <w:rFonts w:ascii="Times New Roman" w:hAnsi="Times New Roman"/>
          <w:sz w:val="28"/>
          <w:szCs w:val="28"/>
        </w:rPr>
        <w:t xml:space="preserve">Режим доступу: </w:t>
      </w:r>
      <w:hyperlink r:id="rId67" w:history="1">
        <w:r>
          <w:rPr>
            <w:rStyle w:val="a4"/>
            <w:rFonts w:ascii="Times New Roman" w:hAnsi="Times New Roman"/>
            <w:sz w:val="28"/>
            <w:szCs w:val="28"/>
            <w:lang w:val="en-GB"/>
          </w:rPr>
          <w:t>https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open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4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business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com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ua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ukraine</w:t>
        </w:r>
        <w:proofErr w:type="spellEnd"/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updates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principles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of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reforming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state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owned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-</w:t>
        </w:r>
        <w:r>
          <w:rPr>
            <w:rStyle w:val="a4"/>
            <w:rFonts w:ascii="Times New Roman" w:hAnsi="Times New Roman"/>
            <w:sz w:val="28"/>
            <w:szCs w:val="28"/>
            <w:lang w:val="en-GB"/>
          </w:rPr>
          <w:t>banks</w:t>
        </w:r>
        <w:r w:rsidRPr="00E56F81">
          <w:rPr>
            <w:rStyle w:val="a4"/>
            <w:rFonts w:ascii="Times New Roman" w:hAnsi="Times New Roman"/>
            <w:sz w:val="28"/>
            <w:szCs w:val="28"/>
          </w:rPr>
          <w:t>/</w:t>
        </w:r>
      </w:hyperlink>
      <w:r w:rsidRPr="00E56F81">
        <w:rPr>
          <w:rFonts w:ascii="Times New Roman" w:hAnsi="Times New Roman"/>
          <w:sz w:val="28"/>
          <w:szCs w:val="28"/>
        </w:rPr>
        <w:t>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М., Родіонова Т. А. Особливості функціонування та структура банківських систем країн ЄС // Збірник наукових праць десятої міжнародної науково-практичної конференції «Добробут націй в умовах європейської інтеграції». - 2020. - С. 35-37.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М., Родіонова Т. А. Особливості функціонування та структура банківської системи України // Збірник наукових праць міжнародної науково-практичної конференції «Прогнозування розвитку соціально-економічних систем». - 2020. - С. 13-17.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Piatkov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Rodionova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Tatiana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performance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private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cooperative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Germany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Приазовський економічний вісник: електрон. наук. ж.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4 (21) 2020, с. 8-14.</w:t>
      </w:r>
    </w:p>
    <w:p w:rsidR="00E56F81" w:rsidRDefault="00E56F81" w:rsidP="00E56F81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Артем Максимович, Родіонова Тетяна Андріївна. Аналіз ефективності державних, приватних і іноземних банків України // Вісник Харківського національного університету імені В.Н. Каразіна. Серія «Міжнародні відносини. Економіка. Країнознавство. Туризм». - 2020. №12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(у друці).</w:t>
      </w:r>
    </w:p>
    <w:p w:rsidR="00E56F81" w:rsidRPr="00E56F81" w:rsidRDefault="00E56F81">
      <w:pPr>
        <w:rPr>
          <w:lang w:val="uk-UA"/>
        </w:rPr>
      </w:pPr>
    </w:p>
    <w:sectPr w:rsidR="00E56F81" w:rsidRPr="00E56F8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0095A"/>
    <w:multiLevelType w:val="multilevel"/>
    <w:tmpl w:val="C7BCED8E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">
    <w:nsid w:val="20633E36"/>
    <w:multiLevelType w:val="hybridMultilevel"/>
    <w:tmpl w:val="85FA590C"/>
    <w:lvl w:ilvl="0" w:tplc="82E644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3A2906"/>
    <w:multiLevelType w:val="hybridMultilevel"/>
    <w:tmpl w:val="0B064E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436369"/>
    <w:multiLevelType w:val="hybridMultilevel"/>
    <w:tmpl w:val="111A5A3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37F"/>
    <w:rsid w:val="006B7CDC"/>
    <w:rsid w:val="00E56F81"/>
    <w:rsid w:val="00F97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F8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6F8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E56F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F8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6F8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E56F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13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econstor.eu/bitstream/10419/168417/1/897419286.pdf" TargetMode="External"/><Relationship Id="rId18" Type="http://schemas.openxmlformats.org/officeDocument/2006/relationships/hyperlink" Target="https://www.statista.com/statistics/349129/eu-18-credit-institutions-number/" TargetMode="External"/><Relationship Id="rId26" Type="http://schemas.openxmlformats.org/officeDocument/2006/relationships/hyperlink" Target="https://www.bundesbank.de/resource/blob/651100/ef298b91f3f92e2bf83c07e744470748/mL/guv-tab4-en-data.pdf" TargetMode="External"/><Relationship Id="rId39" Type="http://schemas.openxmlformats.org/officeDocument/2006/relationships/hyperlink" Target="http://www.cbr.ru/Content/Document/File/48504/bsr_e_2015.pdf" TargetMode="External"/><Relationship Id="rId21" Type="http://schemas.openxmlformats.org/officeDocument/2006/relationships/hyperlink" Target="https://www.hcob-bank.de/en/presse/pressemitteilungen/press-release-12806336/" TargetMode="External"/><Relationship Id="rId34" Type="http://schemas.openxmlformats.org/officeDocument/2006/relationships/hyperlink" Target="https://www.investopedia.com/terms/l/loan-to-deposit-ratio.asp" TargetMode="External"/><Relationship Id="rId42" Type="http://schemas.openxmlformats.org/officeDocument/2006/relationships/hyperlink" Target="https://dspace.vsb.cz/bitstream/handle/10084/113579/JIN0014_EKF_N6202_6202T010_2016.pdf?sequence=1" TargetMode="External"/><Relationship Id="rId47" Type="http://schemas.openxmlformats.org/officeDocument/2006/relationships/hyperlink" Target="https://www.investopedia.com/terms/r/roaa.asp" TargetMode="External"/><Relationship Id="rId50" Type="http://schemas.openxmlformats.org/officeDocument/2006/relationships/hyperlink" Target="https://index.minfin.com.ua/banks/stat/count/" TargetMode="External"/><Relationship Id="rId55" Type="http://schemas.openxmlformats.org/officeDocument/2006/relationships/hyperlink" Target="https://en.privatbank.ua/about/financial-statements" TargetMode="External"/><Relationship Id="rId63" Type="http://schemas.openxmlformats.org/officeDocument/2006/relationships/hyperlink" Target="https://about.pumb.ua/en/finance/annual_reports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s://www.e-sgh.pl/niezbednik/plik.php?id=27301127&amp;pid=316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cienpress.com/Upload/JAFB%2fVol%209_5_9.pdf" TargetMode="External"/><Relationship Id="rId29" Type="http://schemas.openxmlformats.org/officeDocument/2006/relationships/hyperlink" Target="https://www.rbi.org.in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documents1.worldbank.org/curated/en/810621515444012541/pdf/WPS8297.pdf" TargetMode="External"/><Relationship Id="rId11" Type="http://schemas.openxmlformats.org/officeDocument/2006/relationships/hyperlink" Target="http://www.adfiap.org/wp-content/uploads/2011/06/2011_03_28_Publ-Fin-Inst-in-Europe_Final.pdf" TargetMode="External"/><Relationship Id="rId24" Type="http://schemas.openxmlformats.org/officeDocument/2006/relationships/hyperlink" Target="https://www.commerzbank.com/en/hauptnavigation/aktionaere/publikationen_und_veranstaltungen/unternehmensberichterstattung_1/index.html" TargetMode="External"/><Relationship Id="rId32" Type="http://schemas.openxmlformats.org/officeDocument/2006/relationships/hyperlink" Target="https://www.ibef.org/download/Banking-December-2019.pdf" TargetMode="External"/><Relationship Id="rId37" Type="http://schemas.openxmlformats.org/officeDocument/2006/relationships/hyperlink" Target="http://www.cbr.ru/Content/Document/File/82951/bsr_e_2018.pdf" TargetMode="External"/><Relationship Id="rId40" Type="http://schemas.openxmlformats.org/officeDocument/2006/relationships/hyperlink" Target="https://www.cbr.ru/eng/statistics/" TargetMode="External"/><Relationship Id="rId45" Type="http://schemas.openxmlformats.org/officeDocument/2006/relationships/hyperlink" Target="https://www.investopedia.com/terms/n/netinterestmargin.asp" TargetMode="External"/><Relationship Id="rId53" Type="http://schemas.openxmlformats.org/officeDocument/2006/relationships/hyperlink" Target="https://bank.gov.ua/admin_uploads/article/annual_report_2019_final-eng.pdf?v=4" TargetMode="External"/><Relationship Id="rId58" Type="http://schemas.openxmlformats.org/officeDocument/2006/relationships/hyperlink" Target="https://www.ukrgasbank.com/en/about/fin_results/rishfin/auditors_report/" TargetMode="External"/><Relationship Id="rId66" Type="http://schemas.openxmlformats.org/officeDocument/2006/relationships/hyperlink" Target="https://www.unian.info/economics/10654761-world-bank-supports-governance-reform-of-ukraine-s-state-owned-banks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it.ly/3eRHPHd" TargetMode="External"/><Relationship Id="rId23" Type="http://schemas.openxmlformats.org/officeDocument/2006/relationships/hyperlink" Target="https://bit.ly/3eTUeui" TargetMode="External"/><Relationship Id="rId28" Type="http://schemas.openxmlformats.org/officeDocument/2006/relationships/hyperlink" Target="https://www.ibef.org/archives/industry/banking-reports/indian-banking-industry-analysis-january-2020" TargetMode="External"/><Relationship Id="rId36" Type="http://schemas.openxmlformats.org/officeDocument/2006/relationships/hyperlink" Target="https://www.researchgate.net/publication/332393824_Foreign_Entry_of_Asian_Banks_into_the_Russian_Market" TargetMode="External"/><Relationship Id="rId49" Type="http://schemas.openxmlformats.org/officeDocument/2006/relationships/hyperlink" Target="https://voxukraine.org/en/from-oschadbank-to-privatbank-how-ukraine-got-its-state-owned-banks-and-why-wants-to-sell-them/" TargetMode="External"/><Relationship Id="rId57" Type="http://schemas.openxmlformats.org/officeDocument/2006/relationships/hyperlink" Target="https://www.eximb.com/eng/menu/financials/financial-statements/ifrs-financials.html" TargetMode="External"/><Relationship Id="rId61" Type="http://schemas.openxmlformats.org/officeDocument/2006/relationships/hyperlink" Target="https://my.ukrsibbank.com/ua/about-bank/financial-reports/" TargetMode="External"/><Relationship Id="rId10" Type="http://schemas.openxmlformats.org/officeDocument/2006/relationships/hyperlink" Target="https://www.sciencedirect.com/science/article/pii/S1879933714000062" TargetMode="External"/><Relationship Id="rId19" Type="http://schemas.openxmlformats.org/officeDocument/2006/relationships/hyperlink" Target="https://www.ebf.eu/wp-content/uploads/2018/09/Banking-in-Europe-2018-EBF-Facts-and-Figures.pdf" TargetMode="External"/><Relationship Id="rId31" Type="http://schemas.openxmlformats.org/officeDocument/2006/relationships/hyperlink" Target="https://www.ibef.org/download/Banking-February-2018.pdf" TargetMode="External"/><Relationship Id="rId44" Type="http://schemas.openxmlformats.org/officeDocument/2006/relationships/hyperlink" Target="https://www.investopedia.com/terms/r/returnonassets.asp" TargetMode="External"/><Relationship Id="rId52" Type="http://schemas.openxmlformats.org/officeDocument/2006/relationships/hyperlink" Target="https://bank.gov.ua/files/annual_report_en_2018.pdf" TargetMode="External"/><Relationship Id="rId60" Type="http://schemas.openxmlformats.org/officeDocument/2006/relationships/hyperlink" Target="https://alfabank.ua/ru/investor-relations" TargetMode="External"/><Relationship Id="rId65" Type="http://schemas.openxmlformats.org/officeDocument/2006/relationships/hyperlink" Target="https://eba.com.ua/en/uryad-zaprovadyv-protseduru-prodazhu-nepratsyuyuchyh-kredytiv-derzhavnymy-bankamy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penknowledge.worldbank.org/bitstream/handle/10986/27529/9780821370803.pdf?sequence=2&amp;isAllowed=y" TargetMode="External"/><Relationship Id="rId14" Type="http://schemas.openxmlformats.org/officeDocument/2006/relationships/hyperlink" Target="http://www.fbv.kit.edu/symposium/11th/Paper/02EmpiricalBankingI/weill.pdf" TargetMode="External"/><Relationship Id="rId22" Type="http://schemas.openxmlformats.org/officeDocument/2006/relationships/hyperlink" Target="https://www.dsgv.de/en/facts/facts-figures.html" TargetMode="External"/><Relationship Id="rId27" Type="http://schemas.openxmlformats.org/officeDocument/2006/relationships/hyperlink" Target="https://www.bundesbank.de/resource/blob/618098/6f05706d078422fbd738fc0d24c6fb6d/mL/glossary-gundv-statistic-data.pdf" TargetMode="External"/><Relationship Id="rId30" Type="http://schemas.openxmlformats.org/officeDocument/2006/relationships/hyperlink" Target="https://www.researchgate.net/publication/325710011_Banking_Sector_Reforms_In_India" TargetMode="External"/><Relationship Id="rId35" Type="http://schemas.openxmlformats.org/officeDocument/2006/relationships/hyperlink" Target="http://www.kier.kyoto-u.ac.jp/DP/DP1015.pdf" TargetMode="External"/><Relationship Id="rId43" Type="http://schemas.openxmlformats.org/officeDocument/2006/relationships/hyperlink" Target="https://pdfs.semanticscholar.org/7885/f850dceb636618ca871228a4f110bcda306c.pdf" TargetMode="External"/><Relationship Id="rId48" Type="http://schemas.openxmlformats.org/officeDocument/2006/relationships/hyperlink" Target="https://bizfluent.com/how-6398870-calculate-cost-to-income-ratio.html" TargetMode="External"/><Relationship Id="rId56" Type="http://schemas.openxmlformats.org/officeDocument/2006/relationships/hyperlink" Target="https://www.oschadbank.ua/ua/about/financial-reporting" TargetMode="External"/><Relationship Id="rId64" Type="http://schemas.openxmlformats.org/officeDocument/2006/relationships/hyperlink" Target="https://old.tascombank.ua/content/view/92/97/lang,ukrainian/" TargetMode="External"/><Relationship Id="rId69" Type="http://schemas.openxmlformats.org/officeDocument/2006/relationships/theme" Target="theme/theme1.xml"/><Relationship Id="rId8" Type="http://schemas.openxmlformats.org/officeDocument/2006/relationships/hyperlink" Target="http://documents.worldbank.org/curated/en/774471513778818629/State-ownership-of-financial-institutions-in-Europe-and-Central-Asia" TargetMode="External"/><Relationship Id="rId51" Type="http://schemas.openxmlformats.org/officeDocument/2006/relationships/hyperlink" Target="http://we.clmconsulting.pl/index.php/we/article/view/463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bit.ly/2ZXjADv" TargetMode="External"/><Relationship Id="rId17" Type="http://schemas.openxmlformats.org/officeDocument/2006/relationships/hyperlink" Target="https://pdfs.semanticscholar.org/1ba5/b9176eb89a456d308fd1885e3d39b77ba3b1.pdf" TargetMode="External"/><Relationship Id="rId25" Type="http://schemas.openxmlformats.org/officeDocument/2006/relationships/hyperlink" Target="https://www.bundesbank.de/resource/blob/810788/bbffa5a64fcc6b672243ae3b2a0d70a7/mL/2019-09-ertragslage-data.pdf" TargetMode="External"/><Relationship Id="rId33" Type="http://schemas.openxmlformats.org/officeDocument/2006/relationships/hyperlink" Target="https://www.statista.com/topics/5362/banking-industry-in-india/" TargetMode="External"/><Relationship Id="rId38" Type="http://schemas.openxmlformats.org/officeDocument/2006/relationships/hyperlink" Target="http://www.cbr.ru/Content/Document/File/48502/bsr_e_2017.pdf" TargetMode="External"/><Relationship Id="rId46" Type="http://schemas.openxmlformats.org/officeDocument/2006/relationships/hyperlink" Target="https://www.investopedia.com/terms/r/roae.asp" TargetMode="External"/><Relationship Id="rId59" Type="http://schemas.openxmlformats.org/officeDocument/2006/relationships/hyperlink" Target="https://www.aval.ua/" TargetMode="External"/><Relationship Id="rId67" Type="http://schemas.openxmlformats.org/officeDocument/2006/relationships/hyperlink" Target="https://open4business.com.ua/ukraine-updates-principles-of-reforming-state-owned-banks/" TargetMode="External"/><Relationship Id="rId20" Type="http://schemas.openxmlformats.org/officeDocument/2006/relationships/hyperlink" Target="https://bit.ly/3eZUWWW" TargetMode="External"/><Relationship Id="rId41" Type="http://schemas.openxmlformats.org/officeDocument/2006/relationships/hyperlink" Target="https://www.banki.ru/banks/memory/" TargetMode="External"/><Relationship Id="rId54" Type="http://schemas.openxmlformats.org/officeDocument/2006/relationships/hyperlink" Target="https://www.worldbank.org/en/news/opinion/2017/12/14/ukraine-state-banks" TargetMode="External"/><Relationship Id="rId62" Type="http://schemas.openxmlformats.org/officeDocument/2006/relationships/hyperlink" Target="https://en.otpbank.com.ua/about/informations/annual-report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19605</Words>
  <Characters>11176</Characters>
  <Application>Microsoft Office Word</Application>
  <DocSecurity>0</DocSecurity>
  <Lines>93</Lines>
  <Paragraphs>61</Paragraphs>
  <ScaleCrop>false</ScaleCrop>
  <Company/>
  <LinksUpToDate>false</LinksUpToDate>
  <CharactersWithSpaces>30720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2021-06-08T07:29:00Z</dcterms:created>
  <dcterms:modified xsi:type="dcterms:W3CDTF">2021-06-08T07:32:00Z</dcterms:modified>
</cp:coreProperties>
</file>