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A0E" w:rsidRDefault="00D21A0E" w:rsidP="00D21A0E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D21A0E" w:rsidRDefault="00D21A0E" w:rsidP="00D21A0E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D21A0E" w:rsidRDefault="00D21A0E" w:rsidP="00D21A0E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«магістр»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на тему: «Трансформація зовнішньоекономічних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 країн Балтії в умовах євроінтеграції»  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«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Transformation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Foreign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Economic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Relations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the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Baltic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States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in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the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Conditions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European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Integration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» 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4A0" w:firstRow="1" w:lastRow="0" w:firstColumn="1" w:lastColumn="0" w:noHBand="0" w:noVBand="1"/>
      </w:tblPr>
      <w:tblGrid>
        <w:gridCol w:w="8022"/>
      </w:tblGrid>
      <w:tr w:rsidR="00D21A0E" w:rsidTr="00D21A0E">
        <w:trPr>
          <w:trHeight w:val="3190"/>
        </w:trPr>
        <w:tc>
          <w:tcPr>
            <w:tcW w:w="8022" w:type="dxa"/>
          </w:tcPr>
          <w:p w:rsidR="00D21A0E" w:rsidRDefault="00D21A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D21A0E" w:rsidRDefault="00D21A0E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Виконав: студент  денної форми навчання</w:t>
            </w:r>
          </w:p>
          <w:p w:rsidR="00D21A0E" w:rsidRDefault="00D21A0E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D21A0E" w:rsidRDefault="00D21A0E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Желяско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Олексій Олександрович</w:t>
            </w:r>
          </w:p>
          <w:p w:rsidR="00D21A0E" w:rsidRDefault="00D21A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D21A0E" w:rsidRDefault="00D21A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Керівник –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к.е.н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., доц.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Кифак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А.О.  __________</w:t>
            </w:r>
          </w:p>
          <w:p w:rsidR="00D21A0E" w:rsidRDefault="00D21A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D21A0E" w:rsidRDefault="00D21A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D21A0E" w:rsidRDefault="00D21A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Рецензент –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д.е.н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., проф.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Садченко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О.В.</w:t>
            </w:r>
          </w:p>
        </w:tc>
      </w:tr>
    </w:tbl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Рекомендовано до захисту:                                Захищено на засіданні ЕК № 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  протокол №__ від «__»____ 2020 р.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__ від «__» ____ 2020 р.                                   Оцінка___________/______/______                         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Завідувач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кафедри______С.О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. Якубовський     Голова ЕК______ С.О. Якубовський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2020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lastRenderedPageBreak/>
        <w:t>ЗМІСТ</w:t>
      </w:r>
    </w:p>
    <w:p w:rsidR="00D21A0E" w:rsidRDefault="00D21A0E" w:rsidP="00D21A0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D21A0E" w:rsidTr="00D21A0E">
        <w:tc>
          <w:tcPr>
            <w:tcW w:w="9725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  <w:hideMark/>
          </w:tcPr>
          <w:p w:rsidR="00D21A0E" w:rsidRDefault="00D21A0E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D21A0E" w:rsidTr="00D21A0E">
        <w:tc>
          <w:tcPr>
            <w:tcW w:w="9725" w:type="dxa"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1. МЕТОДОЛОГІЯ АНАЛІЗУ ТРАНСФОРМАЦІЇ ЗОВНІШНЬОЕКОНОМІЧНИХ ЗВ’ЯЗКІВ КРАЇН……………………………….</w:t>
            </w:r>
          </w:p>
        </w:tc>
        <w:tc>
          <w:tcPr>
            <w:tcW w:w="496" w:type="dxa"/>
            <w:hideMark/>
          </w:tcPr>
          <w:p w:rsidR="00D21A0E" w:rsidRDefault="00D21A0E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D21A0E" w:rsidRDefault="00D21A0E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D21A0E" w:rsidTr="00D21A0E">
        <w:tc>
          <w:tcPr>
            <w:tcW w:w="9725" w:type="dxa"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2. ДОСЛІДЖЕННЯ ІНДИКАТОРІВ ЗОВНІШНЬОЕКОНОМІЧНИХ ЗВ’ЯЗКІВ КРАЇН БАЛТІЇ……</w:t>
            </w:r>
            <w:r w:rsidRPr="00D21A0E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……………………………………………………..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496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4</w:t>
            </w:r>
          </w:p>
        </w:tc>
      </w:tr>
      <w:tr w:rsidR="00D21A0E" w:rsidTr="00D21A0E">
        <w:tc>
          <w:tcPr>
            <w:tcW w:w="9725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2.1. Аналіз макроекономічних показників країн……..…...…………….…………</w:t>
            </w:r>
          </w:p>
        </w:tc>
        <w:tc>
          <w:tcPr>
            <w:tcW w:w="496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4</w:t>
            </w:r>
          </w:p>
        </w:tc>
      </w:tr>
      <w:tr w:rsidR="00D21A0E" w:rsidTr="00D21A0E">
        <w:tc>
          <w:tcPr>
            <w:tcW w:w="9725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2.2. Стан державних фінансів країн Балтії як чинник міжнародної конкурентоспроможності ………</w:t>
            </w:r>
            <w:r w:rsidRPr="00D21A0E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………………………..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…………..……………...</w:t>
            </w:r>
          </w:p>
        </w:tc>
        <w:tc>
          <w:tcPr>
            <w:tcW w:w="496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D21A0E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1</w:t>
            </w:r>
          </w:p>
        </w:tc>
      </w:tr>
      <w:tr w:rsidR="00D21A0E" w:rsidTr="00D21A0E">
        <w:tc>
          <w:tcPr>
            <w:tcW w:w="9725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2.3 Дослідження структури та динаміки платіжного балансу країн ……</w:t>
            </w:r>
            <w:r w:rsidRPr="00D21A0E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...…. </w:t>
            </w:r>
          </w:p>
        </w:tc>
        <w:tc>
          <w:tcPr>
            <w:tcW w:w="496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1</w:t>
            </w:r>
          </w:p>
        </w:tc>
      </w:tr>
      <w:tr w:rsidR="00D21A0E" w:rsidTr="00D21A0E">
        <w:trPr>
          <w:trHeight w:val="1461"/>
        </w:trPr>
        <w:tc>
          <w:tcPr>
            <w:tcW w:w="9725" w:type="dxa"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3. ОСОБЛИВОСТІ ЗОВНІШНЬОЕКОНОМІЧНИХ ОПЕРАЦІЙ КРАЇН БАЛТІЇ З УКРАЇНОЮ…</w:t>
            </w:r>
            <w:r w:rsidRPr="00D21A0E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………………………………………………..</w:t>
            </w:r>
          </w:p>
        </w:tc>
        <w:tc>
          <w:tcPr>
            <w:tcW w:w="496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0</w:t>
            </w:r>
          </w:p>
        </w:tc>
      </w:tr>
      <w:tr w:rsidR="00D21A0E" w:rsidTr="00D21A0E">
        <w:tc>
          <w:tcPr>
            <w:tcW w:w="9725" w:type="dxa"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47</w:t>
            </w:r>
          </w:p>
        </w:tc>
      </w:tr>
      <w:tr w:rsidR="00D21A0E" w:rsidTr="00D21A0E">
        <w:tc>
          <w:tcPr>
            <w:tcW w:w="9725" w:type="dxa"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  <w:hideMark/>
          </w:tcPr>
          <w:p w:rsidR="00D21A0E" w:rsidRDefault="00D21A0E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50</w:t>
            </w:r>
          </w:p>
        </w:tc>
      </w:tr>
    </w:tbl>
    <w:p w:rsidR="00D21A0E" w:rsidRDefault="00D21A0E" w:rsidP="00D21A0E">
      <w:pPr>
        <w:spacing w:after="0" w:line="256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spacing w:after="160" w:line="256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D21A0E" w:rsidRDefault="00D21A0E" w:rsidP="00D21A0E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D21A0E" w:rsidRDefault="00D21A0E" w:rsidP="00D21A0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Зовнішньоекономічні зв’язки відіграють дуже важливу роль у розвитку національних економік. Це пов’язано з тим, що вони підвищують рівень конкуренції на національному рівні, сприяють залученню національного та іноземного капіталу, підвищують якість надання послуг населенню з боку держави та приватних структур.</w:t>
      </w:r>
    </w:p>
    <w:p w:rsidR="00D21A0E" w:rsidRDefault="00D21A0E" w:rsidP="00D21A0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Магістерська робота присвячена дослідженню особливостей розвитку зовнішньоекономічних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окремих країн Європейського Союзу у сучасних умовах. Для аналізу у магістерській роботі були обрані наступні країни: Латвія, Естонія, Литва та Фінляндія. Вибір зазначених країн обумовлено тим, що Латвія, Естонія, Литва були частиною Радянського Союзу, а Фінляндія завжди була частиною європейської спільноти. І порівняння ефективності економічних систем цих країн є достатньо цікавим з наукової точки зору та корисним для майбутнього соціально-економічного розвитку України.</w:t>
      </w:r>
    </w:p>
    <w:p w:rsidR="00D21A0E" w:rsidRDefault="00D21A0E" w:rsidP="00D21A0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В наслідок, зазначеного вище тема даної роботи є актуальною. Латвія, Естонія, Литва та Фінляндія завдяки їх сталому соціально-економічному розвитку та виваженій  і розумній державній політиці є прикладом для інших пострадянських країн.</w:t>
      </w:r>
    </w:p>
    <w:p w:rsidR="00D21A0E" w:rsidRDefault="00D21A0E" w:rsidP="00D21A0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Метою даної роботи є вивчення особливостей зовнішньоекономічних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та основ міжнародної конкурентоспроможності Латвії, Естонії, Литви та Фінляндії. </w:t>
      </w:r>
    </w:p>
    <w:p w:rsidR="00D21A0E" w:rsidRDefault="00D21A0E" w:rsidP="00D21A0E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Виходячи з поставленої мети в магістерській роботі вирішені наступні задачі:</w:t>
      </w:r>
    </w:p>
    <w:p w:rsidR="00D21A0E" w:rsidRDefault="00D21A0E" w:rsidP="00D21A0E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вивчити теоретичні засади розвитку 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операційв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країн в складних умовах сьогодення;</w:t>
      </w:r>
    </w:p>
    <w:p w:rsidR="00D21A0E" w:rsidRDefault="00D21A0E" w:rsidP="00D21A0E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проаналізувати сучасні методи аналізу особливостей трансформації зовнішньоекономічних операцій країн Балтії;</w:t>
      </w:r>
    </w:p>
    <w:p w:rsidR="00D21A0E" w:rsidRDefault="00D21A0E" w:rsidP="00D21A0E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дослідити динаміку основних індикаторів 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Латвії, Естонії, Литви та Фінляндії;</w:t>
      </w:r>
    </w:p>
    <w:p w:rsidR="00D21A0E" w:rsidRDefault="00D21A0E" w:rsidP="00D21A0E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>провести аналіз макроекономічних показників країн;</w:t>
      </w:r>
    </w:p>
    <w:p w:rsidR="00D21A0E" w:rsidRDefault="00D21A0E" w:rsidP="00D21A0E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оцінити стан державних фінансів країн Балтії як чинника міжнародної конкурентоспроможності </w:t>
      </w:r>
    </w:p>
    <w:p w:rsidR="00D21A0E" w:rsidRDefault="00D21A0E" w:rsidP="00D21A0E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дослідити структуру та динаміки платіжного балансу країн.</w:t>
      </w:r>
    </w:p>
    <w:p w:rsidR="00D21A0E" w:rsidRDefault="00D21A0E" w:rsidP="00D21A0E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виявити особливості зовнішньоекономічних операцій країн Балтії з Україною.</w:t>
      </w:r>
    </w:p>
    <w:p w:rsidR="00D21A0E" w:rsidRDefault="00D21A0E" w:rsidP="00D21A0E">
      <w:pPr>
        <w:suppressAutoHyphens/>
        <w:spacing w:after="0" w:line="360" w:lineRule="auto"/>
        <w:ind w:left="-567" w:right="-284" w:firstLine="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Об'єктом дослідження є економіки Латвії, Естонії, Литви та Фінляндії.</w:t>
      </w:r>
    </w:p>
    <w:p w:rsidR="00D21A0E" w:rsidRDefault="00D21A0E" w:rsidP="00D21A0E">
      <w:pPr>
        <w:spacing w:after="0" w:line="360" w:lineRule="auto"/>
        <w:ind w:left="-567" w:right="-28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Предметом дослідження є теоретичні основи та прикладні аспекти трансформації 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Латвії, Естонії, Литви та Фінляндії в сучасних умовах.</w:t>
      </w:r>
    </w:p>
    <w:p w:rsidR="00D21A0E" w:rsidRDefault="00D21A0E" w:rsidP="00D21A0E">
      <w:pPr>
        <w:spacing w:after="0" w:line="360" w:lineRule="auto"/>
        <w:ind w:left="-567" w:right="-28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в роботі мети обумовлено використанням наступних методів аналізу: логічний метод пізнання соціально-економічних механізмів, а саме порівняльний аналіз, який використовується для дослідження основних особливостей трансформації 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звязків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країн.</w:t>
      </w:r>
    </w:p>
    <w:p w:rsidR="00D21A0E" w:rsidRDefault="00D21A0E" w:rsidP="00D21A0E">
      <w:pPr>
        <w:spacing w:after="0" w:line="360" w:lineRule="auto"/>
        <w:ind w:left="-567" w:right="-28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Дана дипломна робота складається з вступу, трьох розділів, висновків та списку використаних джерел, який нараховує 50 джерел.</w:t>
      </w:r>
    </w:p>
    <w:p w:rsidR="00D21A0E" w:rsidRDefault="00D21A0E" w:rsidP="00D21A0E">
      <w:pPr>
        <w:spacing w:after="0" w:line="360" w:lineRule="auto"/>
        <w:ind w:left="-567" w:right="-28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Магістерська робота є самостійно виконаним дослідженням, усі результати, що викладені у роботі та виносяться на захист, отримані автором особисто. </w:t>
      </w:r>
    </w:p>
    <w:p w:rsidR="00D21A0E" w:rsidRDefault="00D21A0E" w:rsidP="00D21A0E">
      <w:pPr>
        <w:spacing w:after="0" w:line="360" w:lineRule="auto"/>
        <w:ind w:left="-567" w:right="-28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дослідження пройшли апробацію на науковій конференції «Тенденції розвитку економіки у 2020 році: аналітичний та теоретико-методологічний аспекти», яка відбулась в Одеському національному університеті імені І. І. Мечникова 12 грудня 2020 року.</w:t>
      </w:r>
    </w:p>
    <w:p w:rsidR="00DC4E0A" w:rsidRDefault="00DC4E0A">
      <w:pPr>
        <w:rPr>
          <w:lang w:val="uk-UA"/>
        </w:rPr>
      </w:pPr>
    </w:p>
    <w:p w:rsidR="00D21A0E" w:rsidRDefault="00D21A0E">
      <w:pPr>
        <w:rPr>
          <w:lang w:val="uk-UA"/>
        </w:rPr>
      </w:pPr>
    </w:p>
    <w:p w:rsidR="00D21A0E" w:rsidRDefault="00D21A0E">
      <w:pPr>
        <w:rPr>
          <w:lang w:val="uk-UA"/>
        </w:rPr>
      </w:pPr>
    </w:p>
    <w:p w:rsidR="00D21A0E" w:rsidRDefault="00D21A0E">
      <w:pPr>
        <w:rPr>
          <w:lang w:val="uk-UA"/>
        </w:rPr>
      </w:pPr>
    </w:p>
    <w:p w:rsidR="00D21A0E" w:rsidRDefault="00D21A0E">
      <w:pPr>
        <w:rPr>
          <w:lang w:val="uk-UA"/>
        </w:rPr>
      </w:pPr>
    </w:p>
    <w:p w:rsidR="00D21A0E" w:rsidRDefault="00D21A0E">
      <w:pPr>
        <w:rPr>
          <w:lang w:val="uk-UA"/>
        </w:rPr>
      </w:pPr>
    </w:p>
    <w:p w:rsidR="00D21A0E" w:rsidRDefault="00D21A0E">
      <w:pPr>
        <w:rPr>
          <w:lang w:val="uk-UA"/>
        </w:rPr>
      </w:pPr>
    </w:p>
    <w:p w:rsidR="00D21A0E" w:rsidRDefault="00D21A0E">
      <w:pPr>
        <w:rPr>
          <w:lang w:val="uk-UA"/>
        </w:rPr>
      </w:pPr>
    </w:p>
    <w:p w:rsidR="00D21A0E" w:rsidRDefault="00D21A0E">
      <w:pPr>
        <w:rPr>
          <w:lang w:val="uk-UA"/>
        </w:rPr>
      </w:pPr>
    </w:p>
    <w:p w:rsidR="00D21A0E" w:rsidRDefault="00D21A0E">
      <w:pPr>
        <w:rPr>
          <w:lang w:val="uk-UA"/>
        </w:rPr>
      </w:pPr>
    </w:p>
    <w:p w:rsidR="00D21A0E" w:rsidRDefault="00D21A0E">
      <w:pPr>
        <w:rPr>
          <w:lang w:val="uk-UA"/>
        </w:rPr>
      </w:pPr>
    </w:p>
    <w:p w:rsidR="00D21A0E" w:rsidRPr="00D21A0E" w:rsidRDefault="00D21A0E" w:rsidP="00D21A0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21A0E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D21A0E" w:rsidRPr="00D21A0E" w:rsidRDefault="00D21A0E" w:rsidP="00D21A0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21A0E">
        <w:rPr>
          <w:rFonts w:ascii="Times New Roman" w:hAnsi="Times New Roman"/>
          <w:sz w:val="28"/>
          <w:szCs w:val="28"/>
          <w:lang w:val="uk-UA"/>
        </w:rPr>
        <w:t>У магістерській роботі для вивчення особливостей трансформації зовнішньоекономічних позицій країн Європейського Союзу до та частково в умовах світової пандемії були досліджені та виділені спільні риси у зовнішньоекономічній діяльності чотирьох країн: Литви, Естонії, Латвії та Фінляндії.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>На основі отриманих даних в магістерській роботі можна зробити такі висновки. Проаналізував особливості макроекономічного розвитку країн Балтії, можна зазначити, що спостерігається зростання ВВП та ВВП за ПКС протягом 2000-2019 років</w:t>
      </w:r>
      <w:r w:rsidRPr="00D21A0E">
        <w:rPr>
          <w:rFonts w:ascii="Times New Roman" w:eastAsia="Calibri" w:hAnsi="Times New Roman"/>
          <w:sz w:val="28"/>
          <w:szCs w:val="28"/>
        </w:rPr>
        <w:t xml:space="preserve">. 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t>ВВП номінальний залишається нижче за ВВП за паритетом купівельної спроможності</w:t>
      </w:r>
      <w:r w:rsidRPr="00D21A0E">
        <w:rPr>
          <w:rFonts w:ascii="Times New Roman" w:eastAsia="Calibri" w:hAnsi="Times New Roman"/>
          <w:sz w:val="28"/>
          <w:szCs w:val="28"/>
        </w:rPr>
        <w:t xml:space="preserve">, </w:t>
      </w:r>
      <w:proofErr w:type="spellStart"/>
      <w:r w:rsidRPr="00D21A0E">
        <w:rPr>
          <w:rFonts w:ascii="Times New Roman" w:eastAsia="Calibri" w:hAnsi="Times New Roman"/>
          <w:sz w:val="28"/>
          <w:szCs w:val="28"/>
        </w:rPr>
        <w:t>це</w:t>
      </w:r>
      <w:proofErr w:type="spellEnd"/>
      <w:r w:rsidRPr="00D21A0E">
        <w:rPr>
          <w:rFonts w:ascii="Times New Roman" w:eastAsia="Calibri" w:hAnsi="Times New Roman"/>
          <w:sz w:val="28"/>
          <w:szCs w:val="28"/>
        </w:rPr>
        <w:t xml:space="preserve"> характерно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t xml:space="preserve"> для розвинених країн</w:t>
      </w:r>
      <w:r w:rsidRPr="00D21A0E">
        <w:rPr>
          <w:rFonts w:ascii="Times New Roman" w:eastAsia="Calibri" w:hAnsi="Times New Roman"/>
          <w:sz w:val="28"/>
          <w:szCs w:val="28"/>
        </w:rPr>
        <w:t xml:space="preserve"> 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t>світу</w:t>
      </w:r>
      <w:r w:rsidRPr="00D21A0E">
        <w:rPr>
          <w:rFonts w:ascii="Times New Roman" w:eastAsia="Calibri" w:hAnsi="Times New Roman"/>
          <w:sz w:val="28"/>
          <w:szCs w:val="28"/>
        </w:rPr>
        <w:t>.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>Що до платіжного балансу країн Балтії. Рахунок поточних операцій має від’ємне сальдо, що свідчить про домінування імпорту над експортом, а це не є добре для розвитку економіки країни. Фінансовий рахунок у 2000-2005 роках є дефіцитним, перевищували іноземні інвестиції в економіку країн Балтії. Починаючи з 2010 року сальдо фінансового рахунку є додатнім. Простежується активна діяльність інвесторів</w:t>
      </w:r>
      <w:r w:rsidRPr="00D21A0E">
        <w:rPr>
          <w:lang w:val="uk-UA"/>
        </w:rPr>
        <w:t xml:space="preserve"> 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t>країн Балтії.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>Показник кореляції ВВП та експорту, як одним з показників відкритості економіки, дорівнює 0,94. І це свідчить про те, що наявна сильна пряма залежність. Експорт значно впливає на ВВП країн Балтії. Аналізуючи інші показники відкритості економіки, маємо такі висновки: протягом 2000-2019 років співвідношення експорту та зовнішньоторгового обороту до ВВП збільшувалося. Тобто збільшувалася відкритість Латвії до зовнішньоекономічних потоків. Останні п'ять років співвідношення прямих іноземних інвестицій в економіку Латвії до  ВВП не збільшувалось. Але з кожним роком збільшується об'єм прямих інвестицій в країну.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 xml:space="preserve">ВВП Естонії складає 30,7 млрд </w:t>
      </w:r>
      <w:proofErr w:type="spellStart"/>
      <w:r w:rsidRPr="00D21A0E">
        <w:rPr>
          <w:rFonts w:ascii="Times New Roman" w:eastAsia="Calibri" w:hAnsi="Times New Roman"/>
          <w:sz w:val="28"/>
          <w:szCs w:val="28"/>
          <w:lang w:val="uk-UA"/>
        </w:rPr>
        <w:t>дол</w:t>
      </w:r>
      <w:proofErr w:type="spellEnd"/>
      <w:r w:rsidRPr="00D21A0E">
        <w:rPr>
          <w:rFonts w:ascii="Times New Roman" w:eastAsia="Calibri" w:hAnsi="Times New Roman"/>
          <w:sz w:val="28"/>
          <w:szCs w:val="28"/>
          <w:lang w:val="uk-UA"/>
        </w:rPr>
        <w:t xml:space="preserve">. США у 2018 році, тому країна займає 98 місце в світовому рейтингу. ВВП за ПКС в Естонії є більшим за ВВП, що є характерним для країн, що розвиваються. Це вказує на невелику вартість споживчого кошику порівняно з іншими розвинутими країнами. Річне 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lastRenderedPageBreak/>
        <w:t>зростання ВВП досягає максимуму 5,75% у 2017 році, останні 2 роки досліджується гальмування економічного зростання. В останні роки в Естонії спостерігається стійке економічне зростання, оскільки економіка працює вище свого потенціалу. Зростання ВВП в 2019 році склало 4,33 відсотка за рахунок інвестицій і сильного приватного споживання, підживлюється швидким зростанням заробітної плати і низьким рівнем безробіття.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>Валовий борг Естонії залишається найнижчим в ЄС - 8% ВВП - і повністю відповідає бюджетним резервам, що означає, що чистий борг дорівнює нулю. Всі країни Балтії характеризуються дефіцитом бюджету, але він є дуже низьким, щоб провокувати занепокоєння щодо економічного стану країн. Більш того певний бюджетний дефіцит є властивим розвиненим економікам.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>У роботі проведений порівняльний аналіз між економічним розвитком країн Балтії, які були частиною Радянського Союзу та Фінляндією, яка розвивалась разом з іншими країнами ЄС. Згідно результатів аналізу саме це і надало Фінляндії певні переваги у конкурентоспроможності у порівнянні з Естонією, Латвією та Литвою.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>Результати проведеного аналізу свідчать про те, що Естонія, Латвія і Литва, незважаючи на своє «радянське минуле» зуміли, на відміну від України, швидко досягти соціально-економічного прогресу, завдяки проведеним соціально-економічним реформам. Реформи насамперед стосувалися створення стабільних та вигідних умов для іноземних інвесторів, зокрема з країн Європейського Союзу, які спрямовують інвестиції в країни Балтії.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 xml:space="preserve">При цьому слід зазначити, що усі дослідженні країни мають стійкі економічні та фінансові системи. Саме тому пандемія </w:t>
      </w:r>
      <w:r w:rsidRPr="00D21A0E">
        <w:rPr>
          <w:rFonts w:ascii="Times New Roman" w:eastAsia="Calibri" w:hAnsi="Times New Roman"/>
          <w:sz w:val="28"/>
          <w:szCs w:val="28"/>
          <w:lang w:val="en-US"/>
        </w:rPr>
        <w:t>COVID</w:t>
      </w:r>
      <w:r w:rsidRPr="00D21A0E">
        <w:rPr>
          <w:rFonts w:ascii="Times New Roman" w:eastAsia="Calibri" w:hAnsi="Times New Roman"/>
          <w:sz w:val="28"/>
          <w:szCs w:val="28"/>
        </w:rPr>
        <w:t>-19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t xml:space="preserve"> хоч і призвела по падіння ВВП, але можна спрогнозувати зростання цього показника вже у 2021 році.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>Завдяки членству країн Балтії у Європейському Союзі</w:t>
      </w:r>
      <w:r w:rsidRPr="00D21A0E">
        <w:rPr>
          <w:rFonts w:ascii="Times New Roman" w:eastAsia="Calibri" w:hAnsi="Times New Roman"/>
          <w:sz w:val="28"/>
          <w:szCs w:val="28"/>
        </w:rPr>
        <w:t xml:space="preserve">, 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t>країни є привабливими для іноземних інвесторів</w:t>
      </w:r>
      <w:r w:rsidRPr="00D21A0E">
        <w:rPr>
          <w:rFonts w:ascii="Times New Roman" w:eastAsia="Calibri" w:hAnsi="Times New Roman"/>
          <w:sz w:val="28"/>
          <w:szCs w:val="28"/>
        </w:rPr>
        <w:t xml:space="preserve">. Через 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t xml:space="preserve">збільшення об’єму інвестицій економіки </w:t>
      </w:r>
      <w:proofErr w:type="gramStart"/>
      <w:r w:rsidRPr="00D21A0E">
        <w:rPr>
          <w:rFonts w:ascii="Times New Roman" w:eastAsia="Calibri" w:hAnsi="Times New Roman"/>
          <w:sz w:val="28"/>
          <w:szCs w:val="28"/>
          <w:lang w:val="uk-UA"/>
        </w:rPr>
        <w:t>країн</w:t>
      </w:r>
      <w:proofErr w:type="gramEnd"/>
      <w:r w:rsidRPr="00D21A0E">
        <w:rPr>
          <w:rFonts w:ascii="Times New Roman" w:eastAsia="Calibri" w:hAnsi="Times New Roman"/>
          <w:sz w:val="28"/>
          <w:szCs w:val="28"/>
          <w:lang w:val="uk-UA"/>
        </w:rPr>
        <w:t xml:space="preserve"> Балтії розвиваються у позитивному напрямку. Країни Балтії 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lastRenderedPageBreak/>
        <w:t xml:space="preserve">встановили тісну економічну співпрацю з Україною, а також з Грузією і Молдовою. 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>Думка, що настільки невеликі європейські країни як країни Балтії не можуть бути основою для розвитку економічно значущих ділових відносин з Україною насправді помилкова. Потенціал взаємодії цих країн більш значний, ніж здається на перший погляд</w:t>
      </w:r>
      <w:r w:rsidRPr="00D21A0E">
        <w:rPr>
          <w:rFonts w:ascii="Times New Roman" w:eastAsia="Calibri" w:hAnsi="Times New Roman"/>
          <w:sz w:val="28"/>
          <w:szCs w:val="28"/>
        </w:rPr>
        <w:t xml:space="preserve">. 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>Відносини між Україною та країнами Балтії на сьогодні в дуже хорошому стані. Між країнами триває тісна політична, економічна і культурна співпраця. Країни Балтії для України є одним з наших найближчих партнерів в ЄС. Але інвестори з цих країн не надто охоче проявляють себе на українському ринку, проте знаходять його привабливим</w:t>
      </w:r>
      <w:r w:rsidRPr="00D21A0E">
        <w:rPr>
          <w:rFonts w:ascii="Times New Roman" w:eastAsia="Calibri" w:hAnsi="Times New Roman"/>
          <w:sz w:val="28"/>
          <w:szCs w:val="28"/>
        </w:rPr>
        <w:t>. Ц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t xml:space="preserve">е виражається в доступності сировини </w:t>
      </w:r>
      <w:r w:rsidRPr="00D21A0E">
        <w:rPr>
          <w:rFonts w:ascii="Times New Roman" w:eastAsia="Calibri" w:hAnsi="Times New Roman"/>
          <w:sz w:val="28"/>
          <w:szCs w:val="28"/>
        </w:rPr>
        <w:t>та</w:t>
      </w:r>
      <w:r w:rsidRPr="00D21A0E">
        <w:rPr>
          <w:rFonts w:ascii="Times New Roman" w:eastAsia="Calibri" w:hAnsi="Times New Roman"/>
          <w:sz w:val="28"/>
          <w:szCs w:val="28"/>
          <w:lang w:val="uk-UA"/>
        </w:rPr>
        <w:t xml:space="preserve"> низької собівартості виробництва. Ряд причин таких як недовіра до судової системи, корупція і захоплення влади олігархами є перешкодами для іноземних інвесторів. 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val="uk-UA"/>
        </w:rPr>
      </w:pPr>
      <w:r w:rsidRPr="00D21A0E">
        <w:rPr>
          <w:rFonts w:ascii="Times New Roman" w:eastAsia="Calibri" w:hAnsi="Times New Roman"/>
          <w:sz w:val="28"/>
          <w:szCs w:val="28"/>
          <w:lang w:val="uk-UA"/>
        </w:rPr>
        <w:t>Якщо в подальшому Україна буде розвиватися з точки зору європейських стандартів, то взаємодіяти країнам, у тому числі і країнам Балтії, з нею буде простіше і набагато продуктивніше, ніж на сьогоднішній день.</w:t>
      </w: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D21A0E" w:rsidRPr="00D21A0E" w:rsidRDefault="00D21A0E" w:rsidP="00D21A0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21A0E" w:rsidRPr="00D21A0E" w:rsidRDefault="00D21A0E" w:rsidP="00D21A0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21A0E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D21A0E" w:rsidRPr="00D21A0E" w:rsidRDefault="00D21A0E" w:rsidP="00D21A0E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Hilpinen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Jorma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Hella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Heikki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Changes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Finland's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, 1985-1998 (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December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1, 2018).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Finland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Research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Discussion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Paper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No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. 18/1999. [Електронний ресурс]. – Режим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доступу:https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://ssrn.com/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abstract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=3022511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Gruić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Branimir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Determinants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March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25, 2013). 5th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Conference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Integration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competition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cooperation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»,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Croatia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Opatija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, 2005., [Електронний ресурс]. – Режим доступу: http://dx.doi.org/10.2139/ssrn.2239269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1A0E">
        <w:rPr>
          <w:rFonts w:ascii="Times New Roman" w:hAnsi="Times New Roman"/>
          <w:sz w:val="28"/>
          <w:szCs w:val="28"/>
          <w:lang w:val="uk-UA"/>
        </w:rPr>
        <w:t xml:space="preserve">Клименко О. М., Мала С. І., Матвієнко Г. А.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Ukraine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possibilities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improvement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context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tax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policy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changes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//Вісник Приазовського державного технічного університету. Серія: Економічні науки. – 2018. – №. 36. – С. 144-152.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Bilewicz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E.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Structure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new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Union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Member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States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2007-2016 //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Trends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Economy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. – 2017. – Т. 9. – С. 43-57.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Outlook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Databases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. IMF. [Електронний ресурс]. – Режим доступу: https://www.imf.org/external/pubs/ft/weo/2019/02/weodata/index.aspx.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. IMF. [Електронний ресурс]. – Режим доступу: http://data.imf.org/?sk=4C514D48-B6BA-49ED-8AB9-52B0C1A0179B.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Trading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Economics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https://tradingeconomics.com/.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Monthly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Bulletin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Online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https://unstats.un.org/unsd/mbs/app/DataSearchTable.aspx.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1A0E">
        <w:rPr>
          <w:rFonts w:ascii="Times New Roman" w:hAnsi="Times New Roman"/>
          <w:sz w:val="28"/>
          <w:szCs w:val="28"/>
          <w:lang w:val="uk-UA"/>
        </w:rPr>
        <w:t xml:space="preserve">OECD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Surveys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Finland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2018 [Електронний ресурс]. – Режим доступу: https://read.oecd-ilibrary.org/economics/oecd-economic-surveys-finland-2018_eco_surveys-fin-2018-en#page1.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lastRenderedPageBreak/>
        <w:t>The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Observatory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complexity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ресурс]. – Режим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: https://atlas.media.mit.edu/en/.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Balance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Payments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. IMF. [Електронний ресурс]. – Режим доступу: http://data.imf.org/?sk=7A51304B-6426-40C0-83DD-CA473CA1FD52.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Trade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Trade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Organization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https://www.wto.org/english/res_e/statis_e/statis_e.htm.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1A0E">
        <w:rPr>
          <w:rFonts w:ascii="Times New Roman" w:hAnsi="Times New Roman"/>
          <w:sz w:val="28"/>
          <w:szCs w:val="28"/>
          <w:lang w:val="uk-UA"/>
        </w:rPr>
        <w:t xml:space="preserve">ESTONICA.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Encyclopedia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about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Estonia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General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overview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Estonian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economy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  http://www.estonica.org/en/Economy/General_overview_of_Estonian_economy/Trade_and_services/.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Doing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business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investing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Estonia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  https://www.pwc.com/ee/et/publications/DoingBusinessinEstonia/Doing%20Business%202017.pdf.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Government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support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job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creation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Northeastern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Southeastern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Estonia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https://news.err.ee/862746/government-to-support-job-creation-in-northeastern-southeastern-estonia.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Global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Innovation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Index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2019.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Intellectual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Property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Organization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https://www.wipo.int/publications/en/details.jsp?id=4434.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1A0E">
        <w:rPr>
          <w:rFonts w:ascii="Times New Roman" w:hAnsi="Times New Roman"/>
          <w:sz w:val="28"/>
          <w:szCs w:val="28"/>
          <w:lang w:val="uk-UA"/>
        </w:rPr>
        <w:t xml:space="preserve">INTERNATIONAL PRODUCTION BEYOND THE PANDEMIC.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Finland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(FDI)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overview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[Електронний ресурс] // UNITED NATIONS CONFERENCE ON TRADE AND DEVELOPMENT. – Режим доступу: https://unctad.org/system/files/non-official-document/wir20_fs_fn_en.pdf</w:t>
      </w:r>
    </w:p>
    <w:p w:rsidR="00D21A0E" w:rsidRPr="00D21A0E" w:rsidRDefault="00D21A0E" w:rsidP="00D21A0E">
      <w:pPr>
        <w:widowControl w:val="0"/>
        <w:numPr>
          <w:ilvl w:val="0"/>
          <w:numId w:val="2"/>
        </w:numPr>
        <w:tabs>
          <w:tab w:val="left" w:pos="574"/>
        </w:tabs>
        <w:autoSpaceDE w:val="0"/>
        <w:autoSpaceDN w:val="0"/>
        <w:spacing w:after="0" w:line="360" w:lineRule="auto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Ivanova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T.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Potential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Trade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with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EU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Countries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//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Riga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School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Economics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Business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Administration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. – 2016. - № 26. – Р.</w:t>
      </w:r>
      <w:r w:rsidRPr="00D21A0E">
        <w:rPr>
          <w:rFonts w:ascii="Times New Roman" w:eastAsiaTheme="minorHAnsi" w:hAnsi="Times New Roman" w:cstheme="minorBidi"/>
          <w:spacing w:val="-2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1002-1008.</w:t>
      </w:r>
    </w:p>
    <w:p w:rsidR="00D21A0E" w:rsidRPr="00D21A0E" w:rsidRDefault="00D21A0E" w:rsidP="00D21A0E">
      <w:pPr>
        <w:widowControl w:val="0"/>
        <w:numPr>
          <w:ilvl w:val="0"/>
          <w:numId w:val="2"/>
        </w:numPr>
        <w:tabs>
          <w:tab w:val="left" w:pos="489"/>
        </w:tabs>
        <w:autoSpaceDE w:val="0"/>
        <w:autoSpaceDN w:val="0"/>
        <w:spacing w:after="0" w:line="360" w:lineRule="auto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Priede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D.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Quality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competitiveness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Latvia's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sector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[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Electronic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resource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] //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Journal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University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. – 2014. –  №</w:t>
      </w:r>
      <w:r w:rsidRPr="00D21A0E">
        <w:rPr>
          <w:rFonts w:ascii="Times New Roman" w:eastAsiaTheme="minorHAnsi" w:hAnsi="Times New Roman" w:cstheme="minorBidi"/>
          <w:spacing w:val="-11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lastRenderedPageBreak/>
        <w:t>106. P.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ab/>
        <w:t>34-49.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ab/>
        <w:t>–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ab/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:</w:t>
      </w:r>
    </w:p>
    <w:p w:rsidR="00D21A0E" w:rsidRPr="00D21A0E" w:rsidRDefault="00D21A0E" w:rsidP="00D21A0E">
      <w:pPr>
        <w:widowControl w:val="0"/>
        <w:autoSpaceDE w:val="0"/>
        <w:autoSpaceDN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 w:eastAsia="uk-UA"/>
        </w:rPr>
      </w:pPr>
      <w:hyperlink r:id="rId6" w:history="1">
        <w:r w:rsidRPr="00D21A0E">
          <w:rPr>
            <w:rFonts w:ascii="Times New Roman" w:hAnsi="Times New Roman"/>
            <w:sz w:val="28"/>
            <w:szCs w:val="28"/>
            <w:lang w:val="uk-UA" w:eastAsia="uk-UA"/>
          </w:rPr>
          <w:t>https://w</w:t>
        </w:r>
      </w:hyperlink>
      <w:r w:rsidRPr="00D21A0E">
        <w:rPr>
          <w:rFonts w:ascii="Times New Roman" w:hAnsi="Times New Roman"/>
          <w:sz w:val="28"/>
          <w:szCs w:val="28"/>
          <w:lang w:val="uk-UA" w:eastAsia="uk-UA"/>
        </w:rPr>
        <w:t>ww.</w:t>
      </w:r>
      <w:hyperlink r:id="rId7" w:history="1">
        <w:r w:rsidRPr="00D21A0E">
          <w:rPr>
            <w:rFonts w:ascii="Times New Roman" w:hAnsi="Times New Roman"/>
            <w:sz w:val="28"/>
            <w:szCs w:val="28"/>
            <w:lang w:val="uk-UA" w:eastAsia="uk-UA"/>
          </w:rPr>
          <w:t>researchgate.net/publication/267218580_Quality_competitiveness_o</w:t>
        </w:r>
      </w:hyperlink>
      <w:r w:rsidRPr="00D21A0E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 w:eastAsia="uk-UA"/>
        </w:rPr>
        <w:t>f_Latvia's_economic_sectors</w:t>
      </w:r>
      <w:proofErr w:type="spellEnd"/>
      <w:r w:rsidRPr="00D21A0E">
        <w:rPr>
          <w:rFonts w:ascii="Times New Roman" w:hAnsi="Times New Roman"/>
          <w:sz w:val="28"/>
          <w:szCs w:val="28"/>
          <w:lang w:val="uk-UA" w:eastAsia="uk-UA"/>
        </w:rPr>
        <w:t>.</w:t>
      </w:r>
    </w:p>
    <w:p w:rsidR="00D21A0E" w:rsidRPr="00D21A0E" w:rsidRDefault="00D21A0E" w:rsidP="00D21A0E">
      <w:pPr>
        <w:widowControl w:val="0"/>
        <w:numPr>
          <w:ilvl w:val="0"/>
          <w:numId w:val="2"/>
        </w:numPr>
        <w:tabs>
          <w:tab w:val="left" w:pos="443"/>
        </w:tabs>
        <w:autoSpaceDE w:val="0"/>
        <w:autoSpaceDN w:val="0"/>
        <w:spacing w:after="0" w:line="360" w:lineRule="auto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Skribane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I.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[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Electronic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resource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] //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Regional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Formation</w:t>
      </w:r>
      <w:proofErr w:type="spellEnd"/>
      <w:r w:rsidRPr="00D21A0E">
        <w:rPr>
          <w:rFonts w:ascii="Times New Roman" w:eastAsiaTheme="minorHAnsi" w:hAnsi="Times New Roman" w:cstheme="minorBidi"/>
          <w:spacing w:val="-12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pacing w:val="-12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eastAsiaTheme="minorHAnsi" w:hAnsi="Times New Roman" w:cstheme="minorBidi"/>
          <w:spacing w:val="-12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Studies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.</w:t>
      </w:r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-12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2018.</w:t>
      </w:r>
      <w:r w:rsidRPr="00D21A0E">
        <w:rPr>
          <w:rFonts w:ascii="Times New Roman" w:eastAsiaTheme="minorHAnsi" w:hAnsi="Times New Roman" w:cstheme="minorBidi"/>
          <w:spacing w:val="-12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47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№</w:t>
      </w:r>
      <w:r w:rsidRPr="00D21A0E">
        <w:rPr>
          <w:rFonts w:ascii="Times New Roman" w:eastAsiaTheme="minorHAnsi" w:hAnsi="Times New Roman" w:cstheme="minorBidi"/>
          <w:spacing w:val="-13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24.</w:t>
      </w:r>
      <w:r w:rsidRPr="00D21A0E">
        <w:rPr>
          <w:rFonts w:ascii="Times New Roman" w:eastAsiaTheme="minorHAnsi" w:hAnsi="Times New Roman" w:cstheme="minorBidi"/>
          <w:spacing w:val="-12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-11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P.</w:t>
      </w:r>
      <w:r w:rsidRPr="00D21A0E">
        <w:rPr>
          <w:rFonts w:ascii="Times New Roman" w:eastAsiaTheme="minorHAnsi" w:hAnsi="Times New Roman" w:cstheme="minorBidi"/>
          <w:spacing w:val="-12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32-60.</w:t>
      </w:r>
      <w:r w:rsidRPr="00D21A0E">
        <w:rPr>
          <w:rFonts w:ascii="Times New Roman" w:eastAsiaTheme="minorHAnsi" w:hAnsi="Times New Roman" w:cstheme="minorBidi"/>
          <w:spacing w:val="-12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-12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eastAsiaTheme="minorHAnsi" w:hAnsi="Times New Roman" w:cstheme="minorBidi"/>
          <w:spacing w:val="-11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:</w:t>
      </w:r>
    </w:p>
    <w:p w:rsidR="00D21A0E" w:rsidRPr="00D21A0E" w:rsidRDefault="00D21A0E" w:rsidP="00D21A0E">
      <w:pPr>
        <w:widowControl w:val="0"/>
        <w:autoSpaceDE w:val="0"/>
        <w:autoSpaceDN w:val="0"/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 w:eastAsia="uk-UA"/>
        </w:rPr>
      </w:pPr>
      <w:hyperlink r:id="rId8" w:history="1">
        <w:r w:rsidRPr="00D21A0E">
          <w:rPr>
            <w:rFonts w:ascii="Times New Roman" w:hAnsi="Times New Roman"/>
            <w:sz w:val="28"/>
            <w:szCs w:val="28"/>
            <w:lang w:val="uk-UA" w:eastAsia="uk-UA"/>
          </w:rPr>
          <w:t>ht</w:t>
        </w:r>
      </w:hyperlink>
      <w:r w:rsidRPr="00D21A0E">
        <w:rPr>
          <w:rFonts w:ascii="Times New Roman" w:hAnsi="Times New Roman"/>
          <w:sz w:val="28"/>
          <w:szCs w:val="28"/>
          <w:lang w:val="uk-UA" w:eastAsia="uk-UA"/>
        </w:rPr>
        <w:t>t</w:t>
      </w:r>
      <w:hyperlink r:id="rId9" w:history="1">
        <w:r w:rsidRPr="00D21A0E">
          <w:rPr>
            <w:rFonts w:ascii="Times New Roman" w:hAnsi="Times New Roman"/>
            <w:sz w:val="28"/>
            <w:szCs w:val="28"/>
            <w:lang w:val="uk-UA" w:eastAsia="uk-UA"/>
          </w:rPr>
          <w:t>p://journals.ku.lt/index.php/RFDS/article/view/1680.</w:t>
        </w:r>
      </w:hyperlink>
    </w:p>
    <w:p w:rsidR="00D21A0E" w:rsidRPr="00D21A0E" w:rsidRDefault="00D21A0E" w:rsidP="00D21A0E">
      <w:pPr>
        <w:widowControl w:val="0"/>
        <w:numPr>
          <w:ilvl w:val="0"/>
          <w:numId w:val="2"/>
        </w:numPr>
        <w:tabs>
          <w:tab w:val="left" w:pos="447"/>
        </w:tabs>
        <w:autoSpaceDE w:val="0"/>
        <w:autoSpaceDN w:val="0"/>
        <w:spacing w:after="0" w:line="360" w:lineRule="auto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Bank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Relationship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between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inflation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activity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its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variation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over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time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[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Electronic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resource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] //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Report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Bank</w:t>
      </w:r>
      <w:proofErr w:type="spellEnd"/>
      <w:r w:rsidRPr="00D21A0E">
        <w:rPr>
          <w:rFonts w:ascii="Times New Roman" w:eastAsiaTheme="minorHAnsi" w:hAnsi="Times New Roman" w:cstheme="minorBidi"/>
          <w:spacing w:val="-11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outlook</w:t>
      </w:r>
      <w:proofErr w:type="spellEnd"/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macroeconomic</w:t>
      </w:r>
      <w:proofErr w:type="spellEnd"/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indicators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.</w:t>
      </w:r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-11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2016.</w:t>
      </w:r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№</w:t>
      </w:r>
      <w:r w:rsidRPr="00D21A0E">
        <w:rPr>
          <w:rFonts w:ascii="Times New Roman" w:eastAsiaTheme="minorHAnsi" w:hAnsi="Times New Roman" w:cstheme="minorBidi"/>
          <w:spacing w:val="-11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3.</w:t>
      </w:r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P.</w:t>
      </w:r>
      <w:r w:rsidRPr="00D21A0E">
        <w:rPr>
          <w:rFonts w:ascii="Times New Roman" w:eastAsiaTheme="minorHAnsi" w:hAnsi="Times New Roman" w:cstheme="minorBidi"/>
          <w:spacing w:val="-10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1-36.Available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:</w:t>
      </w:r>
    </w:p>
    <w:p w:rsidR="00D21A0E" w:rsidRPr="00D21A0E" w:rsidRDefault="00D21A0E" w:rsidP="00D21A0E">
      <w:pPr>
        <w:widowControl w:val="0"/>
        <w:autoSpaceDE w:val="0"/>
        <w:autoSpaceDN w:val="0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 w:eastAsia="uk-UA"/>
        </w:rPr>
      </w:pPr>
      <w:hyperlink r:id="rId10" w:history="1">
        <w:r w:rsidRPr="00D21A0E">
          <w:rPr>
            <w:rFonts w:ascii="Times New Roman" w:hAnsi="Times New Roman"/>
            <w:sz w:val="28"/>
            <w:szCs w:val="28"/>
            <w:lang w:val="uk-UA" w:eastAsia="uk-UA"/>
          </w:rPr>
          <w:t>https://w</w:t>
        </w:r>
      </w:hyperlink>
      <w:r w:rsidRPr="00D21A0E">
        <w:rPr>
          <w:rFonts w:ascii="Times New Roman" w:hAnsi="Times New Roman"/>
          <w:sz w:val="28"/>
          <w:szCs w:val="28"/>
          <w:lang w:val="uk-UA" w:eastAsia="uk-UA"/>
        </w:rPr>
        <w:t>ww.bank.</w:t>
      </w:r>
      <w:hyperlink r:id="rId11" w:history="1">
        <w:r w:rsidRPr="00D21A0E">
          <w:rPr>
            <w:rFonts w:ascii="Times New Roman" w:hAnsi="Times New Roman"/>
            <w:sz w:val="28"/>
            <w:szCs w:val="28"/>
            <w:lang w:val="uk-UA" w:eastAsia="uk-UA"/>
          </w:rPr>
          <w:t>lv/images/stories/pielikumi/publikacijas/petijumi/wp_3_2016-</w:t>
        </w:r>
      </w:hyperlink>
      <w:r w:rsidRPr="00D21A0E">
        <w:rPr>
          <w:rFonts w:ascii="Times New Roman" w:hAnsi="Times New Roman"/>
          <w:sz w:val="28"/>
          <w:szCs w:val="28"/>
          <w:lang w:val="uk-UA" w:eastAsia="uk-UA"/>
        </w:rPr>
        <w:t xml:space="preserve"> en.pdf&gt;.</w:t>
      </w:r>
    </w:p>
    <w:p w:rsidR="00D21A0E" w:rsidRPr="00D21A0E" w:rsidRDefault="00D21A0E" w:rsidP="00D21A0E">
      <w:pPr>
        <w:widowControl w:val="0"/>
        <w:numPr>
          <w:ilvl w:val="0"/>
          <w:numId w:val="2"/>
        </w:numPr>
        <w:tabs>
          <w:tab w:val="left" w:pos="463"/>
          <w:tab w:val="left" w:pos="3023"/>
          <w:tab w:val="left" w:pos="5453"/>
          <w:tab w:val="left" w:pos="8831"/>
        </w:tabs>
        <w:autoSpaceDE w:val="0"/>
        <w:autoSpaceDN w:val="0"/>
        <w:spacing w:after="0" w:line="360" w:lineRule="auto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Hazans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M.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Unemployment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Earnings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Structure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[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Electronic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resource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] //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Bank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Policy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Research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Working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Paper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. – 2014. – № 3504.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pacing w:val="-4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eastAsiaTheme="minorHAnsi" w:hAnsi="Times New Roman" w:cstheme="minorBidi"/>
          <w:spacing w:val="-4"/>
          <w:sz w:val="28"/>
          <w:szCs w:val="28"/>
          <w:lang w:val="uk-UA"/>
        </w:rPr>
        <w:t>:</w:t>
      </w:r>
    </w:p>
    <w:p w:rsidR="00D21A0E" w:rsidRPr="00D21A0E" w:rsidRDefault="00D21A0E" w:rsidP="00D21A0E">
      <w:pPr>
        <w:widowControl w:val="0"/>
        <w:autoSpaceDE w:val="0"/>
        <w:autoSpaceDN w:val="0"/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D21A0E">
        <w:rPr>
          <w:rFonts w:ascii="Times New Roman" w:hAnsi="Times New Roman"/>
          <w:sz w:val="28"/>
          <w:szCs w:val="28"/>
          <w:lang w:val="uk-UA" w:eastAsia="uk-UA"/>
        </w:rPr>
        <w:t>https://papers.ssrn.com/sol3/papers.cfm?abstract_id=659103.</w:t>
      </w:r>
    </w:p>
    <w:p w:rsidR="00D21A0E" w:rsidRPr="00D21A0E" w:rsidRDefault="00D21A0E" w:rsidP="00D21A0E">
      <w:pPr>
        <w:widowControl w:val="0"/>
        <w:numPr>
          <w:ilvl w:val="0"/>
          <w:numId w:val="2"/>
        </w:numPr>
        <w:tabs>
          <w:tab w:val="left" w:pos="388"/>
        </w:tabs>
        <w:autoSpaceDE w:val="0"/>
        <w:autoSpaceDN w:val="0"/>
        <w:spacing w:after="0" w:line="360" w:lineRule="auto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Auzina-Emsina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A.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Modeling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influence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transportation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storage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industry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[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Electronic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resource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] //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Journals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pacing w:val="41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Books</w:t>
      </w:r>
      <w:proofErr w:type="spellEnd"/>
      <w:r w:rsidRPr="00D21A0E">
        <w:rPr>
          <w:rFonts w:ascii="Times New Roman" w:eastAsiaTheme="minorHAnsi" w:hAnsi="Times New Roman" w:cstheme="minorBidi"/>
          <w:spacing w:val="41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Science</w:t>
      </w:r>
      <w:proofErr w:type="spellEnd"/>
      <w:r w:rsidRPr="00D21A0E">
        <w:rPr>
          <w:rFonts w:ascii="Times New Roman" w:eastAsiaTheme="minorHAnsi" w:hAnsi="Times New Roman" w:cstheme="minorBidi"/>
          <w:spacing w:val="41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Direct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.</w:t>
      </w:r>
      <w:r w:rsidRPr="00D21A0E">
        <w:rPr>
          <w:rFonts w:ascii="Times New Roman" w:eastAsiaTheme="minorHAnsi" w:hAnsi="Times New Roman" w:cstheme="minorBidi"/>
          <w:spacing w:val="42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42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2019.</w:t>
      </w:r>
      <w:r w:rsidRPr="00D21A0E">
        <w:rPr>
          <w:rFonts w:ascii="Times New Roman" w:eastAsiaTheme="minorHAnsi" w:hAnsi="Times New Roman" w:cstheme="minorBidi"/>
          <w:spacing w:val="41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13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№</w:t>
      </w:r>
      <w:r w:rsidRPr="00D21A0E">
        <w:rPr>
          <w:rFonts w:ascii="Times New Roman" w:eastAsiaTheme="minorHAnsi" w:hAnsi="Times New Roman" w:cstheme="minorBidi"/>
          <w:spacing w:val="41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149.</w:t>
      </w:r>
      <w:r w:rsidRPr="00D21A0E">
        <w:rPr>
          <w:rFonts w:ascii="Times New Roman" w:eastAsiaTheme="minorHAnsi" w:hAnsi="Times New Roman" w:cstheme="minorBidi"/>
          <w:spacing w:val="41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42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P.</w:t>
      </w:r>
      <w:r w:rsidRPr="00D21A0E">
        <w:rPr>
          <w:rFonts w:ascii="Times New Roman" w:eastAsiaTheme="minorHAnsi" w:hAnsi="Times New Roman" w:cstheme="minorBidi"/>
          <w:spacing w:val="41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450-459.</w:t>
      </w:r>
      <w:r w:rsidRPr="00D21A0E">
        <w:rPr>
          <w:rFonts w:ascii="Times New Roman" w:eastAsiaTheme="minorHAnsi" w:hAnsi="Times New Roman" w:cstheme="minorBidi"/>
          <w:spacing w:val="42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–</w:t>
      </w:r>
      <w:r w:rsidRPr="00D21A0E">
        <w:rPr>
          <w:rFonts w:ascii="Times New Roman" w:eastAsiaTheme="minorHAnsi" w:hAnsi="Times New Roman" w:cstheme="minorBidi"/>
          <w:spacing w:val="41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eastAsiaTheme="minorHAnsi" w:hAnsi="Times New Roman" w:cstheme="minorBidi"/>
          <w:spacing w:val="42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:</w:t>
      </w:r>
    </w:p>
    <w:p w:rsidR="00D21A0E" w:rsidRPr="00D21A0E" w:rsidRDefault="00D21A0E" w:rsidP="00D21A0E">
      <w:pPr>
        <w:widowControl w:val="0"/>
        <w:autoSpaceDE w:val="0"/>
        <w:autoSpaceDN w:val="0"/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 w:eastAsia="uk-UA"/>
        </w:rPr>
      </w:pPr>
      <w:hyperlink r:id="rId12" w:history="1">
        <w:r w:rsidRPr="00D21A0E">
          <w:rPr>
            <w:rFonts w:ascii="Times New Roman" w:hAnsi="Times New Roman"/>
            <w:sz w:val="28"/>
            <w:szCs w:val="28"/>
            <w:lang w:val="uk-UA" w:eastAsia="uk-UA"/>
          </w:rPr>
          <w:t>https://w</w:t>
        </w:r>
      </w:hyperlink>
      <w:r w:rsidRPr="00D21A0E">
        <w:rPr>
          <w:rFonts w:ascii="Times New Roman" w:hAnsi="Times New Roman"/>
          <w:sz w:val="28"/>
          <w:szCs w:val="28"/>
          <w:lang w:val="uk-UA" w:eastAsia="uk-UA"/>
        </w:rPr>
        <w:t>ww.</w:t>
      </w:r>
      <w:hyperlink r:id="rId13" w:history="1">
        <w:r w:rsidRPr="00D21A0E">
          <w:rPr>
            <w:rFonts w:ascii="Times New Roman" w:hAnsi="Times New Roman"/>
            <w:sz w:val="28"/>
            <w:szCs w:val="28"/>
            <w:lang w:val="uk-UA" w:eastAsia="uk-UA"/>
          </w:rPr>
          <w:t>sciencedirect.</w:t>
        </w:r>
      </w:hyperlink>
      <w:r w:rsidRPr="00D21A0E">
        <w:rPr>
          <w:rFonts w:ascii="Times New Roman" w:hAnsi="Times New Roman"/>
          <w:sz w:val="28"/>
          <w:szCs w:val="28"/>
          <w:lang w:val="uk-UA" w:eastAsia="uk-UA"/>
        </w:rPr>
        <w:t>com</w:t>
      </w:r>
      <w:hyperlink r:id="rId14" w:history="1">
        <w:r w:rsidRPr="00D21A0E">
          <w:rPr>
            <w:rFonts w:ascii="Times New Roman" w:hAnsi="Times New Roman"/>
            <w:sz w:val="28"/>
            <w:szCs w:val="28"/>
            <w:lang w:val="uk-UA" w:eastAsia="uk-UA"/>
          </w:rPr>
          <w:t>/science/article/pii/S1877050919301693</w:t>
        </w:r>
      </w:hyperlink>
      <w:r w:rsidRPr="00D21A0E">
        <w:rPr>
          <w:rFonts w:ascii="Times New Roman" w:hAnsi="Times New Roman"/>
          <w:sz w:val="28"/>
          <w:szCs w:val="28"/>
          <w:lang w:val="uk-UA" w:eastAsia="uk-UA"/>
        </w:rPr>
        <w:t>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ind w:right="75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Latvijas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Banka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History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financial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system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(2020).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: https://www.bank.lv/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ind w:right="75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bCs/>
          <w:sz w:val="28"/>
          <w:szCs w:val="28"/>
          <w:lang w:val="uk-UA"/>
        </w:rPr>
        <w:t>Lietuvos</w:t>
      </w:r>
      <w:proofErr w:type="spellEnd"/>
      <w:r w:rsidRPr="00D21A0E">
        <w:rPr>
          <w:rFonts w:ascii="Times New Roman" w:eastAsiaTheme="minorHAnsi" w:hAnsi="Times New Roman" w:cstheme="minorBidi"/>
          <w:bCs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bCs/>
          <w:sz w:val="28"/>
          <w:szCs w:val="28"/>
          <w:lang w:val="uk-UA"/>
        </w:rPr>
        <w:t>Bankas</w:t>
      </w:r>
      <w:proofErr w:type="spellEnd"/>
      <w:r w:rsidRPr="00D21A0E">
        <w:rPr>
          <w:rFonts w:ascii="Times New Roman" w:eastAsiaTheme="minorHAnsi" w:hAnsi="Times New Roman" w:cstheme="minorBidi"/>
          <w:bCs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History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financial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system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bCs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bCs/>
          <w:sz w:val="28"/>
          <w:szCs w:val="28"/>
          <w:lang w:val="uk-UA"/>
        </w:rPr>
        <w:t>Lithuania</w:t>
      </w:r>
      <w:proofErr w:type="spellEnd"/>
      <w:r w:rsidRPr="00D21A0E">
        <w:rPr>
          <w:rFonts w:ascii="Times New Roman" w:eastAsiaTheme="minorHAnsi" w:hAnsi="Times New Roman" w:cstheme="minorBidi"/>
          <w:bCs/>
          <w:sz w:val="28"/>
          <w:szCs w:val="28"/>
          <w:lang w:val="uk-UA"/>
        </w:rPr>
        <w:t xml:space="preserve"> (2020).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: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http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//www.lb.lt, 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ind w:right="75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Eestipank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History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financial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system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Estonia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(2020).   – 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: http//www.eestipank.ee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ind w:right="75"/>
        <w:contextualSpacing/>
        <w:jc w:val="both"/>
        <w:rPr>
          <w:rFonts w:ascii="Times New Roman" w:eastAsiaTheme="minorHAnsi" w:hAnsi="Times New Roman" w:cstheme="minorBidi"/>
          <w:iCs/>
          <w:color w:val="000000"/>
          <w:sz w:val="28"/>
          <w:szCs w:val="28"/>
          <w:lang w:val="uk-UA"/>
        </w:rPr>
      </w:pP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monetary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fund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/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Annual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Report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Exchange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Arrangements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Exchange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Restrictions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2017/ [Електронний ресурс]–Режим доступу: </w:t>
      </w:r>
      <w:hyperlink r:id="rId15" w:history="1">
        <w:r w:rsidRPr="00D21A0E">
          <w:rPr>
            <w:rFonts w:ascii="Times New Roman" w:eastAsiaTheme="minorHAnsi" w:hAnsi="Times New Roman"/>
            <w:bCs/>
            <w:iCs/>
            <w:color w:val="000000"/>
            <w:sz w:val="28"/>
            <w:szCs w:val="28"/>
            <w:u w:val="single"/>
            <w:lang w:val="uk-UA"/>
          </w:rPr>
          <w:t>https://www.imf.org/en/Publications/Annual-Report-on-Exchange-Arrangements-</w:t>
        </w:r>
        <w:r w:rsidRPr="00D21A0E">
          <w:rPr>
            <w:rFonts w:ascii="Times New Roman" w:eastAsiaTheme="minorHAnsi" w:hAnsi="Times New Roman"/>
            <w:bCs/>
            <w:iCs/>
            <w:color w:val="000000"/>
            <w:sz w:val="28"/>
            <w:szCs w:val="28"/>
            <w:u w:val="single"/>
            <w:lang w:val="uk-UA"/>
          </w:rPr>
          <w:lastRenderedPageBreak/>
          <w:t>and-Exchange-Restrictions/Issues/2018/08/10/Annual-Report-on-Exchange-Arrangements-and-Exchange-Restrictions-2017-44930</w:t>
        </w:r>
      </w:hyperlink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ind w:right="75"/>
        <w:contextualSpacing/>
        <w:jc w:val="both"/>
        <w:rPr>
          <w:rFonts w:ascii="Times New Roman" w:eastAsiaTheme="minorHAnsi" w:hAnsi="Times New Roman" w:cstheme="minorBidi"/>
          <w:bCs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monetary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fund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/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reserves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foreign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currency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liquidity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// [Електронний ресурс]–Режим доступу: </w:t>
      </w:r>
      <w:hyperlink r:id="rId16" w:history="1">
        <w:r w:rsidRPr="00D21A0E">
          <w:rPr>
            <w:rFonts w:ascii="Times New Roman" w:eastAsiaTheme="minorHAnsi" w:hAnsi="Times New Roman"/>
            <w:iCs/>
            <w:color w:val="000000"/>
            <w:sz w:val="28"/>
            <w:szCs w:val="28"/>
            <w:u w:val="single"/>
            <w:lang w:val="uk-UA"/>
          </w:rPr>
          <w:t>https://data.imf.org/regular.aspx?key=61280813</w:t>
        </w:r>
      </w:hyperlink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ind w:right="75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Twarowska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K.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role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exchange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rate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policy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/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Twarowska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K.//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ResearchGate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. - 2014. 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ind w:right="75"/>
        <w:contextualSpacing/>
        <w:jc w:val="both"/>
        <w:rPr>
          <w:rFonts w:ascii="Times New Roman" w:eastAsiaTheme="minorHAnsi" w:hAnsi="Times New Roman" w:cstheme="minorBidi"/>
          <w:bCs/>
          <w:color w:val="000000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Cavallo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A.,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Neiman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B.,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Rigobon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R.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Price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Impact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Joining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a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Currency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Union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: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Evidence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/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Rubio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M.,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Comunale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M. //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 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systems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. – 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March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, 2018. 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ind w:right="75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Markevičiūte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̇ A.,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Kuokštis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V.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Race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to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Euro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: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Why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Latvia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Joined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Earlier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Than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Lithuania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/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Markevičiūte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̇ A.,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Kuokštis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V. //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fldChar w:fldCharType="begin"/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instrText xml:space="preserve"> HYPERLINK "http://www.zurnalai.vu.lt/BJPS/index" </w:instrTex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fldChar w:fldCharType="separate"/>
      </w:r>
      <w:r w:rsidRPr="00D21A0E">
        <w:rPr>
          <w:rFonts w:ascii="Times New Roman" w:eastAsiaTheme="minorHAnsi" w:hAnsi="Times New Roman"/>
          <w:bCs/>
          <w:color w:val="000000"/>
          <w:sz w:val="28"/>
          <w:szCs w:val="28"/>
          <w:u w:val="single"/>
          <w:lang w:val="uk-UA"/>
        </w:rPr>
        <w:t>Baltic</w:t>
      </w:r>
      <w:proofErr w:type="spellEnd"/>
      <w:r w:rsidRPr="00D21A0E">
        <w:rPr>
          <w:rFonts w:ascii="Times New Roman" w:eastAsiaTheme="minorHAnsi" w:hAnsi="Times New Roman"/>
          <w:bCs/>
          <w:color w:val="000000"/>
          <w:sz w:val="28"/>
          <w:szCs w:val="28"/>
          <w:u w:val="single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/>
          <w:bCs/>
          <w:color w:val="000000"/>
          <w:sz w:val="28"/>
          <w:szCs w:val="28"/>
          <w:u w:val="single"/>
          <w:lang w:val="uk-UA"/>
        </w:rPr>
        <w:t>Journal</w:t>
      </w:r>
      <w:proofErr w:type="spellEnd"/>
      <w:r w:rsidRPr="00D21A0E">
        <w:rPr>
          <w:rFonts w:ascii="Times New Roman" w:eastAsiaTheme="minorHAnsi" w:hAnsi="Times New Roman"/>
          <w:bCs/>
          <w:color w:val="000000"/>
          <w:sz w:val="28"/>
          <w:szCs w:val="28"/>
          <w:u w:val="single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/>
          <w:bCs/>
          <w:color w:val="000000"/>
          <w:sz w:val="28"/>
          <w:szCs w:val="28"/>
          <w:u w:val="single"/>
          <w:lang w:val="uk-UA"/>
        </w:rPr>
        <w:t>of</w:t>
      </w:r>
      <w:proofErr w:type="spellEnd"/>
      <w:r w:rsidRPr="00D21A0E">
        <w:rPr>
          <w:rFonts w:ascii="Times New Roman" w:eastAsiaTheme="minorHAnsi" w:hAnsi="Times New Roman"/>
          <w:bCs/>
          <w:color w:val="000000"/>
          <w:sz w:val="28"/>
          <w:szCs w:val="28"/>
          <w:u w:val="single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/>
          <w:bCs/>
          <w:color w:val="000000"/>
          <w:sz w:val="28"/>
          <w:szCs w:val="28"/>
          <w:u w:val="single"/>
          <w:lang w:val="uk-UA"/>
        </w:rPr>
        <w:t>Political</w:t>
      </w:r>
      <w:proofErr w:type="spellEnd"/>
      <w:r w:rsidRPr="00D21A0E">
        <w:rPr>
          <w:rFonts w:ascii="Times New Roman" w:eastAsiaTheme="minorHAnsi" w:hAnsi="Times New Roman"/>
          <w:bCs/>
          <w:color w:val="000000"/>
          <w:sz w:val="28"/>
          <w:szCs w:val="28"/>
          <w:u w:val="single"/>
          <w:lang w:val="uk-UA"/>
        </w:rPr>
        <w:t> </w:t>
      </w:r>
      <w:proofErr w:type="spellStart"/>
      <w:r w:rsidRPr="00D21A0E">
        <w:rPr>
          <w:rFonts w:ascii="Times New Roman" w:eastAsiaTheme="minorHAnsi" w:hAnsi="Times New Roman"/>
          <w:bCs/>
          <w:color w:val="000000"/>
          <w:sz w:val="28"/>
          <w:szCs w:val="28"/>
          <w:u w:val="single"/>
          <w:lang w:val="uk-UA"/>
        </w:rPr>
        <w:t>Science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fldChar w:fldCharType="end"/>
      </w:r>
      <w:r w:rsidRPr="00D21A0E">
        <w:rPr>
          <w:rFonts w:ascii="Times New Roman" w:eastAsiaTheme="minorHAnsi" w:hAnsi="Times New Roman" w:cstheme="minorBidi"/>
          <w:bCs/>
          <w:color w:val="000000"/>
          <w:sz w:val="28"/>
          <w:szCs w:val="28"/>
          <w:shd w:val="clear" w:color="auto" w:fill="FFFFFF"/>
          <w:lang w:val="uk-UA"/>
        </w:rPr>
        <w:t>.- 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2015. 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ind w:right="75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United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Nations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Conference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on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Trade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Report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2016 [Електронний ресурс] – Режим доступу: http://unctad.org/en/PublicationsLibrary/wir2016_Overview_ru.pdf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Nations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Conference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Trade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Report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2017 [Електронний ресурс] – Режим доступу:  http://unctad.org/en/PublicationsLibrary/wir2017_overview_ru.pdf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Nations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Conference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Trade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Report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2018 [Електронний ресурс] – Режим доступу:  http://unctad.org/en/PublicationsLibrary/wir2018_overview_ru.pdf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Nations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Conference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Trade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Report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2019 [Електронний ресурс] – Режим доступу:  https://unctad.org/en/PublicationsLibrary/wir2019_overview_ru.pdf 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Nations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Conference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Trade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Report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2020: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Production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Beyond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Pandemic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доступу: https://unctad.org/en/PublicationsLibrary/wir2020_overview_ru.pdf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</w:pPr>
      <w:r w:rsidRPr="00D21A0E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Eurostat. Long term government bond yields. [Electronic resource] // International economic statistic. Available from: 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lastRenderedPageBreak/>
        <w:t>&lt;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https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://</w:t>
      </w:r>
      <w:proofErr w:type="spellStart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ec</w:t>
      </w:r>
      <w:proofErr w:type="spellEnd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.</w:t>
      </w:r>
      <w:proofErr w:type="spellStart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europa</w:t>
      </w:r>
      <w:proofErr w:type="spellEnd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.</w:t>
      </w:r>
      <w:proofErr w:type="spellStart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eu</w:t>
      </w:r>
      <w:proofErr w:type="spellEnd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/</w:t>
      </w:r>
      <w:proofErr w:type="spellStart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eurostat</w:t>
      </w:r>
      <w:proofErr w:type="spellEnd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/</w:t>
      </w:r>
      <w:proofErr w:type="spellStart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tgm</w:t>
      </w:r>
      <w:proofErr w:type="spellEnd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/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table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.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do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?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tab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=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table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&amp;</w:t>
      </w:r>
      <w:proofErr w:type="spellStart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init</w:t>
      </w:r>
      <w:proofErr w:type="spellEnd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=1&amp;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language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=</w:t>
      </w:r>
      <w:proofErr w:type="spellStart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en</w:t>
      </w:r>
      <w:proofErr w:type="spellEnd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&amp;</w:t>
      </w:r>
      <w:proofErr w:type="spellStart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pcode</w:t>
      </w:r>
      <w:proofErr w:type="spellEnd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=</w:t>
      </w:r>
      <w:proofErr w:type="spellStart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teimf</w:t>
      </w:r>
      <w:proofErr w:type="spellEnd"/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050&amp;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en-US"/>
        </w:rPr>
        <w:t>plugin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=1&gt;.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outlineLvl w:val="1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D21A0E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Eurostat. General government gross debt. [Electronic resource] // International economic statistic. Available from: </w:t>
      </w:r>
      <w:r w:rsidRPr="00D21A0E">
        <w:rPr>
          <w:rFonts w:ascii="Times New Roman" w:eastAsia="Calibri" w:hAnsi="Times New Roman"/>
          <w:color w:val="000000"/>
          <w:spacing w:val="-2"/>
          <w:kern w:val="2"/>
          <w:sz w:val="28"/>
          <w:szCs w:val="28"/>
          <w:lang w:val="uk-UA"/>
        </w:rPr>
        <w:t>&lt;https://ec.europa.eu/eurostat/tgm/table.do?tab=table&amp;init=1&amp;language=en&amp;pcode=teina230&amp;plugin=1 &gt;.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outlook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Latvia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resource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] //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Central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Statistical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Bureau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Latvia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: &lt;https://www.csb.gov.lv/en/statistics/statistics-by- theme/economy/gdp/search-in-theme/2538-gross-domestic-product-2018&gt;.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Lithuania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macroeconomic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indicators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resource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] //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Group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. -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: &lt;https://data.worldbank.org/country/lithuania&gt;.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 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Latvian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 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  [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resource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]  //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Organisation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EconomicCo-operation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.</w:t>
      </w:r>
      <w:r w:rsidRPr="00D21A0E">
        <w:rPr>
          <w:rFonts w:ascii="Times New Roman" w:hAnsi="Times New Roman"/>
          <w:sz w:val="28"/>
          <w:szCs w:val="28"/>
          <w:lang w:val="uk-UA"/>
        </w:rPr>
        <w:tab/>
        <w:t>-</w:t>
      </w:r>
      <w:r w:rsidRPr="00D21A0E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: https://data.oecd.org/latvia.htm.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Lithuania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resource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] //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Organisation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Co-operation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.</w:t>
      </w:r>
      <w:r w:rsidRPr="00D21A0E">
        <w:rPr>
          <w:rFonts w:ascii="Times New Roman" w:hAnsi="Times New Roman"/>
          <w:sz w:val="28"/>
          <w:szCs w:val="28"/>
          <w:lang w:val="uk-UA"/>
        </w:rPr>
        <w:tab/>
        <w:t>-</w:t>
      </w:r>
      <w:r w:rsidRPr="00D21A0E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Available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>: https://data.oecd.org/lithuania.htm.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Human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Reports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Human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Indicators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Latvia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           [Електронний ресурс]. – Режим доступу: http://hdr.undp.org/en/countries/profiles/LVA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Happy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Planet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1A0E">
        <w:rPr>
          <w:rFonts w:ascii="Times New Roman" w:hAnsi="Times New Roman"/>
          <w:sz w:val="28"/>
          <w:szCs w:val="28"/>
          <w:lang w:val="uk-UA"/>
        </w:rPr>
        <w:t>Index</w:t>
      </w:r>
      <w:proofErr w:type="spellEnd"/>
      <w:r w:rsidRPr="00D21A0E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http://happyplanetindex.org/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1A0E">
        <w:rPr>
          <w:rFonts w:ascii="Times New Roman" w:hAnsi="Times New Roman"/>
          <w:sz w:val="28"/>
          <w:szCs w:val="28"/>
          <w:lang w:val="uk-UA"/>
        </w:rPr>
        <w:t>Офіційний сайт Державної служби статистики України. Географічна             структура зовнішньої торгівлі України товарами [Електронний ресурс].– Режим доступу:   http://www.ukrstat.gov.ua/operativ/operativ2020/zd/ztt/ztt_u/arh_ztt2020.html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1A0E">
        <w:rPr>
          <w:rFonts w:ascii="Times New Roman" w:hAnsi="Times New Roman"/>
          <w:sz w:val="28"/>
          <w:szCs w:val="28"/>
          <w:lang w:val="uk-UA"/>
        </w:rPr>
        <w:t>Офіційний сайт Державної служби статистики України. Динаміка зовнішньої торгівлі послугами України [Електронний ресурс]. –  Режим доступу:http://www.ukrstat.gov.ua/operativ/operativ2007/zd/din_rik/din_u/dei_posl07.htm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1A0E">
        <w:rPr>
          <w:rFonts w:ascii="Times New Roman" w:hAnsi="Times New Roman"/>
          <w:sz w:val="28"/>
          <w:szCs w:val="28"/>
          <w:lang w:val="uk-UA"/>
        </w:rPr>
        <w:lastRenderedPageBreak/>
        <w:t>Офіційний сайт Державної служби статистики України. Прямі інвестиції (акціонерний капітал) в економіці України [Електронний ресурс]. – Режим доступу: http://www.ukrstat.gov.ua/operativ/menu/menu_u/zed.htm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1A0E">
        <w:rPr>
          <w:rFonts w:ascii="Times New Roman" w:hAnsi="Times New Roman"/>
          <w:sz w:val="28"/>
          <w:szCs w:val="28"/>
          <w:lang w:val="uk-UA"/>
        </w:rPr>
        <w:t>Офіційний сайт Національного банку України. Операції за  інструментами прямих інвестицій за регіонами, країнами світу та видами економічної діяльності [Електронний ресурс]. – Режим доступу: https://bank.gov.ua/ua/statistic/sector-external/data-sector-external#1</w:t>
      </w:r>
    </w:p>
    <w:p w:rsidR="00D21A0E" w:rsidRPr="00D21A0E" w:rsidRDefault="00D21A0E" w:rsidP="00D21A0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21A0E">
        <w:rPr>
          <w:rFonts w:ascii="Times New Roman" w:hAnsi="Times New Roman"/>
          <w:sz w:val="28"/>
          <w:szCs w:val="28"/>
          <w:lang w:val="uk-UA"/>
        </w:rPr>
        <w:t>Спектр. Як латвійські інвестори приходять на український ринок, з якими труднощами стикаються і хто їх підтримує [Електронний ресурс]. Режим доступу: https://spektr.press/nuzhna-stabilnost-i-ponyatnye-pravila-kak-  latvijskie-investory-prihodyat-na-ukrainskij-rynok-s-kakimi-trudnostyami-stalkivayutsya-i-kto-ih-podderzhivaet/</w:t>
      </w:r>
    </w:p>
    <w:p w:rsidR="00D21A0E" w:rsidRPr="00D21A0E" w:rsidRDefault="00D21A0E" w:rsidP="00D21A0E">
      <w:pPr>
        <w:numPr>
          <w:ilvl w:val="0"/>
          <w:numId w:val="2"/>
        </w:numPr>
        <w:suppressAutoHyphens/>
        <w:spacing w:after="0" w:line="360" w:lineRule="auto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val="uk-UA" w:eastAsia="ru-RU"/>
        </w:rPr>
      </w:pP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Кифак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А.О.,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Желяско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О.О., Пожар В.О. Аналіз динаміки та структури зовнішньоторговельних </w:t>
      </w:r>
      <w:proofErr w:type="spellStart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>зв’язків</w:t>
      </w:r>
      <w:proofErr w:type="spellEnd"/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Фінляндії та Естонії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 w:eastAsia="ru-RU"/>
        </w:rPr>
        <w:t>/ Збірник наукових праць «Тенденції розвитку економіки у 2020 році: аналітичний та теоретико-методологічний аспекти»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/>
        </w:rPr>
        <w:t xml:space="preserve"> </w:t>
      </w:r>
      <w:r w:rsidRPr="00D21A0E">
        <w:rPr>
          <w:rFonts w:ascii="Times New Roman" w:eastAsiaTheme="minorHAnsi" w:hAnsi="Times New Roman" w:cstheme="minorBidi"/>
          <w:sz w:val="28"/>
          <w:szCs w:val="28"/>
          <w:lang w:val="uk-UA" w:eastAsia="ru-RU"/>
        </w:rPr>
        <w:t>– Одеса: Одеський національний університет імені І. І. Мечникова. – 2020.</w:t>
      </w:r>
    </w:p>
    <w:p w:rsidR="00D21A0E" w:rsidRPr="00D21A0E" w:rsidRDefault="00D21A0E">
      <w:pPr>
        <w:rPr>
          <w:lang w:val="uk-UA"/>
        </w:rPr>
      </w:pPr>
    </w:p>
    <w:sectPr w:rsidR="00D21A0E" w:rsidRPr="00D21A0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9E430B"/>
    <w:multiLevelType w:val="hybridMultilevel"/>
    <w:tmpl w:val="CE3A1E66"/>
    <w:lvl w:ilvl="0" w:tplc="E0AE060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20A1DA4"/>
    <w:multiLevelType w:val="hybridMultilevel"/>
    <w:tmpl w:val="DF0A3D04"/>
    <w:lvl w:ilvl="0" w:tplc="8A8C92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0843"/>
    <w:rsid w:val="00160843"/>
    <w:rsid w:val="00D21A0E"/>
    <w:rsid w:val="00DC4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1A0E"/>
    <w:rPr>
      <w:rFonts w:ascii="Calibri" w:eastAsia="Times New Roman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1A0E"/>
    <w:rPr>
      <w:rFonts w:ascii="Calibri" w:eastAsia="Times New Roman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41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ournals.ku.lt/index.php/RFDS/article/view/1680" TargetMode="External"/><Relationship Id="rId13" Type="http://schemas.openxmlformats.org/officeDocument/2006/relationships/hyperlink" Target="http://www.sciencedirect.com/science/article/pii/S1877050919301693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researchgate.net/publication/267218580_Quality_competitiveness_o" TargetMode="External"/><Relationship Id="rId12" Type="http://schemas.openxmlformats.org/officeDocument/2006/relationships/hyperlink" Target="http://www.sciencedirect.com/science/article/pii/S1877050919301693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data.imf.org/regular.aspx?key=6128081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researchgate.net/publication/267218580_Quality_competitiveness_o" TargetMode="External"/><Relationship Id="rId11" Type="http://schemas.openxmlformats.org/officeDocument/2006/relationships/hyperlink" Target="http://www.bank.lv/images/stories/pielikumi/publikacijas/petijumi/wp_3_2016-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imf.org/en/Publications/Annual-Report-on-Exchange-Arrangements-and-Exchange-Restrictions/Issues/2018/08/10/Annual-Report-on-Exchange-Arrangements-and-Exchange-Restrictions-2017-44930" TargetMode="External"/><Relationship Id="rId10" Type="http://schemas.openxmlformats.org/officeDocument/2006/relationships/hyperlink" Target="http://www.bank.lv/images/stories/pielikumi/publikacijas/petijumi/wp_3_2016-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journals.ku.lt/index.php/RFDS/article/view/1680" TargetMode="External"/><Relationship Id="rId14" Type="http://schemas.openxmlformats.org/officeDocument/2006/relationships/hyperlink" Target="http://www.sciencedirect.com/science/article/pii/S187705091930169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13315</Words>
  <Characters>7591</Characters>
  <Application>Microsoft Office Word</Application>
  <DocSecurity>0</DocSecurity>
  <Lines>63</Lines>
  <Paragraphs>41</Paragraphs>
  <ScaleCrop>false</ScaleCrop>
  <Company/>
  <LinksUpToDate>false</LinksUpToDate>
  <CharactersWithSpaces>20865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2021-06-07T11:25:00Z</dcterms:created>
  <dcterms:modified xsi:type="dcterms:W3CDTF">2021-06-07T11:27:00Z</dcterms:modified>
</cp:coreProperties>
</file>