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EDA" w:rsidRPr="00885EC9" w:rsidRDefault="004A6EDA" w:rsidP="004A6EDA">
      <w:pPr>
        <w:pBdr>
          <w:bottom w:val="single" w:sz="4" w:space="1" w:color="auto"/>
        </w:pBd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A6EDA" w:rsidRPr="00885EC9" w:rsidRDefault="004A6EDA" w:rsidP="004A6ED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85EC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4A6EDA" w:rsidRPr="00885EC9" w:rsidRDefault="004A6EDA" w:rsidP="004A6ED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4A6EDA" w:rsidRPr="00885EC9" w:rsidRDefault="004A6EDA" w:rsidP="004A6ED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85EC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4A6EDA" w:rsidRPr="00885EC9" w:rsidRDefault="004A6EDA" w:rsidP="004A6EDA">
      <w:pPr>
        <w:pBdr>
          <w:bottom w:val="single" w:sz="4" w:space="1" w:color="auto"/>
        </w:pBdr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4A6EDA" w:rsidRPr="00885EC9" w:rsidRDefault="004A6EDA" w:rsidP="004A6ED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85EC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4A6EDA" w:rsidRPr="00885EC9" w:rsidRDefault="004A6EDA" w:rsidP="004A6ED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4A6EDA" w:rsidRPr="00885EC9" w:rsidRDefault="004A6EDA" w:rsidP="004A6ED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885EC9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4A6EDA" w:rsidRPr="00885EC9" w:rsidRDefault="004A6EDA" w:rsidP="004A6EDA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4A6EDA" w:rsidRPr="00885EC9" w:rsidRDefault="004A6EDA" w:rsidP="004A6ED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A6EDA" w:rsidRPr="00885EC9" w:rsidRDefault="004A6EDA" w:rsidP="004A6ED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885E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Аналіз зовнішньополітичного курсу КНР в період лідерства Ху Цзіньтао</w:t>
      </w:r>
      <w:r w:rsidRPr="00885E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.»</w:t>
      </w:r>
    </w:p>
    <w:p w:rsidR="004A6EDA" w:rsidRPr="00885EC9" w:rsidRDefault="004A6EDA" w:rsidP="004A6ED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4A6EDA" w:rsidRPr="00885EC9" w:rsidRDefault="004A6EDA" w:rsidP="004A6ED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 w:rsidRPr="00E6053D">
        <w:rPr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The a</w:t>
      </w:r>
      <w:r w:rsidRPr="00E6053D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nalysis of China's foreign policy during the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period of </w:t>
      </w:r>
      <w:r w:rsidRPr="00E6053D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leadership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of Hu Jintao</w:t>
      </w:r>
      <w:r w:rsidRPr="00E6053D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</w:t>
      </w:r>
      <w:r w:rsidRPr="00885EC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4A6EDA" w:rsidRPr="00885EC9" w:rsidRDefault="004A6EDA" w:rsidP="004A6ED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4A6EDA" w:rsidRPr="00885EC9" w:rsidRDefault="004A6EDA" w:rsidP="004A6EDA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4A6EDA" w:rsidRPr="00885EC9" w:rsidRDefault="004A6EDA" w:rsidP="004A6ED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студент(ка)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4A6EDA" w:rsidRPr="00885EC9" w:rsidRDefault="004A6EDA" w:rsidP="004A6EDA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4A6EDA" w:rsidRPr="00885EC9" w:rsidRDefault="004A6EDA" w:rsidP="004A6ED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4A6EDA" w:rsidRPr="00885EC9" w:rsidRDefault="004A6EDA" w:rsidP="004A6EDA">
      <w:pPr>
        <w:spacing w:after="0" w:line="240" w:lineRule="auto"/>
        <w:ind w:left="2124" w:firstLine="708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4A6EDA" w:rsidRPr="00885EC9" w:rsidRDefault="004A6EDA" w:rsidP="004A6EDA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4A6EDA" w:rsidRPr="00A8083D" w:rsidRDefault="004A6EDA" w:rsidP="004A6EDA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іколенко Марія В</w:t>
      </w:r>
      <w:r w:rsidRPr="00A8083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ячеславівна</w:t>
      </w:r>
    </w:p>
    <w:p w:rsidR="004A6EDA" w:rsidRPr="00885EC9" w:rsidRDefault="004A6EDA" w:rsidP="004A6EDA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4A6EDA" w:rsidRPr="00885EC9" w:rsidRDefault="004A6EDA" w:rsidP="004A6EDA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4A6EDA" w:rsidRPr="00885EC9" w:rsidRDefault="004A6EDA" w:rsidP="004A6ED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4A6EDA" w:rsidRPr="00885EC9" w:rsidRDefault="004A6EDA" w:rsidP="004A6EDA">
      <w:pPr>
        <w:spacing w:after="0" w:line="168" w:lineRule="auto"/>
        <w:ind w:left="2124" w:firstLine="708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885EC9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к.істор. н., доц. Покась М.С.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</w:t>
      </w:r>
    </w:p>
    <w:p w:rsidR="004A6EDA" w:rsidRPr="00885EC9" w:rsidRDefault="004A6EDA" w:rsidP="004A6ED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(</w:t>
      </w:r>
      <w:r w:rsidRPr="00885EC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4A6EDA" w:rsidRPr="00885EC9" w:rsidRDefault="004A6EDA" w:rsidP="004A6EDA">
      <w:pPr>
        <w:tabs>
          <w:tab w:val="left" w:pos="5245"/>
          <w:tab w:val="right" w:pos="9355"/>
        </w:tabs>
        <w:spacing w:before="12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к.істор. н., доц.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Глєбов В. В</w:t>
      </w:r>
      <w:r w:rsidRPr="00885EC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</w:p>
    <w:p w:rsidR="004A6EDA" w:rsidRPr="00885EC9" w:rsidRDefault="004A6EDA" w:rsidP="004A6EDA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885EC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885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885EC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4A6EDA" w:rsidRPr="00885EC9" w:rsidRDefault="004A6EDA" w:rsidP="004A6ED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6EDA" w:rsidRPr="00885EC9" w:rsidRDefault="004A6EDA" w:rsidP="004A6ED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6EDA" w:rsidRPr="00885EC9" w:rsidRDefault="004A6EDA" w:rsidP="004A6ED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4A6EDA" w:rsidRPr="00885EC9" w:rsidTr="00207DCD">
        <w:trPr>
          <w:jc w:val="center"/>
        </w:trPr>
        <w:tc>
          <w:tcPr>
            <w:tcW w:w="4967" w:type="dxa"/>
            <w:hideMark/>
          </w:tcPr>
          <w:p w:rsidR="004A6EDA" w:rsidRPr="00885EC9" w:rsidRDefault="004A6EDA" w:rsidP="00207DC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Рекомендовано до захисту:</w:t>
            </w:r>
          </w:p>
          <w:p w:rsidR="004A6EDA" w:rsidRPr="00885EC9" w:rsidRDefault="004A6EDA" w:rsidP="00207DC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Протокол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засідання кафедри</w:t>
            </w:r>
          </w:p>
          <w:p w:rsidR="004A6EDA" w:rsidRPr="00885EC9" w:rsidRDefault="004A6EDA" w:rsidP="00207DC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4A6EDA" w:rsidRPr="00885EC9" w:rsidRDefault="004A6EDA" w:rsidP="00207DCD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Зав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ідувач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кафедр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и</w:t>
            </w:r>
          </w:p>
          <w:p w:rsidR="004A6EDA" w:rsidRPr="00885EC9" w:rsidRDefault="004A6EDA" w:rsidP="00207DCD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4A6EDA" w:rsidRPr="00885EC9" w:rsidRDefault="004A6EDA" w:rsidP="00207DCD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(підпис)</w:t>
            </w: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4A6EDA" w:rsidRPr="00885EC9" w:rsidRDefault="004A6EDA" w:rsidP="00207DCD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Захищено на засіданні ЕК №_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  <w:t>3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</w:t>
            </w:r>
          </w:p>
          <w:p w:rsidR="004A6EDA" w:rsidRPr="00885EC9" w:rsidRDefault="004A6EDA" w:rsidP="00207DC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протокол № ___ від 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____________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р.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ab/>
            </w:r>
          </w:p>
          <w:p w:rsidR="004A6EDA" w:rsidRPr="00885EC9" w:rsidRDefault="004A6EDA" w:rsidP="00207DC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Оцінка______________/___</w:t>
            </w: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___/____</w:t>
            </w:r>
          </w:p>
          <w:p w:rsidR="004A6EDA" w:rsidRPr="00885EC9" w:rsidRDefault="004A6EDA" w:rsidP="00207DCD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  <w:t>S</w:t>
            </w: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, бали)</w:t>
            </w:r>
          </w:p>
          <w:p w:rsidR="004A6EDA" w:rsidRPr="00885EC9" w:rsidRDefault="004A6EDA" w:rsidP="00207DCD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Голова ЕК</w:t>
            </w:r>
          </w:p>
          <w:p w:rsidR="004A6EDA" w:rsidRPr="00885EC9" w:rsidRDefault="004A6EDA" w:rsidP="00207DCD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 </w:t>
            </w:r>
            <w:r w:rsidRPr="00885EC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4A6EDA" w:rsidRPr="00885EC9" w:rsidRDefault="004A6EDA" w:rsidP="00207DCD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(підпис)</w:t>
            </w:r>
            <w:r w:rsidRPr="00885EC9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</w:tr>
      <w:tr w:rsidR="004A6EDA" w:rsidRPr="00885EC9" w:rsidTr="00207DCD">
        <w:trPr>
          <w:jc w:val="center"/>
        </w:trPr>
        <w:tc>
          <w:tcPr>
            <w:tcW w:w="4967" w:type="dxa"/>
          </w:tcPr>
          <w:p w:rsidR="004A6EDA" w:rsidRPr="00885EC9" w:rsidRDefault="004A6EDA" w:rsidP="00207DC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4A6EDA" w:rsidRPr="00885EC9" w:rsidRDefault="004A6EDA" w:rsidP="00207DC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4A6EDA" w:rsidRPr="00885EC9" w:rsidRDefault="004A6EDA" w:rsidP="004A6ED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6EDA" w:rsidRPr="00885EC9" w:rsidRDefault="004A6EDA" w:rsidP="004A6ED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885E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Одеса</w:t>
      </w:r>
      <w:r w:rsidRPr="00885EC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885E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885EC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4A6EDA" w:rsidRDefault="004A6EDA" w:rsidP="004A6ED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053D">
        <w:rPr>
          <w:rFonts w:ascii="Times New Roman" w:hAnsi="Times New Roman" w:cs="Times New Roman"/>
          <w:b/>
          <w:sz w:val="28"/>
          <w:szCs w:val="28"/>
          <w:lang w:val="uk-UA"/>
        </w:rPr>
        <w:t>Содержание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053D">
        <w:rPr>
          <w:rFonts w:ascii="Times New Roman" w:hAnsi="Times New Roman" w:cs="Times New Roman"/>
          <w:sz w:val="28"/>
          <w:szCs w:val="28"/>
          <w:lang w:val="uk-UA"/>
        </w:rPr>
        <w:t>Введение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…………………………………………………….…………................2</w:t>
      </w:r>
    </w:p>
    <w:p w:rsidR="004A6EDA" w:rsidRDefault="004A6EDA" w:rsidP="004A6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Глава 1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87F0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Формирование взглядов и выход </w:t>
      </w:r>
    </w:p>
    <w:p w:rsidR="004A6EDA" w:rsidRPr="00B87F09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F09">
        <w:rPr>
          <w:rFonts w:ascii="Times New Roman" w:eastAsia="Times New Roman" w:hAnsi="Times New Roman" w:cs="Times New Roman"/>
          <w:color w:val="222222"/>
          <w:sz w:val="28"/>
          <w:szCs w:val="28"/>
        </w:rPr>
        <w:t>на политическую арену Ху Цзиньтао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>.6</w:t>
      </w:r>
    </w:p>
    <w:p w:rsidR="004A6EDA" w:rsidRDefault="004A6EDA" w:rsidP="004A6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B87F09">
        <w:rPr>
          <w:rFonts w:ascii="Times New Roman" w:hAnsi="Times New Roman" w:cs="Times New Roman"/>
          <w:sz w:val="28"/>
          <w:szCs w:val="28"/>
          <w:lang w:val="uk-UA"/>
        </w:rPr>
        <w:t>Глава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87F0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Политическая деятельность 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Ху Цзиньтао </w:t>
      </w:r>
    </w:p>
    <w:p w:rsidR="004A6EDA" w:rsidRPr="00B87F09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F09">
        <w:rPr>
          <w:rFonts w:ascii="Times New Roman" w:eastAsia="Times New Roman" w:hAnsi="Times New Roman" w:cs="Times New Roman"/>
          <w:color w:val="222222"/>
          <w:sz w:val="28"/>
          <w:szCs w:val="28"/>
        </w:rPr>
        <w:t>на посту председателя КНР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...............................................................……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>……21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B87F09">
        <w:rPr>
          <w:rFonts w:ascii="Times New Roman" w:hAnsi="Times New Roman" w:cs="Times New Roman"/>
          <w:sz w:val="28"/>
          <w:szCs w:val="28"/>
          <w:lang w:val="uk-UA"/>
        </w:rPr>
        <w:t>Глава 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7F0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Подведение итогов достижений Ху Цзиньтао 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B87F0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и оценка его влияния на современную политическую 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F0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ситуацию в государстве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…………….........</w:t>
      </w:r>
      <w:r w:rsidRPr="00B87F0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39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Заключение……………………………………………………………..........…52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изученных источников………………………………………..............56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Приложение 1……………………………………………………………..........61</w:t>
      </w:r>
    </w:p>
    <w:p w:rsidR="004A6EDA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Приложение 2……………………………………………………………..........63</w:t>
      </w:r>
    </w:p>
    <w:p w:rsidR="004A6EDA" w:rsidRPr="00E6053D" w:rsidRDefault="004A6EDA" w:rsidP="004A6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Приложение 3………………………………………………………….........….65</w:t>
      </w:r>
    </w:p>
    <w:p w:rsidR="004A6EDA" w:rsidRDefault="004A6EDA" w:rsidP="004A6EDA">
      <w:pPr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br w:type="page"/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Период председательства Ху Цзиньтао на высшем посту Китайской Народной Республики – важный период исторического развития страны. Именно на данный отрезок времени пришлось интенсивное наращивание экономической мощи Китая, а также усиление внешнеполитической роли Пекина на международной арене.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Ху Цзиньтао оставил после себя богатое наследие – экономически процветающее государство. Историческое значение его деятельности состоит, в первую очередь, в разработке идеологических концепций, определяющих развитие Китая до сегодняшнего дня.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Инициативы Ху стали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основой нынешних социально-политических трансформаций. Так, его представления о ведении внешней политики «мирного развития», внутригосударственные реформы, содержащиеся в концепции «научного развития» успешно имплементируются на практике нынешним председателем КНР - Си Цзиньпином. Что касается внутриполитической жизни, уникальное устройство политического строя в Китае позволили Ху сохранить значительное влияние и после сложения с себя полномочий председателя. Возглавляемая им внутрипартийная фракция «Туаньпай» на сегодняшний день является второй по могуществу в КПК. Именно поэтому «эра Ху Цзиньтао» не заканчивается 2013 годом. 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Новизна исследования заключается в охватывании и анализе всей политической карьеры председателя.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Объект </w:t>
      </w:r>
      <w:r>
        <w:rPr>
          <w:rFonts w:ascii="Times New Roman" w:hAnsi="Times New Roman" w:cs="Times New Roman"/>
          <w:sz w:val="28"/>
          <w:szCs w:val="28"/>
        </w:rPr>
        <w:t xml:space="preserve">исследования – личность Ху Цзиньтао и его роль в развитии Китая. 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Предмет </w:t>
      </w:r>
      <w:r>
        <w:rPr>
          <w:rFonts w:ascii="Times New Roman" w:hAnsi="Times New Roman" w:cs="Times New Roman"/>
          <w:sz w:val="28"/>
          <w:szCs w:val="28"/>
        </w:rPr>
        <w:t>исследования – биография лидера, предложенные им идеологические концепции, направления внутренней и внешней политики, а также политическое наследие Ху Цзиньтао.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Цель </w:t>
      </w:r>
      <w:r>
        <w:rPr>
          <w:rFonts w:ascii="Times New Roman" w:hAnsi="Times New Roman" w:cs="Times New Roman"/>
          <w:sz w:val="28"/>
          <w:szCs w:val="28"/>
        </w:rPr>
        <w:t xml:space="preserve">исследования – проанализировать биографию лидера КНР, ключевые линии проводимой им политики и выявить их успехи и недостатки. 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работе поставлены следующие </w:t>
      </w:r>
      <w:r>
        <w:rPr>
          <w:rFonts w:ascii="Times New Roman" w:hAnsi="Times New Roman" w:cs="Times New Roman"/>
          <w:bCs/>
          <w:sz w:val="28"/>
          <w:szCs w:val="28"/>
        </w:rPr>
        <w:t>задачи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 Проследить формирование политических идей Ху Цзиньтао и рассмотреть их содержание;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Проанализировать идеологическую платформу проведенных внешне- и внутриполитических реформ;</w:t>
      </w:r>
    </w:p>
    <w:p w:rsidR="004A6EDA" w:rsidRDefault="004A6EDA" w:rsidP="004A6E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Оценить политическое наследие лидера «четвертого поколения» руководства КПК;</w:t>
      </w:r>
    </w:p>
    <w:p w:rsidR="004A6EDA" w:rsidRDefault="004A6EDA" w:rsidP="004A6E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Выявить влияние Ху Цзиньтао на ход политической жизни КНР.</w:t>
      </w:r>
    </w:p>
    <w:p w:rsidR="004A6EDA" w:rsidRDefault="004A6EDA" w:rsidP="004A6ED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Автором также были проанализированы официальные выступления Ху Цзиньтао на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XVII</w:t>
      </w:r>
      <w:r w:rsidRPr="00B628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[25]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и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[24]</w:t>
      </w:r>
      <w:r w:rsidRPr="00B628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Съездах Политбюро ЦК КПК в 2007 и 2012 гг. соответственно, с целью выявить ключевые направления его политики, рассмотрены предложенные лидером идеологические инициативы </w:t>
      </w:r>
      <w:r w:rsidRPr="00B628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[7, 9</w:t>
      </w:r>
      <w:r w:rsidRPr="0033198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1</w:t>
      </w:r>
      <w:r w:rsidRPr="007638C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7, </w:t>
      </w:r>
      <w:r w:rsidRPr="0033198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41, 58</w:t>
      </w:r>
      <w:r w:rsidRPr="00B628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]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и законы [9</w:t>
      </w:r>
      <w:r w:rsidRPr="00B47F5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, 10</w:t>
      </w:r>
      <w:r w:rsidRPr="00B628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</w:t>
      </w:r>
    </w:p>
    <w:p w:rsidR="004A6EDA" w:rsidRDefault="004A6EDA" w:rsidP="004A6E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Не смотря на существенный вклад председателя, его биография, а также оценка политической деятельности характеризуются противоречивыми выводами западных и китайских исследователей. Они включают в себя как прославление достижений Ху в подконтрольных КПК средствах массовой информации, так и существенную долю критики в публикациях Ши Цзянгтао</w:t>
      </w:r>
      <w:r w:rsidRPr="00B62825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[29]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, Чжен Ли</w:t>
      </w:r>
      <w:r w:rsidRPr="00151E29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[36-39]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и Ив Кэри</w:t>
      </w:r>
      <w:r w:rsidRPr="00151E29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[36]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.</w:t>
      </w:r>
      <w:r>
        <w:rPr>
          <w:rFonts w:ascii="Helvetica" w:hAnsi="Helvetica"/>
          <w:bCs/>
          <w:color w:val="302E3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Работы отечественных исследователей касательно политики Ху Цзиньтао отличаются рассмотрением точечных проблем: Тимофеев О.А</w:t>
      </w:r>
      <w:r w:rsidRPr="00151E29">
        <w:rPr>
          <w:rFonts w:ascii="Times New Roman" w:hAnsi="Times New Roman" w:cs="Times New Roman"/>
          <w:sz w:val="28"/>
          <w:szCs w:val="28"/>
        </w:rPr>
        <w:t xml:space="preserve"> [5]</w:t>
      </w:r>
      <w:r>
        <w:rPr>
          <w:rFonts w:ascii="Times New Roman" w:hAnsi="Times New Roman" w:cs="Times New Roman"/>
          <w:sz w:val="28"/>
          <w:szCs w:val="28"/>
        </w:rPr>
        <w:t xml:space="preserve"> анализирует примеры применения руководителем КНР мягкой силы в международных отношениях,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Лексютина Я. В.</w:t>
      </w:r>
      <w:r w:rsidRPr="00151E29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[3]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акцентирует внимание на преимуществах использования Китаем экономической дипломатии, в отличие от военных методов. </w:t>
      </w:r>
      <w:r>
        <w:rPr>
          <w:rFonts w:ascii="Times New Roman" w:hAnsi="Times New Roman" w:cs="Times New Roman"/>
          <w:bCs/>
          <w:iCs/>
          <w:sz w:val="28"/>
          <w:szCs w:val="28"/>
        </w:rPr>
        <w:t>Колпакова Т. В.</w:t>
      </w:r>
      <w:r w:rsidRPr="00151E29">
        <w:rPr>
          <w:rFonts w:ascii="Times New Roman" w:hAnsi="Times New Roman" w:cs="Times New Roman"/>
          <w:bCs/>
          <w:iCs/>
          <w:sz w:val="28"/>
          <w:szCs w:val="28"/>
        </w:rPr>
        <w:t xml:space="preserve"> [2]</w:t>
      </w:r>
      <w:r>
        <w:rPr>
          <w:rFonts w:ascii="Times New Roman" w:hAnsi="Times New Roman" w:cs="Times New Roman"/>
          <w:bCs/>
          <w:iCs/>
          <w:sz w:val="28"/>
          <w:szCs w:val="28"/>
        </w:rPr>
        <w:t xml:space="preserve"> и </w:t>
      </w:r>
      <w:r>
        <w:rPr>
          <w:rFonts w:ascii="Times New Roman" w:hAnsi="Times New Roman" w:cs="Times New Roman"/>
          <w:bCs/>
          <w:sz w:val="28"/>
          <w:szCs w:val="28"/>
        </w:rPr>
        <w:t>Вершинина В. Ю.</w:t>
      </w:r>
      <w:r w:rsidRPr="00151E29">
        <w:rPr>
          <w:rFonts w:ascii="Times New Roman" w:hAnsi="Times New Roman" w:cs="Times New Roman"/>
          <w:bCs/>
          <w:sz w:val="28"/>
          <w:szCs w:val="28"/>
        </w:rPr>
        <w:t xml:space="preserve"> [1]</w:t>
      </w:r>
      <w:r>
        <w:rPr>
          <w:rFonts w:ascii="Times New Roman" w:hAnsi="Times New Roman" w:cs="Times New Roman"/>
          <w:bCs/>
          <w:sz w:val="28"/>
          <w:szCs w:val="28"/>
        </w:rPr>
        <w:t xml:space="preserve"> изучили экологические факторы, повлиявшие на формирование политической линии Ху. </w:t>
      </w:r>
      <w:r>
        <w:rPr>
          <w:rFonts w:ascii="Times New Roman" w:hAnsi="Times New Roman" w:cs="Times New Roman"/>
          <w:sz w:val="28"/>
          <w:szCs w:val="28"/>
        </w:rPr>
        <w:t>Те же немногочисленные работы западных исследователей, наиболее полно охватывающие деятельность председателя, например, «Китайская политика в эпоху Ху Цзиньтао: новые лидеры, новые вызовы» Вилли Во Лэма</w:t>
      </w:r>
      <w:r w:rsidRPr="00151E29">
        <w:rPr>
          <w:rFonts w:ascii="Times New Roman" w:hAnsi="Times New Roman" w:cs="Times New Roman"/>
          <w:sz w:val="28"/>
          <w:szCs w:val="28"/>
        </w:rPr>
        <w:t xml:space="preserve"> [35]</w:t>
      </w:r>
      <w:r>
        <w:rPr>
          <w:rFonts w:ascii="Times New Roman" w:hAnsi="Times New Roman" w:cs="Times New Roman"/>
          <w:sz w:val="28"/>
          <w:szCs w:val="28"/>
        </w:rPr>
        <w:t>, «Ху Цзиньтао: безмолвный правитель Китая» Кэрри Брауна</w:t>
      </w:r>
      <w:r w:rsidRPr="00B62825">
        <w:rPr>
          <w:rFonts w:ascii="Times New Roman" w:hAnsi="Times New Roman" w:cs="Times New Roman"/>
          <w:sz w:val="28"/>
          <w:szCs w:val="28"/>
        </w:rPr>
        <w:t xml:space="preserve"> [8]</w:t>
      </w:r>
      <w:r>
        <w:rPr>
          <w:rFonts w:ascii="Times New Roman" w:hAnsi="Times New Roman" w:cs="Times New Roman"/>
          <w:sz w:val="28"/>
          <w:szCs w:val="28"/>
        </w:rPr>
        <w:t xml:space="preserve"> и «Ху Цзиньтао (Современные мировые </w:t>
      </w:r>
      <w:r>
        <w:rPr>
          <w:rFonts w:ascii="Times New Roman" w:hAnsi="Times New Roman" w:cs="Times New Roman"/>
          <w:sz w:val="28"/>
          <w:szCs w:val="28"/>
        </w:rPr>
        <w:lastRenderedPageBreak/>
        <w:t>лидеры)» Дэниэла Дэвиса [</w:t>
      </w:r>
      <w:r w:rsidRPr="00B62825">
        <w:rPr>
          <w:rFonts w:ascii="Times New Roman" w:hAnsi="Times New Roman" w:cs="Times New Roman"/>
          <w:sz w:val="28"/>
          <w:szCs w:val="28"/>
        </w:rPr>
        <w:t>11]</w:t>
      </w:r>
      <w:r>
        <w:rPr>
          <w:rFonts w:ascii="Times New Roman" w:hAnsi="Times New Roman" w:cs="Times New Roman"/>
          <w:sz w:val="28"/>
          <w:szCs w:val="28"/>
        </w:rPr>
        <w:t xml:space="preserve">, характеризуются противоречивостью собранных данных. 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Ценными ресурсами для написания дипломной работы стали публикации в исследовательских журналах « Проблемы Дальнего Востока» </w:t>
      </w:r>
      <w:r w:rsidRPr="00151E2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151E2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«Внешняя политика» </w:t>
      </w:r>
      <w:r w:rsidRPr="00E21E8D">
        <w:rPr>
          <w:rFonts w:ascii="Times New Roman" w:hAnsi="Times New Roman" w:cs="Times New Roman"/>
          <w:sz w:val="28"/>
          <w:szCs w:val="28"/>
        </w:rPr>
        <w:t>(«</w:t>
      </w:r>
      <w:r w:rsidRPr="00E21E8D">
        <w:rPr>
          <w:rFonts w:ascii="Times New Roman" w:hAnsi="Times New Roman" w:cs="Times New Roman"/>
          <w:bCs/>
          <w:sz w:val="28"/>
          <w:szCs w:val="28"/>
          <w:lang w:val="en-US"/>
        </w:rPr>
        <w:t>Foreign</w:t>
      </w:r>
      <w:r w:rsidRPr="00E21E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21E8D">
        <w:rPr>
          <w:rFonts w:ascii="Times New Roman" w:hAnsi="Times New Roman" w:cs="Times New Roman"/>
          <w:bCs/>
          <w:sz w:val="28"/>
          <w:szCs w:val="28"/>
          <w:lang w:val="en-US"/>
        </w:rPr>
        <w:t>Policy</w:t>
      </w:r>
      <w:r w:rsidRPr="00E21E8D">
        <w:rPr>
          <w:rFonts w:ascii="Times New Roman" w:hAnsi="Times New Roman" w:cs="Times New Roman"/>
          <w:bCs/>
          <w:sz w:val="28"/>
          <w:szCs w:val="28"/>
        </w:rPr>
        <w:t xml:space="preserve">») [39], </w:t>
      </w:r>
      <w:r>
        <w:rPr>
          <w:rFonts w:ascii="Times New Roman" w:hAnsi="Times New Roman" w:cs="Times New Roman"/>
          <w:bCs/>
          <w:sz w:val="28"/>
          <w:szCs w:val="28"/>
        </w:rPr>
        <w:t xml:space="preserve">«Китай поквартально» </w:t>
      </w:r>
      <w:r w:rsidRPr="00151E29">
        <w:rPr>
          <w:rFonts w:ascii="Times New Roman" w:hAnsi="Times New Roman" w:cs="Times New Roman"/>
          <w:bCs/>
          <w:sz w:val="28"/>
          <w:szCs w:val="28"/>
        </w:rPr>
        <w:t>(«</w:t>
      </w:r>
      <w:r w:rsidRPr="00151E29">
        <w:rPr>
          <w:rFonts w:ascii="Times New Roman" w:hAnsi="Times New Roman" w:cs="Times New Roman"/>
          <w:bCs/>
          <w:sz w:val="28"/>
          <w:szCs w:val="28"/>
          <w:lang w:val="en-US"/>
        </w:rPr>
        <w:t>China</w:t>
      </w:r>
      <w:r w:rsidRPr="00151E2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51E29">
        <w:rPr>
          <w:rFonts w:ascii="Times New Roman" w:hAnsi="Times New Roman" w:cs="Times New Roman"/>
          <w:bCs/>
          <w:sz w:val="28"/>
          <w:szCs w:val="28"/>
          <w:lang w:val="en-US"/>
        </w:rPr>
        <w:t>Quarterly</w:t>
      </w:r>
      <w:r w:rsidRPr="00151E29">
        <w:rPr>
          <w:rFonts w:ascii="Times New Roman" w:hAnsi="Times New Roman" w:cs="Times New Roman"/>
          <w:bCs/>
          <w:sz w:val="28"/>
          <w:szCs w:val="28"/>
        </w:rPr>
        <w:t>») [16]</w:t>
      </w:r>
      <w:r w:rsidRPr="00151E2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</w:rPr>
        <w:t xml:space="preserve">а также на информационных порталах «Брукингского института» </w:t>
      </w:r>
      <w:r w:rsidRPr="00E21E8D">
        <w:rPr>
          <w:rFonts w:ascii="Times New Roman" w:hAnsi="Times New Roman" w:cs="Times New Roman"/>
          <w:bCs/>
          <w:sz w:val="28"/>
          <w:szCs w:val="28"/>
        </w:rPr>
        <w:t>(«</w:t>
      </w:r>
      <w:r w:rsidRPr="00E21E8D">
        <w:rPr>
          <w:rFonts w:ascii="Times New Roman" w:hAnsi="Times New Roman" w:cs="Times New Roman"/>
          <w:bCs/>
          <w:sz w:val="28"/>
          <w:szCs w:val="28"/>
          <w:lang w:val="en-US"/>
        </w:rPr>
        <w:t>Brookings</w:t>
      </w:r>
      <w:r w:rsidRPr="00E21E8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21E8D">
        <w:rPr>
          <w:rFonts w:ascii="Times New Roman" w:hAnsi="Times New Roman" w:cs="Times New Roman"/>
          <w:bCs/>
          <w:sz w:val="28"/>
          <w:szCs w:val="28"/>
          <w:lang w:val="en-US"/>
        </w:rPr>
        <w:t>Institution</w:t>
      </w:r>
      <w:r w:rsidRPr="00E21E8D">
        <w:rPr>
          <w:rFonts w:ascii="Times New Roman" w:hAnsi="Times New Roman" w:cs="Times New Roman"/>
          <w:bCs/>
          <w:sz w:val="28"/>
          <w:szCs w:val="28"/>
        </w:rPr>
        <w:t>») [6, 36, 37]</w:t>
      </w:r>
      <w:r>
        <w:rPr>
          <w:rFonts w:ascii="Times New Roman" w:hAnsi="Times New Roman" w:cs="Times New Roman"/>
          <w:bCs/>
          <w:sz w:val="28"/>
          <w:szCs w:val="28"/>
        </w:rPr>
        <w:t xml:space="preserve"> и фонда «Наследие» («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Heritage</w:t>
      </w:r>
      <w:r w:rsidRPr="0093016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Foundation</w:t>
      </w:r>
      <w:r>
        <w:rPr>
          <w:rFonts w:ascii="Times New Roman" w:hAnsi="Times New Roman" w:cs="Times New Roman"/>
          <w:bCs/>
          <w:sz w:val="28"/>
          <w:szCs w:val="28"/>
        </w:rPr>
        <w:t>») [14, 32, 54, 55].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 работе были использованы следующие исследовательские методы:</w:t>
      </w:r>
    </w:p>
    <w:p w:rsidR="004A6EDA" w:rsidRDefault="004A6EDA" w:rsidP="004A6ED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Нарративный метод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 элементами контекстуального анализа </w:t>
      </w:r>
      <w:r>
        <w:rPr>
          <w:rFonts w:ascii="Times New Roman" w:hAnsi="Times New Roman" w:cs="Times New Roman"/>
          <w:bCs/>
          <w:sz w:val="28"/>
          <w:szCs w:val="28"/>
        </w:rPr>
        <w:t>для изложения биографических сведений Ху Цзиньтао.</w:t>
      </w:r>
    </w:p>
    <w:p w:rsidR="004A6EDA" w:rsidRDefault="004A6EDA" w:rsidP="004A6ED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Сравнительный анализ председателей Ху Цзиньтао и Цзян Цзэминя для выявления схожих и отличных черт во взглядах, идеях и проводимой политики.</w:t>
      </w:r>
    </w:p>
    <w:p w:rsidR="004A6EDA" w:rsidRDefault="004A6EDA" w:rsidP="004A6EDA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Метод системного анализа для определения причинно-следственных связей, повлиявших на формирование внешнеполитической линии председателем.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Данная работа состоит из трех глав.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первой главе проанализирована жизнь Ху Цзиньтао, политическая карьера до назначения на должность генерального секретаря КНР, а также формирование его внешнеполитических взглядов.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Во второй главе рассмотрены основные аспекты внутренней и внешней политики лидера страны, его идеологические инициативы.</w:t>
      </w:r>
    </w:p>
    <w:p w:rsidR="004A6EDA" w:rsidRDefault="004A6EDA" w:rsidP="004A6ED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третьей главе подведен итог деятельность Ху на посту председателя, выявлено его влияние на принятие внутрипартийных решений на сегодняшний день.</w:t>
      </w:r>
    </w:p>
    <w:p w:rsidR="004A6EDA" w:rsidRDefault="004A6EDA" w:rsidP="004A6EDA">
      <w:r>
        <w:br w:type="page"/>
      </w:r>
    </w:p>
    <w:p w:rsidR="00E71EAD" w:rsidRDefault="00E71EAD" w:rsidP="00E71EAD"/>
    <w:p w:rsidR="00E71EAD" w:rsidRDefault="00E71EAD" w:rsidP="00E71EAD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415AB7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E71EAD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35797">
        <w:rPr>
          <w:rFonts w:ascii="Times New Roman" w:hAnsi="Times New Roman" w:cs="Times New Roman"/>
          <w:sz w:val="28"/>
          <w:szCs w:val="28"/>
        </w:rPr>
        <w:t>На формирование мировоз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935797">
        <w:rPr>
          <w:rFonts w:ascii="Times New Roman" w:hAnsi="Times New Roman" w:cs="Times New Roman"/>
          <w:sz w:val="28"/>
          <w:szCs w:val="28"/>
        </w:rPr>
        <w:t>рения Ху Цзиньтао повлияли обстоятельства, связанные с его детством</w:t>
      </w:r>
      <w:r>
        <w:rPr>
          <w:rFonts w:ascii="Times New Roman" w:hAnsi="Times New Roman" w:cs="Times New Roman"/>
          <w:sz w:val="28"/>
          <w:szCs w:val="28"/>
        </w:rPr>
        <w:t xml:space="preserve">. Ху вырос в семье предпринимателей, за что его отец подвергся репрессиям, а во время Культурной революции был посажен в тюрьму. Сам же Ху не считал предпринимательство позорным видом деятельности, и поэтому, как только возглавит страну, станет принимать попытки расширения доли частного сектора и поддержки малого и среднего бизнеса. Тем не менее, молодой Ху был признателен партии за то,  что та проявила «благосклонность» и не стала осуждать его за «ошибки своей семьи». Более того, Ху Цзиньтао смог поступить в один из лучших университетов страны и окончить его с отличием. </w:t>
      </w:r>
    </w:p>
    <w:p w:rsidR="00E71EAD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Благодаря своей уступчивости, а также умению находить компромиссы и сглаживать острые вопросы, Ху смог заручиться поддержкой деятелей, обладающих разными политическими взглядами.</w:t>
      </w:r>
      <w:r w:rsidRPr="00F520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Своей должности генерального секретаря ЦК КПК он обязан покровительству представителей как левого (Ху Яобан), так и правого (Сун Пин) крыла партии. Однако главным патроном стал Дэн Сяопин, самый влиятельный политик в стране с 1970-х до 1990-х гг., который назначил Ху Цзиньтао лидером «четвертого поколения» руководителей Китая, не смотря на сопротивление генерального секретаря партии - Цзян Цзэминя.</w:t>
      </w:r>
    </w:p>
    <w:p w:rsidR="00E71EAD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Ху получил пост председателя ЦК КПК в ноябре 2002 года и сразу приступил к созданию идеологической платформы для своих политических инициатив. Во внешней политике были предложены концепции «мирного развития» и «ответственного государства», целью которых стало представление новой роли Китая в международных отношениях. </w:t>
      </w:r>
    </w:p>
    <w:p w:rsidR="00E71EAD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Поскольку глобальные игроки стали беспокоиться из-за стремительного экономического роста Китая, Ху спешил заверить мировое сообщество в исключительно невраждебных намерениях своей страны: КНР не будет пересматривать функционирующую систему международных отношений, а,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наоборот, встанет на ее поддержку и защиту. Ху, безусловно, понимал, что КНР не была готова играть заметную роль в международных вопросах, и провозглашение «мирной» внешней политики позволили лидеру продолжать беспрепятственно развивать экономическую мощь своего государства. Тем не менее, это не помешало Ху Цзиньтао использовать более агрессивные методы в отношении стран, препятствующих покупке и транспортировке ресурсов либо угрожающих национальным интересам Китая. </w:t>
      </w:r>
    </w:p>
    <w:p w:rsidR="00E71EAD" w:rsidRPr="00B702B2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Внутриполитическая концепция «научного развития» была направлена на улучшения жизни населения государства. Поскольку сам Ху вырос в бедной провинции Цзянсу, а затем более 10 лет служил в других небогатых провинциях, таких как Ганьсу, Гуйчжоу и Тибетском административном районе,  став лидером страны, он объявит об «открытии запада»: фокусирования внимания на </w:t>
      </w:r>
      <w:r w:rsidRPr="00792FE1">
        <w:rPr>
          <w:rFonts w:ascii="Times New Roman" w:hAnsi="Times New Roman" w:cs="Times New Roman"/>
          <w:sz w:val="28"/>
          <w:szCs w:val="28"/>
        </w:rPr>
        <w:t xml:space="preserve">развитие наиболее бедных областей КНР. Идея «Гармоничного общества» была наполнена реформами в сферах </w:t>
      </w:r>
      <w:r w:rsidRPr="00792FE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образования, энергетики, окружающей среды, государственного аппарата и борьбы с коррупцией. А позже она </w:t>
      </w:r>
      <w:r w:rsidRPr="00792FE1">
        <w:rPr>
          <w:rFonts w:ascii="Times New Roman" w:hAnsi="Times New Roman" w:cs="Times New Roman"/>
          <w:sz w:val="28"/>
          <w:szCs w:val="28"/>
        </w:rPr>
        <w:t>была включена в Конституцию КНР.</w:t>
      </w:r>
    </w:p>
    <w:p w:rsidR="00E71EAD" w:rsidRDefault="00E71EAD" w:rsidP="00E71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 время обоих сроков на посту председателя, Ху приходилось мириться с влиянием Цзян Цзэминя, бывшего генерального секретаря КНР, который даже после ухода со всех должностей оставался ключевой фигурой в принятии важных государственных решений. Внутрипартийная стабильность оказалась гораздо ценнее для Ху, чем опора лишь на свое видение дальнейшего развития Китая, поэтому большинство реформ, обозначенных для осуществления на </w:t>
      </w:r>
      <w:r>
        <w:rPr>
          <w:rFonts w:ascii="Times New Roman" w:hAnsi="Times New Roman" w:cs="Times New Roman"/>
          <w:sz w:val="28"/>
          <w:szCs w:val="28"/>
          <w:lang w:val="en-US"/>
        </w:rPr>
        <w:t>XVI</w:t>
      </w:r>
      <w:r>
        <w:rPr>
          <w:rFonts w:ascii="Times New Roman" w:hAnsi="Times New Roman" w:cs="Times New Roman"/>
          <w:sz w:val="28"/>
          <w:szCs w:val="28"/>
        </w:rPr>
        <w:t xml:space="preserve"> Съезде Политбюро КПК,  так и не были осуществлены.</w:t>
      </w:r>
    </w:p>
    <w:p w:rsidR="00E71EAD" w:rsidRPr="00B702B2" w:rsidRDefault="00E71EAD" w:rsidP="00E71EA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Несмотря на ошеломляющий экономический успех страны, обретенный во время председательства Ху, политическое наследие лидера не лишено критики. Новому поколению руководителей предстоит решить множество острых проблем: внутрипартийный кризис, нерешенность в выборе экономической системы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, консервация социального расслоения, незавершенность</w:t>
      </w:r>
      <w:r w:rsidRPr="00EF2457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жилищно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й реформы</w:t>
      </w:r>
      <w:r w:rsidRPr="00EF2457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; несовершенство и узкая </w:t>
      </w:r>
      <w:r w:rsidRPr="00EF2457">
        <w:rPr>
          <w:rFonts w:ascii="Times New Roman" w:hAnsi="Times New Roman" w:cs="Times New Roman"/>
          <w:color w:val="0D0D0D" w:themeColor="text1" w:themeTint="F2"/>
          <w:sz w:val="28"/>
          <w:szCs w:val="28"/>
        </w:rPr>
        <w:lastRenderedPageBreak/>
        <w:t>направленность методов социального обеспечения; загрязнение окружающей среды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, а также быстрое старение нации.</w:t>
      </w:r>
    </w:p>
    <w:p w:rsidR="00E71EAD" w:rsidRPr="00E6053D" w:rsidRDefault="00E71EAD" w:rsidP="00E71EA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2EED">
        <w:rPr>
          <w:rFonts w:ascii="Times New Roman" w:hAnsi="Times New Roman" w:cs="Times New Roman"/>
          <w:sz w:val="28"/>
          <w:szCs w:val="28"/>
        </w:rPr>
        <w:t xml:space="preserve">Как и Цзян Цзэминь во время передачи власти новому генеральному секретарю КНР, Ху сумел сохранить за собой большую долю влияния в партии. </w:t>
      </w:r>
      <w:r w:rsidRPr="00A62EE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Из 25 членов Политбюро на </w:t>
      </w:r>
      <w:r w:rsidRPr="00A62EE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  <w:lang w:val="en-US"/>
        </w:rPr>
        <w:t>XVIII</w:t>
      </w:r>
      <w:r w:rsidRPr="00A62EE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Съезде Политбюро было выбрано 12 политиков, представляющих фракцию «Туаньпай», большинство высших постов в НОАК также заняли верные </w:t>
      </w:r>
      <w:r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председателю </w:t>
      </w:r>
      <w:r w:rsidRPr="00A62EE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чиновники. </w:t>
      </w:r>
      <w:r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Многие международные обозреватели были уверены в том, что эра «Ху Цзньтао» не закончилась в 2012 году и он и дальше будет возглавлять фракцию «комсомольцев», однако с 2013 года бывший председатель практически перестал участвовать в политической жизни КНР. Официальной причины его решению объявлено не было. Однако, Ху все же успел назначить своего преемника и кандидата в лидеры «шестого поколения» руководителей страны. Им стал Ху Чуньхуа. На сегодняшний день протеже Ху Цзиньтао занимает пост вице – премьера КНР, а значит, обладает большими шансами осуществить волю Ху и возглавить государство в 2022 году. </w:t>
      </w:r>
    </w:p>
    <w:p w:rsidR="00E71EAD" w:rsidRDefault="00E71EAD" w:rsidP="00E71EAD">
      <w:r>
        <w:br w:type="page"/>
      </w:r>
    </w:p>
    <w:p w:rsidR="00E71EAD" w:rsidRPr="00AF64F6" w:rsidRDefault="00E71EAD" w:rsidP="00E71EAD">
      <w:pPr>
        <w:jc w:val="center"/>
        <w:outlineLvl w:val="0"/>
        <w:rPr>
          <w:rFonts w:ascii="Times New Roman" w:hAnsi="Times New Roman" w:cs="Times New Roman"/>
          <w:b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FC6FF2">
        <w:rPr>
          <w:rFonts w:ascii="Times New Roman" w:hAnsi="Times New Roman" w:cs="Times New Roman"/>
          <w:b/>
          <w:color w:val="0D0D0D" w:themeColor="text1" w:themeTint="F2"/>
          <w:sz w:val="28"/>
          <w:szCs w:val="28"/>
          <w:shd w:val="clear" w:color="auto" w:fill="FFFFFF"/>
        </w:rPr>
        <w:lastRenderedPageBreak/>
        <w:t>Список изученных источников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</w:rPr>
        <w:t>Вершинина В. Ю. Экологическая политика КНР: глобальный, региональный национальный аспекты.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–</w:t>
      </w: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</w:rPr>
        <w:t xml:space="preserve"> Актуальные проблемы современных международных отношений: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материалы межд. научной конференции. М. 2013. – № 3. – С. 28-32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6C3451">
        <w:rPr>
          <w:rFonts w:ascii="Times New Roman" w:hAnsi="Times New Roman" w:cs="Times New Roman"/>
          <w:bCs/>
          <w:iCs/>
          <w:color w:val="0D0D0D" w:themeColor="text1" w:themeTint="F2"/>
          <w:sz w:val="28"/>
          <w:szCs w:val="28"/>
        </w:rPr>
        <w:t xml:space="preserve">Колпакова Т. В. </w:t>
      </w: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</w:rPr>
        <w:t xml:space="preserve">Китайская «экологическая дипломатия» и формирование международного механизма охраны окружающей среды.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–</w:t>
      </w: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Известия Российского государственного педагогического университета им. А.И. Герцена, 2010. – № 123. – С. 68–73.</w:t>
      </w: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Лексютина Я. В. Экономическая дипломатия Китая в XXI веке. –Проблемы Дальнего Востока, 2015. – № 2. –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C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. 24-37.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Сыроежкин 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К., 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/>
        </w:rPr>
        <w:t>XVIII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съезд коммунистической партии Китая: неокончательные итоги, неотложные задачи, неустойчивые компромиссы.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–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Центральная Азия и Кавказ, 2013.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–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Т.16, Выпуск 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Style w:val="a5"/>
          <w:rFonts w:ascii="Times New Roman" w:hAnsi="Times New Roman" w:cs="Times New Roman"/>
          <w:i w:val="0"/>
          <w:iCs w:val="0"/>
          <w:color w:val="0D0D0D" w:themeColor="text1" w:themeTint="F2"/>
          <w:sz w:val="28"/>
          <w:szCs w:val="28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Тимофеев О. А.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Мягкие методы международного влияния и трансформация внешнеполитической парадигмы в КНР. – Вестник Тихоокеанского государственного университета 2009.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№ 4.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С.189-198.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Angang Hu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.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China in 2020: A New Type of Superpower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. – Brookings Institution Press, 2011. – 213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Backer L.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The Rule of Law, the Chinese Communist Party, and Ideological Campaigns: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Sange Daibiao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(the «Three Represents»), Socialist Rule of Law, and Modern Chinese Constitutionalism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Journal of Transnational Law and Contemporary Problems, 2006.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>Vol. 16.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№. 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Brown K. </w:t>
      </w:r>
      <w:r w:rsidRPr="006C3451">
        <w:rPr>
          <w:rStyle w:val="a-size-large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Hu Jintao: China's Silent Ruler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–World Scientific Publishing Company, 2012. – 256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Buhi J. Foreign Policy and the Chinese Constitutions During the Hu Jintao Administration.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Boston College International and Comparative Law Review, 2014.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Vol. 37, Issue 2, Article 2. – PP. 241-279.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Cross-Straits Economic Cooperation Framework Agreement, Taiwan–China, June 29, 2010// </w:t>
      </w:r>
      <w:hyperlink r:id="rId5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http://rtais.wto.org/rtadocs/713/TOA/English/Combined%20ECFA%20Text.pdf</w:t>
        </w:r>
      </w:hyperlink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Davis K. D. </w:t>
      </w:r>
      <w:r w:rsidRPr="006C3451">
        <w:rPr>
          <w:rStyle w:val="a-size-large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Hu Jintao (Modern World Leaders).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Style w:val="a-size-large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Chelsea House Publications; Library Binding edition, 2007. – 127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Dotson J.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The Chinese Communist Party and Its Emerging Next-Generation Leaders.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– U.S. - China Economic and Security Review Commission Staff Research Report, 2012. – PP. 71.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Fewsmith J. China since Tiananmen: The Politics of Transition.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Cambridge University Press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, 2012. – P. 237-242.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Fewsmith J. Hu Jintao and Political Succession in the PRC.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Heritage Foundation: Heritage Lectures, 2002. – № 736.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Finkelstein D.,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Kivlehan M.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China's Leadership in the Twenty-First Century: The Rise of the Fourth Generation. –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Routledge, 2002.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– 312 pp.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Glaser B., Medeiros E.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The Changing Ecology of Foreign Policy - Making in China: The Ascension and Demise of the Theory of «Peaceful Rise»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,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The China Quarterly,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2007.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№ 190.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PP. – 291-310.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Guowuyuan guanyu shishi xibu dakaifa ruogan zhengce cuoshi de tongzhi (State Council Announcement on the Implementation of the Relevant Policies and Measures on the Great Western Development) // </w:t>
      </w:r>
      <w:hyperlink r:id="rId6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http://www.asianlii.org/cn/legis/cen/laws/cotsccspocotdocvwr1122</w:t>
        </w:r>
      </w:hyperlink>
      <w:r w:rsidRPr="006C3451">
        <w:rPr>
          <w:rFonts w:ascii="Times New Roman" w:hAnsi="Times New Roman" w:cs="Times New Roman"/>
          <w:color w:val="0D0D0D"/>
          <w:sz w:val="28"/>
          <w:szCs w:val="28"/>
          <w:lang w:val="en-US"/>
        </w:rPr>
        <w:t xml:space="preserve"> 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–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Oct. 26, 2000.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Hairen Zong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Disidai (The fourth generation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). – New York: Mirror Books, 2002. – 560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Hallding K., Jürisoo M., Han G. Linking climate change and China’s foreign and security policies in the Hu Jintao era //</w:t>
      </w:r>
    </w:p>
    <w:p w:rsidR="00E71EAD" w:rsidRPr="006C3451" w:rsidRDefault="00E71EAD" w:rsidP="00E71EAD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hyperlink r:id="rId7" w:history="1">
        <w:r w:rsidRPr="006C3451">
          <w:rPr>
            <w:rStyle w:val="a4"/>
            <w:rFonts w:ascii="Times New Roman" w:hAnsi="Times New Roman" w:cs="Times New Roman"/>
            <w:color w:val="056AD0" w:themeColor="hyperlink" w:themeTint="F2"/>
            <w:sz w:val="28"/>
            <w:szCs w:val="28"/>
            <w:lang w:val="en-US"/>
          </w:rPr>
          <w:t>https://sverigesradio.se/diverse/appdata/isidor/files/406/13602.pdf</w:t>
        </w:r>
      </w:hyperlink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Hille K.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A Show of Force: Fears Are Growing over the Hold China’s Well-Equipped Army Has over Foreign Policy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// </w:t>
      </w:r>
      <w:hyperlink r:id="rId8" w:history="1">
        <w:r w:rsidRPr="006C3451">
          <w:rPr>
            <w:rStyle w:val="a4"/>
            <w:rFonts w:ascii="Times New Roman" w:hAnsi="Times New Roman" w:cs="Times New Roman"/>
            <w:color w:val="056AD0" w:themeColor="hyperlink" w:themeTint="F2"/>
            <w:sz w:val="28"/>
            <w:szCs w:val="28"/>
            <w:lang w:val="en-US"/>
          </w:rPr>
          <w:t>https://www.ft.com/content/42b2bdba-e9d5-11e0-bb3e-00144feab49a</w:t>
        </w:r>
      </w:hyperlink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Financial Times, Sept. 30, 2011.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lastRenderedPageBreak/>
        <w:t xml:space="preserve">Ho Pin, Huang Wen. Opinion,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Hu Jintao: The Mysterious Man Behind China’s « Harmonious Society»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.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Christian Science Monitor, 2010.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Style w:val="a4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SIPRI seminar on the Hu Jintao decade in China’s foreign and security policy: assessment and implications </w:t>
      </w:r>
      <w:r w:rsidRPr="006C3451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hyperlink r:id="rId9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http://www.china-embassy.org/eng/zt/18th_CPC_National_Congress_Eng/t992917.htm</w:t>
        </w:r>
      </w:hyperlink>
      <w:r w:rsidRPr="006C3451">
        <w:rPr>
          <w:rStyle w:val="a4"/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0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https://sverigesradio.se/diverse/appdata/isidor/files/406/13602.pdf</w:t>
        </w:r>
      </w:hyperlink>
      <w:r w:rsidRPr="006C34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71EAD" w:rsidRPr="006C3451" w:rsidRDefault="00E71EAD" w:rsidP="00E71EAD">
      <w:pPr>
        <w:pStyle w:val="a3"/>
        <w:spacing w:line="360" w:lineRule="auto"/>
        <w:ind w:left="360"/>
        <w:jc w:val="both"/>
        <w:rPr>
          <w:rStyle w:val="a4"/>
          <w:rFonts w:ascii="Times New Roman" w:hAnsi="Times New Roman" w:cs="Times New Roman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sz w:val="28"/>
          <w:szCs w:val="28"/>
          <w:lang w:val="en-US"/>
        </w:rPr>
        <w:t xml:space="preserve">– The Stockholm Environment Institute, 2013.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Hu Jintao’s Report at XVIII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vertAlign w:val="superscript"/>
          <w:lang w:val="en-US"/>
        </w:rPr>
        <w:t>th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Party Congress // </w:t>
      </w:r>
      <w:hyperlink r:id="rId11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http://www.china-embassy.org/eng/zt/18th_CPC_National_Congress_Eng/t992917.htm</w:t>
        </w:r>
      </w:hyperlink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Hu Jintao’s Report at XVII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vertAlign w:val="superscript"/>
          <w:lang w:val="en-US"/>
        </w:rPr>
        <w:t>th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Party Congress// </w:t>
      </w:r>
      <w:hyperlink r:id="rId12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https://www.chinadaily.com.cn/china/2007-10/24/content_6204564.htm</w:t>
        </w:r>
      </w:hyperlink>
      <w:r w:rsidRPr="006C345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Huasheng Zhao,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Sino-Russian Relations 2009 to 2010: A Perspective from China. – Russian Analytical Digest, 2010. – № 73. – PP. 5-8.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before="240"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Huasheng Zhao. Zhong’er guanxi zhongde shanghai hezuo zuzhi (SCO in Sino-Russian Relations). –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>Heping yu fazhan (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Peace and Development)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>, 2010.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 №1.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Injoo Sohn.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After Renaissance: China’s Multilateral Offensive in the Developing World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. – European Journal of International Relations, 2011. – №18. – PP. 80-82.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Jiangtao Shi. President Hu Jintao legacy seen as one of stability but stagnation. – South China Morning Post, 07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Sept., 2012.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Style w:val="a4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Johnson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С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.What Ling Jihua’s Transfer Means for China’s Leadership Transition. –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Center for Strategic and International Studies, 2012.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Kim Samuel S. Chinese-North Korean Relations at a Crossroads. 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International Journal of Korean Studies, 2003. –Vol. 7. – №.1. – PP. 39-55.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  <w:lang w:val="en-US"/>
        </w:rPr>
        <w:t xml:space="preserve">Kivlehan M.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A Range of Views on Hu Jintao. – Heritage Foundation, 2002.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Koch-Weser N. I., Haacke D. O. China Economic and Security Review Commission Staff Research Report, 2013. – PP. 65.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Kuei-hsiang Hsu. Progress on Sino-Indian Border Negotiations - the Issue of Tawang Ownership.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Bi-Monthly Journal on Mongolian and Tibetan Current Situation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, 2008.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–№ 17(4). – PP.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Style w:val="nlmfpage"/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1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-</w:t>
      </w:r>
      <w:r w:rsidRPr="006C3451">
        <w:rPr>
          <w:rStyle w:val="nlmlpage"/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21.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lastRenderedPageBreak/>
        <w:t xml:space="preserve">Lam W. </w:t>
      </w:r>
      <w:r w:rsidRPr="006C3451">
        <w:rPr>
          <w:rStyle w:val="a-size-large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Chinese Politics in the Hu Jintao Era: New Leaders, New Challenges. –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Routledge, 2006. – 376 pp.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Li Cheng, Cary Eve. The Last Year of Hu’s Leadership: Hu’s to Blame? – The Brookings Press, 2011.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Li Cheng. Hu Chunhua Profile. – The John L. Thornton China Center, Brookings Institution, 2017.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Li Cheng. Leadership Transition in the CPC: Promising Progress and Potential Problems. –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China: An International Journal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, 2012. –Vol. 10, № 2.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360"/>
        <w:jc w:val="both"/>
        <w:outlineLvl w:val="0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Li Cheng. Opportunity Lost? Inside China’s Leadership Transition.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Foreign Policy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(online edition), Nov. 16, 2012.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Liru Cui, Junhong Liu. Xinshiqi de Zhong-Ri Guanxi: Cong Sikao Zouxiang Goujia (Sino-Japanese Relationship in the New Era: From Conceiving to Constructing).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Xiandai Guoji Guanxi (Journal of Contemporary International Relations), 2007.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№ 10.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 P. 3.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hyperlink r:id="rId13" w:tgtFrame="_blank" w:history="1">
        <w:r w:rsidRPr="006C3451">
          <w:rPr>
            <w:rStyle w:val="a4"/>
            <w:rFonts w:ascii="Times New Roman" w:eastAsia="SimSun" w:hAnsi="Times New Roman" w:cs="Times New Roman"/>
            <w:color w:val="0D0D0D" w:themeColor="text1" w:themeTint="F2"/>
            <w:sz w:val="28"/>
            <w:szCs w:val="28"/>
            <w:shd w:val="clear" w:color="auto" w:fill="FFFFFF"/>
            <w:lang w:val="en-US"/>
          </w:rPr>
          <w:t>Liu</w:t>
        </w:r>
      </w:hyperlink>
      <w:r w:rsidRPr="006C3451">
        <w:rPr>
          <w:rStyle w:val="a4"/>
          <w:rFonts w:ascii="Times New Roman" w:eastAsia="SimSu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J. </w:t>
      </w:r>
      <w:r w:rsidRPr="006C3451">
        <w:rPr>
          <w:rFonts w:ascii="Times New Roman" w:eastAsia="SimSun" w:hAnsi="Times New Roman" w:cs="Times New Roman"/>
          <w:color w:val="0D0D0D" w:themeColor="text1" w:themeTint="F2"/>
          <w:sz w:val="28"/>
          <w:szCs w:val="28"/>
          <w:lang w:val="en-US"/>
        </w:rPr>
        <w:t>Heping Jueqi shi Zhongguo de Zhanglue Xuanze (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Peaceful Rise is the Choice of China’s International Strategy)</w:t>
      </w:r>
      <w:r w:rsidRPr="006C3451">
        <w:rPr>
          <w:rFonts w:ascii="Times New Roman" w:eastAsia="SimSun" w:hAnsi="Times New Roman" w:cs="Times New Roman"/>
          <w:color w:val="0D0D0D" w:themeColor="text1" w:themeTint="F2"/>
          <w:sz w:val="28"/>
          <w:szCs w:val="28"/>
          <w:lang w:val="en-US"/>
        </w:rPr>
        <w:t>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– </w:t>
      </w:r>
      <w:r w:rsidRPr="006C3451">
        <w:rPr>
          <w:rFonts w:ascii="Times New Roman" w:eastAsia="SimSun" w:hAnsi="Times New Roman" w:cs="Times New Roman"/>
          <w:color w:val="0D0D0D" w:themeColor="text1" w:themeTint="F2"/>
          <w:sz w:val="28"/>
          <w:szCs w:val="28"/>
          <w:lang w:val="en-US"/>
        </w:rPr>
        <w:t>Shijie Jingji yu Zhengzhi (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World Economy and Politics)</w:t>
      </w:r>
      <w:r w:rsidRPr="006C3451">
        <w:rPr>
          <w:rFonts w:ascii="Times New Roman" w:eastAsia="SimSu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,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2006. – № 2. – C. 36-38.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Masayuki Masuda. China’s Search for a New Foreign Policy Frontier: Concept and Practice of « Harmonious World »// China’s Shift: Global Strategy of the Rising Power.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The National Institute for Defense Studies.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–Japan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, 2009.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№3.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PP. 57-79.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Miller A. The Bo Xilai Affair in Central Leadership Politics. –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China Leadership Monitor, 2012. –</w:t>
      </w:r>
      <w:r w:rsidRPr="006C3451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№ 38.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Nathan A., Gilley B. China’s New Rulers: The Secret Files.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–New York Review Books; 2nd Revised ed. Edition, 2003. – 288 pp.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Niquet Valérie.The XVIIth Congress of the Chinese Communist Party: Shedding Light on How the System Works. – Ifri Asia Center, December 2007. – PP. 36.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Renmin Ribao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(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People’s Daily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) // </w:t>
      </w:r>
      <w:hyperlink r:id="rId14" w:history="1">
        <w:r w:rsidRPr="006C3451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http://www.laoziliao.net/rmrb/2003-12-10</w:t>
        </w:r>
      </w:hyperlink>
      <w:r w:rsidRPr="006C345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December 10, 2003.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lastRenderedPageBreak/>
        <w:t xml:space="preserve">Richard Rosecrance. Power and International Relations: The Rise of China and Its Effects. –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International Studies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Perspective, 2006.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Vol. 7, № 1.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PP. 1-35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2006.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Seong-hyon Lee S. Chinese Perspective on North Korea and Korean Unification. – The Korea Times, 2013. – Vol. 6. – PP. 49-68.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Shaohua Ma, China’s Multilateralism and the South China Sea Conflict: Quest for Hegemonic Stability –National University of Singapore Press, 2006. – P.145.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Fewsmith J. The 16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vertAlign w:val="superscript"/>
          <w:lang w:val="en-US"/>
        </w:rPr>
        <w:t>th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National Party Congress: The Succession that Didn’t Happen.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The China Quarterly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, 2003. –№173. – PP.5-7.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Sutter R. China’s Foreign Policy toward North Korea – a US Perspective. – International Journal of Korean Studies, Fall 2007. –Vol. 11. – №. 2. 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PP. 158-181.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Teddy Ng. Hu Jintao Likely to Remain Military Chief, Says Tung Chee-hwa. –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South China Morning Post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, Sep. 20, 2012.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bCs/>
          <w:iCs/>
          <w:color w:val="0D0D0D" w:themeColor="text1" w:themeTint="F2"/>
          <w:sz w:val="28"/>
          <w:szCs w:val="28"/>
          <w:lang w:val="en-US"/>
        </w:rPr>
        <w:t xml:space="preserve">The China Rising Leaders Project, Part 2: Outcomes of the Chinese Communist Party’s 18th National Congress.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– </w:t>
      </w:r>
      <w:r w:rsidRPr="006C3451">
        <w:rPr>
          <w:rFonts w:ascii="Times New Roman" w:hAnsi="Times New Roman" w:cs="Times New Roman"/>
          <w:bCs/>
          <w:color w:val="0D0D0D" w:themeColor="text1" w:themeTint="F2"/>
          <w:sz w:val="28"/>
          <w:szCs w:val="28"/>
          <w:lang w:val="en-US"/>
        </w:rPr>
        <w:t>U.S.-China Economic and Security, Review Commission Staff Research Report, December 21, 2012.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Tkacik J. A Sour Record: Hu's Hostility to the U.S. – Heritage Foundation, 2002.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Tkacik J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.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Who's Hu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?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Assessing China's Heir Apparent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,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Hu Jintao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. – Heritage Foundation: Heritage Lectures, US, 2002.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Walder G. A.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Style w:val="a5"/>
          <w:rFonts w:ascii="Times New Roman" w:hAnsi="Times New Roman" w:cs="Times New Roman"/>
          <w:bCs/>
          <w:color w:val="0D0D0D" w:themeColor="text1" w:themeTint="F2"/>
          <w:sz w:val="28"/>
          <w:szCs w:val="28"/>
          <w:shd w:val="clear" w:color="auto" w:fill="FFFFFF"/>
          <w:lang w:val="en-US"/>
        </w:rPr>
        <w:t>Fractured Rebellion: The Beijing Red Guard Movement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. –Cambridge, MA: Harvard University Press, 2009. – 416 pp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Style w:val="entry-date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hyperlink r:id="rId15" w:history="1">
        <w:r w:rsidRPr="006C3451">
          <w:rPr>
            <w:rStyle w:val="a4"/>
            <w:rFonts w:ascii="Times New Roman" w:hAnsi="Times New Roman" w:cs="Times New Roman"/>
            <w:color w:val="0D0D0D" w:themeColor="text1" w:themeTint="F2"/>
            <w:sz w:val="28"/>
            <w:szCs w:val="28"/>
            <w:lang w:val="en-US"/>
          </w:rPr>
          <w:t>Wenran Jiang</w:t>
        </w:r>
      </w:hyperlink>
      <w:r w:rsidRPr="006C3451">
        <w:rPr>
          <w:rStyle w:val="a4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China’s «New Thinking» on Japan. –China Brief, 2005. –Vol. 5, Issue 3</w:t>
      </w:r>
      <w:r w:rsidRPr="006C3451">
        <w:rPr>
          <w:rStyle w:val="entry-author"/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. 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Wesoky S.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Harmony and Critique: Chinese Modernity, Harmonious Society, and Contemporary Chinese Feminist Perspectives // </w:t>
      </w:r>
      <w:r w:rsidRPr="006C3451">
        <w:rPr>
          <w:rFonts w:ascii="Times New Roman" w:hAnsi="Times New Roman" w:cs="Times New Roman"/>
          <w:color w:val="0D0D0D" w:themeColor="text1" w:themeTint="F2"/>
          <w:spacing w:val="5"/>
          <w:sz w:val="28"/>
          <w:szCs w:val="28"/>
          <w:lang w:val="en-US"/>
        </w:rPr>
        <w:t xml:space="preserve">China's Rise to Power: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Conceptions of State Governance. –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Palgrave Macmillan US, 2012. – P. 51-59.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William Wan. Little Hu’ Eyed for the Next Wave of Chinese Leaders. 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>Washington Post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, Nov. 17, 2012.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before="240"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lastRenderedPageBreak/>
        <w:t>Xianliang Chen, Mei Zhang. E duihua zhengce de bianhua ji zhongguo celue yingdui (Changes in Russian China Policy and China’s Response).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– 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>Dongbeiya luntan (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Northeast Asia Forum)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shd w:val="clear" w:color="auto" w:fill="FFFFFF"/>
          <w:lang w:val="en-US"/>
        </w:rPr>
        <w:t>, 2013.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Yushi Mao. China’s SOEs Are Termites, Eating Away the Country’s Wealth. – The Epoch Time, 17 May, 2016.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Zhang A.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Hu Jintao: Facing China.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iUniverse, 2002. – 188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Zhang Li, China-India Relations: Strategic Enlargement and Challenges.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Asie Visions,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2010.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№ 34.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Zheng Y, Wong J.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China's Post-Jiang Leadership Succession: Problems and Perspectives.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World Scientific Pub Co Inc., 2002. – 428 pp.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Zhichu R. Zhong gong kua shi ji jie ban ren: Hu Jintao ((Hu Jintao: China’s First Man in the 21st Century).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Ontario Mingjing chubanshe (Ontario Bright Mirror Press), 1997, p. 38.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Zoellick R. Whither China: From Membership to Responsibility? // </w:t>
      </w:r>
      <w:hyperlink r:id="rId16" w:history="1">
        <w:r w:rsidRPr="006C3451">
          <w:rPr>
            <w:rStyle w:val="a4"/>
            <w:rFonts w:ascii="Times New Roman" w:hAnsi="Times New Roman" w:cs="Times New Roman"/>
            <w:color w:val="056AD0" w:themeColor="hyperlink" w:themeTint="F2"/>
            <w:sz w:val="28"/>
            <w:szCs w:val="28"/>
            <w:lang w:val="en-US"/>
          </w:rPr>
          <w:t>https://2001-2009.state.gov/s/d/former/zoellick/rem/53682.htm</w:t>
        </w:r>
      </w:hyperlink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 xml:space="preserve"> .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–</w:t>
      </w:r>
      <w:r w:rsidRPr="006C3451">
        <w:rPr>
          <w:rFonts w:ascii="Times New Roman" w:hAnsi="Times New Roman" w:cs="Times New Roman"/>
          <w:iCs/>
          <w:color w:val="0D0D0D" w:themeColor="text1" w:themeTint="F2"/>
          <w:sz w:val="28"/>
          <w:szCs w:val="28"/>
          <w:lang w:val="en-US"/>
        </w:rPr>
        <w:t xml:space="preserve"> </w:t>
      </w: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Remarks to National Committee on U.S.-China Relations. – New York, 2005.</w:t>
      </w:r>
    </w:p>
    <w:p w:rsidR="00E71EAD" w:rsidRPr="006C3451" w:rsidRDefault="00E71EAD" w:rsidP="00E71EAD">
      <w:pPr>
        <w:pStyle w:val="a3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6C3451"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  <w:t>Zonghai Shao, Houyu Su. Juyou Zhongguo tese de zhonggong zhongyang juece jizhi (CCP’s Decision-making Mechanism with Chinese Characteristics). – Taipei: Weibe chubanshe (Weber Publication International Ltd), 2007.</w:t>
      </w:r>
    </w:p>
    <w:p w:rsidR="00D229D7" w:rsidRPr="00E71EAD" w:rsidRDefault="00D229D7">
      <w:pPr>
        <w:rPr>
          <w:lang w:val="en-US"/>
        </w:rPr>
      </w:pPr>
      <w:bookmarkStart w:id="0" w:name="_GoBack"/>
      <w:bookmarkEnd w:id="0"/>
    </w:p>
    <w:sectPr w:rsidR="00D229D7" w:rsidRPr="00E71E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6D60D7"/>
    <w:multiLevelType w:val="hybridMultilevel"/>
    <w:tmpl w:val="7A28EEC4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217BE9"/>
    <w:multiLevelType w:val="hybridMultilevel"/>
    <w:tmpl w:val="ECA035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66A"/>
    <w:rsid w:val="004A6EDA"/>
    <w:rsid w:val="0066466A"/>
    <w:rsid w:val="00D229D7"/>
    <w:rsid w:val="00E7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C16506-FE4C-442B-B19F-705D9A415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6EDA"/>
    <w:pPr>
      <w:spacing w:after="200" w:line="276" w:lineRule="auto"/>
    </w:pPr>
    <w:rPr>
      <w:rFonts w:eastAsiaTheme="minorEastAsia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6E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71EAD"/>
    <w:rPr>
      <w:color w:val="0563C1" w:themeColor="hyperlink"/>
      <w:u w:val="single"/>
    </w:rPr>
  </w:style>
  <w:style w:type="character" w:styleId="a5">
    <w:name w:val="Emphasis"/>
    <w:basedOn w:val="a0"/>
    <w:uiPriority w:val="20"/>
    <w:qFormat/>
    <w:rsid w:val="00E71EAD"/>
    <w:rPr>
      <w:i/>
      <w:iCs/>
    </w:rPr>
  </w:style>
  <w:style w:type="character" w:customStyle="1" w:styleId="entry-author">
    <w:name w:val="entry-author"/>
    <w:basedOn w:val="a0"/>
    <w:rsid w:val="00E71EAD"/>
  </w:style>
  <w:style w:type="character" w:customStyle="1" w:styleId="entry-date">
    <w:name w:val="entry-date"/>
    <w:basedOn w:val="a0"/>
    <w:rsid w:val="00E71EAD"/>
  </w:style>
  <w:style w:type="character" w:customStyle="1" w:styleId="a-size-large">
    <w:name w:val="a-size-large"/>
    <w:basedOn w:val="a0"/>
    <w:rsid w:val="00E71EAD"/>
  </w:style>
  <w:style w:type="character" w:customStyle="1" w:styleId="nlmfpage">
    <w:name w:val="nlm_fpage"/>
    <w:basedOn w:val="a0"/>
    <w:rsid w:val="00E71EAD"/>
  </w:style>
  <w:style w:type="character" w:customStyle="1" w:styleId="nlmlpage">
    <w:name w:val="nlm_lpage"/>
    <w:basedOn w:val="a0"/>
    <w:rsid w:val="00E71E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t.com/content/42b2bdba-e9d5-11e0-bb3e-00144feab49a" TargetMode="External"/><Relationship Id="rId13" Type="http://schemas.openxmlformats.org/officeDocument/2006/relationships/hyperlink" Target="http://yuanjian.cnki.com.cn/Search/Result?author=%E5%88%98%E5%BB%BA%E9%A3%9E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verigesradio.se/diverse/appdata/isidor/files/406/13602.pdf" TargetMode="External"/><Relationship Id="rId12" Type="http://schemas.openxmlformats.org/officeDocument/2006/relationships/hyperlink" Target="https://www.chinadaily.com.cn/china/2007-10/24/content_6204564.htm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2001-2009.state.gov/s/d/former/zoellick/rem/53682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asianlii.org/cn/legis/cen/laws/cotsccspocotdocvwr1122" TargetMode="External"/><Relationship Id="rId11" Type="http://schemas.openxmlformats.org/officeDocument/2006/relationships/hyperlink" Target="http://www.china-embassy.org/eng/zt/18th_CPC_National_Congress_Eng/t992917.htm" TargetMode="External"/><Relationship Id="rId5" Type="http://schemas.openxmlformats.org/officeDocument/2006/relationships/hyperlink" Target="http://rtais.wto.org/rtadocs/713/TOA/English/Combined%20ECFA%20Text.pdf" TargetMode="External"/><Relationship Id="rId15" Type="http://schemas.openxmlformats.org/officeDocument/2006/relationships/hyperlink" Target="https://jamestown.org/analyst/wenran-jiang/" TargetMode="External"/><Relationship Id="rId10" Type="http://schemas.openxmlformats.org/officeDocument/2006/relationships/hyperlink" Target="https://sverigesradio.se/diverse/appdata/isidor/files/406/13602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hina-embassy.org/eng/zt/18th_CPC_National_Congress_Eng/t992917.htm" TargetMode="External"/><Relationship Id="rId14" Type="http://schemas.openxmlformats.org/officeDocument/2006/relationships/hyperlink" Target="http://www.laoziliao.net/rmrb/2003-12-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3413</Words>
  <Characters>19455</Characters>
  <Application>Microsoft Office Word</Application>
  <DocSecurity>0</DocSecurity>
  <Lines>162</Lines>
  <Paragraphs>45</Paragraphs>
  <ScaleCrop>false</ScaleCrop>
  <Company/>
  <LinksUpToDate>false</LinksUpToDate>
  <CharactersWithSpaces>22823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2019-01-21T10:14:00Z</dcterms:created>
  <dcterms:modified xsi:type="dcterms:W3CDTF">2019-01-21T10:21:00Z</dcterms:modified>
</cp:coreProperties>
</file>