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embeddings/Microsoft_Excel_Worksheet2.xlsx" ContentType="application/vnd.openxmlformats-officedocument.spreadsheetml.sheet"/>
  <Override PartName="/word/embeddings/Microsoft_Excel_Worksheet.xlsx" ContentType="application/vnd.openxmlformats-officedocument.spreadsheetml.sheet"/>
  <Override PartName="/word/embeddings/Microsoft_Excel_Worksheet1.xlsx" ContentType="application/vnd.openxmlformats-officedocument.spreadsheetml.sheet"/>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eastAsia="Times New Roman"/>
          <w:b/>
          <w:b/>
          <w:bCs/>
          <w:i/>
          <w:i/>
          <w:iCs/>
          <w:sz w:val="28"/>
          <w:szCs w:val="28"/>
          <w:lang w:eastAsia="ru-RU"/>
        </w:rPr>
      </w:pPr>
      <w:r>
        <w:rPr>
          <w:rFonts w:eastAsia="Times New Roman" w:ascii="Times New Roman" w:hAnsi="Times New Roman"/>
          <w:sz w:val="28"/>
          <w:szCs w:val="28"/>
          <w:lang w:eastAsia="ru-RU"/>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t>Кафедра світового господарства і міжнародних економічних відносин</w:t>
      </w:r>
    </w:p>
    <w:p>
      <w:pPr>
        <w:pStyle w:val="Normal"/>
        <w:spacing w:lineRule="auto" w:line="240" w:before="0" w:after="0"/>
        <w:rPr>
          <w:rFonts w:ascii="Times New Roman" w:hAnsi="Times New Roman" w:eastAsia="Times New Roman"/>
          <w:sz w:val="28"/>
          <w:szCs w:val="28"/>
          <w:u w:val="single"/>
          <w:lang w:eastAsia="ru-RU"/>
        </w:rPr>
      </w:pPr>
      <w:r>
        <w:rPr>
          <w:rFonts w:eastAsia="Times New Roman" w:ascii="Times New Roman" w:hAnsi="Times New Roman"/>
          <w:sz w:val="28"/>
          <w:szCs w:val="28"/>
          <w:u w:val="single"/>
          <w:lang w:eastAsia="ru-RU"/>
        </w:rPr>
      </w:r>
    </w:p>
    <w:p>
      <w:pPr>
        <w:pStyle w:val="Normal"/>
        <w:spacing w:lineRule="auto" w:line="240" w:before="0" w:after="0"/>
        <w:jc w:val="center"/>
        <w:rPr>
          <w:rFonts w:ascii="Times New Roman" w:hAnsi="Times New Roman" w:eastAsia="Times New Roman"/>
          <w:sz w:val="28"/>
          <w:szCs w:val="28"/>
          <w:u w:val="single"/>
          <w:lang w:eastAsia="ru-RU"/>
        </w:rPr>
      </w:pPr>
      <w:r>
        <w:rPr>
          <w:rFonts w:eastAsia="Times New Roman" w:ascii="Times New Roman" w:hAnsi="Times New Roman"/>
          <w:sz w:val="28"/>
          <w:szCs w:val="28"/>
          <w:u w:val="single"/>
          <w:lang w:eastAsia="ru-RU"/>
        </w:rPr>
      </w:r>
    </w:p>
    <w:p>
      <w:pPr>
        <w:pStyle w:val="Normal"/>
        <w:spacing w:lineRule="auto" w:line="240" w:before="0" w:after="0"/>
        <w:jc w:val="center"/>
        <w:rPr>
          <w:rFonts w:ascii="Times New Roman" w:hAnsi="Times New Roman" w:eastAsia="Times New Roman"/>
          <w:sz w:val="28"/>
          <w:szCs w:val="28"/>
          <w:u w:val="single"/>
          <w:lang w:eastAsia="ru-RU"/>
        </w:rPr>
      </w:pPr>
      <w:r>
        <w:rPr>
          <w:rFonts w:eastAsia="Times New Roman" w:ascii="Times New Roman" w:hAnsi="Times New Roman"/>
          <w:sz w:val="28"/>
          <w:szCs w:val="28"/>
          <w:u w:val="single"/>
          <w:lang w:eastAsia="ru-RU"/>
        </w:rPr>
      </w:r>
    </w:p>
    <w:p>
      <w:pPr>
        <w:pStyle w:val="Normal"/>
        <w:spacing w:lineRule="auto" w:line="240" w:before="0" w:after="0"/>
        <w:jc w:val="center"/>
        <w:rPr>
          <w:rFonts w:ascii="Times New Roman" w:hAnsi="Times New Roman" w:eastAsia="Times New Roman"/>
          <w:sz w:val="28"/>
          <w:szCs w:val="28"/>
          <w:u w:val="single"/>
          <w:lang w:eastAsia="ru-RU"/>
        </w:rPr>
      </w:pPr>
      <w:r>
        <w:rPr>
          <w:rFonts w:eastAsia="Times New Roman" w:ascii="Times New Roman" w:hAnsi="Times New Roman"/>
          <w:sz w:val="28"/>
          <w:szCs w:val="28"/>
          <w:u w:val="single"/>
          <w:lang w:eastAsia="ru-RU"/>
        </w:rPr>
      </w:r>
    </w:p>
    <w:p>
      <w:pPr>
        <w:pStyle w:val="Normal"/>
        <w:spacing w:lineRule="auto" w:line="360" w:before="0" w:after="0"/>
        <w:jc w:val="center"/>
        <w:rPr>
          <w:rFonts w:ascii="Times New Roman" w:hAnsi="Times New Roman"/>
          <w:b/>
          <w:b/>
          <w:bCs/>
          <w:sz w:val="28"/>
          <w:szCs w:val="28"/>
          <w:lang w:val="uk-UA" w:eastAsia="ru-RU"/>
        </w:rPr>
      </w:pPr>
      <w:r>
        <w:rPr>
          <w:rFonts w:ascii="Times New Roman" w:hAnsi="Times New Roman"/>
          <w:b/>
          <w:bCs/>
          <w:sz w:val="28"/>
          <w:szCs w:val="28"/>
          <w:lang w:val="uk-UA" w:eastAsia="ru-RU"/>
        </w:rPr>
        <w:t>ДИПЛОМНА РОБОТА</w:t>
      </w:r>
    </w:p>
    <w:p>
      <w:pPr>
        <w:pStyle w:val="Normal"/>
        <w:spacing w:lineRule="auto" w:line="360" w:before="0" w:after="0"/>
        <w:jc w:val="center"/>
        <w:rPr>
          <w:rFonts w:ascii="Times New Roman" w:hAnsi="Times New Roman"/>
          <w:sz w:val="28"/>
          <w:szCs w:val="28"/>
          <w:lang w:val="uk-UA"/>
        </w:rPr>
      </w:pPr>
      <w:r>
        <w:rPr>
          <w:rFonts w:ascii="Times New Roman" w:hAnsi="Times New Roman"/>
          <w:sz w:val="28"/>
          <w:szCs w:val="28"/>
          <w:lang w:val="uk-UA" w:eastAsia="ru-RU"/>
        </w:rPr>
        <w:t xml:space="preserve">на здобуття ступеня вищої освіти </w:t>
      </w:r>
      <w:r>
        <w:rPr>
          <w:rFonts w:ascii="Times New Roman" w:hAnsi="Times New Roman"/>
          <w:sz w:val="28"/>
          <w:szCs w:val="28"/>
          <w:lang w:val="uk-UA" w:eastAsia="uk-UA"/>
        </w:rPr>
        <w:t>«</w:t>
      </w:r>
      <w:r>
        <w:rPr>
          <w:rFonts w:ascii="Times New Roman" w:hAnsi="Times New Roman"/>
          <w:sz w:val="28"/>
          <w:szCs w:val="28"/>
          <w:lang w:val="uk-UA" w:eastAsia="ru-RU"/>
        </w:rPr>
        <w:t>магістр</w:t>
      </w:r>
      <w:r>
        <w:rPr>
          <w:rFonts w:ascii="Times New Roman" w:hAnsi="Times New Roman"/>
          <w:sz w:val="28"/>
          <w:szCs w:val="28"/>
          <w:lang w:val="uk-UA"/>
        </w:rPr>
        <w:t>»</w:t>
      </w:r>
    </w:p>
    <w:p>
      <w:pPr>
        <w:pStyle w:val="Normal"/>
        <w:widowControl w:val="false"/>
        <w:tabs>
          <w:tab w:val="clear" w:pos="709"/>
          <w:tab w:val="right" w:pos="9355" w:leader="none"/>
        </w:tabs>
        <w:spacing w:lineRule="auto" w:line="360" w:before="0" w:after="0"/>
        <w:jc w:val="center"/>
        <w:rPr>
          <w:rFonts w:ascii="Times New Roman" w:hAnsi="Times New Roman"/>
          <w:b/>
          <w:b/>
          <w:sz w:val="28"/>
          <w:szCs w:val="28"/>
          <w:lang w:val="uk-UA" w:eastAsia="uk-UA"/>
        </w:rPr>
      </w:pPr>
      <w:r>
        <w:rPr>
          <w:rFonts w:ascii="Times New Roman" w:hAnsi="Times New Roman"/>
          <w:b/>
          <w:sz w:val="28"/>
          <w:szCs w:val="28"/>
          <w:lang w:val="uk-UA" w:eastAsia="uk-UA"/>
        </w:rPr>
        <w:t>на тему</w:t>
      </w:r>
      <w:r>
        <w:rPr/>
        <w:t xml:space="preserve"> </w:t>
      </w:r>
      <w:r>
        <w:rPr>
          <w:rFonts w:ascii="Times New Roman" w:hAnsi="Times New Roman"/>
          <w:b/>
          <w:sz w:val="28"/>
          <w:szCs w:val="28"/>
          <w:lang w:val="uk-UA" w:eastAsia="uk-UA"/>
        </w:rPr>
        <w:t>«Поведінкові фінанси та їх вплив на ефективність фінансового</w:t>
      </w:r>
    </w:p>
    <w:p>
      <w:pPr>
        <w:pStyle w:val="Normal"/>
        <w:widowControl w:val="false"/>
        <w:tabs>
          <w:tab w:val="clear" w:pos="709"/>
          <w:tab w:val="right" w:pos="9355" w:leader="none"/>
        </w:tabs>
        <w:spacing w:lineRule="auto" w:line="360" w:before="0" w:after="0"/>
        <w:jc w:val="center"/>
        <w:rPr>
          <w:rFonts w:ascii="Times New Roman" w:hAnsi="Times New Roman"/>
          <w:b/>
          <w:b/>
          <w:sz w:val="28"/>
          <w:szCs w:val="28"/>
          <w:lang w:val="uk-UA" w:eastAsia="uk-UA"/>
        </w:rPr>
      </w:pPr>
      <w:r>
        <w:rPr>
          <w:rFonts w:ascii="Times New Roman" w:hAnsi="Times New Roman"/>
          <w:b/>
          <w:sz w:val="28"/>
          <w:szCs w:val="28"/>
          <w:lang w:val="uk-UA" w:eastAsia="uk-UA"/>
        </w:rPr>
        <w:t>ринку»</w:t>
      </w:r>
    </w:p>
    <w:p>
      <w:pPr>
        <w:pStyle w:val="Normal"/>
        <w:widowControl w:val="false"/>
        <w:tabs>
          <w:tab w:val="clear" w:pos="709"/>
          <w:tab w:val="right" w:pos="9355" w:leader="none"/>
        </w:tabs>
        <w:spacing w:lineRule="auto" w:line="360" w:before="0" w:after="0"/>
        <w:jc w:val="center"/>
        <w:rPr>
          <w:bCs/>
          <w:sz w:val="24"/>
          <w:szCs w:val="24"/>
          <w:lang w:val="en-US"/>
        </w:rPr>
      </w:pPr>
      <w:r>
        <w:rPr>
          <w:rFonts w:ascii="Times New Roman" w:hAnsi="Times New Roman"/>
          <w:bCs/>
          <w:sz w:val="28"/>
          <w:szCs w:val="28"/>
          <w:lang w:val="uk-UA" w:eastAsia="uk-UA"/>
        </w:rPr>
        <w:t>“</w:t>
      </w:r>
      <w:r>
        <w:rPr>
          <w:rFonts w:ascii="Times New Roman" w:hAnsi="Times New Roman"/>
          <w:bCs/>
          <w:sz w:val="28"/>
          <w:szCs w:val="28"/>
          <w:lang w:val="uk-UA" w:eastAsia="uk-UA"/>
        </w:rPr>
        <w:t>Behavioral finance and its impact on the efficiency of the financial market”</w:t>
      </w:r>
    </w:p>
    <w:p>
      <w:pPr>
        <w:pStyle w:val="Normal"/>
        <w:spacing w:lineRule="auto" w:line="240" w:before="0" w:after="0"/>
        <w:ind w:firstLine="709"/>
        <w:jc w:val="right"/>
        <w:rPr>
          <w:rFonts w:ascii="Times New Roman" w:hAnsi="Times New Roman" w:eastAsia="Times New Roman"/>
          <w:sz w:val="28"/>
          <w:szCs w:val="28"/>
          <w:lang w:val="en-US" w:eastAsia="ru-RU"/>
        </w:rPr>
      </w:pPr>
      <w:r>
        <w:rPr>
          <w:rFonts w:eastAsia="Times New Roman" w:ascii="Times New Roman" w:hAnsi="Times New Roman"/>
          <w:sz w:val="28"/>
          <w:szCs w:val="28"/>
          <w:lang w:val="en-US" w:eastAsia="ru-RU"/>
        </w:rPr>
      </w:r>
    </w:p>
    <w:p>
      <w:pPr>
        <w:pStyle w:val="Normal"/>
        <w:spacing w:lineRule="auto" w:line="240" w:before="0" w:after="0"/>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jc w:val="center"/>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                   </w:t>
      </w:r>
      <w:r>
        <w:rPr>
          <w:rFonts w:eastAsia="Times New Roman" w:ascii="Times New Roman" w:hAnsi="Times New Roman"/>
          <w:sz w:val="28"/>
          <w:szCs w:val="28"/>
          <w:lang w:val="uk-UA" w:eastAsia="ru-RU"/>
        </w:rPr>
        <w:t>Виконав: студент денної форми навчання</w:t>
      </w:r>
    </w:p>
    <w:p>
      <w:pPr>
        <w:pStyle w:val="Normal"/>
        <w:spacing w:lineRule="auto" w:line="240" w:before="0" w:after="0"/>
        <w:jc w:val="center"/>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                                          </w:t>
      </w:r>
      <w:r>
        <w:rPr>
          <w:rFonts w:eastAsia="Times New Roman" w:ascii="Times New Roman" w:hAnsi="Times New Roman"/>
          <w:sz w:val="28"/>
          <w:szCs w:val="28"/>
          <w:lang w:val="uk-UA" w:eastAsia="ru-RU"/>
        </w:rPr>
        <w:t>cпеціальності 292 «Міжнародні економічні відносини»</w:t>
      </w:r>
    </w:p>
    <w:p>
      <w:pPr>
        <w:pStyle w:val="Normal"/>
        <w:spacing w:lineRule="auto" w:line="240" w:before="0" w:after="0"/>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                                           </w:t>
      </w:r>
      <w:r>
        <w:rPr>
          <w:rFonts w:eastAsia="Times New Roman" w:ascii="Times New Roman" w:hAnsi="Times New Roman"/>
          <w:sz w:val="28"/>
          <w:szCs w:val="28"/>
          <w:lang w:eastAsia="ru-RU"/>
        </w:rPr>
        <w:t>Царан Олександр Серг</w:t>
      </w:r>
      <w:r>
        <w:rPr>
          <w:rFonts w:eastAsia="Times New Roman" w:ascii="Times New Roman" w:hAnsi="Times New Roman"/>
          <w:sz w:val="28"/>
          <w:szCs w:val="28"/>
          <w:lang w:val="uk-UA" w:eastAsia="ru-RU"/>
        </w:rPr>
        <w:t>ійович</w:t>
      </w:r>
    </w:p>
    <w:p>
      <w:pPr>
        <w:pStyle w:val="Normal"/>
        <w:spacing w:lineRule="auto" w:line="240" w:before="0" w:after="0"/>
        <w:ind w:hanging="120"/>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                                           </w:t>
      </w:r>
      <w:r>
        <w:rPr>
          <w:rFonts w:eastAsia="Times New Roman" w:ascii="Times New Roman" w:hAnsi="Times New Roman"/>
          <w:sz w:val="28"/>
          <w:szCs w:val="28"/>
          <w:lang w:val="uk-UA" w:eastAsia="ru-RU"/>
        </w:rPr>
        <w:t xml:space="preserve">Науковий керівник: к.е.н., доц. </w:t>
      </w:r>
      <w:r>
        <w:rPr>
          <w:rFonts w:eastAsia="Times New Roman" w:ascii="Times New Roman" w:hAnsi="Times New Roman"/>
          <w:color w:val="000000"/>
          <w:sz w:val="28"/>
          <w:szCs w:val="28"/>
          <w:shd w:fill="FFFFFF" w:val="clear"/>
          <w:lang w:val="uk-UA" w:eastAsia="zh-CN"/>
        </w:rPr>
        <w:t>Бичкова Н.В.</w:t>
      </w:r>
      <w:r>
        <w:rPr>
          <w:rFonts w:eastAsia="Times New Roman" w:ascii="Times New Roman" w:hAnsi="Times New Roman"/>
          <w:sz w:val="28"/>
          <w:szCs w:val="28"/>
          <w:lang w:val="uk-UA" w:eastAsia="ru-RU"/>
        </w:rPr>
        <w:t>______</w:t>
      </w:r>
    </w:p>
    <w:p>
      <w:pPr>
        <w:pStyle w:val="Normal"/>
        <w:spacing w:lineRule="auto" w:line="240" w:before="0" w:after="0"/>
        <w:ind w:firstLine="240"/>
        <w:jc w:val="center"/>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            </w:t>
      </w:r>
      <w:r>
        <w:rPr>
          <w:rFonts w:eastAsia="Times New Roman" w:ascii="Times New Roman" w:hAnsi="Times New Roman"/>
          <w:sz w:val="28"/>
          <w:szCs w:val="28"/>
          <w:lang w:val="uk-UA" w:eastAsia="ru-RU"/>
        </w:rPr>
        <w:t>Рецензент: к.е.н., доц. Крючкова Н. М..</w:t>
      </w:r>
    </w:p>
    <w:p>
      <w:pPr>
        <w:pStyle w:val="Normal"/>
        <w:spacing w:lineRule="auto" w:line="240" w:before="0" w:after="0"/>
        <w:ind w:firstLine="240"/>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ind w:firstLine="240"/>
        <w:jc w:val="both"/>
        <w:rPr>
          <w:rFonts w:ascii="Times New Roman" w:hAnsi="Times New Roman" w:eastAsia="Times New Roman"/>
          <w:sz w:val="20"/>
          <w:szCs w:val="20"/>
          <w:lang w:val="uk-UA" w:eastAsia="ru-RU"/>
        </w:rPr>
      </w:pPr>
      <w:r>
        <w:rPr>
          <w:rFonts w:eastAsia="Times New Roman" w:ascii="Times New Roman" w:hAnsi="Times New Roman"/>
          <w:sz w:val="20"/>
          <w:szCs w:val="20"/>
          <w:lang w:val="uk-UA" w:eastAsia="ru-RU"/>
        </w:rPr>
      </w:r>
    </w:p>
    <w:p>
      <w:pPr>
        <w:pStyle w:val="Normal"/>
        <w:spacing w:lineRule="auto" w:line="240" w:before="0" w:after="0"/>
        <w:ind w:firstLine="709"/>
        <w:jc w:val="both"/>
        <w:rPr>
          <w:rFonts w:ascii="Times New Roman" w:hAnsi="Times New Roman" w:eastAsia="Times New Roman"/>
          <w:sz w:val="20"/>
          <w:szCs w:val="20"/>
          <w:lang w:val="uk-UA" w:eastAsia="ru-RU"/>
        </w:rPr>
      </w:pPr>
      <w:r>
        <w:rPr>
          <w:rFonts w:eastAsia="Times New Roman" w:ascii="Times New Roman" w:hAnsi="Times New Roman"/>
          <w:sz w:val="20"/>
          <w:szCs w:val="20"/>
          <w:lang w:val="uk-UA" w:eastAsia="ru-RU"/>
        </w:rPr>
      </w:r>
    </w:p>
    <w:p>
      <w:pPr>
        <w:pStyle w:val="Normal"/>
        <w:spacing w:lineRule="auto" w:line="24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t>Рекомендовано до захисту:                 Захищено на засіданні ЕК №</w:t>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t>Протокол засідання кафедри              протокол №___від ___    . 2021р.</w:t>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t xml:space="preserve">№    </w:t>
      </w:r>
      <w:r>
        <w:rPr>
          <w:rFonts w:eastAsia="Times New Roman" w:ascii="Times New Roman" w:hAnsi="Times New Roman"/>
          <w:color w:val="000000"/>
          <w:sz w:val="28"/>
          <w:szCs w:val="28"/>
          <w:lang w:val="uk-UA" w:eastAsia="zh-CN"/>
        </w:rPr>
        <w:t xml:space="preserve">від   .  .2021 р.                              Оцінка____________/______/______                         </w:t>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t>Завідувач кафедри                                Голова ЕК</w:t>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r>
    </w:p>
    <w:p>
      <w:pPr>
        <w:pStyle w:val="Normal"/>
        <w:widowControl w:val="false"/>
        <w:spacing w:lineRule="auto" w:line="360" w:before="0" w:after="0"/>
        <w:jc w:val="both"/>
        <w:rPr>
          <w:rFonts w:ascii="Times New Roman" w:hAnsi="Times New Roman" w:eastAsia="Times New Roman"/>
          <w:color w:val="000000"/>
          <w:sz w:val="28"/>
          <w:szCs w:val="28"/>
          <w:lang w:val="uk-UA" w:eastAsia="zh-CN"/>
        </w:rPr>
      </w:pPr>
      <w:r>
        <w:rPr>
          <w:rFonts w:eastAsia="Times New Roman" w:ascii="Times New Roman" w:hAnsi="Times New Roman"/>
          <w:color w:val="000000"/>
          <w:sz w:val="28"/>
          <w:szCs w:val="28"/>
          <w:lang w:val="uk-UA" w:eastAsia="zh-CN"/>
        </w:rPr>
        <w:t>_________ Якубовський С.О.              __________Якубовський С.О.</w:t>
      </w:r>
    </w:p>
    <w:p>
      <w:pPr>
        <w:pStyle w:val="Normal"/>
        <w:spacing w:lineRule="auto" w:line="240" w:before="0" w:after="0"/>
        <w:ind w:firstLine="709"/>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240" w:before="0" w:after="0"/>
        <w:ind w:firstLine="709"/>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240" w:before="0" w:after="0"/>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240" w:before="0" w:after="0"/>
        <w:ind w:firstLine="709"/>
        <w:rPr>
          <w:rFonts w:ascii="Times New Roman" w:hAnsi="Times New Roman" w:eastAsia="Times New Roman"/>
          <w:sz w:val="28"/>
          <w:szCs w:val="28"/>
          <w:lang w:eastAsia="zh-CN"/>
        </w:rPr>
      </w:pPr>
      <w:r>
        <w:rPr>
          <w:rFonts w:eastAsia="Times New Roman" w:ascii="Times New Roman" w:hAnsi="Times New Roman"/>
          <w:sz w:val="28"/>
          <w:szCs w:val="28"/>
          <w:lang w:eastAsia="ru-RU"/>
        </w:rPr>
        <w:t xml:space="preserve">                                              </w:t>
      </w:r>
      <w:r>
        <w:rPr>
          <w:rFonts w:eastAsia="Times New Roman" w:ascii="Times New Roman" w:hAnsi="Times New Roman"/>
          <w:sz w:val="28"/>
          <w:szCs w:val="28"/>
          <w:lang w:eastAsia="ru-RU"/>
        </w:rPr>
        <w:t>Одеса – 202</w:t>
      </w:r>
      <w:r>
        <w:rPr>
          <w:rFonts w:eastAsia="Times New Roman" w:ascii="Times New Roman" w:hAnsi="Times New Roman"/>
          <w:sz w:val="28"/>
          <w:szCs w:val="28"/>
          <w:lang w:val="uk-UA" w:eastAsia="ru-RU"/>
        </w:rPr>
        <w:t>1</w:t>
      </w:r>
    </w:p>
    <w:p>
      <w:pPr>
        <w:pStyle w:val="Normal"/>
        <w:suppressLineNumbers/>
        <w:spacing w:lineRule="auto" w:line="360" w:before="0" w:after="0"/>
        <w:jc w:val="center"/>
        <w:rPr>
          <w:rFonts w:ascii="Times New Roman" w:hAnsi="Times New Roman" w:eastAsia="Times New Roman" w:cs="Times New Roman"/>
          <w:b/>
          <w:b/>
          <w:sz w:val="28"/>
          <w:szCs w:val="28"/>
          <w:lang w:val="uk-UA" w:eastAsia="ru-RU"/>
        </w:rPr>
      </w:pPr>
      <w:r>
        <mc:AlternateContent>
          <mc:Choice Requires="wps">
            <w:drawing>
              <wp:anchor behindDoc="0" distT="0" distB="0" distL="114300" distR="114300" simplePos="0" locked="0" layoutInCell="0" allowOverlap="1" relativeHeight="2">
                <wp:simplePos x="0" y="0"/>
                <wp:positionH relativeFrom="column">
                  <wp:posOffset>6128385</wp:posOffset>
                </wp:positionH>
                <wp:positionV relativeFrom="paragraph">
                  <wp:posOffset>-487680</wp:posOffset>
                </wp:positionV>
                <wp:extent cx="273685" cy="273685"/>
                <wp:effectExtent l="0" t="0" r="0" b="0"/>
                <wp:wrapNone/>
                <wp:docPr id="1" name="Прямоугольник 10"/>
                <a:graphic xmlns:a="http://schemas.openxmlformats.org/drawingml/2006/main">
                  <a:graphicData uri="http://schemas.microsoft.com/office/word/2010/wordprocessingShape">
                    <wps:wsp>
                      <wps:cNvSpPr/>
                      <wps:nvSpPr>
                        <wps:cNvPr id="0" name="Rectangle 1"/>
                        <wps:cNvSpPr/>
                      </wps:nvSpPr>
                      <wps:spPr>
                        <a:xfrm>
                          <a:off x="0" y="0"/>
                          <a:ext cx="272880" cy="272880"/>
                        </a:xfrm>
                        <a:prstGeom prst="rect">
                          <a:avLst/>
                        </a:prstGeom>
                        <a:solidFill>
                          <a:srgbClr val="ffffff"/>
                        </a:solidFill>
                        <a:ln w="12600">
                          <a:solidFill>
                            <a:srgbClr val="ffffff"/>
                          </a:solidFill>
                          <a:round/>
                        </a:ln>
                      </wps:spPr>
                      <wps:bodyPr/>
                    </wps:wsp>
                  </a:graphicData>
                </a:graphic>
              </wp:anchor>
            </w:drawing>
          </mc:Choice>
          <mc:Fallback>
            <w:pict>
              <v:rect id="shape_0" ID="Прямоугольник 10" fillcolor="white" stroked="t" style="position:absolute;margin-left:482.55pt;margin-top:-38.4pt;width:21.45pt;height:21.45pt;v-text-anchor:middle">
                <w10:wrap type="none"/>
                <v:fill o:detectmouseclick="t" type="solid" color2="black"/>
                <v:stroke color="white" weight="12600" joinstyle="round" endcap="flat"/>
              </v:rect>
            </w:pict>
          </mc:Fallback>
        </mc:AlternateContent>
      </w:r>
      <w:r>
        <w:rPr>
          <w:rFonts w:eastAsia="Times New Roman" w:cs="Times New Roman" w:ascii="Times New Roman" w:hAnsi="Times New Roman"/>
          <w:b/>
          <w:sz w:val="28"/>
          <w:szCs w:val="28"/>
          <w:lang w:val="uk-UA" w:eastAsia="ru-RU"/>
        </w:rPr>
        <w:t>З</w:t>
      </w:r>
      <w:r>
        <w:rPr>
          <w:rFonts w:eastAsia="Times New Roman" w:cs="Times New Roman" w:ascii="Times New Roman" w:hAnsi="Times New Roman"/>
          <w:b/>
          <w:sz w:val="28"/>
          <w:szCs w:val="28"/>
          <w:lang w:val="uk-UA" w:eastAsia="ru-RU"/>
        </w:rPr>
        <w:t>МІСТ</w:t>
      </w:r>
    </w:p>
    <w:p>
      <w:pPr>
        <w:pStyle w:val="Normal"/>
        <w:spacing w:lineRule="auto" w:line="360" w:before="0" w:after="0"/>
        <w:jc w:val="both"/>
        <w:rPr>
          <w:rFonts w:ascii="Times New Roman" w:hAnsi="Times New Roman" w:eastAsia="Times New Roman" w:cs="Times New Roman"/>
          <w:b/>
          <w:b/>
          <w:sz w:val="28"/>
          <w:szCs w:val="28"/>
          <w:lang w:val="uk-UA" w:eastAsia="ru-RU"/>
        </w:rPr>
      </w:pPr>
      <w:r>
        <w:rPr>
          <w:rFonts w:eastAsia="Times New Roman" w:cs="Times New Roman" w:ascii="Times New Roman" w:hAnsi="Times New Roman"/>
          <w:b/>
          <w:sz w:val="28"/>
          <w:szCs w:val="28"/>
          <w:lang w:val="uk-UA" w:eastAsia="ru-RU"/>
        </w:rPr>
        <w:tab/>
      </w:r>
    </w:p>
    <w:p>
      <w:pPr>
        <w:pStyle w:val="Normal"/>
        <w:spacing w:lineRule="auto" w:line="360" w:before="0" w:after="0"/>
        <w:jc w:val="both"/>
        <w:rPr>
          <w:rFonts w:ascii="Times New Roman" w:hAnsi="Times New Roman" w:eastAsia="Times New Roman" w:cs="Times New Roman"/>
          <w:b/>
          <w:b/>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uk-UA" w:eastAsia="ru-RU"/>
        </w:rPr>
        <w:t>Стор.</w:t>
      </w:r>
    </w:p>
    <w:tbl>
      <w:tblPr>
        <w:tblW w:w="17794"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8897"/>
        <w:gridCol w:w="8896"/>
      </w:tblGrid>
      <w:tr>
        <w:trPr>
          <w:trHeight w:val="573" w:hRule="atLeast"/>
        </w:trPr>
        <w:tc>
          <w:tcPr>
            <w:tcW w:w="8897" w:type="dxa"/>
            <w:tcBorders/>
          </w:tcPr>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ВСТУП………………………………….…………………………………….</w:t>
            </w:r>
          </w:p>
        </w:tc>
        <w:tc>
          <w:tcPr>
            <w:tcW w:w="8896" w:type="dxa"/>
            <w:tcBorders/>
          </w:tcPr>
          <w:p>
            <w:pPr>
              <w:pStyle w:val="Normal"/>
              <w:widowControl w:val="false"/>
              <w:spacing w:lineRule="auto" w:line="360" w:before="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3</w:t>
            </w:r>
          </w:p>
        </w:tc>
      </w:tr>
      <w:tr>
        <w:trPr/>
        <w:tc>
          <w:tcPr>
            <w:tcW w:w="8897" w:type="dxa"/>
            <w:tcBorders/>
          </w:tcPr>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РОЗДІЛ 1 </w:t>
            </w:r>
            <w:r>
              <w:rPr>
                <w:rFonts w:eastAsia="Times New Roman" w:cs="Times New Roman" w:ascii="Times New Roman" w:hAnsi="Times New Roman"/>
                <w:color w:val="000000"/>
                <w:sz w:val="28"/>
                <w:szCs w:val="28"/>
                <w:lang w:val="uk-UA" w:eastAsia="ru-RU"/>
              </w:rPr>
              <w:t xml:space="preserve"> ТЕОРЕТИЧНІ ОСНОВИ </w:t>
            </w:r>
            <w:bookmarkStart w:id="0" w:name="_Hlk86118768"/>
            <w:r>
              <w:rPr>
                <w:rFonts w:eastAsia="Times New Roman" w:cs="Times New Roman" w:ascii="Times New Roman" w:hAnsi="Times New Roman"/>
                <w:color w:val="000000"/>
                <w:sz w:val="28"/>
                <w:szCs w:val="28"/>
                <w:lang w:val="uk-UA" w:eastAsia="ru-RU"/>
              </w:rPr>
              <w:t>ПОВЕДІНКОВИХ ФІНАНСІВ</w:t>
            </w:r>
            <w:bookmarkEnd w:id="0"/>
            <w:r>
              <w:rPr>
                <w:rFonts w:eastAsia="Times New Roman" w:cs="Times New Roman" w:ascii="Times New Roman" w:hAnsi="Times New Roman"/>
                <w:color w:val="000000"/>
                <w:sz w:val="28"/>
                <w:szCs w:val="28"/>
                <w:lang w:val="uk-UA" w:eastAsia="ru-RU"/>
              </w:rPr>
              <w:t>..….</w:t>
            </w:r>
            <w:r>
              <w:rPr>
                <w:rFonts w:eastAsia="Times New Roman" w:cs="Times New Roman" w:ascii="Times New Roman" w:hAnsi="Times New Roman"/>
                <w:sz w:val="28"/>
                <w:szCs w:val="28"/>
                <w:lang w:val="uk-UA" w:eastAsia="ru-RU"/>
              </w:rPr>
              <w:t>.</w:t>
            </w:r>
          </w:p>
        </w:tc>
        <w:tc>
          <w:tcPr>
            <w:tcW w:w="8896" w:type="dxa"/>
            <w:tcBorders/>
          </w:tcPr>
          <w:p>
            <w:pPr>
              <w:pStyle w:val="Normal"/>
              <w:widowControl w:val="false"/>
              <w:spacing w:lineRule="auto" w:line="360" w:before="0" w:after="0"/>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en-US" w:eastAsia="ru-RU"/>
              </w:rPr>
              <w:t>6</w:t>
            </w:r>
          </w:p>
        </w:tc>
      </w:tr>
      <w:tr>
        <w:trPr>
          <w:trHeight w:val="748" w:hRule="atLeast"/>
        </w:trPr>
        <w:tc>
          <w:tcPr>
            <w:tcW w:w="8897" w:type="dxa"/>
            <w:tcBorders/>
          </w:tcPr>
          <w:p>
            <w:pPr>
              <w:pStyle w:val="ListParagraph"/>
              <w:widowControl w:val="false"/>
              <w:numPr>
                <w:ilvl w:val="1"/>
                <w:numId w:val="1"/>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Концептуальні основи поведінкових фінансів……………………...</w:t>
            </w:r>
          </w:p>
          <w:p>
            <w:pPr>
              <w:pStyle w:val="ListParagraph"/>
              <w:widowControl w:val="false"/>
              <w:numPr>
                <w:ilvl w:val="1"/>
                <w:numId w:val="1"/>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Ключові компоненти поведінкових фінансів та базові упередження…………………………………………………………………</w:t>
            </w:r>
          </w:p>
          <w:p>
            <w:pPr>
              <w:pStyle w:val="ListParagraph"/>
              <w:widowControl w:val="false"/>
              <w:numPr>
                <w:ilvl w:val="1"/>
                <w:numId w:val="1"/>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Вплив Світової Фінансової кризи на розвиток поведінкових фінансів………………………………………………………………………</w:t>
            </w:r>
          </w:p>
          <w:p>
            <w:pPr>
              <w:pStyle w:val="Normal"/>
              <w:widowControl w:val="false"/>
              <w:spacing w:lineRule="auto" w:line="360" w:before="0" w:after="0"/>
              <w:ind w:right="57" w:hanging="0"/>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lang w:val="uk-UA" w:eastAsia="ru-RU"/>
              </w:rPr>
              <w:t xml:space="preserve">РОЗДІЛ 2  </w:t>
            </w:r>
            <w:r>
              <w:rPr>
                <w:rFonts w:eastAsia="Times New Roman" w:cs="Times New Roman" w:ascii="Times New Roman" w:hAnsi="Times New Roman"/>
                <w:sz w:val="28"/>
                <w:szCs w:val="28"/>
                <w:lang w:eastAsia="ru-RU"/>
              </w:rPr>
              <w:t>ІМПЛЕМЕНТАЦІЯ ЗАСАД ПОВЕДІНКОВИХ ФІНАНСІВ НА ФІНАНСОВОМУ РИНКУ</w:t>
            </w:r>
            <w:r>
              <w:rPr>
                <w:rFonts w:eastAsia="Times New Roman" w:cs="Times New Roman" w:ascii="Times New Roman" w:hAnsi="Times New Roman"/>
                <w:sz w:val="28"/>
                <w:szCs w:val="28"/>
                <w:shd w:fill="FFFFFF" w:val="clear"/>
                <w:lang w:val="uk-UA" w:eastAsia="ru-RU"/>
              </w:rPr>
              <w:t>……………………………………………...</w:t>
            </w:r>
          </w:p>
        </w:tc>
        <w:tc>
          <w:tcPr>
            <w:tcW w:w="8896" w:type="dxa"/>
            <w:tcBorders/>
          </w:tcPr>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en-US" w:eastAsia="ru-RU"/>
              </w:rPr>
              <w:t>6</w:t>
            </w:r>
          </w:p>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15</w:t>
            </w:r>
          </w:p>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uk-UA" w:eastAsia="ru-RU"/>
              </w:rPr>
              <w:t>2</w:t>
            </w:r>
            <w:r>
              <w:rPr>
                <w:rFonts w:eastAsia="Times New Roman" w:cs="Times New Roman" w:ascii="Times New Roman" w:hAnsi="Times New Roman"/>
                <w:sz w:val="28"/>
                <w:szCs w:val="28"/>
                <w:lang w:val="en-US" w:eastAsia="ru-RU"/>
              </w:rPr>
              <w:t>2</w:t>
            </w:r>
          </w:p>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ListParagraph"/>
              <w:widowControl w:val="false"/>
              <w:spacing w:lineRule="auto" w:line="360" w:before="0" w:after="0"/>
              <w:ind w:left="0" w:right="57" w:hanging="0"/>
              <w:contextualSpacing/>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uk-UA" w:eastAsia="ru-RU"/>
              </w:rPr>
              <w:t>2</w:t>
            </w:r>
            <w:r>
              <w:rPr>
                <w:rFonts w:eastAsia="Times New Roman" w:cs="Times New Roman" w:ascii="Times New Roman" w:hAnsi="Times New Roman"/>
                <w:sz w:val="28"/>
                <w:szCs w:val="28"/>
                <w:lang w:val="en-US" w:eastAsia="ru-RU"/>
              </w:rPr>
              <w:t>6</w:t>
            </w:r>
          </w:p>
        </w:tc>
      </w:tr>
      <w:tr>
        <w:trPr/>
        <w:tc>
          <w:tcPr>
            <w:tcW w:w="8897" w:type="dxa"/>
            <w:tcBorders/>
          </w:tcPr>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2.1. </w:t>
            </w:r>
            <w:r>
              <w:rPr>
                <w:rFonts w:eastAsia="Times New Roman" w:cs="Times New Roman" w:ascii="Times New Roman" w:hAnsi="Times New Roman"/>
                <w:sz w:val="28"/>
                <w:szCs w:val="28"/>
                <w:shd w:fill="FFFFFF" w:val="clear"/>
                <w:lang w:val="uk-UA" w:eastAsia="ru-RU"/>
              </w:rPr>
              <w:t>Поведінкові фінанси у FinTech</w:t>
            </w:r>
            <w:r>
              <w:rPr>
                <w:rFonts w:eastAsia="Times New Roman" w:cs="Times New Roman" w:ascii="Times New Roman" w:hAnsi="Times New Roman"/>
                <w:sz w:val="28"/>
                <w:szCs w:val="28"/>
                <w:lang w:val="uk-UA" w:eastAsia="ru-RU"/>
              </w:rPr>
              <w:t>................................................................</w:t>
            </w:r>
          </w:p>
        </w:tc>
        <w:tc>
          <w:tcPr>
            <w:tcW w:w="8896" w:type="dxa"/>
            <w:tcBorders/>
          </w:tcPr>
          <w:p>
            <w:pPr>
              <w:pStyle w:val="Normal"/>
              <w:widowControl w:val="false"/>
              <w:spacing w:lineRule="auto" w:line="360" w:before="0" w:after="0"/>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uk-UA" w:eastAsia="ru-RU"/>
              </w:rPr>
              <w:t>2</w:t>
            </w:r>
            <w:r>
              <w:rPr>
                <w:rFonts w:eastAsia="Times New Roman" w:cs="Times New Roman" w:ascii="Times New Roman" w:hAnsi="Times New Roman"/>
                <w:sz w:val="28"/>
                <w:szCs w:val="28"/>
                <w:lang w:val="en-US" w:eastAsia="ru-RU"/>
              </w:rPr>
              <w:t>6</w:t>
            </w:r>
          </w:p>
        </w:tc>
      </w:tr>
      <w:tr>
        <w:trPr>
          <w:trHeight w:val="393" w:hRule="atLeast"/>
        </w:trPr>
        <w:tc>
          <w:tcPr>
            <w:tcW w:w="8897" w:type="dxa"/>
            <w:tcBorders/>
          </w:tcPr>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shd w:fill="FFFFFF" w:val="clear"/>
                <w:lang w:val="uk-UA" w:eastAsia="ru-RU"/>
              </w:rPr>
              <w:t>2.2. Поведінкові фінанси у</w:t>
            </w:r>
            <w:r>
              <w:rPr>
                <w:rFonts w:eastAsia="Times New Roman" w:cs="Times New Roman" w:ascii="Times New Roman" w:hAnsi="Times New Roman"/>
                <w:sz w:val="28"/>
                <w:szCs w:val="28"/>
                <w:lang w:val="uk-UA" w:eastAsia="ru-RU"/>
              </w:rPr>
              <w:t xml:space="preserve"> банківській сфері ………………………..…....</w:t>
            </w:r>
          </w:p>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tc>
        <w:tc>
          <w:tcPr>
            <w:tcW w:w="8896" w:type="dxa"/>
            <w:tcBorders/>
          </w:tcPr>
          <w:p>
            <w:pPr>
              <w:pStyle w:val="Normal"/>
              <w:widowControl w:val="false"/>
              <w:spacing w:lineRule="auto" w:line="360" w:before="0" w:after="0"/>
              <w:rPr>
                <w:rFonts w:ascii="Times New Roman" w:hAnsi="Times New Roman" w:eastAsia="Times New Roman" w:cs="Times New Roman"/>
                <w:sz w:val="28"/>
                <w:szCs w:val="28"/>
                <w:shd w:fill="FFFFFF" w:val="clear"/>
                <w:lang w:val="en-US" w:eastAsia="ru-RU"/>
              </w:rPr>
            </w:pPr>
            <w:r>
              <w:rPr>
                <w:rFonts w:eastAsia="Times New Roman" w:cs="Times New Roman" w:ascii="Times New Roman" w:hAnsi="Times New Roman"/>
                <w:sz w:val="28"/>
                <w:szCs w:val="28"/>
                <w:shd w:fill="FFFFFF" w:val="clear"/>
                <w:lang w:val="uk-UA" w:eastAsia="ru-RU"/>
              </w:rPr>
              <w:t>3</w:t>
            </w:r>
            <w:r>
              <w:rPr>
                <w:rFonts w:eastAsia="Times New Roman" w:cs="Times New Roman" w:ascii="Times New Roman" w:hAnsi="Times New Roman"/>
                <w:sz w:val="28"/>
                <w:szCs w:val="28"/>
                <w:shd w:fill="FFFFFF" w:val="clear"/>
                <w:lang w:val="en-US" w:eastAsia="ru-RU"/>
              </w:rPr>
              <w:t>3</w:t>
            </w:r>
          </w:p>
        </w:tc>
      </w:tr>
      <w:tr>
        <w:trPr>
          <w:trHeight w:val="187" w:hRule="atLeast"/>
        </w:trPr>
        <w:tc>
          <w:tcPr>
            <w:tcW w:w="8897" w:type="dxa"/>
            <w:tcBorders/>
          </w:tcPr>
          <w:p>
            <w:pPr>
              <w:pStyle w:val="Normal"/>
              <w:widowControl w:val="false"/>
              <w:spacing w:lineRule="auto" w:line="360" w:before="0" w:after="0"/>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2.3. Поведінкові фінанси на світовому фондовому ринку………………...</w:t>
            </w:r>
          </w:p>
          <w:p>
            <w:pPr>
              <w:pStyle w:val="Normal"/>
              <w:widowControl w:val="false"/>
              <w:spacing w:lineRule="auto" w:line="360" w:before="0" w:after="0"/>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lang w:val="uk-UA" w:eastAsia="ru-RU"/>
              </w:rPr>
              <w:t xml:space="preserve">РОЗДІЛ 3 </w:t>
            </w:r>
            <w:r>
              <w:rPr>
                <w:rFonts w:eastAsia="Times New Roman" w:cs="Times New Roman" w:ascii="Times New Roman" w:hAnsi="Times New Roman"/>
                <w:sz w:val="28"/>
                <w:szCs w:val="28"/>
                <w:shd w:fill="FFFFFF" w:val="clear"/>
                <w:lang w:val="uk-UA" w:eastAsia="ru-RU"/>
              </w:rPr>
              <w:t>РОЗВИТОК ПОВЕДІНКОВИХ ФІНАНСІВ: СВІТОВИЙ ДОСВІД ТА РЕАЛІЇ УКРАЇНИ……………………..………………............</w:t>
            </w:r>
          </w:p>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shd w:fill="FFFFFF" w:val="clear"/>
                <w:lang w:val="uk-UA" w:eastAsia="ru-RU"/>
              </w:rPr>
              <w:t xml:space="preserve">3.1. Моделювання впливу розвитку поведінкових фінансів на ефективність фінансового ринку </w:t>
            </w:r>
            <w:r>
              <w:rPr>
                <w:rFonts w:eastAsia="Times New Roman" w:cs="Times New Roman" w:ascii="Times New Roman" w:hAnsi="Times New Roman"/>
                <w:sz w:val="28"/>
                <w:szCs w:val="28"/>
                <w:lang w:val="uk-UA" w:eastAsia="ru-RU"/>
              </w:rPr>
              <w:t>.………………………………….............</w:t>
            </w:r>
          </w:p>
          <w:p>
            <w:pPr>
              <w:pStyle w:val="Normal"/>
              <w:widowControl w:val="false"/>
              <w:spacing w:lineRule="auto" w:line="360" w:before="0" w:after="0"/>
              <w:jc w:val="both"/>
              <w:rPr>
                <w:rFonts w:ascii="Times New Roman" w:hAnsi="Times New Roman" w:eastAsia="Times New Roman" w:cs="Times New Roman"/>
                <w:iCs/>
                <w:sz w:val="28"/>
                <w:szCs w:val="28"/>
                <w:shd w:fill="FFFFFF" w:val="clear"/>
                <w:lang w:val="uk-UA" w:eastAsia="ru-RU"/>
              </w:rPr>
            </w:pPr>
            <w:r>
              <w:rPr>
                <w:rFonts w:eastAsia="Times New Roman" w:cs="Times New Roman" w:ascii="Times New Roman" w:hAnsi="Times New Roman"/>
                <w:iCs/>
                <w:sz w:val="28"/>
                <w:szCs w:val="28"/>
                <w:shd w:fill="FFFFFF" w:val="clear"/>
                <w:lang w:val="uk-UA" w:eastAsia="ru-RU"/>
              </w:rPr>
              <w:t xml:space="preserve">3.2. Поведінкові фінанси в Україні </w:t>
            </w:r>
            <w:r>
              <w:rPr>
                <w:rFonts w:eastAsia="Times New Roman" w:cs="Times New Roman" w:ascii="Times New Roman" w:hAnsi="Times New Roman"/>
                <w:sz w:val="28"/>
                <w:szCs w:val="28"/>
                <w:lang w:val="uk-UA" w:eastAsia="ru-RU"/>
              </w:rPr>
              <w:t>…………………………………...........</w:t>
            </w:r>
          </w:p>
        </w:tc>
        <w:tc>
          <w:tcPr>
            <w:tcW w:w="8896" w:type="dxa"/>
            <w:tcBorders/>
          </w:tcPr>
          <w:p>
            <w:pPr>
              <w:pStyle w:val="Normal"/>
              <w:widowControl w:val="false"/>
              <w:spacing w:lineRule="auto" w:line="360" w:before="0" w:after="0"/>
              <w:rPr>
                <w:rFonts w:ascii="Times New Roman" w:hAnsi="Times New Roman" w:eastAsia="Times New Roman" w:cs="Times New Roman"/>
                <w:sz w:val="28"/>
                <w:szCs w:val="28"/>
                <w:shd w:fill="FFFFFF" w:val="clear"/>
                <w:lang w:val="en-US" w:eastAsia="ru-RU"/>
              </w:rPr>
            </w:pPr>
            <w:r>
              <w:rPr>
                <w:rFonts w:eastAsia="Times New Roman" w:cs="Times New Roman" w:ascii="Times New Roman" w:hAnsi="Times New Roman"/>
                <w:sz w:val="28"/>
                <w:szCs w:val="28"/>
                <w:shd w:fill="FFFFFF" w:val="clear"/>
                <w:lang w:val="uk-UA" w:eastAsia="ru-RU"/>
              </w:rPr>
              <w:t>3</w:t>
            </w:r>
            <w:r>
              <w:rPr>
                <w:rFonts w:eastAsia="Times New Roman" w:cs="Times New Roman" w:ascii="Times New Roman" w:hAnsi="Times New Roman"/>
                <w:sz w:val="28"/>
                <w:szCs w:val="28"/>
                <w:shd w:fill="FFFFFF" w:val="clear"/>
                <w:lang w:val="en-US" w:eastAsia="ru-RU"/>
              </w:rPr>
              <w:t>8</w:t>
            </w:r>
          </w:p>
          <w:p>
            <w:pPr>
              <w:pStyle w:val="Normal"/>
              <w:widowControl w:val="false"/>
              <w:spacing w:lineRule="auto" w:line="360" w:before="0" w:after="0"/>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r>
          </w:p>
          <w:p>
            <w:pPr>
              <w:pStyle w:val="Normal"/>
              <w:widowControl w:val="false"/>
              <w:spacing w:lineRule="auto" w:line="360" w:before="0" w:after="0"/>
              <w:rPr>
                <w:rFonts w:ascii="Times New Roman" w:hAnsi="Times New Roman" w:eastAsia="Times New Roman" w:cs="Times New Roman"/>
                <w:sz w:val="28"/>
                <w:szCs w:val="28"/>
                <w:shd w:fill="FFFFFF" w:val="clear"/>
                <w:lang w:val="en-US" w:eastAsia="ru-RU"/>
              </w:rPr>
            </w:pPr>
            <w:r>
              <w:rPr>
                <w:rFonts w:eastAsia="Times New Roman" w:cs="Times New Roman" w:ascii="Times New Roman" w:hAnsi="Times New Roman"/>
                <w:sz w:val="28"/>
                <w:szCs w:val="28"/>
                <w:shd w:fill="FFFFFF" w:val="clear"/>
                <w:lang w:val="uk-UA" w:eastAsia="ru-RU"/>
              </w:rPr>
              <w:t>4</w:t>
            </w:r>
            <w:r>
              <w:rPr>
                <w:rFonts w:eastAsia="Times New Roman" w:cs="Times New Roman" w:ascii="Times New Roman" w:hAnsi="Times New Roman"/>
                <w:sz w:val="28"/>
                <w:szCs w:val="28"/>
                <w:shd w:fill="FFFFFF" w:val="clear"/>
                <w:lang w:val="en-US" w:eastAsia="ru-RU"/>
              </w:rPr>
              <w:t>2</w:t>
            </w:r>
          </w:p>
          <w:p>
            <w:pPr>
              <w:pStyle w:val="Normal"/>
              <w:widowControl w:val="false"/>
              <w:spacing w:lineRule="auto" w:line="360" w:before="0" w:after="0"/>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r>
          </w:p>
          <w:p>
            <w:pPr>
              <w:pStyle w:val="Normal"/>
              <w:widowControl w:val="false"/>
              <w:spacing w:lineRule="auto" w:line="360" w:before="0" w:after="0"/>
              <w:rPr>
                <w:rFonts w:ascii="Times New Roman" w:hAnsi="Times New Roman" w:eastAsia="Times New Roman" w:cs="Times New Roman"/>
                <w:sz w:val="28"/>
                <w:szCs w:val="28"/>
                <w:shd w:fill="FFFFFF" w:val="clear"/>
                <w:lang w:val="en-US" w:eastAsia="ru-RU"/>
              </w:rPr>
            </w:pPr>
            <w:r>
              <w:rPr>
                <w:rFonts w:eastAsia="Times New Roman" w:cs="Times New Roman" w:ascii="Times New Roman" w:hAnsi="Times New Roman"/>
                <w:sz w:val="28"/>
                <w:szCs w:val="28"/>
                <w:shd w:fill="FFFFFF" w:val="clear"/>
                <w:lang w:val="uk-UA" w:eastAsia="ru-RU"/>
              </w:rPr>
              <w:t>4</w:t>
            </w:r>
            <w:r>
              <w:rPr>
                <w:rFonts w:eastAsia="Times New Roman" w:cs="Times New Roman" w:ascii="Times New Roman" w:hAnsi="Times New Roman"/>
                <w:sz w:val="28"/>
                <w:szCs w:val="28"/>
                <w:shd w:fill="FFFFFF" w:val="clear"/>
                <w:lang w:val="en-US" w:eastAsia="ru-RU"/>
              </w:rPr>
              <w:t>2</w:t>
            </w:r>
          </w:p>
          <w:p>
            <w:pPr>
              <w:pStyle w:val="Normal"/>
              <w:widowControl w:val="false"/>
              <w:spacing w:lineRule="auto" w:line="360" w:before="0" w:after="0"/>
              <w:rPr>
                <w:rFonts w:ascii="Times New Roman" w:hAnsi="Times New Roman" w:eastAsia="Times New Roman" w:cs="Times New Roman"/>
                <w:sz w:val="28"/>
                <w:szCs w:val="28"/>
                <w:shd w:fill="FFFFFF" w:val="clear"/>
                <w:lang w:val="en-US" w:eastAsia="ru-RU"/>
              </w:rPr>
            </w:pPr>
            <w:r>
              <w:rPr>
                <w:rFonts w:eastAsia="Times New Roman" w:cs="Times New Roman" w:ascii="Times New Roman" w:hAnsi="Times New Roman"/>
                <w:sz w:val="28"/>
                <w:szCs w:val="28"/>
                <w:shd w:fill="FFFFFF" w:val="clear"/>
                <w:lang w:val="uk-UA" w:eastAsia="ru-RU"/>
              </w:rPr>
              <w:t>5</w:t>
            </w:r>
            <w:r>
              <w:rPr>
                <w:rFonts w:eastAsia="Times New Roman" w:cs="Times New Roman" w:ascii="Times New Roman" w:hAnsi="Times New Roman"/>
                <w:sz w:val="28"/>
                <w:szCs w:val="28"/>
                <w:shd w:fill="FFFFFF" w:val="clear"/>
                <w:lang w:val="en-US" w:eastAsia="ru-RU"/>
              </w:rPr>
              <w:t>3</w:t>
            </w:r>
          </w:p>
        </w:tc>
      </w:tr>
      <w:tr>
        <w:trPr>
          <w:trHeight w:val="627" w:hRule="atLeast"/>
        </w:trPr>
        <w:tc>
          <w:tcPr>
            <w:tcW w:w="8897" w:type="dxa"/>
            <w:tcBorders/>
          </w:tcPr>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ВИСНОВКИ………………………………………………………………….</w:t>
            </w:r>
          </w:p>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СПИСОК ВИКОРИСТАНИХ ДЖЕРЕЛ……………………………………</w:t>
            </w:r>
          </w:p>
          <w:p>
            <w:pPr>
              <w:pStyle w:val="Normal"/>
              <w:widowControl w:val="false"/>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ДОДАТКИ……………………………………………………………………</w:t>
            </w:r>
          </w:p>
        </w:tc>
        <w:tc>
          <w:tcPr>
            <w:tcW w:w="8896" w:type="dxa"/>
            <w:tcBorders/>
          </w:tcPr>
          <w:p>
            <w:pPr>
              <w:pStyle w:val="Normal"/>
              <w:widowControl w:val="false"/>
              <w:spacing w:lineRule="auto" w:line="360" w:before="0" w:after="0"/>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uk-UA" w:eastAsia="ru-RU"/>
              </w:rPr>
              <w:t>5</w:t>
            </w:r>
            <w:r>
              <w:rPr>
                <w:rFonts w:eastAsia="Times New Roman" w:cs="Times New Roman" w:ascii="Times New Roman" w:hAnsi="Times New Roman"/>
                <w:sz w:val="28"/>
                <w:szCs w:val="28"/>
                <w:lang w:val="en-US" w:eastAsia="ru-RU"/>
              </w:rPr>
              <w:t>8</w:t>
            </w:r>
          </w:p>
          <w:p>
            <w:pPr>
              <w:pStyle w:val="Normal"/>
              <w:widowControl w:val="false"/>
              <w:spacing w:lineRule="auto" w:line="360" w:before="0" w:after="0"/>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uk-UA" w:eastAsia="ru-RU"/>
              </w:rPr>
              <w:t>6</w:t>
            </w:r>
            <w:r>
              <w:rPr>
                <w:rFonts w:eastAsia="Times New Roman" w:cs="Times New Roman" w:ascii="Times New Roman" w:hAnsi="Times New Roman"/>
                <w:sz w:val="28"/>
                <w:szCs w:val="28"/>
                <w:lang w:val="en-US" w:eastAsia="ru-RU"/>
              </w:rPr>
              <w:t>2</w:t>
            </w:r>
          </w:p>
          <w:p>
            <w:pPr>
              <w:pStyle w:val="Normal"/>
              <w:widowControl w:val="false"/>
              <w:spacing w:lineRule="auto" w:line="360" w:before="0" w:after="0"/>
              <w:rPr>
                <w:rFonts w:ascii="Times New Roman" w:hAnsi="Times New Roman" w:eastAsia="Times New Roman" w:cs="Times New Roman"/>
                <w:sz w:val="28"/>
                <w:szCs w:val="28"/>
                <w:lang w:val="en-US" w:eastAsia="ru-RU"/>
              </w:rPr>
            </w:pPr>
            <w:r>
              <w:rPr>
                <w:rFonts w:eastAsia="Times New Roman" w:cs="Times New Roman" w:ascii="Times New Roman" w:hAnsi="Times New Roman"/>
                <w:sz w:val="28"/>
                <w:szCs w:val="28"/>
                <w:lang w:val="en-US" w:eastAsia="ru-RU"/>
              </w:rPr>
              <w:t>70</w:t>
            </w:r>
          </w:p>
        </w:tc>
      </w:tr>
    </w:tbl>
    <w:p>
      <w:pPr>
        <w:pStyle w:val="Normal"/>
        <w:spacing w:lineRule="auto" w:line="360" w:before="0" w:after="0"/>
        <w:jc w:val="center"/>
        <w:rPr>
          <w:rFonts w:ascii="Times New Roman" w:hAnsi="Times New Roman" w:cs="Times New Roman"/>
          <w:bCs/>
          <w:sz w:val="28"/>
          <w:szCs w:val="28"/>
          <w:lang w:val="uk-UA"/>
        </w:rPr>
      </w:pPr>
      <w:r>
        <w:rPr>
          <w:rFonts w:cs="Times New Roman" w:ascii="Times New Roman" w:hAnsi="Times New Roman"/>
          <w:bCs/>
          <w:sz w:val="28"/>
          <w:szCs w:val="28"/>
          <w:lang w:val="uk-UA"/>
        </w:rPr>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ВСТУП</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b/>
          <w:sz w:val="28"/>
          <w:szCs w:val="28"/>
          <w:lang w:val="uk-UA"/>
        </w:rPr>
        <w:tab/>
      </w:r>
      <w:r>
        <w:rPr>
          <w:rFonts w:cs="Times New Roman" w:ascii="Times New Roman" w:hAnsi="Times New Roman"/>
          <w:sz w:val="28"/>
          <w:szCs w:val="28"/>
          <w:lang w:val="uk-UA"/>
        </w:rPr>
        <w:t xml:space="preserve">Поведінкова економіка є відносно новим напрямом економічної думки, що отримав значного розвитку з кінця минулого століття. До виникнення поведінкової економіки вважалося, що економічні агенти є раціональними та діють з міркувань максимізації своєї корисності, але згодом все більше було доказів, що люди ірраціональні. Моделі побудовані на припущенні про раціональність допускали все більше похибок у спробах пояснити економічні процеси. На фоні цього з’явилася потреба у вдосконаленні економічної теорії, яке би додало до економічних моделей елемент «людяності». Тоді науковці з різних галузей науки, когнітивної психології та нейробіології поєднали свої зусилля з економістами для створення нової течії економічної теорії – поведінкової економіки.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ab/>
        <w:t xml:space="preserve">Вже на базі поведінкової економіки було створено поведінкові фінанси, які у більшій мірі фокусуються на поведінці економічних суб’єктів у фінансових відносинах. Значного поштовху розвитку поведінкових фінансів надав ряд кризових явищ, що періодично трапляються у світовій економіці, особливо світова фінансова криза, причиною якої часто називають ірраціональну та часами неадекватну поведінку фінансових посередників. Фінансові агенти, як і усі люди, приймають рішення під впливом персональних упереджень та емоцій, які напряму мають вплив на якість прийнятих рішень. Ці рішення можуть бути продиктовані надмірною самовпевненістю інвестора, або бути прийнятті занадто швидко у результаті стану афекту або евристики. Паніка, яка також виступає яскравим прикладом поведінкового спотворення процесу прийняття рішення, сама по собі виступає наслідком стадного інстинкту, який зіграв велику роль у спричиненні світової фінансові кризи.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ab/>
        <w:t xml:space="preserve">Впливу упереджень піддаються абсолютно усі суб’єкти фінансових відносин, від простих користувачів фінансовими послугами до банківських робітників та вищого керівництва великих транснаціональних компаній. Тому з розвитком поведінкових фінансів створені ними знання все частіше використовуються у практичному полі всіма суб’єктами фінансового ринку з ціллю покращення фінансових послуг, що вони надають.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ab/>
        <w:t>У результаті розвитку світового господарства та глобалізації усі галузі економіки країни та навіть різних країн стали взаємозалежними. У структурі сучасної світової економіки значне значення має саме фінансовий сектор, він акумулює найбільшу кількість грошей, і більш того впливає не тільки на інші галузі економіки, а навіть і на розвиток національних економік. Так як фінансові агенти у значній мірі підпадають під вплив поведінкових упереджень важливо вивчати вплив настроїв інвесторів на важливі макроекономічні індикатори країни.</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b/>
          <w:sz w:val="28"/>
          <w:szCs w:val="28"/>
          <w:lang w:val="uk-UA"/>
        </w:rPr>
        <w:tab/>
      </w:r>
      <w:r>
        <w:rPr>
          <w:rFonts w:cs="Times New Roman" w:ascii="Times New Roman" w:hAnsi="Times New Roman"/>
          <w:b/>
          <w:bCs/>
          <w:sz w:val="28"/>
          <w:szCs w:val="28"/>
          <w:lang w:val="uk-UA"/>
        </w:rPr>
        <w:t>Мета роботи</w:t>
      </w:r>
      <w:r>
        <w:rPr>
          <w:rFonts w:cs="Times New Roman" w:ascii="Times New Roman" w:hAnsi="Times New Roman"/>
          <w:sz w:val="28"/>
          <w:szCs w:val="28"/>
          <w:lang w:val="uk-UA"/>
        </w:rPr>
        <w:t xml:space="preserve"> </w:t>
      </w:r>
      <w:r>
        <w:rPr>
          <w:rFonts w:eastAsia="Symbol" w:cs="Symbol" w:ascii="Symbol" w:hAnsi="Symbol"/>
          <w:sz w:val="28"/>
          <w:szCs w:val="28"/>
          <w:lang w:val="uk-UA"/>
        </w:rPr>
        <w:t></w:t>
      </w:r>
      <w:r>
        <w:rPr>
          <w:rFonts w:cs="Times New Roman" w:ascii="Times New Roman" w:hAnsi="Times New Roman"/>
          <w:sz w:val="28"/>
          <w:szCs w:val="28"/>
          <w:lang w:val="uk-UA"/>
        </w:rPr>
        <w:t xml:space="preserve"> на основі узагальнення теоретичних положень розвитку поведінкових фінансів та світового досвіду їх реалізації проаналізувати роль поведінкових фінансів у підвищенні ефективності фінансового ринку.</w:t>
      </w:r>
    </w:p>
    <w:p>
      <w:pPr>
        <w:pStyle w:val="Normal"/>
        <w:spacing w:lineRule="auto" w:line="360" w:before="0" w:after="0"/>
        <w:ind w:firstLine="708"/>
        <w:jc w:val="both"/>
        <w:rPr>
          <w:rFonts w:ascii="Times New Roman" w:hAnsi="Times New Roman" w:cs="Times New Roman"/>
          <w:sz w:val="28"/>
          <w:szCs w:val="28"/>
          <w:lang w:val="uk-UA"/>
        </w:rPr>
      </w:pPr>
      <w:bookmarkStart w:id="1" w:name="tw-target-text57"/>
      <w:bookmarkEnd w:id="1"/>
      <w:r>
        <w:rPr>
          <w:rFonts w:cs="Times New Roman" w:ascii="Times New Roman" w:hAnsi="Times New Roman"/>
          <w:sz w:val="28"/>
          <w:szCs w:val="28"/>
          <w:lang w:val="uk-UA"/>
        </w:rPr>
        <w:t xml:space="preserve">Відповідно до визначеної мети в роботі поставлені і вирішені наступні завдання: </w:t>
      </w:r>
    </w:p>
    <w:p>
      <w:pPr>
        <w:pStyle w:val="ListParagraph"/>
        <w:numPr>
          <w:ilvl w:val="0"/>
          <w:numId w:val="3"/>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проаналізувати історію розвитку поведінкових фінансів та визначити базові концепції та упередження, що лежать в основі;</w:t>
      </w:r>
    </w:p>
    <w:p>
      <w:pPr>
        <w:pStyle w:val="ListParagraph"/>
        <w:numPr>
          <w:ilvl w:val="0"/>
          <w:numId w:val="3"/>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охарактеризувати приклади використання знань з поведінкових фінансів у діяльності ключових суб’єктів фінансового ринку;</w:t>
      </w:r>
    </w:p>
    <w:p>
      <w:pPr>
        <w:pStyle w:val="ListParagraph"/>
        <w:numPr>
          <w:ilvl w:val="0"/>
          <w:numId w:val="3"/>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змоделювати вплив настроїв інвесторів на макроекономічні показники країни</w:t>
      </w:r>
    </w:p>
    <w:p>
      <w:pPr>
        <w:pStyle w:val="ListParagraph"/>
        <w:numPr>
          <w:ilvl w:val="0"/>
          <w:numId w:val="3"/>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оцінити та визначити поведінкові особливості та патерни фінансової поведінки населення України. </w:t>
      </w:r>
      <w:bookmarkStart w:id="2" w:name="tw-target-text84"/>
      <w:bookmarkEnd w:id="2"/>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Також був змодельований вплив настрою американських інвесторів представлений індексом </w:t>
      </w:r>
      <w:r>
        <w:rPr>
          <w:rFonts w:cs="Times New Roman" w:ascii="Times New Roman" w:hAnsi="Times New Roman"/>
          <w:sz w:val="28"/>
          <w:szCs w:val="28"/>
          <w:lang w:val="en-US"/>
        </w:rPr>
        <w:t>VIX</w:t>
      </w:r>
      <w:r>
        <w:rPr>
          <w:rFonts w:cs="Times New Roman" w:ascii="Times New Roman" w:hAnsi="Times New Roman"/>
          <w:sz w:val="28"/>
          <w:szCs w:val="28"/>
        </w:rPr>
        <w:t xml:space="preserve"> </w:t>
      </w:r>
      <w:r>
        <w:rPr>
          <w:rFonts w:cs="Times New Roman" w:ascii="Times New Roman" w:hAnsi="Times New Roman"/>
          <w:sz w:val="28"/>
          <w:szCs w:val="28"/>
          <w:lang w:val="uk-UA"/>
        </w:rPr>
        <w:t>на динаміку основних макроекономічних показників США.</w:t>
      </w:r>
    </w:p>
    <w:p>
      <w:pPr>
        <w:pStyle w:val="Normal"/>
        <w:spacing w:lineRule="auto" w:line="360" w:before="0" w:after="0"/>
        <w:ind w:firstLine="708"/>
        <w:jc w:val="both"/>
        <w:rPr>
          <w:rFonts w:ascii="Times New Roman" w:hAnsi="Times New Roman" w:cs="Times New Roman"/>
          <w:sz w:val="28"/>
          <w:szCs w:val="28"/>
          <w:lang w:val="uk-UA"/>
        </w:rPr>
      </w:pPr>
      <w:bookmarkStart w:id="3" w:name="tw-target-text85"/>
      <w:bookmarkEnd w:id="3"/>
      <w:r>
        <w:rPr>
          <w:rFonts w:cs="Times New Roman" w:ascii="Times New Roman" w:hAnsi="Times New Roman"/>
          <w:b/>
          <w:sz w:val="28"/>
          <w:szCs w:val="28"/>
          <w:lang w:val="uk-UA"/>
        </w:rPr>
        <w:t>Об'єктом дослідження</w:t>
      </w:r>
      <w:r>
        <w:rPr>
          <w:rFonts w:cs="Times New Roman" w:ascii="Times New Roman" w:hAnsi="Times New Roman"/>
          <w:sz w:val="28"/>
          <w:szCs w:val="28"/>
          <w:lang w:val="uk-UA"/>
        </w:rPr>
        <w:t xml:space="preserve"> є сфера поведінкових фінансів, їх досягнення та використання у практичній діяльності суб’єктів фінансового ринку. </w:t>
      </w:r>
    </w:p>
    <w:p>
      <w:pPr>
        <w:pStyle w:val="Normal"/>
        <w:spacing w:lineRule="auto" w:line="360" w:before="0" w:after="0"/>
        <w:ind w:firstLine="708"/>
        <w:jc w:val="both"/>
        <w:rPr>
          <w:rFonts w:ascii="Times New Roman" w:hAnsi="Times New Roman" w:cs="Times New Roman"/>
          <w:sz w:val="28"/>
          <w:szCs w:val="28"/>
          <w:lang w:val="uk-UA"/>
        </w:rPr>
      </w:pPr>
      <w:bookmarkStart w:id="4" w:name="tw-target-text86"/>
      <w:bookmarkEnd w:id="4"/>
      <w:r>
        <w:rPr>
          <w:rFonts w:cs="Times New Roman" w:ascii="Times New Roman" w:hAnsi="Times New Roman"/>
          <w:b/>
          <w:sz w:val="28"/>
          <w:szCs w:val="28"/>
          <w:lang w:val="uk-UA"/>
        </w:rPr>
        <w:t>Предметом дослідження</w:t>
      </w:r>
      <w:r>
        <w:rPr>
          <w:rFonts w:cs="Times New Roman" w:ascii="Times New Roman" w:hAnsi="Times New Roman"/>
          <w:sz w:val="28"/>
          <w:szCs w:val="28"/>
          <w:lang w:val="uk-UA"/>
        </w:rPr>
        <w:t xml:space="preserve"> є вплив поведінкових аспектів фінансових агентів на ефективність фінансового ринку.</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У роботі застосовано широкий інструментарій загальних методів наукового дослідження, а саме, методи порівняння, аналіз синтезу, статистичний і регресійний аналіз. На підставі вивчених даних надано рекомендації щодо поліпшення ефективності фінансового ринку України та фінансової поведінки населення.</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Дипломна робота складається з трьох розділів, висновків, списку використаних джерел та додатків.</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Під час написання дипломної роботи були використані праці закордонних економістів-дослідників поведінкових фінансів. Теоретико-методологічну основу дослідження складали роботи таких економістів-дослідників як Наела Рушді,  Даніель Канеман і Амос Тверскі, П.В. Равеендри, Т. Прінс, Г. Бьорд, В. Ду та Т. Вілетт, Е. Василейо, К. Опреан та К. Танасеску, М. та М. Неделсу, Л. Шкварчюк та Р. Слав’юк, Е. Нкукпорну, П. Джиямах та Л. Сакійваа та ін., звіти провідних аудит компаній, банків та державних відомств. В наукових працях вищезазначених дослідників проаналізовані, вивчені та систематизовані фактори, які визначають вплив поведінкових фінансів на фінансовий ринок.</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Дипломна робота пройшла апробацію на наукових конференціях, а саме: на міжнародній науково-практичній конференції «Актуальні проблеми науки, освіти та суспільства: теорія і практика» (09 грудня 2021 року), VI Всеукраїнська мультидисциплінарна науково-практична Інтернет- конференція «Наукові підсумки року: досягнення, проекти, перспективи» (28 грудня 2021 року). А також підготовлені та прийняті у друк статті у електронному науково-практичному журналі «Інфраструктура ринку» (січень </w:t>
      </w:r>
      <w:r>
        <w:rPr>
          <w:rFonts w:cs="Times New Roman" w:ascii="Times New Roman" w:hAnsi="Times New Roman"/>
          <w:bCs/>
          <w:sz w:val="28"/>
          <w:szCs w:val="28"/>
          <w:lang w:val="uk-UA"/>
        </w:rPr>
        <w:t>2022 року) та у науково-практичному журналі «Економічні студії» (грудень 2021 року).</w:t>
      </w:r>
    </w:p>
    <w:p>
      <w:pPr>
        <w:pStyle w:val="Normal"/>
        <w:spacing w:lineRule="auto" w:line="360" w:before="0" w:after="0"/>
        <w:rPr>
          <w:rFonts w:ascii="Times New Roman" w:hAnsi="Times New Roman" w:cs="Times New Roman"/>
          <w:bCs/>
          <w:sz w:val="28"/>
          <w:szCs w:val="28"/>
          <w:lang w:val="uk-UA"/>
        </w:rPr>
      </w:pPr>
      <w:r>
        <w:rPr>
          <w:rFonts w:cs="Times New Roman" w:ascii="Times New Roman" w:hAnsi="Times New Roman"/>
          <w:bCs/>
          <w:sz w:val="28"/>
          <w:szCs w:val="28"/>
          <w:lang w:val="uk-UA"/>
        </w:rPr>
      </w:r>
    </w:p>
    <w:p>
      <w:pPr>
        <w:pStyle w:val="Normal"/>
        <w:spacing w:lineRule="auto" w:line="360" w:before="0" w:after="0"/>
        <w:rPr>
          <w:rFonts w:ascii="Times New Roman" w:hAnsi="Times New Roman" w:cs="Times New Roman"/>
          <w:bCs/>
          <w:sz w:val="28"/>
          <w:szCs w:val="28"/>
          <w:lang w:val="uk-UA"/>
        </w:rPr>
      </w:pPr>
      <w:r>
        <w:rPr>
          <w:rFonts w:cs="Times New Roman" w:ascii="Times New Roman" w:hAnsi="Times New Roman"/>
          <w:bCs/>
          <w:sz w:val="28"/>
          <w:szCs w:val="28"/>
          <w:lang w:val="uk-UA"/>
        </w:rPr>
      </w:r>
    </w:p>
    <w:p>
      <w:pPr>
        <w:pStyle w:val="Normal"/>
        <w:spacing w:lineRule="auto" w:line="360" w:before="0" w:after="0"/>
        <w:rPr>
          <w:rFonts w:ascii="Times New Roman" w:hAnsi="Times New Roman" w:cs="Times New Roman"/>
          <w:bCs/>
          <w:sz w:val="28"/>
          <w:szCs w:val="28"/>
          <w:lang w:val="uk-UA"/>
        </w:rPr>
      </w:pPr>
      <w:r>
        <w:rPr>
          <w:rFonts w:cs="Times New Roman" w:ascii="Times New Roman" w:hAnsi="Times New Roman"/>
          <w:bCs/>
          <w:sz w:val="28"/>
          <w:szCs w:val="28"/>
          <w:lang w:val="uk-UA"/>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
    </w:p>
    <w:p>
      <w:pPr>
        <w:pStyle w:val="Normal"/>
        <w:spacing w:lineRule="auto" w:line="360" w:before="0" w:after="0"/>
        <w:ind w:right="57" w:hanging="0"/>
        <w:jc w:val="center"/>
        <w:rPr>
          <w:rFonts w:ascii="Times New Roman" w:hAnsi="Times New Roman" w:eastAsia="Times New Roman" w:cs="Times New Roman"/>
          <w:sz w:val="28"/>
          <w:szCs w:val="28"/>
          <w:lang w:val="uk-UA" w:eastAsia="ru-RU"/>
        </w:rPr>
      </w:pPr>
      <w:r>
        <w:rPr>
          <w:rFonts w:eastAsia="Times New Roman" w:cs="Times New Roman" w:ascii="Times New Roman" w:hAnsi="Times New Roman"/>
          <w:b/>
          <w:bCs/>
          <w:sz w:val="28"/>
          <w:szCs w:val="28"/>
          <w:lang w:val="uk-UA" w:eastAsia="ru-RU"/>
        </w:rPr>
        <w:t>ВИСНОВКИ</w:t>
      </w:r>
    </w:p>
    <w:p>
      <w:pPr>
        <w:pStyle w:val="Normal"/>
        <w:spacing w:lineRule="auto" w:line="360" w:before="0" w:after="0"/>
        <w:ind w:right="57" w:hanging="0"/>
        <w:jc w:val="both"/>
        <w:rPr>
          <w:rFonts w:ascii="Times New Roman" w:hAnsi="Times New Roman" w:eastAsia="Times New Roman" w:cs="Times New Roman"/>
          <w:b/>
          <w:b/>
          <w:bCs/>
          <w:sz w:val="28"/>
          <w:szCs w:val="28"/>
          <w:lang w:val="uk-UA" w:eastAsia="ru-RU"/>
        </w:rPr>
      </w:pPr>
      <w:r>
        <w:rPr>
          <w:rFonts w:eastAsia="Times New Roman" w:cs="Times New Roman" w:ascii="Times New Roman" w:hAnsi="Times New Roman"/>
          <w:b/>
          <w:bCs/>
          <w:sz w:val="28"/>
          <w:szCs w:val="28"/>
          <w:lang w:val="uk-UA" w:eastAsia="ru-RU"/>
        </w:rPr>
        <w:tab/>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bCs/>
          <w:sz w:val="28"/>
          <w:szCs w:val="28"/>
          <w:lang w:val="uk-UA" w:eastAsia="ru-RU"/>
        </w:rPr>
        <w:tab/>
      </w:r>
      <w:r>
        <w:rPr>
          <w:rFonts w:eastAsia="Times New Roman" w:cs="Times New Roman" w:ascii="Times New Roman" w:hAnsi="Times New Roman"/>
          <w:sz w:val="28"/>
          <w:szCs w:val="28"/>
          <w:lang w:val="uk-UA" w:eastAsia="ru-RU"/>
        </w:rPr>
        <w:t xml:space="preserve">Поведінкові фінанси, які вважаються досить новим напрямом економічної думки, розглядаються як виклик або доповнення до парадигми традиційних фінансів, стають все більш важливою силою у фінансових дебатах. Створивши міст між традиційними фінансами та психологією, поведінкові фінанси змогли пояснити, а іноді навіть виправити деякі аномалії в стандартній теорії фінансів і поклали початок серйозному зрушенню в нашому розумінні поведінки на фінансовому ринку. Протягом минулого століття гіпотеза ефективного ринку продемонструвала свою нездатність повністю охопити дії економічних агентів, які в кінцевому підсумку призводять до економічних проблем. Розвиток поведінкових фінансів було викликано різними явищами, які все частіше простежувалися в поведінці інвесторів і впливали на нього: надмірна самовпевненість, стадна поведінка, надмірна або недостатня реакція, тощо.  </w:t>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У дипломній роботі було проаналізовано використання поведінкових фінансів ключовими учасниками фінансового ринку. Спершу було розглянуто галузь </w:t>
      </w:r>
      <w:r>
        <w:rPr>
          <w:rFonts w:eastAsia="Times New Roman" w:cs="Times New Roman" w:ascii="Times New Roman" w:hAnsi="Times New Roman"/>
          <w:sz w:val="28"/>
          <w:szCs w:val="28"/>
          <w:lang w:val="en-US" w:eastAsia="ru-RU"/>
        </w:rPr>
        <w:t>FinTech</w:t>
      </w:r>
      <w:r>
        <w:rPr>
          <w:rFonts w:eastAsia="Times New Roman" w:cs="Times New Roman" w:ascii="Times New Roman" w:hAnsi="Times New Roman"/>
          <w:sz w:val="28"/>
          <w:szCs w:val="28"/>
          <w:lang w:val="uk-UA" w:eastAsia="ru-RU"/>
        </w:rPr>
        <w:t xml:space="preserve">, тому що особливістю розвитку цієї галузі є якраз використання поведінкових «слабкостей» користувачів з ціллю отримання комерційної вигоди та успішного конкурування з традиційними фінансовими установами, підвищення популярності. </w:t>
      </w:r>
      <w:r>
        <w:rPr>
          <w:rFonts w:eastAsia="Times New Roman" w:cs="Times New Roman" w:ascii="Times New Roman" w:hAnsi="Times New Roman"/>
          <w:sz w:val="28"/>
          <w:szCs w:val="28"/>
          <w:lang w:val="en-US" w:eastAsia="ru-RU"/>
        </w:rPr>
        <w:t>FinTech</w:t>
      </w:r>
      <w:r>
        <w:rPr>
          <w:rFonts w:eastAsia="Times New Roman" w:cs="Times New Roman" w:ascii="Times New Roman" w:hAnsi="Times New Roman"/>
          <w:sz w:val="28"/>
          <w:szCs w:val="28"/>
          <w:lang w:val="uk-UA" w:eastAsia="ru-RU"/>
        </w:rPr>
        <w:t xml:space="preserve"> пропонує своїм користувачам кращий дизайн, більшу швидкість, вищу доступність и комфорт користування фінансовими послугами, але далеко не завжди якість цих послуг та умови кращі, ніж ті, що пропонуються банками, але саме через поведінковий аспект люди все більше використовують саме </w:t>
      </w:r>
      <w:r>
        <w:rPr>
          <w:rFonts w:eastAsia="Times New Roman" w:cs="Times New Roman" w:ascii="Times New Roman" w:hAnsi="Times New Roman"/>
          <w:sz w:val="28"/>
          <w:szCs w:val="28"/>
          <w:lang w:val="en-US" w:eastAsia="ru-RU"/>
        </w:rPr>
        <w:t>FinTech</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shd w:fill="FFFFFF" w:val="clear"/>
          <w:lang w:val="uk-UA" w:eastAsia="ru-RU"/>
        </w:rPr>
        <w:t>Різноманітні дослідження виділяють такі основні поведінкові причини використання споживачами FinTech рішень: по-перше, передбачувана вигода та практичність є ключовим фактором, який позитивно впливає на намір користуватися послугами FinTech. По-друге, соціальний вплив є суттєвим негативним фактором, що впливає фактичне використання. По-третє, безпека і оперативність є важливими факторами, що визначають намір. Нарешті, вік</w:t>
      </w:r>
      <w:r>
        <w:rPr>
          <w:rFonts w:eastAsia="Times New Roman" w:cs="Times New Roman" w:ascii="Times New Roman" w:hAnsi="Times New Roman"/>
          <w:sz w:val="28"/>
          <w:szCs w:val="28"/>
          <w:shd w:fill="FFFFFF" w:val="clear"/>
          <w:lang w:eastAsia="ru-RU"/>
        </w:rPr>
        <w:t xml:space="preserve"> також </w:t>
      </w:r>
      <w:r>
        <w:rPr>
          <w:rFonts w:eastAsia="Times New Roman" w:cs="Times New Roman" w:ascii="Times New Roman" w:hAnsi="Times New Roman"/>
          <w:sz w:val="28"/>
          <w:szCs w:val="28"/>
          <w:shd w:fill="FFFFFF" w:val="clear"/>
          <w:lang w:val="uk-UA" w:eastAsia="ru-RU"/>
        </w:rPr>
        <w:t>сильно впливає на сприйняття безпеки FinTech-послуг.</w:t>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ab/>
        <w:t xml:space="preserve">Також було висвітлено використання поведінкових фінансів у банківській діяльності, тому що у результаті світової фінансової кризи збанкрутувала велика кількість банків, навіть тих, що були занадто великі, щоб «впасти». У більшій мірі це було спричинено ірраціональною поведінкою вищого керівництва банків, що під впливом емоцій та стадного інстинкту приймали невірні рішення. Але не тільки вище керівництво піддається впливу упереджень, а й усі працівники банку, особливо ті, хто відповідає за видачу кредитів. Адже дослідження свідчать, що на вірогідність схвалення кредиту впливають враження працівника банку від людини, її зовнішності, гендеру, раси та  рівня освіти, тому банки все частіше використовують передові технології, такі як штучний інтелект та аналіз великих об’ємів інформації, для досягнення покращення процесу видачі кредитів, тому що часто через упередження банківські працівники відмовляють платоспроможним клієнтам, і банк втрачає вигоду. Також банк зацікавлений у покращенні фінансової поведінки своїх клієнтів, так наприклад </w:t>
      </w:r>
      <w:r>
        <w:rPr>
          <w:rFonts w:eastAsia="Times New Roman" w:cs="Times New Roman" w:ascii="Times New Roman" w:hAnsi="Times New Roman"/>
          <w:sz w:val="28"/>
          <w:szCs w:val="28"/>
          <w:lang w:val="en-US" w:eastAsia="ru-RU"/>
        </w:rPr>
        <w:t>Discovery</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Bank</w:t>
      </w:r>
      <w:r>
        <w:rPr>
          <w:rFonts w:eastAsia="Times New Roman" w:cs="Times New Roman" w:ascii="Times New Roman" w:hAnsi="Times New Roman"/>
          <w:sz w:val="28"/>
          <w:szCs w:val="28"/>
          <w:lang w:val="uk-UA" w:eastAsia="ru-RU"/>
        </w:rPr>
        <w:t xml:space="preserve"> у своєму додатку запровадив  програму Vitality Money - це програма поведінкової зміни, яка змінює фінансову поведінку своїх клієнтів з метою поліпшення їх «фінансового здоров’я». </w:t>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ab/>
        <w:t xml:space="preserve">Іншою галуззю, що активно використовує поведінкові фінанси є фондовий ринок. Рішення на ньому приймаються на основі неповних знань і обмеженого розуміння, неповної або невірної інформації, а також емоцій. Незважаючи на зростаючий вплив технологій на фінансовий ринок, фінансові рішення все частіше приймаються на основі психологічних міркувань, які виходять за рамки суворого критерію прибутковості і ризику цінних паперів. Тому значної популярності в останні роки набувають автоматизовані системи торгівлі на ринку або інвестиційного менеджменту. Вартість активів, що знаходяться під управлінням роботозиваних радників переважає 500 мільярдів долларів США і це число буде зростати, що штучний інтелект постійно вчиться для покращення аналізу ризиків, і робить це темпами значно вищими, ніж ті, на які спроможна людина. </w:t>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bCs/>
          <w:sz w:val="28"/>
          <w:szCs w:val="28"/>
          <w:lang w:val="uk-UA" w:eastAsia="ru-RU"/>
        </w:rPr>
        <w:tab/>
      </w:r>
      <w:r>
        <w:rPr>
          <w:rFonts w:eastAsia="Times New Roman" w:cs="Times New Roman" w:ascii="Times New Roman" w:hAnsi="Times New Roman"/>
          <w:sz w:val="28"/>
          <w:szCs w:val="28"/>
          <w:lang w:val="uk-UA" w:eastAsia="ru-RU"/>
        </w:rPr>
        <w:t xml:space="preserve">У дипломній роботі було проведено регресійне моделювання впливу індексу </w:t>
      </w:r>
      <w:r>
        <w:rPr>
          <w:rFonts w:eastAsia="Times New Roman" w:cs="Times New Roman" w:ascii="Times New Roman" w:hAnsi="Times New Roman"/>
          <w:sz w:val="28"/>
          <w:szCs w:val="28"/>
          <w:lang w:val="en-US" w:eastAsia="ru-RU"/>
        </w:rPr>
        <w:t>VIX</w:t>
      </w:r>
      <w:r>
        <w:rPr>
          <w:rFonts w:eastAsia="Times New Roman" w:cs="Times New Roman" w:ascii="Times New Roman" w:hAnsi="Times New Roman"/>
          <w:sz w:val="28"/>
          <w:szCs w:val="28"/>
          <w:lang w:val="uk-UA" w:eastAsia="ru-RU"/>
        </w:rPr>
        <w:t xml:space="preserve">, також відомого як індекс «страху» інвесторів, на макроекономічні показники США використовуючи щомісячні дані за 20 років. Для моделювання було обрано рівень інфляції, рівень безробіття, державний борг США, рахунок платіжного балансу, та курс доллару США до євро. На основі отриманих результатів можна зробити висновок, що представлені моделі добре апроксимують представлені дані та можуть бути використані для подальших цілей прогнозування. Економічне значення кожної моделі доводить, що саме показник VIX, індекс «страху» інвесторів, має вплив на важливі макроекономічні параметри США. У моделі де залежна величина курс євро до долару коефіцієнт індексу VIX має негативне значення, тобто збільшення індексу, що означає зростання паніки на ринку веде до зниження курсу євро до долару, тобто долар починає дорожчати, що можна пояснити тим, що через паніку люди скорочують інвестування у користь збереження, через що знижається пропозиція долару і росте його вартість. У другій моделі, де залежна величина CPI, коефіцієнт індексу має позитивне значення, що означає, що при збільшення рівня паніки у інвесторів, зростає рівень інфляції, тому що при паніці набагато більше грошей втрачається, що збільшує пропозицію грошей и знижує їх вартість. У випадку Debt індекс страху має негативне значення, що означає, що при його збільшенні значення боргу зменшується, тобто чим інвесторам страшніше, тим менше борг. Наступним показником є рівень безробіття, що демонструє пряму залежність із індексом «страху», що означає, що при збільшенні рівня страху збільшується і рівень безробіття, що пояснюється тим, що у періоди паніки багато інвесторів забирають свої гроші з компаній, тим самим зменшуючи кількість доступних грошей у компаній. </w:t>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ab/>
        <w:t xml:space="preserve">Також для перевірки результатів моделювання методом найменших квадратів було використано інший вид моделювання – векторна автогрессія для визначення двостороннього взаємного впливу між індексом </w:t>
      </w:r>
      <w:r>
        <w:rPr>
          <w:rFonts w:eastAsia="Times New Roman" w:cs="Times New Roman" w:ascii="Times New Roman" w:hAnsi="Times New Roman"/>
          <w:sz w:val="28"/>
          <w:szCs w:val="28"/>
          <w:lang w:val="en-US" w:eastAsia="ru-RU"/>
        </w:rPr>
        <w:t>VIX</w:t>
      </w:r>
      <w:r>
        <w:rPr>
          <w:rFonts w:eastAsia="Times New Roman" w:cs="Times New Roman" w:ascii="Times New Roman" w:hAnsi="Times New Roman"/>
          <w:sz w:val="28"/>
          <w:szCs w:val="28"/>
          <w:lang w:val="uk-UA" w:eastAsia="ru-RU"/>
        </w:rPr>
        <w:t xml:space="preserve"> та макроекономічними індикаторами. Згідно результатам дослідження у період з листопада 2001 року по листопад 2021 року індекс страху впливає на інфляцію, державний борг та безробіття.</w:t>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ab/>
        <w:t xml:space="preserve">Виходячи із результатів регресійного аналізу можна зробити висновок, що навіть певна кількість інвесторів та волатильність вартості акцій великих компаній мають вплив на національну економіку. Саме специфіка національної фінансової поведінки має значний вплив у першу чергу на макроекономічні показники, а також і на внутрішню економічну політики. У дипломній роботі було визначено особливості  фінансової поведінки українського населення. Таким чином, найпопулярнішими видами фінансових активів українців є депозити та іноземна валюта. Але у той же час у валюті українці тримають значно більше грошей, тому що велика кількість українців, а саме 37% не мають банківських рахунків, а відповідно і депозитів, тому що майже 20% українців вважають банківські послуги занадто дорогими, а 25% не довіряють фінансовим установам в цілому. Причиною недовіри у першу чергу виступає фінансова грамотність населення, котра є на досить низькому рівні в Україні, а також репутація банків, як фінансових установ. У інших країнах з більш розвиненою фінансовою системою на фінансовому ринку фігурують не тільки банки, а інші фінансові небанківські установи, приватні фонди, </w:t>
      </w:r>
      <w:r>
        <w:rPr>
          <w:rFonts w:eastAsia="Times New Roman" w:cs="Times New Roman" w:ascii="Times New Roman" w:hAnsi="Times New Roman"/>
          <w:sz w:val="28"/>
          <w:szCs w:val="28"/>
          <w:lang w:val="en-US" w:eastAsia="ru-RU"/>
        </w:rPr>
        <w:t>FinTech</w:t>
      </w:r>
      <w:r>
        <w:rPr>
          <w:rFonts w:eastAsia="Times New Roman" w:cs="Times New Roman" w:ascii="Times New Roman" w:hAnsi="Times New Roman"/>
          <w:sz w:val="28"/>
          <w:szCs w:val="28"/>
          <w:lang w:val="uk-UA" w:eastAsia="ru-RU"/>
        </w:rPr>
        <w:t xml:space="preserve"> компанії, фондова біржа, тощо. У випадку України фінансовий ринок не є досить розвинутим для повноцінного входу інших фінансових установ, окрім банків, тому що необхідно прикласти усі зусилля для підвищення фінансової обізнаності населення, розуміння вигоди та зручності фінансових технологій, розвиток навичок користування ними. Також необхідна адекватна правова та інституційна підтримка для реалізації та зміцнення потенціалу та прав користувачів фінансових послуг. </w:t>
      </w:r>
    </w:p>
    <w:p>
      <w:pPr>
        <w:pStyle w:val="Normal"/>
        <w:spacing w:lineRule="auto" w:line="360" w:before="0" w:after="0"/>
        <w:ind w:right="57" w:hanging="0"/>
        <w:jc w:val="center"/>
        <w:rPr>
          <w:rFonts w:ascii="Times New Roman" w:hAnsi="Times New Roman" w:eastAsia="Times New Roman" w:cs="Times New Roman"/>
          <w:b/>
          <w:b/>
          <w:bCs/>
          <w:sz w:val="28"/>
          <w:szCs w:val="28"/>
          <w:lang w:val="uk-UA" w:eastAsia="ru-RU"/>
        </w:rPr>
      </w:pPr>
      <w:r>
        <w:rPr>
          <w:rFonts w:eastAsia="Times New Roman" w:cs="Times New Roman" w:ascii="Times New Roman" w:hAnsi="Times New Roman"/>
          <w:b/>
          <w:bCs/>
          <w:sz w:val="28"/>
          <w:szCs w:val="28"/>
          <w:lang w:val="uk-UA" w:eastAsia="ru-RU"/>
        </w:rPr>
        <w:t>СПИСОК ВИКОРИСТАННОЇ ЛІТЕРАТУРИ</w:t>
      </w:r>
    </w:p>
    <w:p>
      <w:pPr>
        <w:pStyle w:val="Normal"/>
        <w:spacing w:lineRule="auto" w:line="360" w:before="0" w:after="0"/>
        <w:ind w:right="57" w:hanging="0"/>
        <w:jc w:val="center"/>
        <w:rPr>
          <w:rFonts w:ascii="Times New Roman" w:hAnsi="Times New Roman" w:eastAsia="Times New Roman" w:cs="Times New Roman"/>
          <w:b/>
          <w:b/>
          <w:bCs/>
          <w:sz w:val="28"/>
          <w:szCs w:val="28"/>
          <w:lang w:val="uk-UA" w:eastAsia="ru-RU"/>
        </w:rPr>
      </w:pPr>
      <w:r>
        <w:rPr>
          <w:rFonts w:eastAsia="Times New Roman" w:cs="Times New Roman" w:ascii="Times New Roman" w:hAnsi="Times New Roman"/>
          <w:b/>
          <w:bCs/>
          <w:sz w:val="28"/>
          <w:szCs w:val="28"/>
          <w:lang w:val="uk-UA" w:eastAsia="ru-RU"/>
        </w:rPr>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Dr. Naela J. R. A Systematic Literature Review on Evolution of Behavioral Finance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Jamal Rushdi Dr. Naela // DHYAYAN-A Journal of Management Sciences.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
        <w:r>
          <w:rPr>
            <w:rFonts w:eastAsia="Times New Roman" w:cs="Times New Roman" w:ascii="Times New Roman" w:hAnsi="Times New Roman"/>
            <w:sz w:val="28"/>
            <w:szCs w:val="28"/>
            <w:lang w:val="en-US" w:eastAsia="ru-RU"/>
          </w:rPr>
          <w:t>https://papers.ssrn.com/sol3/papers.cfm?abstract_id=3849171</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Justyna B. Homo Oeconomicus and Behavioral Economics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B. Justyna, W. Radosław // Contemporary Economics, ISSN 2084-08455, Vizja Press &amp; IT, Warsaw, Vol. 8, Iss. 4, pp. 353-364,. – 2014.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
        <w:r>
          <w:rPr>
            <w:rFonts w:eastAsia="Times New Roman" w:cs="Times New Roman" w:ascii="Times New Roman" w:hAnsi="Times New Roman"/>
            <w:sz w:val="28"/>
            <w:szCs w:val="28"/>
            <w:lang w:val="en-US" w:eastAsia="ru-RU"/>
          </w:rPr>
          <w:t>https://www.econstor.eu/bitstream/10419/141888/1/825952735.pdf</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Pavlo I. Misbehaving: The Making of Behavioral Economics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 Illiashenko Pavlo // International Journal of Applied Behavioral Economics Volume 6</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val="en-US" w:eastAsia="ru-RU"/>
        </w:rPr>
        <w:t xml:space="preserve"> Issue 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4">
        <w:r>
          <w:rPr>
            <w:rFonts w:eastAsia="Times New Roman" w:cs="Times New Roman" w:ascii="Times New Roman" w:hAnsi="Times New Roman"/>
            <w:sz w:val="28"/>
            <w:szCs w:val="28"/>
            <w:lang w:val="en-US" w:eastAsia="ru-RU"/>
          </w:rPr>
          <w:t>https://www.igi-global.com/pdf.aspx?tid%3D177868%26ptid%3D158743%26ctid%3D17%26t%3Dmisbehaving%3A+the+making+of+behavioral+economics%26isxn%3D</w:t>
        </w:r>
      </w:hyperlink>
      <w:r>
        <w:rPr>
          <w:rStyle w:val="Style13"/>
          <w:rFonts w:eastAsia="Times New Roman" w:cs="Times New Roman" w:ascii="Times New Roman" w:hAnsi="Times New Roman"/>
          <w:color w:val="auto"/>
          <w:sz w:val="28"/>
          <w:szCs w:val="28"/>
          <w:u w:val="none"/>
          <w:lang w:val="uk-UA"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Valsová D. Practical Applications of Behavioral Finance in Professional Investing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D. Valsová. – 2016.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5">
        <w:r>
          <w:rPr>
            <w:rFonts w:eastAsia="Times New Roman" w:cs="Times New Roman" w:ascii="Times New Roman" w:hAnsi="Times New Roman"/>
            <w:sz w:val="28"/>
            <w:szCs w:val="28"/>
            <w:lang w:val="en-US" w:eastAsia="ru-RU"/>
          </w:rPr>
          <w:t>https://elearning.unyp.cz/pluginfile.php/58141/mod_data/content/1114/Valsova,%20Denisa_509466_Senior%20Project.pdf</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Raveendra P. Behavioral finance and its impact on poor financial performance of SMES: A review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P. Raveendra, S. Jyothi, S. Padmalini // International Journal of Mechanical Engineering and Technology (IJMET) Volume 9, Issue 4,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6">
        <w:r>
          <w:rPr>
            <w:rFonts w:eastAsia="Times New Roman" w:cs="Times New Roman" w:ascii="Times New Roman" w:hAnsi="Times New Roman"/>
            <w:sz w:val="28"/>
            <w:szCs w:val="28"/>
            <w:lang w:val="en-US" w:eastAsia="ru-RU"/>
          </w:rPr>
          <w:t>https://www.researchgate.net/publication/325737059_Behavioral_finance_and_its_impact_on_poor_financial_performance_of_SMES_A_review</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Prince T. E. Behavioral Finance and the Business Cycle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Ted E. Prince // Business Ethics and Leadership, Volume 1, Issue 4, 2017. – 2017.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7">
        <w:r>
          <w:rPr>
            <w:rFonts w:eastAsia="Times New Roman" w:cs="Times New Roman" w:ascii="Times New Roman" w:hAnsi="Times New Roman"/>
            <w:sz w:val="28"/>
            <w:szCs w:val="28"/>
            <w:lang w:val="en-US" w:eastAsia="ru-RU"/>
          </w:rPr>
          <w:t>https://essuir.sumdu.edu.ua/bitstream-download/123456789/66315/1/Prince_BEL_4_2017.pdf</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Bird G. Behavioral Finance and Efficient Markets: What does the Euro Crisis Tell us?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G. Bird, W. Du, T. Willett // Open Econ Rev. – 2017.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8">
        <w:r>
          <w:rPr>
            <w:rFonts w:eastAsia="Times New Roman" w:cs="Times New Roman" w:ascii="Times New Roman" w:hAnsi="Times New Roman"/>
            <w:sz w:val="28"/>
            <w:szCs w:val="28"/>
            <w:lang w:val="en-US" w:eastAsia="ru-RU"/>
          </w:rPr>
          <w:t>http://scholar.cgu.edu/thomas-willett/wp-content/uploads/sites/23/2017/02/Bird-Du-Willett-Behavioral-Finance-and-Efficient-Markets-What-Does-the-Euro-Crisis-Tell-Us.pdf</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Vasileiou E. Behavioral finance and market efficiency in the time of the COVID-19 pandemic: does fear drive the market?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Evangelos Vasileiou // International Review of Applied Economics, 35:2, 224-241.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9">
        <w:r>
          <w:rPr>
            <w:rFonts w:eastAsia="Times New Roman" w:cs="Times New Roman" w:ascii="Times New Roman" w:hAnsi="Times New Roman"/>
            <w:sz w:val="28"/>
            <w:szCs w:val="28"/>
            <w:lang w:val="en-US" w:eastAsia="ru-RU"/>
          </w:rPr>
          <w:t>https://www.tandfonline.com/doi/full/10.1080/02692171.2020.1864301</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Oprean C. Effects of Behavioural Finance on Emerging Capital Markets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C. Oprean, C. Tanasescu // Procedia Economics and Finance 15 ( 2014 ) 1710 – 1716. – 2014.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0">
        <w:r>
          <w:rPr>
            <w:rFonts w:eastAsia="Times New Roman" w:cs="Times New Roman" w:ascii="Times New Roman" w:hAnsi="Times New Roman"/>
            <w:sz w:val="28"/>
            <w:szCs w:val="28"/>
            <w:lang w:val="en-US" w:eastAsia="ru-RU"/>
          </w:rPr>
          <w:t>https://www.sciencedirect.com/science/article/pii/S2212567114006455</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Letiția M. CRISIS, RISK MANAGEMENT AND BEHAVIORAL FINANCE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M. Letiția, M. Nedelcu // Multidisciplinary academic research. – 2019.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1">
        <w:r>
          <w:rPr>
            <w:rFonts w:eastAsia="Times New Roman" w:cs="Times New Roman" w:ascii="Times New Roman" w:hAnsi="Times New Roman"/>
            <w:sz w:val="28"/>
            <w:szCs w:val="28"/>
            <w:lang w:val="en-US" w:eastAsia="ru-RU"/>
          </w:rPr>
          <w:t>https://www.researchgate.net/publication/331089014_CRISIS_RISK_MANAGEMENT_AND_BEHAVIORAL_FINANCE</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Shkvarchuk L. The Financial Behavior of Households in Ukraine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L. Shkvarchuk, R. Slav’yuk // Journal of Competitiveness 11(3):144-159. – 2019.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2">
        <w:r>
          <w:rPr>
            <w:rFonts w:eastAsia="Times New Roman" w:cs="Times New Roman" w:ascii="Times New Roman" w:hAnsi="Times New Roman"/>
            <w:sz w:val="28"/>
            <w:szCs w:val="28"/>
            <w:lang w:val="en-US" w:eastAsia="ru-RU"/>
          </w:rPr>
          <w:t>https://www.researchgate.net/publication/336343301_The_Financial_Behavior_of_Households_in_Ukraine</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Olsen R. A. Toward a theory of behavioral finance: implications from the natural sciences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Robert A. Olsen // Qualitative Research in Financial Markets 2(October):100-128. – 2010.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3">
        <w:r>
          <w:rPr>
            <w:rFonts w:eastAsia="Times New Roman" w:cs="Times New Roman" w:ascii="Times New Roman" w:hAnsi="Times New Roman"/>
            <w:sz w:val="28"/>
            <w:szCs w:val="28"/>
            <w:lang w:val="en-US" w:eastAsia="ru-RU"/>
          </w:rPr>
          <w:t>https://www.researchgate.net/publication/46546103_Toward_a_theory_of_behavioral_finance_implications_from_the_natural_sciences</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Tsaran O., Bychkova N. Behavioral Finance: Conceptual Foundations and Development of Approaches / Tsaran Oleksandr, Bychkova Nataliia // Електронний науково-практичний журнал Інфраструктура ринку. – 2021. - № 61 [у друці] </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Fama E. Efficient Capital Markets: A Review of Theory and Empirical Work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Eugene F. Fama // The Journal of Finance Vol. 25, No. 2, pp. 383-417. – 1970.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4">
        <w:r>
          <w:rPr>
            <w:rFonts w:eastAsia="Times New Roman" w:cs="Times New Roman" w:ascii="Times New Roman" w:hAnsi="Times New Roman"/>
            <w:sz w:val="28"/>
            <w:szCs w:val="28"/>
            <w:lang w:val="en-US" w:eastAsia="ru-RU"/>
          </w:rPr>
          <w:t>https://www.jstor.org/stable/2325486</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Yildirim H. Behavioral Finance or Efficient Market Hypothesis?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Hakan Yildirim // International Journal of Academic Value Studies (Javstudies JAVS) 3(11):151-158. – 2017.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5">
        <w:r>
          <w:rPr>
            <w:rFonts w:eastAsia="Times New Roman" w:cs="Times New Roman" w:ascii="Times New Roman" w:hAnsi="Times New Roman"/>
            <w:sz w:val="28"/>
            <w:szCs w:val="28"/>
            <w:lang w:val="en-US" w:eastAsia="ru-RU"/>
          </w:rPr>
          <w:t>https://www.researchgate.net/publication/317254201_Behavioral_Finance_or_Efficient_Market_Hypothesis</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Kahneman D. Prospect Theory: An Analysis of Decision under Risk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D. Kahneman, A. Tversky // Econometrica Vol. 47, No. 2, pp. 263-292. – 1979.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6">
        <w:r>
          <w:rPr>
            <w:rFonts w:eastAsia="Times New Roman" w:cs="Times New Roman" w:ascii="Times New Roman" w:hAnsi="Times New Roman"/>
            <w:sz w:val="28"/>
            <w:szCs w:val="28"/>
            <w:lang w:val="en-US" w:eastAsia="ru-RU"/>
          </w:rPr>
          <w:t>https://www.jstor.org/stable/1914185</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Grosse R. The global financial crisis—Market misconduct and regulation from a behavioral view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Robert Grosse // " Research in International Business and Finance, Elsevier, vol. 41(C). – 2017.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7">
        <w:r>
          <w:rPr>
            <w:rFonts w:eastAsia="Times New Roman" w:cs="Times New Roman" w:ascii="Times New Roman" w:hAnsi="Times New Roman"/>
            <w:sz w:val="28"/>
            <w:szCs w:val="28"/>
            <w:lang w:val="en-US" w:eastAsia="ru-RU"/>
          </w:rPr>
          <w:t>https://ideas.repec.org/a/eee/riibaf/v41y2017icp387-398.html</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Szyszka A. Behavioral Anatomy of the Financial Crisis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Adam Szyszka // ournal of CENTRUM Cathedra, Vol. 3, Issue 2, pp. 121-135. – 2011.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8">
        <w:r>
          <w:rPr>
            <w:rFonts w:eastAsia="Times New Roman" w:cs="Times New Roman" w:ascii="Times New Roman" w:hAnsi="Times New Roman"/>
            <w:sz w:val="28"/>
            <w:szCs w:val="28"/>
            <w:lang w:val="en-US" w:eastAsia="ru-RU"/>
          </w:rPr>
          <w:t>https://papers.ssrn.com/sol3/papers.cfm?abstract_id=1806037</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Financial Stability Board. Monitoring of FinTech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Financial Stability Board // Financial Stability Board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19">
        <w:r>
          <w:rPr>
            <w:rFonts w:eastAsia="Times New Roman" w:cs="Times New Roman" w:ascii="Times New Roman" w:hAnsi="Times New Roman"/>
            <w:sz w:val="28"/>
            <w:szCs w:val="28"/>
            <w:lang w:val="en-US" w:eastAsia="ru-RU"/>
          </w:rPr>
          <w:t>https://www.fsb.org/work-of-the-fsb/policy-development/additional-policy-areas/monitoring-of-FinTech/</w:t>
        </w:r>
      </w:hyperlink>
      <w:r>
        <w:rPr>
          <w:rFonts w:eastAsia="Times New Roman" w:cs="Times New Roman" w:ascii="Times New Roman" w:hAnsi="Times New Roman"/>
          <w:sz w:val="28"/>
          <w:szCs w:val="28"/>
          <w:lang w:val="uk-UA"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EY</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Global</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FinTech</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Adoption</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Index</w:t>
      </w:r>
      <w:r>
        <w:rPr>
          <w:rFonts w:eastAsia="Times New Roman" w:cs="Times New Roman" w:ascii="Times New Roman" w:hAnsi="Times New Roman"/>
          <w:sz w:val="28"/>
          <w:szCs w:val="28"/>
          <w:lang w:val="uk-UA" w:eastAsia="ru-RU"/>
        </w:rPr>
        <w:t xml:space="preserve"> 2019 [Електронний ресурс]. – 2019. – Режим доступу до ресурсу: </w:t>
      </w:r>
      <w:hyperlink r:id="rId20">
        <w:r>
          <w:rPr>
            <w:rFonts w:eastAsia="Times New Roman" w:cs="Times New Roman" w:ascii="Times New Roman" w:hAnsi="Times New Roman"/>
            <w:sz w:val="28"/>
            <w:szCs w:val="28"/>
            <w:lang w:eastAsia="ru-RU"/>
          </w:rPr>
          <w:t>https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www</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ey</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com</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en</w:t>
        </w:r>
        <w:r>
          <w:rPr>
            <w:rFonts w:eastAsia="Times New Roman" w:cs="Times New Roman" w:ascii="Times New Roman" w:hAnsi="Times New Roman"/>
            <w:sz w:val="28"/>
            <w:szCs w:val="28"/>
            <w:lang w:val="uk-UA" w:eastAsia="ru-RU"/>
          </w:rPr>
          <w:t>_</w:t>
        </w:r>
        <w:r>
          <w:rPr>
            <w:rFonts w:eastAsia="Times New Roman" w:cs="Times New Roman" w:ascii="Times New Roman" w:hAnsi="Times New Roman"/>
            <w:sz w:val="28"/>
            <w:szCs w:val="28"/>
            <w:lang w:eastAsia="ru-RU"/>
          </w:rPr>
          <w:t>gl</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ey</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global</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FinTech</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adoption</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index</w:t>
        </w:r>
      </w:hyperlink>
      <w:r>
        <w:rPr>
          <w:rFonts w:eastAsia="Times New Roman" w:cs="Times New Roman" w:ascii="Times New Roman" w:hAnsi="Times New Roman"/>
          <w:sz w:val="28"/>
          <w:szCs w:val="28"/>
          <w:lang w:val="uk-UA"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eastAsia="ru-RU"/>
        </w:rPr>
        <w:t>The</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Global</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FinTech</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Index</w:t>
      </w:r>
      <w:r>
        <w:rPr>
          <w:rFonts w:eastAsia="Times New Roman" w:cs="Times New Roman" w:ascii="Times New Roman" w:hAnsi="Times New Roman"/>
          <w:sz w:val="28"/>
          <w:szCs w:val="28"/>
          <w:lang w:val="uk-UA" w:eastAsia="ru-RU"/>
        </w:rPr>
        <w:t xml:space="preserve"> 2020 [Електронний ресурс] // </w:t>
      </w:r>
      <w:r>
        <w:rPr>
          <w:rFonts w:eastAsia="Times New Roman" w:cs="Times New Roman" w:ascii="Times New Roman" w:hAnsi="Times New Roman"/>
          <w:sz w:val="28"/>
          <w:szCs w:val="28"/>
          <w:lang w:eastAsia="ru-RU"/>
        </w:rPr>
        <w:t>Findexable</w:t>
      </w:r>
      <w:r>
        <w:rPr>
          <w:rFonts w:eastAsia="Times New Roman" w:cs="Times New Roman" w:ascii="Times New Roman" w:hAnsi="Times New Roman"/>
          <w:sz w:val="28"/>
          <w:szCs w:val="28"/>
          <w:lang w:val="uk-UA" w:eastAsia="ru-RU"/>
        </w:rPr>
        <w:t xml:space="preserve">. – 2020. – Режим доступу до ресурсу: </w:t>
      </w:r>
      <w:r>
        <w:rPr>
          <w:rFonts w:eastAsia="Times New Roman" w:cs="Times New Roman" w:ascii="Times New Roman" w:hAnsi="Times New Roman"/>
          <w:sz w:val="28"/>
          <w:szCs w:val="28"/>
          <w:lang w:eastAsia="ru-RU"/>
        </w:rPr>
        <w:t>https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findexable</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com</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wp</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content</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uploads</w:t>
      </w:r>
      <w:r>
        <w:rPr>
          <w:rFonts w:eastAsia="Times New Roman" w:cs="Times New Roman" w:ascii="Times New Roman" w:hAnsi="Times New Roman"/>
          <w:sz w:val="28"/>
          <w:szCs w:val="28"/>
          <w:lang w:val="uk-UA" w:eastAsia="ru-RU"/>
        </w:rPr>
        <w:t>/2019/12/</w:t>
      </w:r>
      <w:r>
        <w:rPr>
          <w:rFonts w:eastAsia="Times New Roman" w:cs="Times New Roman" w:ascii="Times New Roman" w:hAnsi="Times New Roman"/>
          <w:sz w:val="28"/>
          <w:szCs w:val="28"/>
          <w:lang w:eastAsia="ru-RU"/>
        </w:rPr>
        <w:t>Findexable</w:t>
      </w:r>
      <w:r>
        <w:rPr>
          <w:rFonts w:eastAsia="Times New Roman" w:cs="Times New Roman" w:ascii="Times New Roman" w:hAnsi="Times New Roman"/>
          <w:sz w:val="28"/>
          <w:szCs w:val="28"/>
          <w:lang w:val="uk-UA" w:eastAsia="ru-RU"/>
        </w:rPr>
        <w:t>_</w:t>
      </w:r>
      <w:r>
        <w:rPr>
          <w:rFonts w:eastAsia="Times New Roman" w:cs="Times New Roman" w:ascii="Times New Roman" w:hAnsi="Times New Roman"/>
          <w:sz w:val="28"/>
          <w:szCs w:val="28"/>
          <w:lang w:eastAsia="ru-RU"/>
        </w:rPr>
        <w:t>Global</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FinTech</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Rankings</w:t>
      </w:r>
      <w:r>
        <w:rPr>
          <w:rFonts w:eastAsia="Times New Roman" w:cs="Times New Roman" w:ascii="Times New Roman" w:hAnsi="Times New Roman"/>
          <w:sz w:val="28"/>
          <w:szCs w:val="28"/>
          <w:lang w:val="uk-UA" w:eastAsia="ru-RU"/>
        </w:rPr>
        <w:t>-2020</w:t>
      </w:r>
      <w:r>
        <w:rPr>
          <w:rFonts w:eastAsia="Times New Roman" w:cs="Times New Roman" w:ascii="Times New Roman" w:hAnsi="Times New Roman"/>
          <w:sz w:val="28"/>
          <w:szCs w:val="28"/>
          <w:lang w:eastAsia="ru-RU"/>
        </w:rPr>
        <w:t>exSFA</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pdf</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Millennials</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Infographic</w:t>
      </w:r>
      <w:r>
        <w:rPr>
          <w:rFonts w:eastAsia="Times New Roman" w:cs="Times New Roman" w:ascii="Times New Roman" w:hAnsi="Times New Roman"/>
          <w:sz w:val="28"/>
          <w:szCs w:val="28"/>
          <w:lang w:val="uk-UA" w:eastAsia="ru-RU"/>
        </w:rPr>
        <w:t xml:space="preserve"> [Електронний ресурс] // </w:t>
      </w:r>
      <w:r>
        <w:rPr>
          <w:rFonts w:eastAsia="Times New Roman" w:cs="Times New Roman" w:ascii="Times New Roman" w:hAnsi="Times New Roman"/>
          <w:sz w:val="28"/>
          <w:szCs w:val="28"/>
          <w:lang w:eastAsia="ru-RU"/>
        </w:rPr>
        <w:t>Goldman</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Sachs</w:t>
      </w:r>
      <w:r>
        <w:rPr>
          <w:rFonts w:eastAsia="Times New Roman" w:cs="Times New Roman" w:ascii="Times New Roman" w:hAnsi="Times New Roman"/>
          <w:sz w:val="28"/>
          <w:szCs w:val="28"/>
          <w:lang w:val="uk-UA" w:eastAsia="ru-RU"/>
        </w:rPr>
        <w:t xml:space="preserve">. – 2021. – Режим доступу до ресурсу: </w:t>
      </w:r>
      <w:hyperlink r:id="rId21">
        <w:r>
          <w:rPr>
            <w:rFonts w:eastAsia="Times New Roman" w:cs="Times New Roman" w:ascii="Times New Roman" w:hAnsi="Times New Roman"/>
            <w:sz w:val="28"/>
            <w:szCs w:val="28"/>
            <w:lang w:eastAsia="ru-RU"/>
          </w:rPr>
          <w:t>https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www</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goldmansachs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com</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insights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archive</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millennials</w:t>
        </w:r>
        <w:r>
          <w:rPr>
            <w:rFonts w:eastAsia="Times New Roman" w:cs="Times New Roman" w:ascii="Times New Roman" w:hAnsi="Times New Roman"/>
            <w:sz w:val="28"/>
            <w:szCs w:val="28"/>
            <w:lang w:val="uk-UA" w:eastAsia="ru-RU"/>
          </w:rPr>
          <w:t>/</w:t>
        </w:r>
      </w:hyperlink>
      <w:r>
        <w:rPr>
          <w:rFonts w:eastAsia="Times New Roman" w:cs="Times New Roman" w:ascii="Times New Roman" w:hAnsi="Times New Roman"/>
          <w:sz w:val="28"/>
          <w:szCs w:val="28"/>
          <w:lang w:val="uk-UA"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Ramos F. Accessing the determinants of behavioral intention to adopt fintech services among the millennial generation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Filipe Ramos. – 2017.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2">
        <w:r>
          <w:rPr>
            <w:rFonts w:eastAsia="Times New Roman" w:cs="Times New Roman" w:ascii="Times New Roman" w:hAnsi="Times New Roman"/>
            <w:sz w:val="28"/>
            <w:szCs w:val="28"/>
            <w:lang w:val="en-US" w:eastAsia="ru-RU"/>
          </w:rPr>
          <w:t>https://www.semanticscholar.org/paper/Accessing-the-determinants-of-behavioral-intention-Ramos/bbc22583930087a8d8d237243ce2b06420374511</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Klapper L. GLOBAL FINANCIAL LITERACY SURVEY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L. Klapper, A. Lusardi, P. Oudheusden // World Bank Development Research Group. – 2019.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3">
        <w:r>
          <w:rPr>
            <w:rFonts w:eastAsia="Times New Roman" w:cs="Times New Roman" w:ascii="Times New Roman" w:hAnsi="Times New Roman"/>
            <w:sz w:val="28"/>
            <w:szCs w:val="28"/>
            <w:lang w:val="en-US" w:eastAsia="ru-RU"/>
          </w:rPr>
          <w:t>https://gflec.org/wp-content/uploads/2015/11/3313-Finlit_Report_FINAL-5.11.16.pdf?x28160</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Nawayseh M. FinTech in COVID-19 and Beyond: What Factors Are Affecting Customers’ Choice of FinTech Applications?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Mohammad K. Al Nawayseh // J. Open Innov. Technol. </w:t>
      </w:r>
      <w:r>
        <w:rPr>
          <w:rFonts w:eastAsia="Times New Roman" w:cs="Times New Roman" w:ascii="Times New Roman" w:hAnsi="Times New Roman"/>
          <w:sz w:val="28"/>
          <w:szCs w:val="28"/>
          <w:lang w:eastAsia="ru-RU"/>
        </w:rPr>
        <w:t xml:space="preserve">Mark. Complex., 6(4). – 2020. – Режим доступу до ресурсу: </w:t>
      </w:r>
      <w:hyperlink r:id="rId24">
        <w:r>
          <w:rPr>
            <w:rFonts w:eastAsia="Times New Roman" w:cs="Times New Roman" w:ascii="Times New Roman" w:hAnsi="Times New Roman"/>
            <w:sz w:val="28"/>
            <w:szCs w:val="28"/>
            <w:lang w:eastAsia="ru-RU"/>
          </w:rPr>
          <w:t>https://www.mdpi.com/2199-8531/6/4/153</w:t>
        </w:r>
      </w:hyperlink>
      <w:r>
        <w:rPr>
          <w:rFonts w:eastAsia="Times New Roman" w:cs="Times New Roman" w:ascii="Times New Roman" w:hAnsi="Times New Roman"/>
          <w:sz w:val="28"/>
          <w:szCs w:val="28"/>
          <w:lang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val="en-US" w:eastAsia="ru-RU"/>
        </w:rPr>
        <w:t>Shubhangi S. What drives FinTech adoption? A multi-method evaluation using an adapted technology acceptance model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S. Shubhangi, M. Sahni, R. Kovid // Management Decision 58: 1675-1697.. – 2020.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5">
        <w:r>
          <w:rPr>
            <w:rFonts w:eastAsia="Times New Roman" w:cs="Times New Roman" w:ascii="Times New Roman" w:hAnsi="Times New Roman"/>
            <w:sz w:val="28"/>
            <w:szCs w:val="28"/>
            <w:lang w:val="en-US" w:eastAsia="ru-RU"/>
          </w:rPr>
          <w:t>https://www.semanticscholar.org/paper/What-drives-FinTech-adoption-A-multi-method-using-Singh-Sahni/7ed27be91dd01f1cb2ef5429bcaa9212d12949f0</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Ryu H. What makes users willing or hesitant to use Fintech?: the moderating effect of user type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Hyun-Sun Ryu // Industrial Management &amp; Data Systems. – 2018.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6">
        <w:r>
          <w:rPr>
            <w:rFonts w:eastAsia="Times New Roman" w:cs="Times New Roman" w:ascii="Times New Roman" w:hAnsi="Times New Roman"/>
            <w:sz w:val="28"/>
            <w:szCs w:val="28"/>
            <w:lang w:val="en-US" w:eastAsia="ru-RU"/>
          </w:rPr>
          <w:t>https://www.emerald.com/insight/content/doi/10.1108/IMDS-07-2017-0325/full/html</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Hyland L. An application of behavioural finance in banking: The Discovery Bank case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L. Hyland, A. Sebastian, Y. Seetharam // Journal of Economic and Financial Sciences 14(1).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7">
        <w:r>
          <w:rPr>
            <w:rFonts w:eastAsia="Times New Roman" w:cs="Times New Roman" w:ascii="Times New Roman" w:hAnsi="Times New Roman"/>
            <w:sz w:val="28"/>
            <w:szCs w:val="28"/>
            <w:lang w:val="en-US" w:eastAsia="ru-RU"/>
          </w:rPr>
          <w:t>https://www.researchgate.net/publication/349564459_An_application_of_behavioural_finance_in_banking_The_Discovery_Bank_case</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Tsaran Oleksandr, Bychkova Nataliia. Application of behavioral finance in the banking sector // VI Всеукраїнська мультидисциплінарна науково-практична Інтернет-конференція «Наукові підсумки року: досягнення, проекти, перспективи» м. Львів, 28 грудня 2021 року [у друці].</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D’Angelo E. Is the Lending Decision-Making Process Affected by Behavioral Biases? —Evidence from Southern Italy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E. D’Angelo, M. Mustilli, R. Piccolo // Modern Economy, 9, 160-173. – 2018.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8">
        <w:r>
          <w:rPr>
            <w:rFonts w:eastAsia="Times New Roman" w:cs="Times New Roman" w:ascii="Times New Roman" w:hAnsi="Times New Roman"/>
            <w:sz w:val="28"/>
            <w:szCs w:val="28"/>
            <w:lang w:val="en-US" w:eastAsia="ru-RU"/>
          </w:rPr>
          <w:t>https://www.scirp.org/pdf/ME_2018011714115510.pdf</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Burietz A. Better the devil you know: Home and sectoral biases in bank lending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A. Burietz, L. Ureche-Rangau // International Economics Volume 164, Pages 69-85. – 2020.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29">
        <w:r>
          <w:rPr>
            <w:rFonts w:eastAsia="Times New Roman" w:cs="Times New Roman" w:ascii="Times New Roman" w:hAnsi="Times New Roman"/>
            <w:sz w:val="28"/>
            <w:szCs w:val="28"/>
            <w:lang w:val="en-US" w:eastAsia="ru-RU"/>
          </w:rPr>
          <w:t>https://www.sciencedirect.com/science/article/abs/pii/S2110701720302638?via%3Dihub</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eastAsia="ru-RU"/>
        </w:rPr>
        <w:t xml:space="preserve">Ломачинська І. А. ПОВЕДІНКОВА ЕКОНОМІКА ТА ЇЇ ВПЛИВ НА РОЗВИТОК БАНКІНГУ [Електронний ресурс] / І. А. Ломачинська, Я. П. Кесарь // БІЗНЕС-НАВІГАТОР, Випуск 6.1-1 (56). – 2019. – Режим доступу до ресурсу: </w:t>
      </w:r>
      <w:hyperlink r:id="rId30">
        <w:r>
          <w:rPr>
            <w:rFonts w:eastAsia="Times New Roman" w:cs="Times New Roman" w:ascii="Times New Roman" w:hAnsi="Times New Roman"/>
            <w:sz w:val="28"/>
            <w:szCs w:val="28"/>
            <w:lang w:eastAsia="ru-RU"/>
          </w:rPr>
          <w:t>http://dspace.onu.edu.ua:8080/bitstream/123456789/27320/1/13-18.pdf</w:t>
        </w:r>
      </w:hyperlink>
      <w:r>
        <w:rPr>
          <w:rFonts w:eastAsia="Times New Roman" w:cs="Times New Roman" w:ascii="Times New Roman" w:hAnsi="Times New Roman"/>
          <w:sz w:val="28"/>
          <w:szCs w:val="28"/>
          <w:lang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val="en-US" w:eastAsia="ru-RU"/>
        </w:rPr>
        <w:t>Assets under management of selected robo-advisors globally 2021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Statista.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1">
        <w:r>
          <w:rPr>
            <w:rFonts w:eastAsia="Times New Roman" w:cs="Times New Roman" w:ascii="Times New Roman" w:hAnsi="Times New Roman"/>
            <w:sz w:val="28"/>
            <w:szCs w:val="28"/>
            <w:lang w:val="en-US" w:eastAsia="ru-RU"/>
          </w:rPr>
          <w:t>https://www.statista.com/statistics/573291/aum-of-selected-robo-advisors-globally/</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Ionescu R. Behavioral Finance and the Fast Evolving World of Fintech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R. Ionescu, D. Rădulescu // Economic Insights – Trends and Challenges. – 2019.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2">
        <w:r>
          <w:rPr>
            <w:rFonts w:eastAsia="Times New Roman" w:cs="Times New Roman" w:ascii="Times New Roman" w:hAnsi="Times New Roman"/>
            <w:sz w:val="28"/>
            <w:szCs w:val="28"/>
            <w:lang w:val="en-US" w:eastAsia="ru-RU"/>
          </w:rPr>
          <w:t>https://upg-bulletin-se.ro/wp-content/uploads/2020/05/5.Ionescu_Radulescu-4-2019.pdf</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Tabbaa B. The Rise and Fall of Knight Capital — Buy High, Sell Low. Rinse and Repeat.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Bishr Tabbaa // Medium. – 2018.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3">
        <w:r>
          <w:rPr>
            <w:rFonts w:eastAsia="Times New Roman" w:cs="Times New Roman" w:ascii="Times New Roman" w:hAnsi="Times New Roman"/>
            <w:sz w:val="28"/>
            <w:szCs w:val="28"/>
            <w:lang w:val="en-US" w:eastAsia="ru-RU"/>
          </w:rPr>
          <w:t>https://medium.com/dataseries/the-rise-and-fall-of-knight-capital-buy-high-sell-low-rinse-and-repeat-ae17fae780f6</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CAMPBELL R. The Volatility Index: Reading Market Sentiment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RYAN CAMPBELL // Investopedia.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4">
        <w:r>
          <w:rPr>
            <w:rFonts w:eastAsia="Times New Roman" w:cs="Times New Roman" w:ascii="Times New Roman" w:hAnsi="Times New Roman"/>
            <w:sz w:val="28"/>
            <w:szCs w:val="28"/>
            <w:lang w:val="en-US" w:eastAsia="ru-RU"/>
          </w:rPr>
          <w:t>https://www.investopedia.com/articles/optioninvestor/09/implied-volatility-contrary-indicator.asp</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Царан О.С., Бичкова Н.В. Аналіз впливу індексу «страху» інвесторів на</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макроекономічні показники США // Науково-практичний</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журнал</w:t>
      </w:r>
      <w:r>
        <w:rPr>
          <w:rFonts w:eastAsia="Times New Roman" w:cs="Times New Roman" w:ascii="Times New Roman" w:hAnsi="Times New Roman"/>
          <w:sz w:val="28"/>
          <w:szCs w:val="28"/>
          <w:lang w:val="en-US" w:eastAsia="ru-RU"/>
        </w:rPr>
        <w:t> </w:t>
      </w:r>
      <w:r>
        <w:rPr>
          <w:rFonts w:eastAsia="Times New Roman" w:cs="Times New Roman" w:ascii="Times New Roman" w:hAnsi="Times New Roman"/>
          <w:sz w:val="28"/>
          <w:szCs w:val="28"/>
          <w:lang w:eastAsia="ru-RU"/>
        </w:rPr>
        <w:t>«Економічні студії»,</w:t>
      </w:r>
      <w:r>
        <w:rPr>
          <w:rFonts w:eastAsia="Times New Roman" w:cs="Times New Roman" w:ascii="Times New Roman" w:hAnsi="Times New Roman"/>
          <w:sz w:val="28"/>
          <w:szCs w:val="28"/>
          <w:lang w:val="en-US" w:eastAsia="ru-RU"/>
        </w:rPr>
        <w:t> </w:t>
      </w:r>
      <w:r>
        <w:rPr>
          <w:rFonts w:eastAsia="Times New Roman" w:cs="Times New Roman" w:ascii="Times New Roman" w:hAnsi="Times New Roman"/>
          <w:sz w:val="28"/>
          <w:szCs w:val="28"/>
          <w:lang w:eastAsia="ru-RU"/>
        </w:rPr>
        <w:t>Випуск 4(34) грудень 2021 р [у друці]</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 xml:space="preserve"> </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Srikant D. VIX as a Companion for Hedge Fund Portfolios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D. Srikant, M. Moran // The Journal of Alternative Investments , 8 (3) 75-80. – 2005.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5">
        <w:r>
          <w:rPr>
            <w:rFonts w:eastAsia="Times New Roman" w:cs="Times New Roman" w:ascii="Times New Roman" w:hAnsi="Times New Roman"/>
            <w:sz w:val="28"/>
            <w:szCs w:val="28"/>
            <w:lang w:val="en-US" w:eastAsia="ru-RU"/>
          </w:rPr>
          <w:t>https://jai.pm-research.com/content/8/3/75</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Bańbuła P. Early Warning Models of Banking Crises: VIX and High Profits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P. Bańbuła, M. Pietrzak // dditional contact information Central European Journal of Economic Modelling and Econometrics, vol. 13, issue 4, 381-403.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6">
        <w:r>
          <w:rPr>
            <w:rFonts w:eastAsia="Times New Roman" w:cs="Times New Roman" w:ascii="Times New Roman" w:hAnsi="Times New Roman"/>
            <w:sz w:val="28"/>
            <w:szCs w:val="28"/>
            <w:lang w:val="en-US" w:eastAsia="ru-RU"/>
          </w:rPr>
          <w:t>https://econpapers.repec.org/article/pscjournl/v_3a13_3ay_3a2021_3ai_3a4_3ap_3a381-403.htm</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Fenghua W. The effects of foreign uncertainty shocks on China’s macro-economy: Empirical evidence from a nonlinear ARDL model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W. Fenghua, X. Yilin, W. Haiquan // " Physica A: Statistical Mechanics and its Applications, Elsevier, vol. 532(C. – 2019.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7">
        <w:r>
          <w:rPr>
            <w:rFonts w:eastAsia="Times New Roman" w:cs="Times New Roman" w:ascii="Times New Roman" w:hAnsi="Times New Roman"/>
            <w:sz w:val="28"/>
            <w:szCs w:val="28"/>
            <w:lang w:val="en-US" w:eastAsia="ru-RU"/>
          </w:rPr>
          <w:t>https://ideas.repec.org/a/eee/phsmap/v532y2019ics0378437119311082.html</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Padjen S. The Impact of Scheduled Macroeconomic News Releases on Stock Market Uncertainty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Stefan Padjen // GUPEA. – 2021.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8">
        <w:r>
          <w:rPr>
            <w:rFonts w:eastAsia="Times New Roman" w:cs="Times New Roman" w:ascii="Times New Roman" w:hAnsi="Times New Roman"/>
            <w:sz w:val="28"/>
            <w:szCs w:val="28"/>
            <w:lang w:val="en-US" w:eastAsia="ru-RU"/>
          </w:rPr>
          <w:t>https://gupea.ub.gu.se/handle/2077/69504</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val="en-US" w:eastAsia="ru-RU"/>
        </w:rPr>
        <w:t>Country - USA. Consumer Price Index, Rate of Unemployment, Balance of Payments, Gross Debt, Exchange Rate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World Bank Group Databa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39">
        <w:r>
          <w:rPr>
            <w:rFonts w:eastAsia="Times New Roman" w:cs="Times New Roman" w:ascii="Times New Roman" w:hAnsi="Times New Roman"/>
            <w:sz w:val="28"/>
            <w:szCs w:val="28"/>
            <w:lang w:val="en-US" w:eastAsia="ru-RU"/>
          </w:rPr>
          <w:t>https://www.worldbank.org/en/home</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VIX</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index</w:t>
      </w:r>
      <w:r>
        <w:rPr>
          <w:rFonts w:eastAsia="Times New Roman" w:cs="Times New Roman" w:ascii="Times New Roman" w:hAnsi="Times New Roman"/>
          <w:sz w:val="28"/>
          <w:szCs w:val="28"/>
          <w:lang w:val="uk-UA" w:eastAsia="ru-RU"/>
        </w:rPr>
        <w:t xml:space="preserve"> [Електронний ресурс] // </w:t>
      </w:r>
      <w:r>
        <w:rPr>
          <w:rFonts w:eastAsia="Times New Roman" w:cs="Times New Roman" w:ascii="Times New Roman" w:hAnsi="Times New Roman"/>
          <w:sz w:val="28"/>
          <w:szCs w:val="28"/>
          <w:lang w:eastAsia="ru-RU"/>
        </w:rPr>
        <w:t>Refinitiv</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Thomson</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Reuters</w:t>
      </w:r>
      <w:r>
        <w:rPr>
          <w:rFonts w:eastAsia="Times New Roman" w:cs="Times New Roman" w:ascii="Times New Roman" w:hAnsi="Times New Roman"/>
          <w:sz w:val="28"/>
          <w:szCs w:val="28"/>
          <w:lang w:val="uk-UA" w:eastAsia="ru-RU"/>
        </w:rPr>
        <w:t xml:space="preserve"> – Режим доступу до ресурсу: </w:t>
      </w:r>
      <w:hyperlink r:id="rId40">
        <w:r>
          <w:rPr>
            <w:rFonts w:eastAsia="Times New Roman" w:cs="Times New Roman" w:ascii="Times New Roman" w:hAnsi="Times New Roman"/>
            <w:sz w:val="28"/>
            <w:szCs w:val="28"/>
            <w:lang w:eastAsia="ru-RU"/>
          </w:rPr>
          <w:t>https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emea</w:t>
        </w:r>
        <w:r>
          <w:rPr>
            <w:rFonts w:eastAsia="Times New Roman" w:cs="Times New Roman" w:ascii="Times New Roman" w:hAnsi="Times New Roman"/>
            <w:sz w:val="28"/>
            <w:szCs w:val="28"/>
            <w:lang w:val="uk-UA" w:eastAsia="ru-RU"/>
          </w:rPr>
          <w:t>1.</w:t>
        </w:r>
        <w:r>
          <w:rPr>
            <w:rFonts w:eastAsia="Times New Roman" w:cs="Times New Roman" w:ascii="Times New Roman" w:hAnsi="Times New Roman"/>
            <w:sz w:val="28"/>
            <w:szCs w:val="28"/>
            <w:lang w:eastAsia="ru-RU"/>
          </w:rPr>
          <w:t>apps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cp</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thomsonreuters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com</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web</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Apps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Homepage</w:t>
        </w:r>
        <w:r>
          <w:rPr>
            <w:rFonts w:eastAsia="Times New Roman" w:cs="Times New Roman" w:ascii="Times New Roman" w:hAnsi="Times New Roman"/>
            <w:sz w:val="28"/>
            <w:szCs w:val="28"/>
            <w:lang w:val="uk-UA" w:eastAsia="ru-RU"/>
          </w:rPr>
          <w:t>/</w:t>
        </w:r>
      </w:hyperlink>
      <w:r>
        <w:rPr>
          <w:rFonts w:eastAsia="Times New Roman" w:cs="Times New Roman" w:ascii="Times New Roman" w:hAnsi="Times New Roman"/>
          <w:sz w:val="28"/>
          <w:szCs w:val="28"/>
          <w:lang w:val="uk-UA"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en-US" w:eastAsia="ru-RU"/>
        </w:rPr>
        <w:t>Shkvarchuk L. The Financial Behavior of Households in Ukraine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L. Shkvarchuk, R. Slav’yuk // Journal of Competitiveness 11(3):144-159. – 2019.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41">
        <w:r>
          <w:rPr>
            <w:rFonts w:eastAsia="Times New Roman" w:cs="Times New Roman" w:ascii="Times New Roman" w:hAnsi="Times New Roman"/>
            <w:sz w:val="28"/>
            <w:szCs w:val="28"/>
            <w:lang w:val="en-US" w:eastAsia="ru-RU"/>
          </w:rPr>
          <w:t>https://www.researchgate.net/publication/336343301_The_Financial_Behavior_of_Households_in_Ukraine</w:t>
        </w:r>
      </w:hyperlink>
      <w:r>
        <w:rPr>
          <w:rFonts w:eastAsia="Times New Roman" w:cs="Times New Roman" w:ascii="Times New Roman" w:hAnsi="Times New Roman"/>
          <w:sz w:val="28"/>
          <w:szCs w:val="28"/>
          <w:lang w:val="en-US"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Zhuk M. MACROECONOMIC DETERMINANTS OF HOUSEHOLD SAVINGS IN UKRAINE [</w:t>
      </w:r>
      <w:r>
        <w:rPr>
          <w:rFonts w:eastAsia="Times New Roman" w:cs="Times New Roman" w:ascii="Times New Roman" w:hAnsi="Times New Roman"/>
          <w:sz w:val="28"/>
          <w:szCs w:val="28"/>
          <w:lang w:eastAsia="ru-RU"/>
        </w:rPr>
        <w:t>Електронний</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w:t>
      </w:r>
      <w:r>
        <w:rPr>
          <w:rFonts w:eastAsia="Times New Roman" w:cs="Times New Roman" w:ascii="Times New Roman" w:hAnsi="Times New Roman"/>
          <w:sz w:val="28"/>
          <w:szCs w:val="28"/>
          <w:lang w:val="en-US" w:eastAsia="ru-RU"/>
        </w:rPr>
        <w:t xml:space="preserve">] / Mykola Zhuk // ECONOMICS &amp; SOCIOLOGY, Vol. 8, No 3. – 2015. – </w:t>
      </w:r>
      <w:r>
        <w:rPr>
          <w:rFonts w:eastAsia="Times New Roman" w:cs="Times New Roman" w:ascii="Times New Roman" w:hAnsi="Times New Roman"/>
          <w:sz w:val="28"/>
          <w:szCs w:val="28"/>
          <w:lang w:eastAsia="ru-RU"/>
        </w:rPr>
        <w:t>Режим</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доступу</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до</w:t>
      </w: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ресурсу</w:t>
      </w:r>
      <w:r>
        <w:rPr>
          <w:rFonts w:eastAsia="Times New Roman" w:cs="Times New Roman" w:ascii="Times New Roman" w:hAnsi="Times New Roman"/>
          <w:sz w:val="28"/>
          <w:szCs w:val="28"/>
          <w:lang w:val="en-US" w:eastAsia="ru-RU"/>
        </w:rPr>
        <w:t xml:space="preserve">: </w:t>
      </w:r>
      <w:hyperlink r:id="rId42">
        <w:r>
          <w:rPr>
            <w:rFonts w:eastAsia="Times New Roman" w:cs="Times New Roman" w:ascii="Times New Roman" w:hAnsi="Times New Roman"/>
            <w:sz w:val="28"/>
            <w:szCs w:val="28"/>
            <w:lang w:val="en-US" w:eastAsia="ru-RU"/>
          </w:rPr>
          <w:t>https://www.economics-sociology.eu/?346,en_macroeconomic-determinants-of-household-savings-in-ukraine</w:t>
        </w:r>
      </w:hyperlink>
      <w:r>
        <w:rPr>
          <w:rFonts w:eastAsia="Times New Roman" w:cs="Times New Roman" w:ascii="Times New Roman" w:hAnsi="Times New Roman"/>
          <w:sz w:val="28"/>
          <w:szCs w:val="28"/>
          <w:lang w:val="en-US" w:eastAsia="ru-RU"/>
        </w:rPr>
        <w:t>.</w:t>
      </w:r>
      <w:r>
        <w:rPr>
          <w:rFonts w:eastAsia="Times New Roman" w:cs="Times New Roman" w:ascii="Times New Roman" w:hAnsi="Times New Roman"/>
          <w:sz w:val="28"/>
          <w:szCs w:val="28"/>
          <w:lang w:val="uk-UA" w:eastAsia="ru-RU"/>
        </w:rPr>
        <w:t xml:space="preserve"> </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en-US" w:eastAsia="ru-RU"/>
        </w:rPr>
        <w:t xml:space="preserve"> </w:t>
      </w:r>
      <w:r>
        <w:rPr>
          <w:rFonts w:eastAsia="Times New Roman" w:cs="Times New Roman" w:ascii="Times New Roman" w:hAnsi="Times New Roman"/>
          <w:sz w:val="28"/>
          <w:szCs w:val="28"/>
          <w:lang w:eastAsia="ru-RU"/>
        </w:rPr>
        <w:t xml:space="preserve">Дані статистики фінансового сектору [Електронний ресурс] // Національний банк України. – 2021. – Режим доступу до ресурсу: </w:t>
      </w:r>
      <w:hyperlink r:id="rId43">
        <w:r>
          <w:rPr>
            <w:rFonts w:eastAsia="Times New Roman" w:cs="Times New Roman" w:ascii="Times New Roman" w:hAnsi="Times New Roman"/>
            <w:sz w:val="28"/>
            <w:szCs w:val="28"/>
            <w:lang w:eastAsia="ru-RU"/>
          </w:rPr>
          <w:t>https://bank.gov.ua/ua/statistic/sector-financial/data-sector-financial</w:t>
        </w:r>
      </w:hyperlink>
      <w:r>
        <w:rPr>
          <w:rFonts w:eastAsia="Times New Roman" w:cs="Times New Roman" w:ascii="Times New Roman" w:hAnsi="Times New Roman"/>
          <w:sz w:val="28"/>
          <w:szCs w:val="28"/>
          <w:lang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Курс валют в Україні</w:t>
      </w:r>
      <w:r>
        <w:rPr>
          <w:rFonts w:eastAsia="Times New Roman" w:cs="Times New Roman" w:ascii="Times New Roman" w:hAnsi="Times New Roman"/>
          <w:sz w:val="28"/>
          <w:szCs w:val="28"/>
          <w:lang w:val="uk-UA" w:eastAsia="ru-RU"/>
        </w:rPr>
        <w:t>. Долар</w:t>
      </w:r>
      <w:r>
        <w:rPr>
          <w:rFonts w:eastAsia="Times New Roman" w:cs="Times New Roman" w:ascii="Times New Roman" w:hAnsi="Times New Roman"/>
          <w:sz w:val="28"/>
          <w:szCs w:val="28"/>
          <w:lang w:eastAsia="ru-RU"/>
        </w:rPr>
        <w:t xml:space="preserve"> [Електронний ресурс] // МінФін. – 2021. – Режим доступу до ресурсу: </w:t>
      </w:r>
      <w:hyperlink r:id="rId44">
        <w:r>
          <w:rPr>
            <w:rFonts w:eastAsia="Times New Roman" w:cs="Times New Roman" w:ascii="Times New Roman" w:hAnsi="Times New Roman"/>
            <w:sz w:val="28"/>
            <w:szCs w:val="28"/>
            <w:lang w:eastAsia="ru-RU"/>
          </w:rPr>
          <w:t>https://minfin.com.ua/currency/</w:t>
        </w:r>
        <w:r>
          <w:rPr>
            <w:rFonts w:eastAsia="Times New Roman" w:cs="Times New Roman" w:ascii="Times New Roman" w:hAnsi="Times New Roman"/>
            <w:sz w:val="28"/>
            <w:szCs w:val="28"/>
            <w:lang w:val="en-US" w:eastAsia="ru-RU"/>
          </w:rPr>
          <w:t>usd</w:t>
        </w:r>
      </w:hyperlink>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uk-UA" w:eastAsia="ru-RU"/>
        </w:rPr>
        <w:t xml:space="preserve"> </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eastAsia="ru-RU"/>
        </w:rPr>
        <w:t>Курс валют в Україні</w:t>
      </w:r>
      <w:r>
        <w:rPr>
          <w:rFonts w:eastAsia="Times New Roman" w:cs="Times New Roman" w:ascii="Times New Roman" w:hAnsi="Times New Roman"/>
          <w:sz w:val="28"/>
          <w:szCs w:val="28"/>
          <w:lang w:val="uk-UA" w:eastAsia="ru-RU"/>
        </w:rPr>
        <w:t>. Євро</w:t>
      </w:r>
      <w:r>
        <w:rPr>
          <w:rFonts w:eastAsia="Times New Roman" w:cs="Times New Roman" w:ascii="Times New Roman" w:hAnsi="Times New Roman"/>
          <w:sz w:val="28"/>
          <w:szCs w:val="28"/>
          <w:lang w:eastAsia="ru-RU"/>
        </w:rPr>
        <w:t xml:space="preserve"> [Електронний ресурс] // МінФін. – 2021. – Режим доступу до ресурсу: </w:t>
      </w:r>
      <w:hyperlink r:id="rId45">
        <w:r>
          <w:rPr>
            <w:rFonts w:eastAsia="Times New Roman" w:cs="Times New Roman" w:ascii="Times New Roman" w:hAnsi="Times New Roman"/>
            <w:sz w:val="28"/>
            <w:szCs w:val="28"/>
            <w:lang w:eastAsia="ru-RU"/>
          </w:rPr>
          <w:t>https://minfin.com.ua/currency/</w:t>
        </w:r>
        <w:r>
          <w:rPr>
            <w:rFonts w:eastAsia="Times New Roman" w:cs="Times New Roman" w:ascii="Times New Roman" w:hAnsi="Times New Roman"/>
            <w:sz w:val="28"/>
            <w:szCs w:val="28"/>
            <w:lang w:val="en-US" w:eastAsia="ru-RU"/>
          </w:rPr>
          <w:t>eur</w:t>
        </w:r>
      </w:hyperlink>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uk-UA" w:eastAsia="ru-RU"/>
        </w:rPr>
        <w:t xml:space="preserve"> </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Global</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Findex</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Database</w:t>
      </w:r>
      <w:r>
        <w:rPr>
          <w:rFonts w:eastAsia="Times New Roman" w:cs="Times New Roman" w:ascii="Times New Roman" w:hAnsi="Times New Roman"/>
          <w:sz w:val="28"/>
          <w:szCs w:val="28"/>
          <w:lang w:val="uk-UA" w:eastAsia="ru-RU"/>
        </w:rPr>
        <w:t xml:space="preserve"> [Електронний ресурс] // </w:t>
      </w:r>
      <w:r>
        <w:rPr>
          <w:rFonts w:eastAsia="Times New Roman" w:cs="Times New Roman" w:ascii="Times New Roman" w:hAnsi="Times New Roman"/>
          <w:sz w:val="28"/>
          <w:szCs w:val="28"/>
          <w:lang w:eastAsia="ru-RU"/>
        </w:rPr>
        <w:t>World</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Bank</w:t>
      </w: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Group</w:t>
      </w:r>
      <w:r>
        <w:rPr>
          <w:rFonts w:eastAsia="Times New Roman" w:cs="Times New Roman" w:ascii="Times New Roman" w:hAnsi="Times New Roman"/>
          <w:sz w:val="28"/>
          <w:szCs w:val="28"/>
          <w:lang w:val="uk-UA" w:eastAsia="ru-RU"/>
        </w:rPr>
        <w:t xml:space="preserve">. – 2017. – Режим доступу до ресурсу: </w:t>
      </w:r>
      <w:hyperlink r:id="rId46">
        <w:r>
          <w:rPr>
            <w:rFonts w:eastAsia="Times New Roman" w:cs="Times New Roman" w:ascii="Times New Roman" w:hAnsi="Times New Roman"/>
            <w:sz w:val="28"/>
            <w:szCs w:val="28"/>
            <w:lang w:eastAsia="ru-RU"/>
          </w:rPr>
          <w:t>https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globalfindex</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worldbank</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org</w:t>
        </w:r>
        <w:r>
          <w:rPr>
            <w:rFonts w:eastAsia="Times New Roman" w:cs="Times New Roman" w:ascii="Times New Roman" w:hAnsi="Times New Roman"/>
            <w:sz w:val="28"/>
            <w:szCs w:val="28"/>
            <w:lang w:val="uk-UA" w:eastAsia="ru-RU"/>
          </w:rPr>
          <w:t>/</w:t>
        </w:r>
      </w:hyperlink>
      <w:r>
        <w:rPr>
          <w:rFonts w:eastAsia="Times New Roman" w:cs="Times New Roman" w:ascii="Times New Roman" w:hAnsi="Times New Roman"/>
          <w:sz w:val="28"/>
          <w:szCs w:val="28"/>
          <w:lang w:val="uk-UA" w:eastAsia="ru-RU"/>
        </w:rPr>
        <w:t>.</w:t>
      </w:r>
    </w:p>
    <w:p>
      <w:pPr>
        <w:pStyle w:val="ListParagraph"/>
        <w:numPr>
          <w:ilvl w:val="0"/>
          <w:numId w:val="2"/>
        </w:numPr>
        <w:spacing w:lineRule="auto" w:line="360" w:before="0" w:after="0"/>
        <w:ind w:left="720" w:right="57" w:hanging="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eastAsia="ru-RU"/>
        </w:rPr>
        <w:t xml:space="preserve">Каталог ФінТех-компаній України [Електронний ресурс] // Національний банк України. – 2019. – Режим доступу до ресурсу: </w:t>
      </w:r>
      <w:hyperlink r:id="rId47">
        <w:r>
          <w:rPr>
            <w:rFonts w:eastAsia="Times New Roman" w:cs="Times New Roman" w:ascii="Times New Roman" w:hAnsi="Times New Roman"/>
            <w:sz w:val="28"/>
            <w:szCs w:val="28"/>
            <w:lang w:eastAsia="ru-RU"/>
          </w:rPr>
          <w:t>https://drive.fintechua.org/FintechCatalog19Ukr.pdf</w:t>
        </w:r>
      </w:hyperlink>
      <w:r>
        <w:rPr>
          <w:rFonts w:eastAsia="Times New Roman" w:cs="Times New Roman" w:ascii="Times New Roman" w:hAnsi="Times New Roman"/>
          <w:sz w:val="28"/>
          <w:szCs w:val="28"/>
          <w:lang w:eastAsia="ru-RU"/>
        </w:rPr>
        <w:t>.</w:t>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hanging="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right="57"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r>
    </w:p>
    <w:sectPr>
      <w:headerReference w:type="default" r:id="rId48"/>
      <w:type w:val="nextPage"/>
      <w:pgSz w:w="11906" w:h="16838"/>
      <w:pgMar w:left="1701" w:right="567" w:header="709" w:top="1134" w:footer="0" w:bottom="1418"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imes New Roman">
    <w:charset w:val="cc"/>
    <w:family w:val="roman"/>
    <w:pitch w:val="variable"/>
  </w:font>
  <w:font w:name="Consolas">
    <w:charset w:val="cc"/>
    <w:family w:val="roman"/>
    <w:pitch w:val="variable"/>
  </w:font>
  <w:font w:name="Tahoma">
    <w:charset w:val="cc"/>
    <w:family w:val="roman"/>
    <w:pitch w:val="variable"/>
  </w:font>
  <w:font w:name="Segoe UI">
    <w:charset w:val="cc"/>
    <w:family w:val="roman"/>
    <w:pitch w:val="variable"/>
  </w:font>
  <w:font w:name="Liberation Sans">
    <w:altName w:val="Arial"/>
    <w:charset w:val="cc"/>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67730631"/>
    </w:sdtPr>
    <w:sdtContent>
      <w:p>
        <w:pPr>
          <w:pStyle w:val="Style25"/>
          <w:jc w:val="right"/>
          <w:rPr/>
        </w:pPr>
        <w:r>
          <w:rPr/>
          <w:fldChar w:fldCharType="begin"/>
        </w:r>
        <w:r>
          <w:rPr/>
          <w:instrText> PAGE </w:instrText>
        </w:r>
        <w:r>
          <w:rPr/>
          <w:fldChar w:fldCharType="separate"/>
        </w:r>
        <w:r>
          <w:rPr/>
          <w:t>19</w:t>
        </w:r>
        <w:r>
          <w:rPr/>
          <w:fldChar w:fldCharType="end"/>
        </w:r>
      </w:p>
    </w:sdtContent>
  </w:sdt>
  <w:p>
    <w:pPr>
      <w:pStyle w:val="Style25"/>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492" w:hanging="492"/>
      </w:pPr>
    </w:lvl>
    <w:lvl w:ilvl="1">
      <w:start w:val="1"/>
      <w:numFmt w:val="decimal"/>
      <w:lvlText w:val="%1.%2."/>
      <w:lvlJc w:val="left"/>
      <w:pPr>
        <w:tabs>
          <w:tab w:val="num" w:pos="0"/>
        </w:tabs>
        <w:ind w:left="0" w:hanging="0"/>
      </w:pPr>
      <w:rPr>
        <w:b w:val="false"/>
        <w:bCs w:val="false"/>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2">
    <w:lvl w:ilvl="0">
      <w:start w:val="1"/>
      <w:numFmt w:val="decimal"/>
      <w:lvlText w:val="%1."/>
      <w:lvlJc w:val="left"/>
      <w:pPr>
        <w:tabs>
          <w:tab w:val="num" w:pos="0"/>
        </w:tabs>
        <w:ind w:left="0" w:hanging="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lvl w:ilvl="0">
      <w:numFmt w:val="bullet"/>
      <w:lvlText w:val="-"/>
      <w:lvlJc w:val="left"/>
      <w:pPr>
        <w:tabs>
          <w:tab w:val="num" w:pos="0"/>
        </w:tabs>
        <w:ind w:left="1068" w:hanging="360"/>
      </w:pPr>
      <w:rPr>
        <w:rFonts w:ascii="Symbol" w:hAnsi="Symbol" w:cs="Symbol"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70"/>
  <w:defaultTabStop w:val="709"/>
  <w:autoHyphenation w:val="true"/>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c18d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link w:val="10"/>
    <w:uiPriority w:val="9"/>
    <w:qFormat/>
    <w:rsid w:val="001b6db6"/>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lang w:val="uk-UA"/>
    </w:rPr>
  </w:style>
  <w:style w:type="paragraph" w:styleId="3">
    <w:name w:val="Heading 3"/>
    <w:basedOn w:val="Normal"/>
    <w:next w:val="Normal"/>
    <w:link w:val="30"/>
    <w:uiPriority w:val="9"/>
    <w:semiHidden/>
    <w:unhideWhenUsed/>
    <w:qFormat/>
    <w:rsid w:val="001b6db6"/>
    <w:pPr>
      <w:keepNext w:val="true"/>
      <w:keepLines/>
      <w:spacing w:before="200" w:after="0"/>
      <w:outlineLvl w:val="2"/>
    </w:pPr>
    <w:rPr>
      <w:rFonts w:ascii="Cambria" w:hAnsi="Cambria" w:eastAsia="" w:cs="" w:asciiTheme="majorHAnsi" w:cstheme="majorBidi" w:eastAsiaTheme="majorEastAsia" w:hAnsiTheme="majorHAnsi"/>
      <w:b/>
      <w:bCs/>
      <w:color w:val="4F81BD" w:themeColor="accent1"/>
      <w:lang w:val="uk-UA"/>
    </w:rPr>
  </w:style>
  <w:style w:type="character" w:styleId="DefaultParagraphFont" w:default="1">
    <w:name w:val="Default Paragraph Font"/>
    <w:uiPriority w:val="1"/>
    <w:semiHidden/>
    <w:unhideWhenUsed/>
    <w:qFormat/>
    <w:rPr/>
  </w:style>
  <w:style w:type="character" w:styleId="Style12" w:customStyle="1">
    <w:name w:val="Основной текст Знак"/>
    <w:basedOn w:val="DefaultParagraphFont"/>
    <w:link w:val="a4"/>
    <w:qFormat/>
    <w:rsid w:val="005c18d0"/>
    <w:rPr>
      <w:rFonts w:ascii="Times New Roman" w:hAnsi="Times New Roman" w:eastAsia="SimSun" w:cs="Lucida Sans"/>
      <w:kern w:val="2"/>
      <w:sz w:val="24"/>
      <w:szCs w:val="24"/>
      <w:lang w:eastAsia="hi-IN" w:bidi="hi-IN"/>
    </w:rPr>
  </w:style>
  <w:style w:type="character" w:styleId="Style13">
    <w:name w:val="Интернет-ссылка"/>
    <w:basedOn w:val="DefaultParagraphFont"/>
    <w:uiPriority w:val="99"/>
    <w:unhideWhenUsed/>
    <w:rsid w:val="005c18d0"/>
    <w:rPr>
      <w:color w:val="0000FF"/>
      <w:u w:val="single"/>
    </w:rPr>
  </w:style>
  <w:style w:type="character" w:styleId="HTML" w:customStyle="1">
    <w:name w:val="Стандартный HTML Знак"/>
    <w:basedOn w:val="DefaultParagraphFont"/>
    <w:link w:val="HTML"/>
    <w:uiPriority w:val="99"/>
    <w:semiHidden/>
    <w:qFormat/>
    <w:rsid w:val="00e95c76"/>
    <w:rPr>
      <w:rFonts w:ascii="Consolas" w:hAnsi="Consolas"/>
      <w:sz w:val="20"/>
      <w:szCs w:val="20"/>
    </w:rPr>
  </w:style>
  <w:style w:type="character" w:styleId="11" w:customStyle="1">
    <w:name w:val="Заголовок 1 Знак"/>
    <w:basedOn w:val="DefaultParagraphFont"/>
    <w:link w:val="1"/>
    <w:uiPriority w:val="9"/>
    <w:qFormat/>
    <w:rsid w:val="001b6db6"/>
    <w:rPr>
      <w:rFonts w:ascii="Cambria" w:hAnsi="Cambria" w:eastAsia="" w:cs="" w:asciiTheme="majorHAnsi" w:cstheme="majorBidi" w:eastAsiaTheme="majorEastAsia" w:hAnsiTheme="majorHAnsi"/>
      <w:b/>
      <w:bCs/>
      <w:color w:val="365F91" w:themeColor="accent1" w:themeShade="bf"/>
      <w:sz w:val="28"/>
      <w:szCs w:val="28"/>
      <w:lang w:val="uk-UA"/>
    </w:rPr>
  </w:style>
  <w:style w:type="character" w:styleId="31" w:customStyle="1">
    <w:name w:val="Заголовок 3 Знак"/>
    <w:basedOn w:val="DefaultParagraphFont"/>
    <w:link w:val="3"/>
    <w:uiPriority w:val="9"/>
    <w:semiHidden/>
    <w:qFormat/>
    <w:rsid w:val="001b6db6"/>
    <w:rPr>
      <w:rFonts w:ascii="Cambria" w:hAnsi="Cambria" w:eastAsia="" w:cs="" w:asciiTheme="majorHAnsi" w:cstheme="majorBidi" w:eastAsiaTheme="majorEastAsia" w:hAnsiTheme="majorHAnsi"/>
      <w:b/>
      <w:bCs/>
      <w:color w:val="4F81BD" w:themeColor="accent1"/>
      <w:lang w:val="uk-UA"/>
    </w:rPr>
  </w:style>
  <w:style w:type="character" w:styleId="Style14" w:customStyle="1">
    <w:name w:val="Текст сноски Знак"/>
    <w:basedOn w:val="DefaultParagraphFont"/>
    <w:link w:val="a8"/>
    <w:uiPriority w:val="99"/>
    <w:semiHidden/>
    <w:qFormat/>
    <w:rsid w:val="001b6db6"/>
    <w:rPr>
      <w:rFonts w:ascii="Times New Roman" w:hAnsi="Times New Roman" w:eastAsia="Times New Roman" w:cs="Times New Roman"/>
      <w:sz w:val="24"/>
      <w:szCs w:val="24"/>
      <w:lang w:eastAsia="ru-RU"/>
    </w:rPr>
  </w:style>
  <w:style w:type="character" w:styleId="Style15" w:customStyle="1">
    <w:name w:val="Верхний колонтитул Знак"/>
    <w:basedOn w:val="DefaultParagraphFont"/>
    <w:link w:val="ab"/>
    <w:uiPriority w:val="99"/>
    <w:qFormat/>
    <w:rsid w:val="001b6db6"/>
    <w:rPr/>
  </w:style>
  <w:style w:type="character" w:styleId="12" w:customStyle="1">
    <w:name w:val="Верхний колонтитул Знак1"/>
    <w:basedOn w:val="DefaultParagraphFont"/>
    <w:uiPriority w:val="99"/>
    <w:semiHidden/>
    <w:qFormat/>
    <w:rsid w:val="001b6db6"/>
    <w:rPr/>
  </w:style>
  <w:style w:type="character" w:styleId="Style16" w:customStyle="1">
    <w:name w:val="Нижний колонтитул Знак"/>
    <w:basedOn w:val="DefaultParagraphFont"/>
    <w:link w:val="ad"/>
    <w:uiPriority w:val="99"/>
    <w:qFormat/>
    <w:rsid w:val="001b6db6"/>
    <w:rPr/>
  </w:style>
  <w:style w:type="character" w:styleId="13" w:customStyle="1">
    <w:name w:val="Нижний колонтитул Знак1"/>
    <w:basedOn w:val="DefaultParagraphFont"/>
    <w:uiPriority w:val="99"/>
    <w:semiHidden/>
    <w:qFormat/>
    <w:rsid w:val="001b6db6"/>
    <w:rPr/>
  </w:style>
  <w:style w:type="character" w:styleId="Style17" w:customStyle="1">
    <w:name w:val="Текст выноски Знак"/>
    <w:basedOn w:val="DefaultParagraphFont"/>
    <w:link w:val="af"/>
    <w:uiPriority w:val="99"/>
    <w:semiHidden/>
    <w:qFormat/>
    <w:rsid w:val="001b6db6"/>
    <w:rPr>
      <w:rFonts w:ascii="Tahoma" w:hAnsi="Tahoma" w:cs="Tahoma"/>
      <w:sz w:val="16"/>
      <w:szCs w:val="16"/>
    </w:rPr>
  </w:style>
  <w:style w:type="character" w:styleId="14" w:customStyle="1">
    <w:name w:val="Текст выноски Знак1"/>
    <w:basedOn w:val="DefaultParagraphFont"/>
    <w:uiPriority w:val="99"/>
    <w:semiHidden/>
    <w:qFormat/>
    <w:rsid w:val="001b6db6"/>
    <w:rPr>
      <w:rFonts w:ascii="Segoe UI" w:hAnsi="Segoe UI" w:cs="Segoe UI"/>
      <w:sz w:val="18"/>
      <w:szCs w:val="18"/>
    </w:rPr>
  </w:style>
  <w:style w:type="character" w:styleId="UnresolvedMention">
    <w:name w:val="Unresolved Mention"/>
    <w:basedOn w:val="DefaultParagraphFont"/>
    <w:uiPriority w:val="99"/>
    <w:semiHidden/>
    <w:unhideWhenUsed/>
    <w:qFormat/>
    <w:rsid w:val="00bc69cb"/>
    <w:rPr>
      <w:color w:val="605E5C"/>
      <w:shd w:fill="E1DFDD" w:val="clear"/>
    </w:rPr>
  </w:style>
  <w:style w:type="paragraph" w:styleId="Style18">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link w:val="a5"/>
    <w:rsid w:val="005c18d0"/>
    <w:pPr>
      <w:widowControl w:val="false"/>
      <w:suppressAutoHyphens w:val="true"/>
      <w:spacing w:lineRule="auto" w:line="240" w:before="0" w:after="120"/>
    </w:pPr>
    <w:rPr>
      <w:rFonts w:ascii="Times New Roman" w:hAnsi="Times New Roman" w:eastAsia="SimSun" w:cs="Lucida Sans"/>
      <w:kern w:val="2"/>
      <w:sz w:val="24"/>
      <w:szCs w:val="24"/>
      <w:lang w:eastAsia="hi-IN" w:bidi="hi-IN"/>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Arial"/>
      <w:i/>
      <w:iCs/>
      <w:sz w:val="24"/>
      <w:szCs w:val="24"/>
    </w:rPr>
  </w:style>
  <w:style w:type="paragraph" w:styleId="Style22">
    <w:name w:val="Указатель"/>
    <w:basedOn w:val="Normal"/>
    <w:qFormat/>
    <w:pPr>
      <w:suppressLineNumbers/>
    </w:pPr>
    <w:rPr>
      <w:rFonts w:cs="Arial"/>
    </w:rPr>
  </w:style>
  <w:style w:type="paragraph" w:styleId="ListParagraph">
    <w:name w:val="List Paragraph"/>
    <w:basedOn w:val="Normal"/>
    <w:uiPriority w:val="34"/>
    <w:qFormat/>
    <w:rsid w:val="005c18d0"/>
    <w:pPr>
      <w:spacing w:before="0" w:after="200"/>
      <w:ind w:left="720" w:hanging="0"/>
      <w:contextualSpacing/>
    </w:pPr>
    <w:rPr/>
  </w:style>
  <w:style w:type="paragraph" w:styleId="HTMLPreformatted">
    <w:name w:val="HTML Preformatted"/>
    <w:basedOn w:val="Normal"/>
    <w:link w:val="HTML0"/>
    <w:uiPriority w:val="99"/>
    <w:semiHidden/>
    <w:unhideWhenUsed/>
    <w:qFormat/>
    <w:rsid w:val="00e95c76"/>
    <w:pPr>
      <w:spacing w:lineRule="auto" w:line="240" w:before="0" w:after="0"/>
    </w:pPr>
    <w:rPr>
      <w:rFonts w:ascii="Consolas" w:hAnsi="Consolas"/>
      <w:sz w:val="20"/>
      <w:szCs w:val="20"/>
    </w:rPr>
  </w:style>
  <w:style w:type="paragraph" w:styleId="Style23">
    <w:name w:val="Footnote Text"/>
    <w:basedOn w:val="Normal"/>
    <w:link w:val="a9"/>
    <w:uiPriority w:val="99"/>
    <w:semiHidden/>
    <w:unhideWhenUsed/>
    <w:rsid w:val="001b6db6"/>
    <w:pPr>
      <w:spacing w:lineRule="auto" w:line="240" w:beforeAutospacing="1" w:afterAutospacing="1"/>
    </w:pPr>
    <w:rPr>
      <w:rFonts w:ascii="Times New Roman" w:hAnsi="Times New Roman" w:eastAsia="Times New Roman" w:cs="Times New Roman"/>
      <w:sz w:val="24"/>
      <w:szCs w:val="24"/>
      <w:lang w:eastAsia="ru-RU"/>
    </w:rPr>
  </w:style>
  <w:style w:type="paragraph" w:styleId="Style24">
    <w:name w:val="Верхний и нижний колонтитулы"/>
    <w:basedOn w:val="Normal"/>
    <w:qFormat/>
    <w:pPr/>
    <w:rPr/>
  </w:style>
  <w:style w:type="paragraph" w:styleId="Style25">
    <w:name w:val="Header"/>
    <w:basedOn w:val="Normal"/>
    <w:link w:val="aa"/>
    <w:uiPriority w:val="99"/>
    <w:unhideWhenUsed/>
    <w:rsid w:val="001b6db6"/>
    <w:pPr>
      <w:tabs>
        <w:tab w:val="clear" w:pos="709"/>
        <w:tab w:val="center" w:pos="4677" w:leader="none"/>
        <w:tab w:val="right" w:pos="9355" w:leader="none"/>
      </w:tabs>
      <w:spacing w:lineRule="auto" w:line="240" w:before="0" w:after="0"/>
    </w:pPr>
    <w:rPr/>
  </w:style>
  <w:style w:type="paragraph" w:styleId="Style26">
    <w:name w:val="Footer"/>
    <w:basedOn w:val="Normal"/>
    <w:link w:val="ac"/>
    <w:uiPriority w:val="99"/>
    <w:unhideWhenUsed/>
    <w:rsid w:val="001b6db6"/>
    <w:pPr>
      <w:tabs>
        <w:tab w:val="clear" w:pos="709"/>
        <w:tab w:val="center" w:pos="4677" w:leader="none"/>
        <w:tab w:val="right" w:pos="9355" w:leader="none"/>
      </w:tabs>
      <w:spacing w:lineRule="auto" w:line="240" w:before="0" w:after="0"/>
    </w:pPr>
    <w:rPr/>
  </w:style>
  <w:style w:type="paragraph" w:styleId="BalloonText">
    <w:name w:val="Balloon Text"/>
    <w:basedOn w:val="Normal"/>
    <w:link w:val="ae"/>
    <w:uiPriority w:val="99"/>
    <w:semiHidden/>
    <w:unhideWhenUsed/>
    <w:qFormat/>
    <w:rsid w:val="001b6db6"/>
    <w:pPr>
      <w:spacing w:lineRule="auto" w:line="240" w:before="0" w:after="0"/>
    </w:pPr>
    <w:rPr>
      <w:rFonts w:ascii="Tahoma" w:hAnsi="Tahoma" w:cs="Tahoma"/>
      <w:sz w:val="16"/>
      <w:szCs w:val="16"/>
    </w:rPr>
  </w:style>
  <w:style w:type="paragraph" w:styleId="A" w:customStyle="1">
    <w:name w:val="a"/>
    <w:basedOn w:val="Normal"/>
    <w:uiPriority w:val="99"/>
    <w:qFormat/>
    <w:rsid w:val="001b6db6"/>
    <w:pPr>
      <w:spacing w:lineRule="auto" w:line="240" w:beforeAutospacing="1" w:afterAutospacing="1"/>
    </w:pPr>
    <w:rPr>
      <w:rFonts w:ascii="Times New Roman" w:hAnsi="Times New Roman" w:eastAsia="Times New Roman" w:cs="Times New Roman"/>
      <w:sz w:val="24"/>
      <w:szCs w:val="24"/>
      <w:lang w:eastAsia="ru-RU"/>
    </w:rPr>
  </w:style>
  <w:style w:type="paragraph" w:styleId="Style27">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7">
    <w:name w:val="Table Grid"/>
    <w:basedOn w:val="a1"/>
    <w:uiPriority w:val="59"/>
    <w:rsid w:val="00f768b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papers.ssrn.com/sol3/papers.cfm?abstract_id=3849171" TargetMode="External"/><Relationship Id="rId3" Type="http://schemas.openxmlformats.org/officeDocument/2006/relationships/hyperlink" Target="https://www.econstor.eu/bitstream/10419/141888/1/825952735.pdf" TargetMode="External"/><Relationship Id="rId4" Type="http://schemas.openxmlformats.org/officeDocument/2006/relationships/hyperlink" Target="https://www.igi-global.com/pdf.aspx?tid%3D177868%26ptid%3D158743%26ctid%3D17%26t%3Dmisbehaving%3A+the+making+of+behavioral+economics%26isxn%3D" TargetMode="External"/><Relationship Id="rId5" Type="http://schemas.openxmlformats.org/officeDocument/2006/relationships/hyperlink" Target="https://elearning.unyp.cz/pluginfile.php/58141/mod_data/content/1114/Valsova, Denisa_509466_Senior Project.pdf" TargetMode="External"/><Relationship Id="rId6" Type="http://schemas.openxmlformats.org/officeDocument/2006/relationships/hyperlink" Target="https://www.researchgate.net/publication/325737059_Behavioral_finance_and_its_impact_on_poor_financial_performance_of_SMES_A_review" TargetMode="External"/><Relationship Id="rId7" Type="http://schemas.openxmlformats.org/officeDocument/2006/relationships/hyperlink" Target="https://essuir.sumdu.edu.ua/bitstream-download/123456789/66315/1/Prince_BEL_4_2017.pdf" TargetMode="External"/><Relationship Id="rId8" Type="http://schemas.openxmlformats.org/officeDocument/2006/relationships/hyperlink" Target="http://scholar.cgu.edu/thomas-willett/wp-content/uploads/sites/23/2017/02/Bird-Du-Willett-Behavioral-Finance-and-Efficient-Markets-What-Does-the-Euro-Crisis-Tell-Us.pdf" TargetMode="External"/><Relationship Id="rId9" Type="http://schemas.openxmlformats.org/officeDocument/2006/relationships/hyperlink" Target="https://www.tandfonline.com/doi/full/10.1080/02692171.2020.1864301" TargetMode="External"/><Relationship Id="rId10" Type="http://schemas.openxmlformats.org/officeDocument/2006/relationships/hyperlink" Target="https://www.sciencedirect.com/science/article/pii/S2212567114006455" TargetMode="External"/><Relationship Id="rId11" Type="http://schemas.openxmlformats.org/officeDocument/2006/relationships/hyperlink" Target="https://www.researchgate.net/publication/331089014_CRISIS_RISK_MANAGEMENT_AND_BEHAVIORAL_FINANCE" TargetMode="External"/><Relationship Id="rId12" Type="http://schemas.openxmlformats.org/officeDocument/2006/relationships/hyperlink" Target="https://www.researchgate.net/publication/336343301_The_Financial_Behavior_of_Households_in_Ukraine" TargetMode="External"/><Relationship Id="rId13" Type="http://schemas.openxmlformats.org/officeDocument/2006/relationships/hyperlink" Target="https://www.researchgate.net/publication/46546103_Toward_a_theory_of_behavioral_finance_implications_from_the_natural_sciences" TargetMode="External"/><Relationship Id="rId14" Type="http://schemas.openxmlformats.org/officeDocument/2006/relationships/hyperlink" Target="https://www.jstor.org/stable/2325486" TargetMode="External"/><Relationship Id="rId15" Type="http://schemas.openxmlformats.org/officeDocument/2006/relationships/hyperlink" Target="https://www.researchgate.net/publication/317254201_Behavioral_Finance_or_Efficient_Market_Hypothesis" TargetMode="External"/><Relationship Id="rId16" Type="http://schemas.openxmlformats.org/officeDocument/2006/relationships/hyperlink" Target="https://www.jstor.org/stable/1914185" TargetMode="External"/><Relationship Id="rId17" Type="http://schemas.openxmlformats.org/officeDocument/2006/relationships/hyperlink" Target="https://ideas.repec.org/a/eee/riibaf/v41y2017icp387-398.html" TargetMode="External"/><Relationship Id="rId18" Type="http://schemas.openxmlformats.org/officeDocument/2006/relationships/hyperlink" Target="https://papers.ssrn.com/sol3/papers.cfm?abstract_id=1806037" TargetMode="External"/><Relationship Id="rId19" Type="http://schemas.openxmlformats.org/officeDocument/2006/relationships/hyperlink" Target="https://www.fsb.org/work-of-the-fsb/policy-development/additional-policy-areas/monitoring-of-FinTech/" TargetMode="External"/><Relationship Id="rId20" Type="http://schemas.openxmlformats.org/officeDocument/2006/relationships/hyperlink" Target="https://www.ey.com/en_gl/ey-global-FinTech-adoption-index" TargetMode="External"/><Relationship Id="rId21" Type="http://schemas.openxmlformats.org/officeDocument/2006/relationships/hyperlink" Target="https://www.goldmansachs.com/insights/archive/millennials/" TargetMode="External"/><Relationship Id="rId22" Type="http://schemas.openxmlformats.org/officeDocument/2006/relationships/hyperlink" Target="https://www.semanticscholar.org/paper/Accessing-the-determinants-of-behavioral-intention-Ramos/bbc22583930087a8d8d237243ce2b06420374511" TargetMode="External"/><Relationship Id="rId23" Type="http://schemas.openxmlformats.org/officeDocument/2006/relationships/hyperlink" Target="https://gflec.org/wp-content/uploads/2015/11/3313-Finlit_Report_FINAL-5.11.16.pdf?x28160" TargetMode="External"/><Relationship Id="rId24" Type="http://schemas.openxmlformats.org/officeDocument/2006/relationships/hyperlink" Target="https://www.mdpi.com/2199-8531/6/4/153" TargetMode="External"/><Relationship Id="rId25" Type="http://schemas.openxmlformats.org/officeDocument/2006/relationships/hyperlink" Target="https://www.semanticscholar.org/paper/What-drives-FinTech-adoption-A-multi-method-using-Singh-Sahni/7ed27be91dd01f1cb2ef5429bcaa9212d12949f0" TargetMode="External"/><Relationship Id="rId26" Type="http://schemas.openxmlformats.org/officeDocument/2006/relationships/hyperlink" Target="https://www.emerald.com/insight/content/doi/10.1108/IMDS-07-2017-0325/full/html" TargetMode="External"/><Relationship Id="rId27" Type="http://schemas.openxmlformats.org/officeDocument/2006/relationships/hyperlink" Target="https://www.researchgate.net/publication/349564459_An_application_of_behavioural_finance_in_banking_The_Discovery_Bank_case" TargetMode="External"/><Relationship Id="rId28" Type="http://schemas.openxmlformats.org/officeDocument/2006/relationships/hyperlink" Target="https://www.scirp.org/pdf/ME_2018011714115510.pdf" TargetMode="External"/><Relationship Id="rId29" Type="http://schemas.openxmlformats.org/officeDocument/2006/relationships/hyperlink" Target="https://www.sciencedirect.com/science/article/abs/pii/S2110701720302638?via%3Dihub" TargetMode="External"/><Relationship Id="rId30" Type="http://schemas.openxmlformats.org/officeDocument/2006/relationships/hyperlink" Target="http://dspace.onu.edu.ua:8080/bitstream/123456789/27320/1/13-18.pdf" TargetMode="External"/><Relationship Id="rId31" Type="http://schemas.openxmlformats.org/officeDocument/2006/relationships/hyperlink" Target="https://www.statista.com/statistics/573291/aum-of-selected-robo-advisors-globally/" TargetMode="External"/><Relationship Id="rId32" Type="http://schemas.openxmlformats.org/officeDocument/2006/relationships/hyperlink" Target="https://upg-bulletin-se.ro/wp-content/uploads/2020/05/5.Ionescu_Radulescu-4-2019.pdf" TargetMode="External"/><Relationship Id="rId33" Type="http://schemas.openxmlformats.org/officeDocument/2006/relationships/hyperlink" Target="https://medium.com/dataseries/the-rise-and-fall-of-knight-capital-buy-high-sell-low-rinse-and-repeat-ae17fae780f6" TargetMode="External"/><Relationship Id="rId34" Type="http://schemas.openxmlformats.org/officeDocument/2006/relationships/hyperlink" Target="https://www.investopedia.com/articles/optioninvestor/09/implied-volatility-contrary-indicator.asp" TargetMode="External"/><Relationship Id="rId35" Type="http://schemas.openxmlformats.org/officeDocument/2006/relationships/hyperlink" Target="https://jai.pm-research.com/content/8/3/75" TargetMode="External"/><Relationship Id="rId36" Type="http://schemas.openxmlformats.org/officeDocument/2006/relationships/hyperlink" Target="https://econpapers.repec.org/article/pscjournl/v_3a13_3ay_3a2021_3ai_3a4_3ap_3a381-403.htm" TargetMode="External"/><Relationship Id="rId37" Type="http://schemas.openxmlformats.org/officeDocument/2006/relationships/hyperlink" Target="https://ideas.repec.org/a/eee/phsmap/v532y2019ics0378437119311082.html" TargetMode="External"/><Relationship Id="rId38" Type="http://schemas.openxmlformats.org/officeDocument/2006/relationships/hyperlink" Target="https://gupea.ub.gu.se/handle/2077/69504" TargetMode="External"/><Relationship Id="rId39" Type="http://schemas.openxmlformats.org/officeDocument/2006/relationships/hyperlink" Target="https://www.worldbank.org/en/home" TargetMode="External"/><Relationship Id="rId40" Type="http://schemas.openxmlformats.org/officeDocument/2006/relationships/hyperlink" Target="https://emea1.apps.cp.thomsonreuters.com/web/Apps/Homepage/" TargetMode="External"/><Relationship Id="rId41" Type="http://schemas.openxmlformats.org/officeDocument/2006/relationships/hyperlink" Target="https://www.researchgate.net/publication/336343301_The_Financial_Behavior_of_Households_in_Ukraine" TargetMode="External"/><Relationship Id="rId42" Type="http://schemas.openxmlformats.org/officeDocument/2006/relationships/hyperlink" Target="https://www.economics-sociology.eu/?346,en_macroeconomic-determinants-of-household-savings-in-ukraine" TargetMode="External"/><Relationship Id="rId43" Type="http://schemas.openxmlformats.org/officeDocument/2006/relationships/hyperlink" Target="https://bank.gov.ua/ua/statistic/sector-financial/data-sector-financial" TargetMode="External"/><Relationship Id="rId44" Type="http://schemas.openxmlformats.org/officeDocument/2006/relationships/hyperlink" Target="https://minfin.com.ua/currency/usd" TargetMode="External"/><Relationship Id="rId45" Type="http://schemas.openxmlformats.org/officeDocument/2006/relationships/hyperlink" Target="https://minfin.com.ua/currency/eur" TargetMode="External"/><Relationship Id="rId46" Type="http://schemas.openxmlformats.org/officeDocument/2006/relationships/hyperlink" Target="https://globalfindex.worldbank.org/" TargetMode="External"/><Relationship Id="rId47" Type="http://schemas.openxmlformats.org/officeDocument/2006/relationships/hyperlink" Target="https://drive.fintechua.org/FintechCatalog19Ukr.pdf" TargetMode="External"/><Relationship Id="rId48" Type="http://schemas.openxmlformats.org/officeDocument/2006/relationships/header" Target="header1.xml"/><Relationship Id="rId49" Type="http://schemas.openxmlformats.org/officeDocument/2006/relationships/numbering" Target="numbering.xml"/><Relationship Id="rId50" Type="http://schemas.openxmlformats.org/officeDocument/2006/relationships/fontTable" Target="fontTable.xml"/><Relationship Id="rId51" Type="http://schemas.openxmlformats.org/officeDocument/2006/relationships/settings" Target="settings.xml"/><Relationship Id="rId52"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Application>LibreOffice/7.0.2.2$Windows_X86_64 LibreOffice_project/8349ace3c3162073abd90d81fd06dcfb6b36b994</Application>
  <Pages>20</Pages>
  <Words>3387</Words>
  <Characters>25269</Characters>
  <CharactersWithSpaces>29097</CharactersWithSpaces>
  <Paragraphs>131</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2021-12-23T21:52:00Z</dcterms:created>
  <dc:creator>Пользователь Windows</dc:creator>
  <dc:description/>
  <dc:language>ru-RU</dc:language>
  <cp:lastModifiedBy/>
  <cp:lastPrinted>2021-12-23T21:51:00Z</cp:lastPrinted>
  <dcterms:modified xsi:type="dcterms:W3CDTF">2022-08-23T22:45:42Z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