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ОДЕСЬКИЙ НАЦІОНАЛЬНИЙ УНІВЕРСИТЕТ імені І. І. МЕЧНИКОВА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Факультет романо-германської філології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Кафедра теорії та практики перекладу</w:t>
      </w: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Кваліфікаційна робота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pacing w:val="-1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На здобуття вищої освіти «магі</w:t>
      </w:r>
      <w:proofErr w:type="gramStart"/>
      <w:r>
        <w:rPr>
          <w:rFonts w:cs="Arial Unicode MS"/>
          <w:color w:val="000000"/>
          <w:spacing w:val="-1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стр</w:t>
      </w:r>
      <w:proofErr w:type="gramEnd"/>
      <w:r>
        <w:rPr>
          <w:rFonts w:cs="Arial Unicode MS"/>
          <w:color w:val="000000"/>
          <w:spacing w:val="-1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»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«Особливості перекладу неособових форм дієслова»</w:t>
      </w:r>
    </w:p>
    <w:p w:rsidR="00E27D08" w:rsidRPr="002A3024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b/>
          <w:bCs/>
          <w:color w:val="000000"/>
          <w:sz w:val="26"/>
          <w:szCs w:val="26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2A3024">
        <w:rPr>
          <w:rFonts w:cs="Arial Unicode MS"/>
          <w:b/>
          <w:bCs/>
          <w:color w:val="000000"/>
          <w:sz w:val="26"/>
          <w:szCs w:val="26"/>
          <w:u w:color="000000"/>
          <w14:textOutline w14:w="0" w14:cap="flat" w14:cmpd="sng" w14:algn="ctr">
            <w14:noFill/>
            <w14:prstDash w14:val="solid"/>
            <w14:bevel/>
          </w14:textOutline>
        </w:rPr>
        <w:t>«</w:t>
      </w:r>
      <w:r>
        <w:rPr>
          <w:rFonts w:cs="Arial Unicode MS"/>
          <w:b/>
          <w:bCs/>
          <w:color w:val="000000"/>
          <w:sz w:val="26"/>
          <w:szCs w:val="26"/>
          <w:u w:color="000000"/>
          <w14:textOutline w14:w="0" w14:cap="flat" w14:cmpd="sng" w14:algn="ctr">
            <w14:noFill/>
            <w14:prstDash w14:val="solid"/>
            <w14:bevel/>
          </w14:textOutline>
        </w:rPr>
        <w:t>The peculiarities of rendering non-finite forms of the verbs</w:t>
      </w:r>
      <w:r w:rsidRPr="002A3024">
        <w:rPr>
          <w:rFonts w:cs="Arial Unicode MS"/>
          <w:b/>
          <w:bCs/>
          <w:color w:val="000000"/>
          <w:sz w:val="26"/>
          <w:szCs w:val="26"/>
          <w:u w:color="000000"/>
          <w14:textOutline w14:w="0" w14:cap="flat" w14:cmpd="sng" w14:algn="ctr">
            <w14:noFill/>
            <w14:prstDash w14:val="solid"/>
            <w14:bevel/>
          </w14:textOutline>
        </w:rPr>
        <w:t>»</w:t>
      </w:r>
    </w:p>
    <w:p w:rsidR="00E27D08" w:rsidRPr="002A3024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rFonts w:eastAsia="Times New Roman"/>
          <w:b/>
          <w:bCs/>
          <w:color w:val="000000"/>
          <w:sz w:val="26"/>
          <w:szCs w:val="26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288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Виконала: здобувачка денної форми навчання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288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Спец</w:t>
      </w:r>
      <w:proofErr w:type="gramEnd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іальності 035 Філологія 035.041 Германської мови та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288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літератури (переклад включно), перша — </w:t>
      </w:r>
      <w:proofErr w:type="gramStart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ійська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288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Освітня програма Переклад з </w:t>
      </w:r>
      <w:proofErr w:type="gramStart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ійської мови та другої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іноземної українською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Ярошенко Анна Олегівна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Керівник: к. філол. н., доцент Яровенко Л. С. ________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ind w:left="2551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Рецензент: к. філол. н., доцент Тхор Н. М.</w:t>
      </w: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Рекомендовано до захисту:                       Захищено на засіданні №____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Протокол засідання кафедри                    протокол №____від_____._____.2022 р.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теорії та практики перекладу                 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№____від_____._____.2022 р.                  Оцінка _____________</w:t>
      </w:r>
      <w:r w:rsidRPr="00F116FC"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/_____</w:t>
      </w: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__</w:t>
      </w:r>
      <w:r w:rsidRPr="00F116FC"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/_____</w:t>
      </w: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_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FFFFFF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FFFFFF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                                                                                 </w:t>
      </w:r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(за національною шкалою </w:t>
      </w:r>
      <w:r>
        <w:rPr>
          <w:rFonts w:cs="Arial Unicode MS"/>
          <w:color w:val="000000"/>
          <w:sz w:val="22"/>
          <w:szCs w:val="22"/>
          <w:u w:color="000000"/>
          <w14:textOutline w14:w="0" w14:cap="flat" w14:cmpd="sng" w14:algn="ctr">
            <w14:noFill/>
            <w14:prstDash w14:val="solid"/>
            <w14:bevel/>
          </w14:textOutline>
        </w:rPr>
        <w:t>ECTS/</w:t>
      </w:r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бали)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 </w:t>
      </w:r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Завідувачка кафедри                                   Голова ЕК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__________Ірина РАЄВСЬКА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          </w:t>
      </w:r>
      <w:r>
        <w:rPr>
          <w:rFonts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   __________Анжела БОЛДИРЄВА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3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(</w:t>
      </w:r>
      <w:proofErr w:type="gramStart"/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ідпис)                                                                      (підпис)</w:t>
      </w: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432" w:lineRule="auto"/>
        <w:jc w:val="center"/>
        <w:rPr>
          <w:lang w:val="ru-RU"/>
        </w:rPr>
      </w:pPr>
      <w:r>
        <w:rPr>
          <w:rFonts w:cs="Arial Unicode MS"/>
          <w:b/>
          <w:bCs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Одеса 2022</w:t>
      </w:r>
      <w:r>
        <w:rPr>
          <w:rFonts w:ascii="Arial Unicode MS" w:hAnsi="Arial Unicode MS" w:cs="Arial Unicode MS"/>
          <w:color w:val="000000"/>
          <w:sz w:val="26"/>
          <w:szCs w:val="26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br w:type="page"/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>ЗМІ</w:t>
      </w:r>
      <w:proofErr w:type="gramStart"/>
      <w:r>
        <w:rPr>
          <w:rFonts w:cs="Arial Unicode MS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СТ</w:t>
      </w:r>
      <w:proofErr w:type="gramEnd"/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lang w:val="ru-RU"/>
        </w:rPr>
      </w:pPr>
      <w:r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fldChar w:fldCharType="begin"/>
      </w:r>
      <w:r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instrText xml:space="preserve"> TOC \t "1, 1,10, 2,11, 3,12, 4,13, 5,14, 6,15, 7,16, 8,17, 9,18, 10,19, 11,2, 12,3, 13,4, 14,5, 15,6, 16,7, 17,8, 18,9, 19"</w:instrText>
      </w:r>
      <w:r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fldChar w:fldCharType="separate"/>
      </w:r>
    </w:p>
    <w:p w:rsidR="00E27D08" w:rsidRDefault="002A3024">
      <w:pPr>
        <w:pStyle w:val="TOC190"/>
      </w:pPr>
      <w:proofErr w:type="gramStart"/>
      <w:r>
        <w:t>ВСТУП</w:t>
      </w:r>
      <w:proofErr w:type="gramEnd"/>
      <w:r>
        <w:tab/>
      </w:r>
      <w:r>
        <w:fldChar w:fldCharType="begin"/>
      </w:r>
      <w:r>
        <w:instrText xml:space="preserve"> PAGEREF _Toc \h </w:instrText>
      </w:r>
      <w:r>
        <w:fldChar w:fldCharType="separate"/>
      </w:r>
      <w:r>
        <w:t>3</w:t>
      </w:r>
      <w:r>
        <w:fldChar w:fldCharType="end"/>
      </w:r>
    </w:p>
    <w:p w:rsidR="00E27D08" w:rsidRDefault="002A3024">
      <w:pPr>
        <w:pStyle w:val="TOC190"/>
      </w:pPr>
      <w:r>
        <w:t>РОЗДІЛ І</w:t>
      </w:r>
      <w:r>
        <w:tab/>
      </w:r>
      <w:r>
        <w:fldChar w:fldCharType="begin"/>
      </w:r>
      <w:r>
        <w:instrText xml:space="preserve"> PAGEREF _Toc1 \h </w:instrText>
      </w:r>
      <w:r>
        <w:fldChar w:fldCharType="separate"/>
      </w:r>
      <w:r>
        <w:t>6</w:t>
      </w:r>
      <w:r>
        <w:fldChar w:fldCharType="end"/>
      </w:r>
    </w:p>
    <w:p w:rsidR="00E27D08" w:rsidRDefault="002A3024">
      <w:pPr>
        <w:pStyle w:val="TOC190"/>
      </w:pPr>
      <w:r>
        <w:t>Теоретичні передумови дослідження</w:t>
      </w:r>
      <w:r>
        <w:tab/>
      </w:r>
      <w:r>
        <w:fldChar w:fldCharType="begin"/>
      </w:r>
      <w:r>
        <w:instrText xml:space="preserve"> PAGEREF _Toc2 \h </w:instrText>
      </w:r>
      <w:r>
        <w:fldChar w:fldCharType="separate"/>
      </w:r>
      <w:r>
        <w:t>6</w:t>
      </w:r>
      <w:r>
        <w:fldChar w:fldCharType="end"/>
      </w:r>
    </w:p>
    <w:p w:rsidR="00E27D08" w:rsidRDefault="002A3024">
      <w:pPr>
        <w:pStyle w:val="TOC190"/>
      </w:pPr>
      <w:r>
        <w:t>1.1. Переклад як акт міжмовної комунікації</w:t>
      </w:r>
      <w:r>
        <w:tab/>
      </w:r>
      <w:r>
        <w:fldChar w:fldCharType="begin"/>
      </w:r>
      <w:r>
        <w:instrText xml:space="preserve"> PAGEREF _Toc3 \h </w:instrText>
      </w:r>
      <w:r>
        <w:fldChar w:fldCharType="separate"/>
      </w:r>
      <w:r>
        <w:t>6</w:t>
      </w:r>
      <w:r>
        <w:fldChar w:fldCharType="end"/>
      </w:r>
    </w:p>
    <w:p w:rsidR="00E27D08" w:rsidRDefault="002A3024">
      <w:pPr>
        <w:pStyle w:val="TOC190"/>
      </w:pPr>
      <w:r>
        <w:t>1.2. Граматична природа інфінітиву та його функції</w:t>
      </w:r>
      <w:r>
        <w:tab/>
      </w:r>
      <w:r>
        <w:fldChar w:fldCharType="begin"/>
      </w:r>
      <w:r>
        <w:instrText xml:space="preserve"> PAGEREF _Toc4 \h </w:instrText>
      </w:r>
      <w:r>
        <w:fldChar w:fldCharType="separate"/>
      </w:r>
      <w:r>
        <w:t>12</w:t>
      </w:r>
      <w:r>
        <w:fldChar w:fldCharType="end"/>
      </w:r>
    </w:p>
    <w:p w:rsidR="00E27D08" w:rsidRDefault="002A3024">
      <w:pPr>
        <w:pStyle w:val="TOC190"/>
      </w:pPr>
      <w:r>
        <w:t>1.3. Інфінітивні звороти та їх структурні особливості</w:t>
      </w:r>
      <w:r>
        <w:tab/>
      </w:r>
      <w:r>
        <w:fldChar w:fldCharType="begin"/>
      </w:r>
      <w:r>
        <w:instrText xml:space="preserve"> PAGEREF _Toc5 \h </w:instrText>
      </w:r>
      <w:r>
        <w:fldChar w:fldCharType="separate"/>
      </w:r>
      <w:r>
        <w:t>16</w:t>
      </w:r>
      <w:r>
        <w:fldChar w:fldCharType="end"/>
      </w:r>
    </w:p>
    <w:p w:rsidR="00E27D08" w:rsidRDefault="002A3024">
      <w:pPr>
        <w:pStyle w:val="TOC190"/>
      </w:pPr>
      <w:r>
        <w:t>1.4. Граматична природа герундія та його функції</w:t>
      </w:r>
      <w:r>
        <w:tab/>
      </w:r>
      <w:r>
        <w:fldChar w:fldCharType="begin"/>
      </w:r>
      <w:r>
        <w:instrText xml:space="preserve"> PAGEREF _Toc6 \h </w:instrText>
      </w:r>
      <w:r>
        <w:fldChar w:fldCharType="separate"/>
      </w:r>
      <w:r>
        <w:t>19</w:t>
      </w:r>
      <w:r>
        <w:fldChar w:fldCharType="end"/>
      </w:r>
    </w:p>
    <w:p w:rsidR="00E27D08" w:rsidRDefault="002A3024">
      <w:pPr>
        <w:pStyle w:val="TOC190"/>
      </w:pPr>
      <w:r>
        <w:t>1.5. Герундіальні звороти та їх структурні особливості</w:t>
      </w:r>
      <w:r>
        <w:tab/>
      </w:r>
      <w:r>
        <w:fldChar w:fldCharType="begin"/>
      </w:r>
      <w:r>
        <w:instrText xml:space="preserve"> PAGEREF _Toc7 \h </w:instrText>
      </w:r>
      <w:r>
        <w:fldChar w:fldCharType="separate"/>
      </w:r>
      <w:r>
        <w:t>22</w:t>
      </w:r>
      <w:r>
        <w:fldChar w:fldCharType="end"/>
      </w:r>
    </w:p>
    <w:p w:rsidR="00E27D08" w:rsidRDefault="002A3024">
      <w:pPr>
        <w:pStyle w:val="TOC190"/>
      </w:pPr>
      <w:r>
        <w:t>1.6. Граматична природа дієприкметника та його функції</w:t>
      </w:r>
      <w:r>
        <w:tab/>
      </w:r>
      <w:r>
        <w:fldChar w:fldCharType="begin"/>
      </w:r>
      <w:r>
        <w:instrText xml:space="preserve"> PAGEREF _Toc8 \h </w:instrText>
      </w:r>
      <w:r>
        <w:fldChar w:fldCharType="separate"/>
      </w:r>
      <w:r>
        <w:t>24</w:t>
      </w:r>
      <w:r>
        <w:fldChar w:fldCharType="end"/>
      </w:r>
    </w:p>
    <w:p w:rsidR="00E27D08" w:rsidRDefault="002A3024">
      <w:pPr>
        <w:pStyle w:val="TOC190"/>
      </w:pPr>
      <w:r>
        <w:t>1.7. Дієприкметникові звороти та їх структурні особливості</w:t>
      </w:r>
      <w:r>
        <w:tab/>
      </w:r>
      <w:r>
        <w:fldChar w:fldCharType="begin"/>
      </w:r>
      <w:r>
        <w:instrText xml:space="preserve"> PAGEREF _Toc9 \h </w:instrText>
      </w:r>
      <w:r>
        <w:fldChar w:fldCharType="separate"/>
      </w:r>
      <w:r>
        <w:t>30</w:t>
      </w:r>
      <w:r>
        <w:fldChar w:fldCharType="end"/>
      </w:r>
    </w:p>
    <w:p w:rsidR="00E27D08" w:rsidRDefault="002A3024">
      <w:pPr>
        <w:pStyle w:val="TOC190"/>
      </w:pPr>
      <w:r>
        <w:t>РОЗДІЛ ІІ</w:t>
      </w:r>
      <w:r>
        <w:tab/>
      </w:r>
      <w:r>
        <w:fldChar w:fldCharType="begin"/>
      </w:r>
      <w:r>
        <w:instrText xml:space="preserve"> PAGEREF _Toc10 \h </w:instrText>
      </w:r>
      <w:r>
        <w:fldChar w:fldCharType="separate"/>
      </w:r>
      <w:r>
        <w:t>33</w:t>
      </w:r>
      <w:r>
        <w:fldChar w:fldCharType="end"/>
      </w:r>
    </w:p>
    <w:p w:rsidR="00E27D08" w:rsidRDefault="002A3024">
      <w:pPr>
        <w:pStyle w:val="3"/>
      </w:pPr>
      <w:r>
        <w:rPr>
          <w:lang w:val="it-IT"/>
        </w:rPr>
        <w:t>2.1. Особливості перекладу інфінітиву на матеріалі роману С. Кінга «11/22/63»</w:t>
      </w:r>
      <w:r>
        <w:rPr>
          <w:lang w:val="it-IT"/>
        </w:rPr>
        <w:tab/>
      </w:r>
      <w:r>
        <w:fldChar w:fldCharType="begin"/>
      </w:r>
      <w:r>
        <w:instrText xml:space="preserve"> PAGEREF _Toc11 \h </w:instrText>
      </w:r>
      <w:r>
        <w:fldChar w:fldCharType="separate"/>
      </w:r>
      <w:r>
        <w:t>33</w:t>
      </w:r>
      <w:r>
        <w:fldChar w:fldCharType="end"/>
      </w:r>
    </w:p>
    <w:p w:rsidR="00E27D08" w:rsidRDefault="002A3024">
      <w:pPr>
        <w:pStyle w:val="TOC190"/>
      </w:pPr>
      <w:r>
        <w:t>2.2. Інфінітивні звороти та особливості їх перекладу</w:t>
      </w:r>
      <w:r>
        <w:tab/>
      </w:r>
      <w:r>
        <w:fldChar w:fldCharType="begin"/>
      </w:r>
      <w:r>
        <w:instrText xml:space="preserve"> PAGEREF _Toc12 \h </w:instrText>
      </w:r>
      <w:r>
        <w:fldChar w:fldCharType="separate"/>
      </w:r>
      <w:r>
        <w:t>44</w:t>
      </w:r>
      <w:r>
        <w:fldChar w:fldCharType="end"/>
      </w:r>
    </w:p>
    <w:p w:rsidR="00E27D08" w:rsidRDefault="002A3024">
      <w:pPr>
        <w:pStyle w:val="TOC190"/>
      </w:pPr>
      <w:r>
        <w:rPr>
          <w:lang w:val="it-IT"/>
        </w:rPr>
        <w:t>2.3. Особливості перекладу герундію на матеріалі роману С. Кінга «11/22/63»</w:t>
      </w:r>
      <w:r>
        <w:rPr>
          <w:lang w:val="it-IT"/>
        </w:rPr>
        <w:tab/>
      </w:r>
      <w:r>
        <w:fldChar w:fldCharType="begin"/>
      </w:r>
      <w:r>
        <w:instrText xml:space="preserve"> PAGEREF _Toc13 \h </w:instrText>
      </w:r>
      <w:r>
        <w:fldChar w:fldCharType="separate"/>
      </w:r>
      <w:r>
        <w:t>47</w:t>
      </w:r>
      <w:r>
        <w:fldChar w:fldCharType="end"/>
      </w:r>
    </w:p>
    <w:p w:rsidR="00E27D08" w:rsidRDefault="002A3024">
      <w:pPr>
        <w:pStyle w:val="TOC190"/>
      </w:pPr>
      <w:r>
        <w:t>2.4. Герундіальні звороти та особливості їх перекладу</w:t>
      </w:r>
      <w:r>
        <w:tab/>
      </w:r>
      <w:r>
        <w:fldChar w:fldCharType="begin"/>
      </w:r>
      <w:r>
        <w:instrText xml:space="preserve"> PAGEREF _Toc14 \h </w:instrText>
      </w:r>
      <w:r>
        <w:fldChar w:fldCharType="separate"/>
      </w:r>
      <w:r>
        <w:t>52</w:t>
      </w:r>
      <w:r>
        <w:fldChar w:fldCharType="end"/>
      </w:r>
    </w:p>
    <w:p w:rsidR="00E27D08" w:rsidRDefault="002A3024">
      <w:pPr>
        <w:pStyle w:val="TOC190"/>
      </w:pPr>
      <w:r>
        <w:rPr>
          <w:lang w:val="it-IT"/>
        </w:rPr>
        <w:t>2.5. Особливості перекладу дієприкментика на матеріалі роману С. Кінга «11/22/63»</w:t>
      </w:r>
      <w:r>
        <w:rPr>
          <w:lang w:val="it-IT"/>
        </w:rPr>
        <w:tab/>
      </w:r>
      <w:r>
        <w:fldChar w:fldCharType="begin"/>
      </w:r>
      <w:r>
        <w:instrText xml:space="preserve"> PAGEREF _Toc15 \h </w:instrText>
      </w:r>
      <w:r>
        <w:fldChar w:fldCharType="separate"/>
      </w:r>
      <w:r>
        <w:t>54</w:t>
      </w:r>
      <w:r>
        <w:fldChar w:fldCharType="end"/>
      </w:r>
    </w:p>
    <w:p w:rsidR="00E27D08" w:rsidRDefault="002A3024">
      <w:pPr>
        <w:pStyle w:val="TOC190"/>
      </w:pPr>
      <w:r>
        <w:t>2.6. Дієприкметникові звороти та особливості їх перекладу</w:t>
      </w:r>
      <w:r>
        <w:tab/>
      </w:r>
      <w:r>
        <w:fldChar w:fldCharType="begin"/>
      </w:r>
      <w:r>
        <w:instrText xml:space="preserve"> PAGEREF _Toc16 \h </w:instrText>
      </w:r>
      <w:r>
        <w:fldChar w:fldCharType="separate"/>
      </w:r>
      <w:r>
        <w:t>60</w:t>
      </w:r>
      <w:r>
        <w:fldChar w:fldCharType="end"/>
      </w:r>
    </w:p>
    <w:p w:rsidR="00E27D08" w:rsidRDefault="002A3024">
      <w:pPr>
        <w:pStyle w:val="TOC190"/>
      </w:pPr>
      <w:r>
        <w:t>ВИСНОВКИ</w:t>
      </w:r>
      <w:r>
        <w:tab/>
      </w:r>
      <w:r>
        <w:fldChar w:fldCharType="begin"/>
      </w:r>
      <w:r>
        <w:instrText xml:space="preserve"> PAGEREF _Toc17 \h </w:instrText>
      </w:r>
      <w:r>
        <w:fldChar w:fldCharType="separate"/>
      </w:r>
      <w:r>
        <w:t>63</w:t>
      </w:r>
      <w:r>
        <w:fldChar w:fldCharType="end"/>
      </w:r>
    </w:p>
    <w:p w:rsidR="00E27D08" w:rsidRDefault="002A3024">
      <w:pPr>
        <w:pStyle w:val="TOC190"/>
      </w:pPr>
      <w:r>
        <w:t>СПИСОК ВИКОРИСТАНОЇ ЛІТЕРАТУРИ</w:t>
      </w:r>
      <w:r>
        <w:tab/>
      </w:r>
      <w:r>
        <w:fldChar w:fldCharType="begin"/>
      </w:r>
      <w:r>
        <w:instrText xml:space="preserve"> PAGEREF _Toc18 \h </w:instrText>
      </w:r>
      <w:r>
        <w:fldChar w:fldCharType="separate"/>
      </w:r>
      <w:r>
        <w:t>68</w:t>
      </w:r>
      <w:r>
        <w:fldChar w:fldCharType="end"/>
      </w:r>
    </w:p>
    <w:p w:rsidR="00E27D08" w:rsidRDefault="002A3024">
      <w:pPr>
        <w:pStyle w:val="TOC190"/>
      </w:pPr>
      <w:r>
        <w:rPr>
          <w:lang w:val="en-US"/>
        </w:rPr>
        <w:t>SUMMARY</w:t>
      </w:r>
      <w:r w:rsidRPr="00F116FC">
        <w:tab/>
      </w:r>
      <w:r>
        <w:fldChar w:fldCharType="begin"/>
      </w:r>
      <w:r>
        <w:instrText xml:space="preserve"> PAGEREF _Toc19 \h </w:instrText>
      </w:r>
      <w:r>
        <w:fldChar w:fldCharType="separate"/>
      </w:r>
      <w:r>
        <w:t>74</w:t>
      </w:r>
      <w:r>
        <w:fldChar w:fldCharType="end"/>
      </w:r>
    </w:p>
    <w:p w:rsidR="00E27D08" w:rsidRDefault="002A3024">
      <w:pPr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fldChar w:fldCharType="end"/>
      </w: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jc w:val="center"/>
        <w:rPr>
          <w:rFonts w:eastAsia="Times New Roman"/>
          <w:b/>
          <w:b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 w:rsidP="00F116FC">
      <w:pPr>
        <w:pStyle w:val="11"/>
        <w:ind w:left="2880" w:firstLine="720"/>
        <w:jc w:val="left"/>
      </w:pPr>
      <w:bookmarkStart w:id="0" w:name="_Toc"/>
      <w:proofErr w:type="gramStart"/>
      <w:r>
        <w:rPr>
          <w:rFonts w:eastAsia="Arial Unicode MS" w:cs="Arial Unicode MS"/>
        </w:rPr>
        <w:lastRenderedPageBreak/>
        <w:t>ВСТУП</w:t>
      </w:r>
      <w:bookmarkEnd w:id="0"/>
      <w:proofErr w:type="gramEnd"/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center"/>
        <w:rPr>
          <w:rFonts w:eastAsia="Times New Roman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2A3024" w:rsidP="00F116F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ійське дієслово з його багаточисленними граматичними категоріями особливо часто викликає труднощі при перекладі у зв’язку із значними розбіжностями у використанні дієслівних форм в англійській та українській мовах. Поряд з особовими, в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ійській мові (так само як і в українській) існують також і неособові форми дієслова, які не змінюються за числами і особами. До неособових форм дієслова в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ійській мові належать інфінітив 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the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infinitive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), дієприкметник 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the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participle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) та герундій (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the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gerund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), причому останній не має прямого відповідника в українській мові. </w:t>
      </w:r>
      <w:proofErr w:type="gramStart"/>
      <w:r w:rsidRPr="00F116FC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Кр</w:t>
      </w:r>
      <w:proofErr w:type="gramEnd"/>
      <w:r w:rsidRPr="00F116FC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ім того, як інфінітив, так і дієприкметник мають значну більшість форм та функцій, порівнюючи з аналогами в українській мови.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Однією з відмінних рис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ійських неособових форм дієслова є їх властивість сполучатися з іменниками або займенниками, утворюючи так звані синтаксичні комплекси. У даній дипломній роботі зроблена спроба описати способи перекладу інфінітива, суб’єктного та об’єктного інфінітивних зворотів,  герундія та герундільних зворотів, а також дієприкметника та дієприкметникових зворотів з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ійської на українську мову на прикладі перекладу художнього тексту.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Актуальність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теми даної роботи обумовлюється труднощами, які виникають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 час перекладу неособових форм дієслова, а особливо —</w:t>
      </w:r>
      <w:r>
        <w:rPr>
          <w:rFonts w:cs="Arial Unicode MS"/>
          <w:color w:val="000000"/>
          <w:sz w:val="22"/>
          <w:szCs w:val="22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їх синтаксичних комплексів, які відсутні в мові перекладу.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Об’єкт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ідження — неособові форми дієслова та їх синтаксичні комплекси в сучасній англійській мові.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Предмет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ідження — характерні ознаки неособових форм дієслова та   їх синтаксичних комплексів, особливості їх перекладу з англійської українською мовою.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Мета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роботи полягає в тому, щоб встановити спі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вв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ідношення між різними чинниками, які обумовлюють способи перекладу несобових форм дієслова та їх синтаксичних комплексів.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 xml:space="preserve">Для досягнення поставленої мети потрібно було виконати наступні </w:t>
      </w: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задачі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:</w:t>
      </w:r>
    </w:p>
    <w:p w:rsidR="00E27D08" w:rsidRDefault="002A3024">
      <w:pPr>
        <w:numPr>
          <w:ilvl w:val="0"/>
          <w:numId w:val="2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охарактеризувати загальні ознаки інфінітива, герундія та дієпркиментика як не особових форм дієслова в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ійській та українській мовах;</w:t>
      </w:r>
    </w:p>
    <w:p w:rsidR="00E27D08" w:rsidRDefault="002A3024">
      <w:pPr>
        <w:numPr>
          <w:ilvl w:val="0"/>
          <w:numId w:val="2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вивести залежність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між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функцією нфінітива, герундія та дієпркиментика в реченні та їх способи перекладу;</w:t>
      </w:r>
    </w:p>
    <w:p w:rsidR="00E27D08" w:rsidRDefault="002A3024">
      <w:pPr>
        <w:numPr>
          <w:ilvl w:val="0"/>
          <w:numId w:val="2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проаналізувати вибі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перекладача при перекладі не особових форм дієслова та синтаксичних комплексів на прикладі матеріалу дослідження.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Науково-теоретична та практична значимість цього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ідження полягає у виявленні та обґрунтуванні закономірностей, які спостерігаються при перекладі інфінітива, дієприкметника, герундія та інфінітивних, дієприметникових та герундіальних зворотів на українську мову.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Теоретико-методолог</w:t>
      </w:r>
      <w:proofErr w:type="gramEnd"/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ічну базу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роботи склали труди таких видатних вчених як Карабан В. І.,</w:t>
      </w:r>
      <w:r w:rsidRPr="00F116FC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Корунець І. В.,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Верба Г. В., Верба Л. Г.,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Комісаров В. Н. та Бархударов, Л. С.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За основу класифікації функцій неособових форм дієслова взято класифікацію, яка була запропонована Качаловою К. Н. та Ізралєвичем Є. Є.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У ході роботи використовувалися наступні </w:t>
      </w: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лінгвістичні </w:t>
      </w:r>
      <w:proofErr w:type="gramStart"/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методи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: к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ількісний, виключний, контекстуальний, порівняльний та описовий.</w:t>
      </w:r>
    </w:p>
    <w:p w:rsidR="00E27D08" w:rsidRPr="00F116FC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 якості </w:t>
      </w: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матеріалу </w:t>
      </w:r>
      <w:proofErr w:type="gramStart"/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ідження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був використаний науково-фентезійний роман С. Кінга «</w:t>
      </w:r>
      <w:r w:rsidRPr="00F116FC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11/22/63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» та його переклад українською О. Красюка «</w:t>
      </w:r>
      <w:r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  <w:t>11/22/63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». Правомірність вибору матеріалу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ідження полягає у тому, що твори Стівена Кінга справедливо займають почесне місце серед найяскравіших взірців сучасної англійської літератури.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Методом довільної виборки було відібрано 425 випадків використання інфінітиву та 47 випадків використання інфінітивних зворотів, зокрема суб’єктного та об’єктного; 146 випадкі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використання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>герундію та 12 випадків герундіальних зворотів; 270 випадків використання дієприкметника та 36 випадків використання дієприкметникових конструкцій.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val="single"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Структура роботи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складається зі вступу, двох розділів, загальних висновкі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списку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використаної літератури та </w:t>
      </w:r>
      <w:r w:rsidRPr="00F116FC"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резюме.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У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вступ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і визначається мета і задачі дослідження, обґрунтовується його актуальність, науково-теоретична та практична значимість, характеризуються методи дослідження та практичний матеріал.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Перший розділ надає теоретичні відомості про неособові форми дієслова, які є характерними для граматики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ійської мови, та зазначаються їх основні ознаки та властивості.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У другому розділі йдеться про основні способи перекладу неособових форм дієслова та їх комплексів, надаються конкретні приклади з тексту оригіналу та перекладу матеріалу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ідження. 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У загальних висновках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ідсумовуються результати проведеного дослідження. </w:t>
      </w: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line="360" w:lineRule="auto"/>
        <w:ind w:left="567" w:firstLine="567"/>
        <w:jc w:val="both"/>
        <w:rPr>
          <w:rFonts w:eastAsia="Times New Roman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F116FC" w:rsidP="00F116FC">
      <w:pPr>
        <w:pStyle w:val="17"/>
        <w:ind w:firstLine="0"/>
        <w:jc w:val="left"/>
      </w:pPr>
      <w:bookmarkStart w:id="1" w:name="_Toc17"/>
      <w:r>
        <w:rPr>
          <w:b w:val="0"/>
          <w:bCs w:val="0"/>
          <w:lang w:eastAsia="en-US"/>
          <w14:textOutline w14:w="0" w14:cap="flat" w14:cmpd="sng" w14:algn="ctr">
            <w14:noFill/>
            <w14:prstDash w14:val="solid"/>
            <w14:bevel/>
          </w14:textOutline>
        </w:rPr>
        <w:lastRenderedPageBreak/>
        <w:tab/>
      </w:r>
      <w:r>
        <w:rPr>
          <w:b w:val="0"/>
          <w:bCs w:val="0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b w:val="0"/>
          <w:bCs w:val="0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b w:val="0"/>
          <w:bCs w:val="0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>
        <w:rPr>
          <w:b w:val="0"/>
          <w:bCs w:val="0"/>
          <w:lang w:eastAsia="en-US"/>
          <w14:textOutline w14:w="0" w14:cap="flat" w14:cmpd="sng" w14:algn="ctr">
            <w14:noFill/>
            <w14:prstDash w14:val="solid"/>
            <w14:bevel/>
          </w14:textOutline>
        </w:rPr>
        <w:tab/>
      </w:r>
      <w:r w:rsidR="002A3024">
        <w:rPr>
          <w:rFonts w:eastAsia="Arial Unicode MS" w:cs="Arial Unicode MS"/>
        </w:rPr>
        <w:t>ВИСНОВКИ</w:t>
      </w:r>
      <w:bookmarkEnd w:id="1"/>
    </w:p>
    <w:p w:rsidR="00E27D08" w:rsidRDefault="00F116FC" w:rsidP="00F116FC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eastAsia="Times New Roman" w:hAnsi="Times New Roman" w:cs="Times New Roman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ab/>
      </w:r>
      <w:r w:rsidR="002A3024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Всього методом випадкової вибірки з тексту роману «11</w:t>
      </w:r>
      <w:r w:rsidR="002A3024"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/22/</w:t>
      </w:r>
      <w:r w:rsidR="002A3024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63» С. Кінга було відібрано 926 випадків використання не особових форм дієслова та проаналізовано способи їх передачі в українському перекладі. В результаті проведеного </w:t>
      </w:r>
      <w:proofErr w:type="gramStart"/>
      <w:r w:rsidR="002A3024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досл</w:t>
      </w:r>
      <w:proofErr w:type="gramEnd"/>
      <w:r w:rsidR="002A3024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ідження були зроблені наступні висновки: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1. Було праналізовано 425 випадків вживання інфінітиву у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ізних функціях та встановлено, що в оригіналі домінуть прості інфінітівні  форми і тільки незначна кількість припадає на форми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Continuous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Perfect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Perfect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Continuous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, які підкреслюють тривалість та завершеність дії.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2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 Найчастіше інфінітив зустрічається у функції частини складеного дієслівного присудка (68%). У цій функції найбільш частотним способом перекладу є його граматичний аналог або дієслово в особовій формі.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3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Другим за частотністю  використання інфінітив є інфінітив у функції обставини мети (13%). Домінуючим варіантом перекладу є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ідрядне речення мети з декомпресією речення при перекладі.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4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8.5% від загальної кількості випадків склав інфінітив у функції означення, який найчастіше перекладався за допомогою складного речення з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ідрядним означальним або інфінітивом.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5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Також 6% склав інфінітив у функції обставини наслідків, що частіше за все перекладається складнопідрядним реченням, при цьому спостерігається явище декомпресії.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Кр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ім того, були також зареєстровані випадки перекладу інфінітиву особовою формою дієслова у складі однорідніх присудків, з’єднаних сполучником «та».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 w:rsidRPr="00F116FC">
        <w:rPr>
          <w:rFonts w:ascii="Times New Roman" w:hAnsi="Times New Roman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6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 Було зафіксовано 3% використання інфінітива у функції прямого додатку. Майже у всіх знайдених випадках інфінітив перекладається на українську мову початковою форму дієслова в цій самій функції, але також було зафіксовано кількість випадкі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перекладу за допомогою наказового способу.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7. Інфінітив у функції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ідмета та у функції іменної частини складеного присудка зустрічався вельми рідко — було зафіксовано лише 1% та 0,5% випадків. У цих функціях він зазвичай перекладається на українську мову безособовою формою дієслова. Дієслово-зв’язка при цьому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опускається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8. Інфінітивні комплекси є особистістю, притаманною лише англійській мові, що і викликає складнощі у перекладі. У тексті оригіналу було зафіксовано 47 випадків вживання інфінітивних зворотів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українській мові ми не маємо аналогів інфінітивних зворотів.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9. При перекладі об’єктного інфінітивного звороту (53%) спостерігається декомпресія —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англ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ійське просте речення в більшості випадків трансформується в українське складнопідрядне з підрядним з’ясувальним реченням.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10. Суб’єктний інфінітивний зворот (45%) також перекладається на українську мову складнопідрядним реченням із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ідрядним з’ясувальним. Головне речення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такому випадку перекладаються неозначено-особовим або безособовим. Речення, які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м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істять дієслова «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seem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to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» (здається), «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appear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to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» (мабуть)  перекладаються простим реченням із вставним словом.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11. Інфінітивний зворот з прийменником </w:t>
      </w:r>
      <w:r>
        <w:rPr>
          <w:rFonts w:ascii="Times New Roman" w:hAnsi="Times New Roman"/>
          <w:i/>
          <w:iCs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for</w:t>
      </w:r>
      <w:r>
        <w:rPr>
          <w:rFonts w:ascii="Times New Roman" w:hAnsi="Times New Roman"/>
          <w:i/>
          <w:iC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зустрічався лише у 2% випадків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ід загальної кількості. У більшості знайдених випадків цей зворот перекладався підрядним з’ясувальним реченням.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12. Як показав аналіз способів перекладу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англ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ійського інфінітиву та інфінітивних комплексів, їх передача на українську мову залежить від синтаксичної. функції інфінітиву, контексту речення, правил сполучуваності слів та відповідності художнім літературним нормам цільової мови.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13. Герундій, безеквівалентна граматична каатегорія у МП, склав</w:t>
      </w: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146 випадкі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 дов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ільної вибірки.  Домінуючими формами герундія були прості активні форми. Також було зареєстровано 12  випадків вживання герундіальних комплексі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14. Найчастіше у тексті роману герундій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вживається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функції складеного дієслівного присудка (33% всіх випадків).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цій функції герундій частіше за все перекладається інфінітивом; при перекладі дієслів на позначення тривалості дії можливий також переклад  за допомогою граматичних трансформацій. </w:t>
      </w:r>
      <w:proofErr w:type="gramEnd"/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15.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Другим за частотністю використання є герундій у функції непрямого додатка (19%), який у більшості випадків перекладався неозначеною формою дієслова.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Також був зафіксований переклад складнопідрядним зʼясувальним реченням.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16. 16% від загальної кількості складає герундій у функції означення, який найчастіше перекладається українською мовою інфінітивом та віддієслівним іменником.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17. Було зафіксовано 8% використання герундія у функції обставини часу. Домінував переклад за допомогою дієприслівника.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18. Герундій у фукнції обставини способу дії  був знайденний у 6% випадкі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 В більшості герундій у цій функції перекладається дієприслівником.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19. Було знайдено 6% випадків використання герундія у функції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ідмета. Переклад інфінітивом мав найбільшу частотність.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20. Герундій у функції супутніх обставин було використано 5,5%. Найпоширенішим способом перекладу герундія у цій функції став переклад за допомогою дієприслівника.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21. На герундій у фукнції прямого додатка припадає 5% випадків. У цій функції герундій перекладався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ідрядним реченням.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22.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рол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 складенного іменного присудка герундій зустрівся 1%. У більшості випадків герундій перекладається віддієслівним іменником та неозначеною формою дієслова.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23.  У найменшій кількості — 0,5% — герундій використовується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ролі обставини мети. У всіх випадках перекладу було вжито іменник з прийменником </w:t>
      </w:r>
      <w:proofErr w:type="gramStart"/>
      <w:r>
        <w:rPr>
          <w:rFonts w:ascii="Times New Roman" w:hAnsi="Times New Roman"/>
          <w:i/>
          <w:iC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для</w:t>
      </w:r>
      <w:proofErr w:type="gramEnd"/>
      <w:r>
        <w:rPr>
          <w:rFonts w:ascii="Times New Roman" w:hAnsi="Times New Roman"/>
          <w:i/>
          <w:iC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 xml:space="preserve">24. В усіх 12 випадках використання герундіальних комплексів, які було знайдено в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досл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іджуванному матеріалі, переклад здійснювався за допомогою граматичних трансформацій: просте речення перетворювалося на складнопідрядне; присвійний займенник чи іменник ставали підметом, а герундій — простим дієслівним присудком, вираженним особовою формою дієслова.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25. Було проаналізовано 270 випадків вживання дієприкметника у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ізних смнтаксичних функціях та встановлено способи їх перекладу в залежності від смнтаксичної функції у реченні та контекстуального оточення.  Також було проаналізовано  36 випадків  застосування дієприкметникових зворотів та встановлено, що варіанти їх перекладу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у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першу чергу залежать від типу конструкції та семантичного наповнення речення.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26. Найчастіше 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 зустрічються у функції означення  — 37% та 64%. У цій функції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част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іше за все перекладається дієприкметником, іноді дієсловом та складнопідрядним реченням;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 перекладається дієприкметником.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27. Меньш за все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зустрічався у функції обставини причини—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бу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ло зафіксовано лише 3% випадків. У цій функції він зазвичай перекладається українською мовою дієприслівниковим зворотом.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28.  У функції обставини часу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 w:rsidRPr="00F116FC"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зустрічався у 22% випадків і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част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іше усього перекладався за допомогою дієприслівникового звороту.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Participle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:u w:color="000000"/>
          <w:lang w:val="en-US"/>
          <w14:textOutline w14:w="12700" w14:cap="flat" w14:cmpd="sng" w14:algn="ctr">
            <w14:noFill/>
            <w14:prstDash w14:val="solid"/>
            <w14:miter w14:lim="400000"/>
          </w14:textOutline>
        </w:rPr>
        <w:t>I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 у функції обставини часу зустрічався рідше за все —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лише  1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% від усіх випадків. До того ж, Participle II у функції обставини часу перекладач передавав за допомогою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ідрядного речення часу.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29.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Перекладач у більшості випадків перекладає об’єктний дієприкметниковий зворот (97%) складнопідрядним реченням, при цьому спостерігається декомпресія.</w:t>
      </w:r>
      <w:proofErr w:type="gramEnd"/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30. Самостійний дієприкметниковий зворот зустрічався лише у 3% випадків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в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ід загальної кількості. Найчастотніший спосіб, який обирав 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lastRenderedPageBreak/>
        <w:t>перекладач для передачі самостійного дієприкметникового звороту</w:t>
      </w:r>
      <w:r>
        <w:rPr>
          <w:rFonts w:ascii="Times New Roman" w:hAnsi="Times New Roman"/>
          <w:i/>
          <w:iCs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— </w:t>
      </w: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складнопідрядне речення.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31.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При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передачі неособових форм дієслова (інфінітива та дієприкметника) перекладач використовує не тільки їх граматичні аналоги у Мові Перекладу, а також граматичні трансформації — заміни частин мови та типів речення, вилучення та перестановки; лексичні та лексико-граматичні трансформації — модуляцію та антонімічний переклад. </w:t>
      </w:r>
    </w:p>
    <w:p w:rsidR="00E27D08" w:rsidRDefault="002A3024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32. Як показав ретельний аналіз способів перекладу неособових форм дієслова, основними чинниками, які впливають на перекладацьке 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р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ішення, є синтаксична функція неособової форми у реченні,  контекстуальне оточення, правила сполучуваності слів та відповідність стилістичним нормам цільової мови. Значну роль також відіграють суб’єктивні фактори процесу перекладу, а саме, досвід перекладача та його бі</w:t>
      </w:r>
      <w:proofErr w:type="gramStart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л</w:t>
      </w:r>
      <w:proofErr w:type="gramEnd"/>
      <w:r>
        <w:rPr>
          <w:rFonts w:ascii="Times New Roman" w:hAnsi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  <w:t>інгвальна компетентність.</w:t>
      </w: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E27D08">
      <w:pPr>
        <w:pStyle w:val="a8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before="0" w:after="10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u w:color="000000"/>
          <w14:textOutline w14:w="12700" w14:cap="flat" w14:cmpd="sng" w14:algn="ctr">
            <w14:noFill/>
            <w14:prstDash w14:val="solid"/>
            <w14:miter w14:lim="400000"/>
          </w14:textOutline>
        </w:rPr>
      </w:pPr>
    </w:p>
    <w:p w:rsidR="00E27D08" w:rsidRDefault="002A3024">
      <w:pPr>
        <w:pStyle w:val="18"/>
      </w:pPr>
      <w:bookmarkStart w:id="2" w:name="_Toc18"/>
      <w:r>
        <w:rPr>
          <w:rFonts w:eastAsia="Arial Unicode MS" w:cs="Arial Unicode MS"/>
        </w:rPr>
        <w:lastRenderedPageBreak/>
        <w:t>СПИСОК ВИКОРИСТАНОЇ ЛІТЕРАТУРИ</w:t>
      </w:r>
      <w:bookmarkEnd w:id="2"/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Бархударов Л. С. Штеллинг Д. А. Грамматика английского языка. – М.: Высшая школа, 1983. — 422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Бархударов Л. С. Язык и перевод. – М.: МО, 1985. – 239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Безпояско О. К., Городенська К. Г., Русанівський В. М. Граматика української мови. Морфологія: Пудручник. – К.: Либидь, 1993. – 336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Беляева Л. М., Зражевская Т. А. Трудности перевода (на метариалах газетных статей). – М.: Международные отношения, 1972. – 140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Беляева М. А. Грамматика английского языка. – М.: Высшая Школа, 1977. – 333 с. 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Берман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І.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М. Грамматика английского языка. – М.: Высшая школа, 1994. – 290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Бесєдіна Т. Г., Савчук К. А. Граматичні особливості перекладу герундія на українську мову. Електроний ресурс. Режим доступу: http://intkonf.org./besedina-tg-savchuk-ka-grammatichni-osoblivosti-perekladu-gerundiya-na-ukrayinsku-movu/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Бик І. С. Теорія і практика перекладу: тексти лекцій для студентів факультету міжнародних відносин Львівського національного університету ім. Івана Франка.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Електронний ресурс. Режим доступу: http://www.lnu.edu.ua./faculty/intrel/tpp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Брандес М. П., Провторов В. И. Предпереводческий анализ текста (для институтов и факультетов иностранных языков). – М.: НВИ-ТЕЗАРУС, 2003. – 224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>Бреус Е. В. Теория и практика перевода с английского языка на    русский: Учебное пособие: 2-е изд. – М.: УРАО, 2003. – 104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Б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ілоус О. М. Теорія і технологія перекладу. Курс лекцій: доопрацьований та  доповнений. Навчальний 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ібник для  студентів  перекладацьких відділень. – Кіровоград: РВВ КДПУ ім. В. Винниченка, 2013. – 200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Валігура О. Р., Пастернак Л. П. Неособові форми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ійського дієслова: інфінітив, герундій, дієприкметник. – Тернопіль: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ідручники і посібники, 1997. – 32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Верба Г. В. Граматика сучасної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ійської мови / Г. В. Верба, Л. Г. Верба. – К.: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ТОВ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«ВП Логос», 2004. – 341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Верба Г. В., Верба Л. Г. Довідник з граматики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ійської мови: Довідк. Вид. – 4-те вид. – К.: Освіта, 1995. – 320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Виноградов В. В. О теории художественной речи. – М.: Высшая школа, 2005.  – 240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Гарбовский Н. К. Теория перевода. – М.: Изд-во Моск. Ун-та, 2004. – 544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Голикова Ж.А. Перевод с английского на русский: Учеб. Пособие. –  М.: Новое знание, 2003. – 287с.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Гузеева К. А. Практикум по переводу с английского языка на русский / К. А. Гузеева, Э. И. Зацепина – СПб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.: 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Изд-во Невского ин-та языка и культуры, 2008. – 157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Жигадло В.Н., Иванова И.П., Иофик Л.Л. Современный английский язык. Теоретический курс грамматики – М.: Изд-во литературы на иностранных языках, 1956. – 142-151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>Жималенкова Т.М., Мильцева Н.А. Универсальный справочник по грамматике английского языка.  – М.: Глосса, 1995. – 265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Жукова Т. В. Лингвистика и межкультурная коммуникация. – Новосибирск: Восход, 2006.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– С. 272-275.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Казакова Т. А. Практические основы перевода. – Спб.: Московский лицей, 2000. – 190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Карабан В. І. Переклад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ійської наукової і технічної літератури. Граматичні труднощі, лексичні, термінологічні та жанровостилістичні проблеми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/ В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’ячеслав Іванович Карабан. – Вінниця: Нова книга, 2004. – 276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Карабан В. І. Переклад з української мови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ійською. Навчальний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ібник-довідник для студентів вищих закладів освіти. – Вінниця: НОВА КНИГА, 2003. – 608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Карабан В. І. Теорія і практика перекладу з української мови на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ійську мову / В. І. Карабан, Дж. Мейс. – Вінниця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: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Нова книга, 2003. – 608 с. 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Каушанская В. Л. Грамматика английского языка. Пособие для студентов педагогических институтов. – 5-е изд., испр. И доп. – М.: Айрис-пресс, 2008 — 385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Качалова К. Н., Изралевич Е. Е. Практическая грамматика английского языка. – К.: Методика, 2003. – Т. І: 363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Коваленко А. Я. Науково-технічний переклад / А. Я. Коваленко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., 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2004. – 284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Коптілов В. В. Теорія і практика перекладу: Навч.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іб. – К. : Юніверс, 2002. – 280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 xml:space="preserve">Корунець І. В.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Вступ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до перекладознавства: Навч.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іб.: для студ. переклад. і філол.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М-во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освіти і науки України. – Вінниця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: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Нова книга, 2008. – 510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Крылова И. П., Гордон Е. М. Модальность в современном английском языке: пособие по употреблению модальных глаголов и форм нереальности. – М.: Лист Нью, 2002. – 204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Кутузов Л. Практическая грамматика английского языка / Л. Кутузов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., 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1998. – 239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Кутузов Л.Ф. Практическая грамматика английского языка. / Кутузов Л.Ф.., 1998. – 448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Латышев Л. К. Перевод: проблемы теории, практики и методики преподавания. – М.: Просвещение, 1988. – 160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Левицкая Т. Р. Теория и практика перевода. – М.: Изд-во литературы на иностранных языках, 1972. – 363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Основи перекладу: граматичні та лексичні аспекти: Навч.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іб. – К.: Знання, 2005. – 310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Особливості застосування граматичних трансформацій у процесі перекладу дієприкметника. Електронний ресурс. Режим доступу: http://elibrary.donnuet.edu.ua/514/1/Ostapenko_chdu_207.pdf.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Особливості перекладу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ійських абсолютних дієприкметникових конструкцій (на матеріалах українського перекладу англомовної наукової прози). Електронний ресурс. Режим доступу: https://www.bestreferat.ru/referat-199278.html.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Плоткин В. Я. Строй английского языка. – М.: Наука, 1990. – 230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 xml:space="preserve">Положин М. М., Максимчук Н. М., Омельченко Л. Ф. Теорія і практика перекладу з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англ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ійської мови на українську. – К.: УМК ВО, 1991. – 96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Попович А. Проблемы художественного перевода. – М., 1980. – 198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Рецкер Я. И. Пособие по переводу с английского языка на русский. – М.: Просвещение, 1982. – 159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Синтаксические функции причастий в английском языке. Електронний ресурс. Режим доступу: https://www.bibliofond.ru/view.aspx?id=586968.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Смирницкий А. И. Синтаксис английского языка. – М.: Изд-во литературы на иностранных языках, 1957. – 284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Способы передачи деепричастия в английском языке. Електронний ресурс. Режим доступу: https://revolution.allbest.ru/languages/00755162_0.html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Тихонов А. А. Английский язык. Теория и практика перевода: Учеб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особие. – М.: Т.К Велби, Изд-во Проспект, 2005. – 120 с.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Федоров А. В. Основы общей теории перевода. – М.: Высшая Школа, 2002. – С. 206-215.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Яровенко Л. С., Болдирєва А. Є. Способу передачі інфінітиву та інфінітивних комплексів 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у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перекладі художнього тексту. – Харків: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зб. наук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proofErr w:type="gramStart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п</w:t>
      </w:r>
      <w:proofErr w:type="gramEnd"/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р. Харк. нац. пед. ун-ту імені Г. С. Сковороди</w:t>
      </w:r>
      <w:r>
        <w:rPr>
          <w:rFonts w:cs="Arial Unicode MS"/>
          <w:i/>
          <w:iCs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,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Вип. 54. Ч. 2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>,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2021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– С. 209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>-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223.</w:t>
      </w:r>
    </w:p>
    <w:p w:rsidR="00E27D08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Яровенко Л. С., Болдирєва А. Є.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Особливості передачі герундія та герундіальних комплексів.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–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К.: Вчені записки Таврійського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lastRenderedPageBreak/>
        <w:t xml:space="preserve">національного університету імені В.І. Вернацького, Т. 32 (71) №1 Ч. 2, 2021.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–  </w:t>
      </w:r>
      <w:r>
        <w:rPr>
          <w:rFonts w:cs="Arial Unicode MS"/>
          <w:color w:val="000000"/>
          <w:sz w:val="28"/>
          <w:szCs w:val="28"/>
          <w:u w:color="000000"/>
          <w:lang w:val="ru-RU"/>
          <w14:textOutline w14:w="0" w14:cap="flat" w14:cmpd="sng" w14:algn="ctr">
            <w14:noFill/>
            <w14:prstDash w14:val="solid"/>
            <w14:bevel/>
          </w14:textOutline>
        </w:rPr>
        <w:t>С. 301-307.</w:t>
      </w:r>
    </w:p>
    <w:p w:rsidR="00E27D08" w:rsidRPr="00F116FC" w:rsidRDefault="002A3024">
      <w:pPr>
        <w:numPr>
          <w:ilvl w:val="0"/>
          <w:numId w:val="15"/>
        </w:numPr>
        <w:spacing w:after="200" w:line="360" w:lineRule="auto"/>
        <w:jc w:val="both"/>
        <w:rPr>
          <w:rFonts w:cs="Arial Unicode MS"/>
          <w:color w:val="000000"/>
          <w:sz w:val="28"/>
          <w:szCs w:val="28"/>
          <w:u w:color="000000"/>
          <w14:textOutline w14:w="0" w14:cap="flat" w14:cmpd="sng" w14:algn="ctr">
            <w14:noFill/>
            <w14:prstDash w14:val="solid"/>
            <w14:bevel/>
          </w14:textOutline>
        </w:rPr>
      </w:pP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>Thomson A. J., Martinet A. V. A Practical English Grammar. – Oxford: Oxford University Press, 1986. – 384 p.</w:t>
      </w: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center"/>
        <w:rPr>
          <w:rFonts w:eastAsia="Times New Roman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Досл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іджувані тексти</w:t>
      </w:r>
    </w:p>
    <w:p w:rsidR="00E27D08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51. Кінг С. 11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22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63 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/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пер. з англ. О. Красюка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.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– Харків: Книжковий Клуб «Клуб</w:t>
      </w:r>
      <w:proofErr w:type="gramStart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 xml:space="preserve"> С</w:t>
      </w:r>
      <w:proofErr w:type="gramEnd"/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:lang w:val="ru-RU"/>
          <w14:textOutline w14:w="0" w14:cap="flat" w14:cmpd="sng" w14:algn="ctr">
            <w14:noFill/>
            <w14:prstDash w14:val="solid"/>
            <w14:bevel/>
          </w14:textOutline>
        </w:rPr>
        <w:t>імейного Дозвілля», 2012 – 896 с.</w:t>
      </w:r>
    </w:p>
    <w:p w:rsidR="00E27D08" w:rsidRPr="00F116FC" w:rsidRDefault="002A302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 xml:space="preserve">52.  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 xml:space="preserve">King S. 11/22/63/. 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>–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 xml:space="preserve"> New York: Scribner, 2011. </w:t>
      </w:r>
      <w:r w:rsidRPr="00F116FC"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>–</w:t>
      </w:r>
      <w:r>
        <w:rPr>
          <w:rFonts w:cs="Arial Unicode MS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  <w:t xml:space="preserve"> 849 p.</w:t>
      </w: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120" w:line="360" w:lineRule="auto"/>
        <w:ind w:left="360"/>
        <w:jc w:val="both"/>
        <w:rPr>
          <w:rFonts w:ascii="Arial" w:eastAsia="Arial" w:hAnsi="Arial" w:cs="Arial"/>
          <w:color w:val="000000"/>
          <w:sz w:val="22"/>
          <w:szCs w:val="22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  <w:bookmarkStart w:id="3" w:name="_GoBack"/>
      <w:bookmarkEnd w:id="3"/>
    </w:p>
    <w:p w:rsidR="00E27D08" w:rsidRPr="00F116FC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  <w:rPr>
          <w:rFonts w:eastAsia="Times New Roman"/>
          <w:color w:val="000000"/>
          <w:sz w:val="28"/>
          <w:szCs w:val="28"/>
          <w:u w:color="000000"/>
          <w:shd w:val="clear" w:color="auto" w:fill="FFFFFF"/>
          <w14:textOutline w14:w="0" w14:cap="flat" w14:cmpd="sng" w14:algn="ctr">
            <w14:noFill/>
            <w14:prstDash w14:val="solid"/>
            <w14:bevel/>
          </w14:textOutline>
        </w:rPr>
      </w:pPr>
    </w:p>
    <w:p w:rsidR="00E27D08" w:rsidRDefault="00E27D08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spacing w:after="200" w:line="360" w:lineRule="auto"/>
        <w:ind w:firstLine="1287"/>
        <w:jc w:val="both"/>
      </w:pPr>
    </w:p>
    <w:sectPr w:rsidR="00E27D08">
      <w:headerReference w:type="default" r:id="rId8"/>
      <w:footerReference w:type="default" r:id="rId9"/>
      <w:pgSz w:w="11906" w:h="16838"/>
      <w:pgMar w:top="1134" w:right="567" w:bottom="1134" w:left="1701" w:header="709" w:footer="85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AFF" w:rsidRDefault="002A3024">
      <w:r>
        <w:separator/>
      </w:r>
    </w:p>
  </w:endnote>
  <w:endnote w:type="continuationSeparator" w:id="0">
    <w:p w:rsidR="00470AFF" w:rsidRDefault="002A3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Times New Roman"/>
    <w:charset w:val="00"/>
    <w:family w:val="roman"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D08" w:rsidRDefault="00E27D0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AFF" w:rsidRDefault="002A3024">
      <w:r>
        <w:separator/>
      </w:r>
    </w:p>
  </w:footnote>
  <w:footnote w:type="continuationSeparator" w:id="0">
    <w:p w:rsidR="00470AFF" w:rsidRDefault="002A30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D08" w:rsidRDefault="002A3024">
    <w:pPr>
      <w:pStyle w:val="a7"/>
      <w:tabs>
        <w:tab w:val="clear" w:pos="9020"/>
        <w:tab w:val="center" w:pos="4819"/>
        <w:tab w:val="right" w:pos="9638"/>
      </w:tabs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 w:rsidR="00F116FC">
      <w:rPr>
        <w:rFonts w:hint="eastAsia"/>
        <w:noProof/>
      </w:rPr>
      <w:t>9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46FA0"/>
    <w:multiLevelType w:val="hybridMultilevel"/>
    <w:tmpl w:val="9000B9D0"/>
    <w:numStyleLink w:val="a"/>
  </w:abstractNum>
  <w:abstractNum w:abstractNumId="1">
    <w:nsid w:val="1BB35286"/>
    <w:multiLevelType w:val="hybridMultilevel"/>
    <w:tmpl w:val="3462167C"/>
    <w:numStyleLink w:val="4"/>
  </w:abstractNum>
  <w:abstractNum w:abstractNumId="2">
    <w:nsid w:val="24FF0AF4"/>
    <w:multiLevelType w:val="hybridMultilevel"/>
    <w:tmpl w:val="B82040FA"/>
    <w:styleLink w:val="a0"/>
    <w:lvl w:ilvl="0" w:tplc="2E640FA2">
      <w:start w:val="1"/>
      <w:numFmt w:val="bullet"/>
      <w:lvlText w:val="•"/>
      <w:lvlJc w:val="left"/>
      <w:pPr>
        <w:tabs>
          <w:tab w:val="num" w:pos="796"/>
        </w:tabs>
        <w:ind w:left="22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FAB45DAA">
      <w:start w:val="1"/>
      <w:numFmt w:val="bullet"/>
      <w:lvlText w:val="•"/>
      <w:lvlJc w:val="left"/>
      <w:pPr>
        <w:tabs>
          <w:tab w:val="num" w:pos="976"/>
        </w:tabs>
        <w:ind w:left="40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 w:tplc="A492F4F6">
      <w:start w:val="1"/>
      <w:numFmt w:val="bullet"/>
      <w:lvlText w:val="•"/>
      <w:lvlJc w:val="left"/>
      <w:pPr>
        <w:tabs>
          <w:tab w:val="num" w:pos="1156"/>
        </w:tabs>
        <w:ind w:left="58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 w:tplc="2B301642">
      <w:start w:val="1"/>
      <w:numFmt w:val="bullet"/>
      <w:lvlText w:val="•"/>
      <w:lvlJc w:val="left"/>
      <w:pPr>
        <w:tabs>
          <w:tab w:val="num" w:pos="1336"/>
        </w:tabs>
        <w:ind w:left="76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 w:tplc="69ECF7AC">
      <w:start w:val="1"/>
      <w:numFmt w:val="bullet"/>
      <w:lvlText w:val="•"/>
      <w:lvlJc w:val="left"/>
      <w:pPr>
        <w:tabs>
          <w:tab w:val="num" w:pos="1516"/>
        </w:tabs>
        <w:ind w:left="94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 w:tplc="07F0C1DE">
      <w:start w:val="1"/>
      <w:numFmt w:val="bullet"/>
      <w:lvlText w:val="•"/>
      <w:lvlJc w:val="left"/>
      <w:pPr>
        <w:tabs>
          <w:tab w:val="num" w:pos="1696"/>
        </w:tabs>
        <w:ind w:left="112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 w:tplc="172EA9AA">
      <w:start w:val="1"/>
      <w:numFmt w:val="bullet"/>
      <w:lvlText w:val="•"/>
      <w:lvlJc w:val="left"/>
      <w:pPr>
        <w:tabs>
          <w:tab w:val="num" w:pos="1876"/>
        </w:tabs>
        <w:ind w:left="130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 w:tplc="7D546240">
      <w:start w:val="1"/>
      <w:numFmt w:val="bullet"/>
      <w:lvlText w:val="•"/>
      <w:lvlJc w:val="left"/>
      <w:pPr>
        <w:tabs>
          <w:tab w:val="num" w:pos="2056"/>
        </w:tabs>
        <w:ind w:left="148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 w:tplc="B21A0474">
      <w:start w:val="1"/>
      <w:numFmt w:val="bullet"/>
      <w:lvlText w:val="•"/>
      <w:lvlJc w:val="left"/>
      <w:pPr>
        <w:tabs>
          <w:tab w:val="num" w:pos="2236"/>
        </w:tabs>
        <w:ind w:left="1669" w:firstLine="33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3">
    <w:nsid w:val="25C24719"/>
    <w:multiLevelType w:val="hybridMultilevel"/>
    <w:tmpl w:val="9D7E7B42"/>
    <w:styleLink w:val="2"/>
    <w:lvl w:ilvl="0" w:tplc="2CECC5AE">
      <w:start w:val="1"/>
      <w:numFmt w:val="bullet"/>
      <w:lvlText w:val="·"/>
      <w:lvlJc w:val="left"/>
      <w:pPr>
        <w:tabs>
          <w:tab w:val="left" w:pos="1515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287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B4C0AA4">
      <w:start w:val="1"/>
      <w:numFmt w:val="bullet"/>
      <w:lvlText w:val="o"/>
      <w:lvlJc w:val="left"/>
      <w:pPr>
        <w:tabs>
          <w:tab w:val="left" w:pos="1515"/>
          <w:tab w:val="left" w:pos="2124"/>
          <w:tab w:val="num" w:pos="284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007" w:firstLine="579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048B4FE">
      <w:start w:val="1"/>
      <w:numFmt w:val="bullet"/>
      <w:lvlText w:val="▪"/>
      <w:lvlJc w:val="left"/>
      <w:pPr>
        <w:tabs>
          <w:tab w:val="left" w:pos="1515"/>
          <w:tab w:val="left" w:pos="2124"/>
          <w:tab w:val="left" w:pos="2832"/>
          <w:tab w:val="num" w:pos="3564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727" w:firstLine="59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B964D16">
      <w:start w:val="1"/>
      <w:numFmt w:val="bullet"/>
      <w:lvlText w:val="·"/>
      <w:lvlJc w:val="left"/>
      <w:pPr>
        <w:tabs>
          <w:tab w:val="left" w:pos="1515"/>
          <w:tab w:val="left" w:pos="2124"/>
          <w:tab w:val="left" w:pos="2832"/>
          <w:tab w:val="left" w:pos="3540"/>
          <w:tab w:val="num" w:pos="4284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447" w:firstLine="603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D57ECF8C">
      <w:start w:val="1"/>
      <w:numFmt w:val="bullet"/>
      <w:lvlText w:val="o"/>
      <w:lvlJc w:val="left"/>
      <w:pPr>
        <w:tabs>
          <w:tab w:val="left" w:pos="1515"/>
          <w:tab w:val="left" w:pos="2124"/>
          <w:tab w:val="left" w:pos="2832"/>
          <w:tab w:val="left" w:pos="3540"/>
          <w:tab w:val="left" w:pos="4248"/>
          <w:tab w:val="num" w:pos="5004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167" w:firstLine="61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42AD4D6">
      <w:start w:val="1"/>
      <w:numFmt w:val="bullet"/>
      <w:lvlText w:val="▪"/>
      <w:lvlJc w:val="left"/>
      <w:pPr>
        <w:tabs>
          <w:tab w:val="left" w:pos="151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5724"/>
          <w:tab w:val="left" w:pos="6372"/>
          <w:tab w:val="left" w:pos="7080"/>
          <w:tab w:val="left" w:pos="7788"/>
          <w:tab w:val="left" w:pos="8496"/>
          <w:tab w:val="left" w:pos="9204"/>
        </w:tabs>
        <w:ind w:left="4887" w:firstLine="62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2AA4F6">
      <w:start w:val="1"/>
      <w:numFmt w:val="bullet"/>
      <w:lvlText w:val="·"/>
      <w:lvlJc w:val="left"/>
      <w:pPr>
        <w:tabs>
          <w:tab w:val="left" w:pos="151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6444"/>
          <w:tab w:val="left" w:pos="7080"/>
          <w:tab w:val="left" w:pos="7788"/>
          <w:tab w:val="left" w:pos="8496"/>
          <w:tab w:val="left" w:pos="9204"/>
        </w:tabs>
        <w:ind w:left="5607" w:firstLine="639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330013A">
      <w:start w:val="1"/>
      <w:numFmt w:val="bullet"/>
      <w:lvlText w:val="o"/>
      <w:lvlJc w:val="left"/>
      <w:pPr>
        <w:tabs>
          <w:tab w:val="left" w:pos="151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num" w:pos="7164"/>
          <w:tab w:val="left" w:pos="7788"/>
          <w:tab w:val="left" w:pos="8496"/>
          <w:tab w:val="left" w:pos="9204"/>
        </w:tabs>
        <w:ind w:left="6327" w:firstLine="65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026340C">
      <w:start w:val="1"/>
      <w:numFmt w:val="bullet"/>
      <w:lvlText w:val="▪"/>
      <w:lvlJc w:val="left"/>
      <w:pPr>
        <w:tabs>
          <w:tab w:val="left" w:pos="1515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num" w:pos="7884"/>
          <w:tab w:val="left" w:pos="8496"/>
          <w:tab w:val="left" w:pos="9204"/>
        </w:tabs>
        <w:ind w:left="7047" w:hanging="4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2C76562A"/>
    <w:multiLevelType w:val="hybridMultilevel"/>
    <w:tmpl w:val="AA54F02C"/>
    <w:numStyleLink w:val="a1"/>
  </w:abstractNum>
  <w:abstractNum w:abstractNumId="5">
    <w:nsid w:val="310141FF"/>
    <w:multiLevelType w:val="hybridMultilevel"/>
    <w:tmpl w:val="B82040FA"/>
    <w:numStyleLink w:val="a0"/>
  </w:abstractNum>
  <w:abstractNum w:abstractNumId="6">
    <w:nsid w:val="319602C4"/>
    <w:multiLevelType w:val="hybridMultilevel"/>
    <w:tmpl w:val="AA54F02C"/>
    <w:styleLink w:val="a1"/>
    <w:lvl w:ilvl="0" w:tplc="906E7798">
      <w:start w:val="1"/>
      <w:numFmt w:val="bullet"/>
      <w:lvlText w:val="•"/>
      <w:lvlJc w:val="left"/>
      <w:pPr>
        <w:tabs>
          <w:tab w:val="num" w:pos="92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500FB44">
      <w:start w:val="1"/>
      <w:numFmt w:val="bullet"/>
      <w:lvlText w:val="•"/>
      <w:lvlJc w:val="left"/>
      <w:pPr>
        <w:tabs>
          <w:tab w:val="left" w:pos="927"/>
          <w:tab w:val="num" w:pos="1647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0764E280">
      <w:start w:val="1"/>
      <w:numFmt w:val="bullet"/>
      <w:lvlText w:val="•"/>
      <w:lvlJc w:val="left"/>
      <w:pPr>
        <w:tabs>
          <w:tab w:val="left" w:pos="927"/>
          <w:tab w:val="left" w:pos="1416"/>
          <w:tab w:val="num" w:pos="2367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0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A9CFF36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num" w:pos="3087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2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12CBBD6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left" w:pos="2832"/>
          <w:tab w:val="left" w:pos="3540"/>
          <w:tab w:val="num" w:pos="3807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24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AA92D8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left" w:pos="2832"/>
          <w:tab w:val="left" w:pos="3540"/>
          <w:tab w:val="left" w:pos="4248"/>
          <w:tab w:val="num" w:pos="4527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6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77C41EE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247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68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D2D596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5967"/>
          <w:tab w:val="left" w:pos="6372"/>
          <w:tab w:val="left" w:pos="7080"/>
          <w:tab w:val="left" w:pos="7788"/>
          <w:tab w:val="left" w:pos="8496"/>
          <w:tab w:val="left" w:pos="9132"/>
        </w:tabs>
        <w:ind w:left="540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55284DB2">
      <w:start w:val="1"/>
      <w:numFmt w:val="bullet"/>
      <w:lvlText w:val="•"/>
      <w:lvlJc w:val="left"/>
      <w:pPr>
        <w:tabs>
          <w:tab w:val="left" w:pos="927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6687"/>
          <w:tab w:val="left" w:pos="7080"/>
          <w:tab w:val="left" w:pos="7788"/>
          <w:tab w:val="left" w:pos="8496"/>
          <w:tab w:val="left" w:pos="9132"/>
        </w:tabs>
        <w:ind w:left="6120" w:firstLine="20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>
    <w:nsid w:val="47A265D3"/>
    <w:multiLevelType w:val="hybridMultilevel"/>
    <w:tmpl w:val="9D7E7B42"/>
    <w:numStyleLink w:val="2"/>
  </w:abstractNum>
  <w:abstractNum w:abstractNumId="8">
    <w:nsid w:val="4A6E30EE"/>
    <w:multiLevelType w:val="hybridMultilevel"/>
    <w:tmpl w:val="49084748"/>
    <w:numStyleLink w:val="1"/>
  </w:abstractNum>
  <w:abstractNum w:abstractNumId="9">
    <w:nsid w:val="5FA51A40"/>
    <w:multiLevelType w:val="hybridMultilevel"/>
    <w:tmpl w:val="9000B9D0"/>
    <w:styleLink w:val="a"/>
    <w:lvl w:ilvl="0" w:tplc="F2F8DDBE">
      <w:start w:val="1"/>
      <w:numFmt w:val="decimal"/>
      <w:lvlText w:val="%1."/>
      <w:lvlJc w:val="left"/>
      <w:pPr>
        <w:tabs>
          <w:tab w:val="num" w:pos="1025"/>
        </w:tabs>
        <w:ind w:left="45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7727122">
      <w:start w:val="1"/>
      <w:numFmt w:val="decimal"/>
      <w:lvlText w:val="%2."/>
      <w:lvlJc w:val="left"/>
      <w:pPr>
        <w:tabs>
          <w:tab w:val="num" w:pos="1385"/>
        </w:tabs>
        <w:ind w:left="81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5326D24">
      <w:start w:val="1"/>
      <w:numFmt w:val="decimal"/>
      <w:lvlText w:val="%3."/>
      <w:lvlJc w:val="left"/>
      <w:pPr>
        <w:tabs>
          <w:tab w:val="num" w:pos="1745"/>
        </w:tabs>
        <w:ind w:left="117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0324EF2">
      <w:start w:val="1"/>
      <w:numFmt w:val="decimal"/>
      <w:lvlText w:val="%4."/>
      <w:lvlJc w:val="left"/>
      <w:pPr>
        <w:tabs>
          <w:tab w:val="num" w:pos="2105"/>
        </w:tabs>
        <w:ind w:left="153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5B270FE">
      <w:start w:val="1"/>
      <w:numFmt w:val="decimal"/>
      <w:lvlText w:val="%5."/>
      <w:lvlJc w:val="left"/>
      <w:pPr>
        <w:tabs>
          <w:tab w:val="num" w:pos="2465"/>
        </w:tabs>
        <w:ind w:left="189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239EB8EC">
      <w:start w:val="1"/>
      <w:numFmt w:val="decimal"/>
      <w:lvlText w:val="%6."/>
      <w:lvlJc w:val="left"/>
      <w:pPr>
        <w:tabs>
          <w:tab w:val="num" w:pos="2825"/>
        </w:tabs>
        <w:ind w:left="225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D806D7E">
      <w:start w:val="1"/>
      <w:numFmt w:val="decimal"/>
      <w:lvlText w:val="%7."/>
      <w:lvlJc w:val="left"/>
      <w:pPr>
        <w:tabs>
          <w:tab w:val="num" w:pos="3185"/>
        </w:tabs>
        <w:ind w:left="261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A881BDE">
      <w:start w:val="1"/>
      <w:numFmt w:val="decimal"/>
      <w:lvlText w:val="%8."/>
      <w:lvlJc w:val="left"/>
      <w:pPr>
        <w:tabs>
          <w:tab w:val="num" w:pos="3545"/>
        </w:tabs>
        <w:ind w:left="297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034EEB6">
      <w:start w:val="1"/>
      <w:numFmt w:val="decimal"/>
      <w:lvlText w:val="%9."/>
      <w:lvlJc w:val="left"/>
      <w:pPr>
        <w:tabs>
          <w:tab w:val="num" w:pos="3905"/>
        </w:tabs>
        <w:ind w:left="3338" w:firstLine="109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>
    <w:nsid w:val="62646D3A"/>
    <w:multiLevelType w:val="hybridMultilevel"/>
    <w:tmpl w:val="3462167C"/>
    <w:styleLink w:val="4"/>
    <w:lvl w:ilvl="0" w:tplc="0D4A2C30">
      <w:start w:val="1"/>
      <w:numFmt w:val="bullet"/>
      <w:lvlText w:val="·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09" w:firstLine="56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CDC49BE">
      <w:start w:val="1"/>
      <w:numFmt w:val="bullet"/>
      <w:lvlText w:val="o"/>
      <w:lvlJc w:val="left"/>
      <w:pPr>
        <w:tabs>
          <w:tab w:val="left" w:pos="708"/>
          <w:tab w:val="left" w:pos="1416"/>
          <w:tab w:val="num" w:pos="213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9" w:hanging="129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EBE6766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num" w:pos="2856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49" w:hanging="11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534A99C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76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69" w:hanging="105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528DED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96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89" w:hanging="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616DD0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501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09" w:hanging="81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22213BC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736"/>
          <w:tab w:val="left" w:pos="6372"/>
          <w:tab w:val="left" w:pos="7080"/>
          <w:tab w:val="left" w:pos="7788"/>
          <w:tab w:val="left" w:pos="8496"/>
          <w:tab w:val="left" w:pos="9132"/>
        </w:tabs>
        <w:ind w:left="5029" w:hanging="69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A1A061E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456"/>
          <w:tab w:val="left" w:pos="7080"/>
          <w:tab w:val="left" w:pos="7788"/>
          <w:tab w:val="left" w:pos="8496"/>
          <w:tab w:val="left" w:pos="9132"/>
        </w:tabs>
        <w:ind w:left="5749" w:hanging="57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4E11E6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7176"/>
          <w:tab w:val="left" w:pos="7788"/>
          <w:tab w:val="left" w:pos="8496"/>
          <w:tab w:val="left" w:pos="9132"/>
        </w:tabs>
        <w:ind w:left="6469" w:hanging="4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>
    <w:nsid w:val="6E854519"/>
    <w:multiLevelType w:val="hybridMultilevel"/>
    <w:tmpl w:val="49084748"/>
    <w:styleLink w:val="1"/>
    <w:lvl w:ilvl="0" w:tplc="03866398">
      <w:start w:val="1"/>
      <w:numFmt w:val="bullet"/>
      <w:lvlText w:val="-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927" w:firstLine="56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508F6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num" w:pos="284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647" w:firstLine="57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8DEA8BE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64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367" w:firstLine="59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61C1798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84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087" w:firstLine="60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696771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5004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807" w:firstLine="615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A6441BE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724"/>
          <w:tab w:val="left" w:pos="6372"/>
          <w:tab w:val="left" w:pos="7080"/>
          <w:tab w:val="left" w:pos="7788"/>
          <w:tab w:val="left" w:pos="8496"/>
          <w:tab w:val="left" w:pos="9204"/>
        </w:tabs>
        <w:ind w:left="4527" w:firstLine="62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4E4D158">
      <w:start w:val="1"/>
      <w:numFmt w:val="bullet"/>
      <w:lvlText w:val="•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444"/>
          <w:tab w:val="left" w:pos="7080"/>
          <w:tab w:val="left" w:pos="7788"/>
          <w:tab w:val="left" w:pos="8496"/>
          <w:tab w:val="left" w:pos="9204"/>
        </w:tabs>
        <w:ind w:left="5247" w:firstLine="639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1B8B012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7164"/>
          <w:tab w:val="left" w:pos="7788"/>
          <w:tab w:val="left" w:pos="8496"/>
          <w:tab w:val="left" w:pos="9204"/>
        </w:tabs>
        <w:ind w:left="5967" w:firstLine="65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29C51C0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num" w:pos="7884"/>
          <w:tab w:val="left" w:pos="8496"/>
          <w:tab w:val="left" w:pos="9204"/>
        </w:tabs>
        <w:ind w:left="6687" w:firstLine="66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>
    <w:nsid w:val="729512F3"/>
    <w:multiLevelType w:val="hybridMultilevel"/>
    <w:tmpl w:val="B6B23DEC"/>
    <w:numStyleLink w:val="5"/>
  </w:abstractNum>
  <w:abstractNum w:abstractNumId="13">
    <w:nsid w:val="7A696448"/>
    <w:multiLevelType w:val="hybridMultilevel"/>
    <w:tmpl w:val="B6B23DEC"/>
    <w:styleLink w:val="5"/>
    <w:lvl w:ilvl="0" w:tplc="0C78A8F0">
      <w:start w:val="1"/>
      <w:numFmt w:val="decimal"/>
      <w:lvlText w:val="%1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96E386E">
      <w:start w:val="1"/>
      <w:numFmt w:val="lowerLetter"/>
      <w:lvlText w:val="%2."/>
      <w:lvlJc w:val="left"/>
      <w:pPr>
        <w:tabs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A60D6CE">
      <w:start w:val="1"/>
      <w:numFmt w:val="lowerRoman"/>
      <w:lvlText w:val="%3."/>
      <w:lvlJc w:val="left"/>
      <w:pPr>
        <w:tabs>
          <w:tab w:val="left" w:pos="1416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858DAAC">
      <w:start w:val="1"/>
      <w:numFmt w:val="decimal"/>
      <w:lvlText w:val="%4."/>
      <w:lvlJc w:val="left"/>
      <w:pPr>
        <w:tabs>
          <w:tab w:val="left" w:pos="1416"/>
          <w:tab w:val="left" w:pos="2124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586B418">
      <w:start w:val="1"/>
      <w:numFmt w:val="lowerLetter"/>
      <w:lvlText w:val="%5."/>
      <w:lvlJc w:val="left"/>
      <w:pPr>
        <w:tabs>
          <w:tab w:val="left" w:pos="1416"/>
          <w:tab w:val="left" w:pos="2124"/>
          <w:tab w:val="left" w:pos="2832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44C65E2">
      <w:start w:val="1"/>
      <w:numFmt w:val="lowerRoman"/>
      <w:lvlText w:val="%6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9A6A1BC">
      <w:start w:val="1"/>
      <w:numFmt w:val="decimal"/>
      <w:lvlText w:val="%7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91A50B6">
      <w:start w:val="1"/>
      <w:numFmt w:val="lowerLetter"/>
      <w:lvlText w:val="%8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132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0DAB4E0">
      <w:start w:val="1"/>
      <w:numFmt w:val="lowerRoman"/>
      <w:lvlText w:val="%9."/>
      <w:lvlJc w:val="left"/>
      <w:pPr>
        <w:tabs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132"/>
        </w:tabs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7"/>
  </w:num>
  <w:num w:numId="5">
    <w:abstractNumId w:val="9"/>
  </w:num>
  <w:num w:numId="6">
    <w:abstractNumId w:val="0"/>
  </w:num>
  <w:num w:numId="7">
    <w:abstractNumId w:val="0"/>
    <w:lvlOverride w:ilvl="0">
      <w:startOverride w:val="1"/>
    </w:lvlOverride>
  </w:num>
  <w:num w:numId="8">
    <w:abstractNumId w:val="0"/>
    <w:lvlOverride w:ilvl="0">
      <w:lvl w:ilvl="0" w:tplc="96107C9E">
        <w:start w:val="1"/>
        <w:numFmt w:val="decimal"/>
        <w:lvlText w:val="%1."/>
        <w:lvlJc w:val="left"/>
        <w:pPr>
          <w:tabs>
            <w:tab w:val="num" w:pos="1025"/>
          </w:tabs>
          <w:ind w:left="45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2C2615AC">
        <w:start w:val="1"/>
        <w:numFmt w:val="decimal"/>
        <w:lvlText w:val="%2."/>
        <w:lvlJc w:val="left"/>
        <w:pPr>
          <w:tabs>
            <w:tab w:val="num" w:pos="1385"/>
          </w:tabs>
          <w:ind w:left="81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7CC8132">
        <w:start w:val="1"/>
        <w:numFmt w:val="decimal"/>
        <w:lvlText w:val="%3."/>
        <w:lvlJc w:val="left"/>
        <w:pPr>
          <w:tabs>
            <w:tab w:val="num" w:pos="1745"/>
          </w:tabs>
          <w:ind w:left="117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E4C8936">
        <w:start w:val="1"/>
        <w:numFmt w:val="decimal"/>
        <w:lvlText w:val="%4."/>
        <w:lvlJc w:val="left"/>
        <w:pPr>
          <w:tabs>
            <w:tab w:val="num" w:pos="2105"/>
          </w:tabs>
          <w:ind w:left="153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76C3C0C">
        <w:start w:val="1"/>
        <w:numFmt w:val="decimal"/>
        <w:lvlText w:val="%5."/>
        <w:lvlJc w:val="left"/>
        <w:pPr>
          <w:tabs>
            <w:tab w:val="num" w:pos="2465"/>
          </w:tabs>
          <w:ind w:left="189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10F4E05E">
        <w:start w:val="1"/>
        <w:numFmt w:val="decimal"/>
        <w:lvlText w:val="%6."/>
        <w:lvlJc w:val="left"/>
        <w:pPr>
          <w:tabs>
            <w:tab w:val="num" w:pos="2825"/>
          </w:tabs>
          <w:ind w:left="225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334C7A78">
        <w:start w:val="1"/>
        <w:numFmt w:val="decimal"/>
        <w:lvlText w:val="%7."/>
        <w:lvlJc w:val="left"/>
        <w:pPr>
          <w:tabs>
            <w:tab w:val="num" w:pos="3185"/>
          </w:tabs>
          <w:ind w:left="261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D0AC62A">
        <w:start w:val="1"/>
        <w:numFmt w:val="decimal"/>
        <w:lvlText w:val="%8."/>
        <w:lvlJc w:val="left"/>
        <w:pPr>
          <w:tabs>
            <w:tab w:val="num" w:pos="3545"/>
          </w:tabs>
          <w:ind w:left="297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BDE23C84">
        <w:start w:val="1"/>
        <w:numFmt w:val="decimal"/>
        <w:lvlText w:val="%9."/>
        <w:lvlJc w:val="left"/>
        <w:pPr>
          <w:tabs>
            <w:tab w:val="num" w:pos="3905"/>
          </w:tabs>
          <w:ind w:left="3338" w:firstLine="10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9">
    <w:abstractNumId w:val="0"/>
    <w:lvlOverride w:ilvl="0">
      <w:startOverride w:val="1"/>
    </w:lvlOverride>
  </w:num>
  <w:num w:numId="10">
    <w:abstractNumId w:val="0"/>
    <w:lvlOverride w:ilvl="0">
      <w:startOverride w:val="1"/>
    </w:lvlOverride>
  </w:num>
  <w:num w:numId="11">
    <w:abstractNumId w:val="2"/>
  </w:num>
  <w:num w:numId="12">
    <w:abstractNumId w:val="5"/>
  </w:num>
  <w:num w:numId="13">
    <w:abstractNumId w:val="6"/>
  </w:num>
  <w:num w:numId="14">
    <w:abstractNumId w:val="4"/>
  </w:num>
  <w:num w:numId="15">
    <w:abstractNumId w:val="0"/>
    <w:lvlOverride w:ilvl="0">
      <w:startOverride w:val="1"/>
      <w:lvl w:ilvl="0" w:tplc="96107C9E">
        <w:start w:val="1"/>
        <w:numFmt w:val="decimal"/>
        <w:lvlText w:val="%1."/>
        <w:lvlJc w:val="left"/>
        <w:pPr>
          <w:tabs>
            <w:tab w:val="left" w:pos="708"/>
            <w:tab w:val="left" w:pos="1416"/>
            <w:tab w:val="num" w:pos="1745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45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2C2615AC">
        <w:start w:val="1"/>
        <w:numFmt w:val="decimal"/>
        <w:lvlText w:val="%2."/>
        <w:lvlJc w:val="left"/>
        <w:pPr>
          <w:tabs>
            <w:tab w:val="left" w:pos="708"/>
            <w:tab w:val="left" w:pos="1416"/>
            <w:tab w:val="num" w:pos="2105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81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B7CC8132">
        <w:start w:val="1"/>
        <w:numFmt w:val="decimal"/>
        <w:lvlText w:val="%3."/>
        <w:lvlJc w:val="left"/>
        <w:pPr>
          <w:tabs>
            <w:tab w:val="left" w:pos="708"/>
            <w:tab w:val="left" w:pos="1416"/>
            <w:tab w:val="left" w:pos="2124"/>
            <w:tab w:val="num" w:pos="2465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17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E4C8936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num" w:pos="2825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53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576C3C0C">
        <w:start w:val="1"/>
        <w:numFmt w:val="decimal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185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189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10F4E05E">
        <w:start w:val="1"/>
        <w:numFmt w:val="decimal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45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25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334C7A78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3905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61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AD0AC62A">
        <w:start w:val="1"/>
        <w:numFmt w:val="decimal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265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297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BDE23C84">
        <w:start w:val="1"/>
        <w:numFmt w:val="decimal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625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204"/>
          </w:tabs>
          <w:ind w:left="3338" w:firstLine="82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6">
    <w:abstractNumId w:val="10"/>
  </w:num>
  <w:num w:numId="17">
    <w:abstractNumId w:val="1"/>
  </w:num>
  <w:num w:numId="18">
    <w:abstractNumId w:val="13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activeWritingStyle w:appName="MSWord" w:lang="ru-RU" w:vendorID="64" w:dllVersion="131078" w:nlCheck="1" w:checkStyle="0"/>
  <w:activeWritingStyle w:appName="MSWord" w:lang="en-US" w:vendorID="64" w:dllVersion="131078" w:nlCheck="1" w:checkStyle="1"/>
  <w:proofState w:grammar="clean"/>
  <w:revisionView w:formatting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7D08"/>
    <w:rsid w:val="002A3024"/>
    <w:rsid w:val="00470AFF"/>
    <w:rsid w:val="00E27D08"/>
    <w:rsid w:val="00F11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rPr>
      <w:sz w:val="24"/>
      <w:szCs w:val="24"/>
      <w:lang w:val="en-US"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styleId="a6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7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">
    <w:name w:val="родительский элемент TOC 1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10">
    <w:name w:val="toc 1"/>
    <w:basedOn w:val="TOC1"/>
    <w:next w:val="TOC1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1">
    <w:name w:val="1"/>
    <w:pPr>
      <w:spacing w:line="360" w:lineRule="auto"/>
      <w:ind w:firstLine="567"/>
      <w:jc w:val="center"/>
      <w:outlineLvl w:val="0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2">
    <w:name w:val="родительский элемент TOC 2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20">
    <w:name w:val="toc 2"/>
    <w:basedOn w:val="TOC2"/>
    <w:next w:val="TOC2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00">
    <w:name w:val="10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1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3">
    <w:name w:val="родительский элемент TOC 3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3">
    <w:name w:val="toc 3"/>
    <w:basedOn w:val="TOC3"/>
    <w:next w:val="TOC3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10">
    <w:name w:val="11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2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4">
    <w:name w:val="родительский элемент TOC 4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40">
    <w:name w:val="toc 4"/>
    <w:basedOn w:val="TOC4"/>
    <w:next w:val="TOC4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2">
    <w:name w:val="12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3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5">
    <w:name w:val="родительский элемент TOC 5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50">
    <w:name w:val="toc 5"/>
    <w:basedOn w:val="TOC5"/>
    <w:next w:val="TOC5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3">
    <w:name w:val="13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4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6">
    <w:name w:val="родительский элемент TOC 6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6">
    <w:name w:val="toc 6"/>
    <w:basedOn w:val="TOC6"/>
    <w:next w:val="TOC6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4">
    <w:name w:val="14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5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7">
    <w:name w:val="родительский элемент TOC 7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7">
    <w:name w:val="toc 7"/>
    <w:basedOn w:val="TOC7"/>
    <w:next w:val="TOC7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5">
    <w:name w:val="15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6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8">
    <w:name w:val="родительский элемент TOC 8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8">
    <w:name w:val="toc 8"/>
    <w:basedOn w:val="TOC8"/>
    <w:next w:val="TOC8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6">
    <w:name w:val="16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7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9">
    <w:name w:val="родительский элемент TOC 9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9">
    <w:name w:val="toc 9"/>
    <w:basedOn w:val="TOC9"/>
    <w:next w:val="TOC9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7">
    <w:name w:val="17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8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10">
    <w:name w:val="родительский элемент TOC 10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00">
    <w:name w:val="TOC 10"/>
    <w:basedOn w:val="TOC10"/>
    <w:next w:val="TOC10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8">
    <w:name w:val="18"/>
    <w:pPr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1">
    <w:name w:val="родительский элемент TOC 11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10">
    <w:name w:val="TOC 11"/>
    <w:basedOn w:val="TOC11"/>
    <w:next w:val="TOC11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9">
    <w:name w:val="19"/>
    <w:pPr>
      <w:spacing w:after="100"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2">
    <w:name w:val="родительский элемент TOC 12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20">
    <w:name w:val="TOC 12"/>
    <w:basedOn w:val="TOC12"/>
    <w:next w:val="TOC12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21">
    <w:name w:val="2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13">
    <w:name w:val="родительский элемент TOC 13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30">
    <w:name w:val="TOC 13"/>
    <w:basedOn w:val="TOC13"/>
    <w:next w:val="TOC13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30">
    <w:name w:val="3"/>
    <w:pPr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4">
    <w:name w:val="родительский элемент TOC 14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40">
    <w:name w:val="TOC 14"/>
    <w:basedOn w:val="TOC14"/>
    <w:next w:val="TOC14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41">
    <w:name w:val="4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5">
    <w:name w:val="родительский элемент TOC 15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50">
    <w:name w:val="TOC 15"/>
    <w:basedOn w:val="TOC15"/>
    <w:next w:val="TOC15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51">
    <w:name w:val="5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6">
    <w:name w:val="родительский элемент TOC 16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60">
    <w:name w:val="TOC 16"/>
    <w:basedOn w:val="TOC16"/>
    <w:next w:val="TOC16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60">
    <w:name w:val="6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7">
    <w:name w:val="родительский элемент TOC 17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70">
    <w:name w:val="TOC 17"/>
    <w:basedOn w:val="TOC17"/>
    <w:next w:val="TOC17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70">
    <w:name w:val="7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8">
    <w:name w:val="родительский элемент TOC 18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80">
    <w:name w:val="TOC 18"/>
    <w:basedOn w:val="TOC18"/>
    <w:next w:val="TOC18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80">
    <w:name w:val="8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9">
    <w:name w:val="родительский элемент TOC 19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90">
    <w:name w:val="TOC 19"/>
    <w:basedOn w:val="TOC19"/>
    <w:next w:val="TOC19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90">
    <w:name w:val="9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paragraph" w:customStyle="1" w:styleId="a8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22">
    <w:name w:val="Стиль таблицы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a">
    <w:name w:val="С числами"/>
    <w:pPr>
      <w:numPr>
        <w:numId w:val="5"/>
      </w:numPr>
    </w:pPr>
  </w:style>
  <w:style w:type="numbering" w:customStyle="1" w:styleId="a0">
    <w:name w:val="Пункт"/>
    <w:pPr>
      <w:numPr>
        <w:numId w:val="11"/>
      </w:numPr>
    </w:pPr>
  </w:style>
  <w:style w:type="numbering" w:customStyle="1" w:styleId="a1">
    <w:name w:val="С буквами"/>
    <w:pPr>
      <w:numPr>
        <w:numId w:val="13"/>
      </w:numPr>
    </w:pPr>
  </w:style>
  <w:style w:type="numbering" w:customStyle="1" w:styleId="4">
    <w:name w:val="Импортированный стиль 4"/>
    <w:pPr>
      <w:numPr>
        <w:numId w:val="16"/>
      </w:numPr>
    </w:pPr>
  </w:style>
  <w:style w:type="numbering" w:customStyle="1" w:styleId="5">
    <w:name w:val="Импортированный стиль 5"/>
    <w:pPr>
      <w:numPr>
        <w:numId w:val="1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rPr>
      <w:sz w:val="24"/>
      <w:szCs w:val="24"/>
      <w:lang w:val="en-US"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styleId="a6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7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">
    <w:name w:val="родительский элемент TOC 1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10">
    <w:name w:val="toc 1"/>
    <w:basedOn w:val="TOC1"/>
    <w:next w:val="TOC1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1">
    <w:name w:val="1"/>
    <w:pPr>
      <w:spacing w:line="360" w:lineRule="auto"/>
      <w:ind w:firstLine="567"/>
      <w:jc w:val="center"/>
      <w:outlineLvl w:val="0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2">
    <w:name w:val="родительский элемент TOC 2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20">
    <w:name w:val="toc 2"/>
    <w:basedOn w:val="TOC2"/>
    <w:next w:val="TOC2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00">
    <w:name w:val="10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1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3">
    <w:name w:val="родительский элемент TOC 3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3">
    <w:name w:val="toc 3"/>
    <w:basedOn w:val="TOC3"/>
    <w:next w:val="TOC3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10">
    <w:name w:val="11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2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4">
    <w:name w:val="родительский элемент TOC 4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40">
    <w:name w:val="toc 4"/>
    <w:basedOn w:val="TOC4"/>
    <w:next w:val="TOC4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2">
    <w:name w:val="12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3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5">
    <w:name w:val="родительский элемент TOC 5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50">
    <w:name w:val="toc 5"/>
    <w:basedOn w:val="TOC5"/>
    <w:next w:val="TOC5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3">
    <w:name w:val="13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4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6">
    <w:name w:val="родительский элемент TOC 6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6">
    <w:name w:val="toc 6"/>
    <w:basedOn w:val="TOC6"/>
    <w:next w:val="TOC6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4">
    <w:name w:val="14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5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7">
    <w:name w:val="родительский элемент TOC 7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7">
    <w:name w:val="toc 7"/>
    <w:basedOn w:val="TOC7"/>
    <w:next w:val="TOC7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5">
    <w:name w:val="15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6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8">
    <w:name w:val="родительский элемент TOC 8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8">
    <w:name w:val="toc 8"/>
    <w:basedOn w:val="TOC8"/>
    <w:next w:val="TOC8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6">
    <w:name w:val="16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7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9">
    <w:name w:val="родительский элемент TOC 9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styleId="9">
    <w:name w:val="toc 9"/>
    <w:basedOn w:val="TOC9"/>
    <w:next w:val="TOC9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7">
    <w:name w:val="17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  <w:outlineLvl w:val="8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10">
    <w:name w:val="родительский элемент TOC 10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00">
    <w:name w:val="TOC 10"/>
    <w:basedOn w:val="TOC10"/>
    <w:next w:val="TOC10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8">
    <w:name w:val="18"/>
    <w:pPr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1">
    <w:name w:val="родительский элемент TOC 11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10">
    <w:name w:val="TOC 11"/>
    <w:basedOn w:val="TOC11"/>
    <w:next w:val="TOC11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19">
    <w:name w:val="19"/>
    <w:pPr>
      <w:spacing w:after="100"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2">
    <w:name w:val="родительский элемент TOC 12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20">
    <w:name w:val="TOC 12"/>
    <w:basedOn w:val="TOC12"/>
    <w:next w:val="TOC12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21">
    <w:name w:val="2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132"/>
      </w:tabs>
      <w:spacing w:after="100"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TOC13">
    <w:name w:val="родительский элемент TOC 13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30">
    <w:name w:val="TOC 13"/>
    <w:basedOn w:val="TOC13"/>
    <w:next w:val="TOC13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30">
    <w:name w:val="3"/>
    <w:pPr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4">
    <w:name w:val="родительский элемент TOC 14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40">
    <w:name w:val="TOC 14"/>
    <w:basedOn w:val="TOC14"/>
    <w:next w:val="TOC14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41">
    <w:name w:val="4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5">
    <w:name w:val="родительский элемент TOC 15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50">
    <w:name w:val="TOC 15"/>
    <w:basedOn w:val="TOC15"/>
    <w:next w:val="TOC15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51">
    <w:name w:val="5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6">
    <w:name w:val="родительский элемент TOC 16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60">
    <w:name w:val="TOC 16"/>
    <w:basedOn w:val="TOC16"/>
    <w:next w:val="TOC16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60">
    <w:name w:val="6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7">
    <w:name w:val="родительский элемент TOC 17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70">
    <w:name w:val="TOC 17"/>
    <w:basedOn w:val="TOC17"/>
    <w:next w:val="TOC17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70">
    <w:name w:val="7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8">
    <w:name w:val="родительский элемент TOC 18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80">
    <w:name w:val="TOC 18"/>
    <w:basedOn w:val="TOC18"/>
    <w:next w:val="TOC18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80">
    <w:name w:val="8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9">
    <w:name w:val="родительский элемент TOC 19"/>
    <w:pPr>
      <w:tabs>
        <w:tab w:val="right" w:pos="9638"/>
      </w:tabs>
      <w:spacing w:before="160"/>
    </w:pPr>
    <w:rPr>
      <w:rFonts w:ascii="Helvetica Neue" w:eastAsia="Helvetica Neue" w:hAnsi="Helvetica Neue" w:cs="Helvetica Neue"/>
      <w:color w:val="000000"/>
      <w:sz w:val="28"/>
      <w:szCs w:val="28"/>
      <w14:textOutline w14:w="0" w14:cap="flat" w14:cmpd="sng" w14:algn="ctr">
        <w14:noFill/>
        <w14:prstDash w14:val="solid"/>
        <w14:bevel/>
      </w14:textOutline>
    </w:rPr>
  </w:style>
  <w:style w:type="paragraph" w:customStyle="1" w:styleId="TOC190">
    <w:name w:val="TOC 19"/>
    <w:basedOn w:val="TOC19"/>
    <w:next w:val="TOC19"/>
    <w:pPr>
      <w:tabs>
        <w:tab w:val="right" w:leader="dot" w:pos="9638"/>
      </w:tabs>
    </w:pPr>
    <w:rPr>
      <w:rFonts w:ascii="Times New Roman" w:eastAsia="Times New Roman" w:hAnsi="Times New Roman" w:cs="Times New Roman"/>
    </w:rPr>
  </w:style>
  <w:style w:type="paragraph" w:customStyle="1" w:styleId="90">
    <w:name w:val="9"/>
    <w:pPr>
      <w:tabs>
        <w:tab w:val="left" w:pos="1515"/>
      </w:tabs>
      <w:spacing w:line="360" w:lineRule="auto"/>
      <w:ind w:firstLine="567"/>
      <w:jc w:val="center"/>
    </w:pPr>
    <w:rPr>
      <w:rFonts w:eastAsia="Times New Roman"/>
      <w:b/>
      <w:bCs/>
      <w:color w:val="000000"/>
      <w:sz w:val="28"/>
      <w:szCs w:val="28"/>
      <w:u w:color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paragraph" w:customStyle="1" w:styleId="a8">
    <w:name w:val="По умолчанию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22">
    <w:name w:val="Стиль таблицы 2"/>
    <w:rPr>
      <w:rFonts w:ascii="Helvetica Neue" w:eastAsia="Helvetica Neue" w:hAnsi="Helvetica Neue" w:cs="Helvetica Neue"/>
      <w:color w:val="000000"/>
      <w14:textOutline w14:w="0" w14:cap="flat" w14:cmpd="sng" w14:algn="ctr">
        <w14:noFill/>
        <w14:prstDash w14:val="solid"/>
        <w14:bevel/>
      </w14:textOutline>
    </w:rPr>
  </w:style>
  <w:style w:type="numbering" w:customStyle="1" w:styleId="a">
    <w:name w:val="С числами"/>
    <w:pPr>
      <w:numPr>
        <w:numId w:val="5"/>
      </w:numPr>
    </w:pPr>
  </w:style>
  <w:style w:type="numbering" w:customStyle="1" w:styleId="a0">
    <w:name w:val="Пункт"/>
    <w:pPr>
      <w:numPr>
        <w:numId w:val="11"/>
      </w:numPr>
    </w:pPr>
  </w:style>
  <w:style w:type="numbering" w:customStyle="1" w:styleId="a1">
    <w:name w:val="С буквами"/>
    <w:pPr>
      <w:numPr>
        <w:numId w:val="13"/>
      </w:numPr>
    </w:pPr>
  </w:style>
  <w:style w:type="numbering" w:customStyle="1" w:styleId="4">
    <w:name w:val="Импортированный стиль 4"/>
    <w:pPr>
      <w:numPr>
        <w:numId w:val="16"/>
      </w:numPr>
    </w:pPr>
  </w:style>
  <w:style w:type="numbering" w:customStyle="1" w:styleId="5">
    <w:name w:val="Импортированный стиль 5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3254</Words>
  <Characters>18552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libonu</cp:lastModifiedBy>
  <cp:revision>2</cp:revision>
  <dcterms:created xsi:type="dcterms:W3CDTF">2023-06-23T10:35:00Z</dcterms:created>
  <dcterms:modified xsi:type="dcterms:W3CDTF">2023-06-23T10:35:00Z</dcterms:modified>
</cp:coreProperties>
</file>