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54E2" w:rsidRPr="0004372A" w:rsidRDefault="004654E2" w:rsidP="004654E2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 w:rsidRPr="0004372A"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04372A"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 w:rsidRPr="0004372A"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4654E2" w:rsidRPr="0004372A" w:rsidRDefault="004654E2" w:rsidP="004654E2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04372A"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4654E2" w:rsidRPr="0004372A" w:rsidRDefault="004654E2" w:rsidP="004654E2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04372A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4654E2" w:rsidRPr="0004372A" w:rsidRDefault="003332D0" w:rsidP="003332D0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 xml:space="preserve">                                   </w:t>
      </w:r>
      <w:r w:rsidR="004654E2" w:rsidRPr="0004372A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на тему: «</w:t>
      </w:r>
      <w:r w:rsidRPr="0004372A">
        <w:rPr>
          <w:rFonts w:ascii="Times New Roman" w:hAnsi="Times New Roman"/>
          <w:b/>
          <w:sz w:val="28"/>
          <w:szCs w:val="28"/>
          <w:lang w:val="uk-UA"/>
        </w:rPr>
        <w:t>Трансформація зовнішньоекономічних позицій Грузії, Молдови та України в умовах євроінтеграції</w:t>
      </w:r>
      <w:r w:rsidRPr="0004372A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 xml:space="preserve">»  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</w:pPr>
      <w:r w:rsidRPr="0004372A"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«</w:t>
      </w:r>
      <w:r w:rsidRPr="0004372A">
        <w:rPr>
          <w:rStyle w:val="tlid-translationtranslation"/>
          <w:rFonts w:ascii="Times New Roman" w:hAnsi="Times New Roman"/>
          <w:sz w:val="24"/>
          <w:szCs w:val="24"/>
          <w:lang w:val="uk-UA"/>
        </w:rPr>
        <w:t>Transformation of Foreign Economic Positions of Georgia, Moldova and Ukraine in the Conditions of European Integration</w:t>
      </w:r>
      <w:r w:rsidRPr="0004372A"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» 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7807"/>
      </w:tblGrid>
      <w:tr w:rsidR="004654E2" w:rsidRPr="0004372A" w:rsidTr="00381094">
        <w:trPr>
          <w:trHeight w:val="3190"/>
        </w:trPr>
        <w:tc>
          <w:tcPr>
            <w:tcW w:w="8022" w:type="dxa"/>
          </w:tcPr>
          <w:p w:rsidR="004654E2" w:rsidRPr="0004372A" w:rsidRDefault="004654E2" w:rsidP="00381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Виконала: студентка  денної форми навчання</w:t>
            </w:r>
          </w:p>
          <w:p w:rsidR="004654E2" w:rsidRPr="0004372A" w:rsidRDefault="004654E2" w:rsidP="00381094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4654E2" w:rsidRPr="0004372A" w:rsidRDefault="004654E2" w:rsidP="00381094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r w:rsidRPr="0004372A">
              <w:rPr>
                <w:rFonts w:ascii="Times New Roman" w:hAnsi="Times New Roman"/>
                <w:sz w:val="28"/>
                <w:szCs w:val="28"/>
                <w:lang w:val="uk-UA"/>
              </w:rPr>
              <w:t>Філіпенко Діана Валеріївна</w:t>
            </w:r>
          </w:p>
          <w:p w:rsidR="004654E2" w:rsidRPr="0004372A" w:rsidRDefault="004654E2" w:rsidP="00381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к.е.н., доц. Войнова Є. І.  __________</w:t>
            </w:r>
          </w:p>
          <w:p w:rsidR="004654E2" w:rsidRPr="0004372A" w:rsidRDefault="004654E2" w:rsidP="00381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4654E2" w:rsidRPr="0004372A" w:rsidRDefault="004654E2" w:rsidP="00381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к.е.н., доц. Пічугіна Ю. В.</w:t>
            </w:r>
          </w:p>
        </w:tc>
      </w:tr>
    </w:tbl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Рекомендовано до захисту:                                Захищено на засіданні ЕК № 4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«__»____ 2019 р.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№ 4 від «4» грудня 2019 р.                                   Оцінка___________/______/______                         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Завідувач кафедри______С.О. Якубовський     Голова ЕК______ С.О. Якубовський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Одеса – 2019</w:t>
      </w:r>
    </w:p>
    <w:p w:rsidR="003332D0" w:rsidRDefault="003332D0" w:rsidP="004654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lastRenderedPageBreak/>
        <w:t>ЗМІСТ</w:t>
      </w:r>
    </w:p>
    <w:p w:rsidR="004654E2" w:rsidRPr="0004372A" w:rsidRDefault="004654E2" w:rsidP="004654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108" w:type="dxa"/>
        <w:tblInd w:w="-431" w:type="dxa"/>
        <w:tblLook w:val="04A0" w:firstRow="1" w:lastRow="0" w:firstColumn="1" w:lastColumn="0" w:noHBand="0" w:noVBand="1"/>
      </w:tblPr>
      <w:tblGrid>
        <w:gridCol w:w="9612"/>
        <w:gridCol w:w="496"/>
      </w:tblGrid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1. </w:t>
            </w:r>
            <w:r w:rsidRPr="00897C78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АНАЛІЗ ТЕОРІЙ І МОДЕЛЕЙ ПЛАТІЖНОГО БАЛАНСУ ТА МІЖНАРОДНОЇ ІНВЕСТИЦІЙНОЇ ПОЗИЦІЇ 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…………………………….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4654E2" w:rsidRPr="0004372A" w:rsidRDefault="004654E2" w:rsidP="00381094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1.1. </w:t>
            </w:r>
            <w:r w:rsidRPr="00C3595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Аналіз теорій і моделей платіжного балансу та міжнародної інвестиційної позиції 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…………………………………..……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………………...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…………………....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1.2. </w:t>
            </w:r>
            <w:r w:rsidRPr="00C3595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Огляд теоретичних основ зовнішнього боргу та його впливу на економічний ріст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……………………………………………………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14</w:t>
            </w:r>
          </w:p>
        </w:tc>
      </w:tr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2. </w:t>
            </w:r>
            <w:r w:rsidRPr="00C3595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ОСОБЛИВОСТІ ТРАНСФОРМАЦІЙ ЗОВНІШНЬОЕКОНОМІЧНИХ ПОЗИЦІЙ ГРУЗІЇ, МОЛДОВИ, УКРАЇНИ У СУЧАСНИХ УМОВАХ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…………………………………………………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…..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….…..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18</w:t>
            </w:r>
          </w:p>
        </w:tc>
      </w:tr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2.1. </w:t>
            </w:r>
            <w:r w:rsidRPr="00C3595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Аналіз динаміки та структури платіжних балансів країн 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………………….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18</w:t>
            </w:r>
          </w:p>
        </w:tc>
      </w:tr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2.2. </w:t>
            </w:r>
            <w:r w:rsidRPr="00C3595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Порівняльний аналіз міжнародних інвестиційних позицій країн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…...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……...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2.3 </w:t>
            </w:r>
            <w:r w:rsidRPr="00C3595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Аналіз структури та динаміки зовнішніх боргів країн 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…………………..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.. 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30</w:t>
            </w:r>
          </w:p>
        </w:tc>
      </w:tr>
      <w:tr w:rsidR="004654E2" w:rsidRPr="0004372A" w:rsidTr="00381094">
        <w:trPr>
          <w:trHeight w:val="1461"/>
        </w:trPr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3. </w:t>
            </w:r>
            <w:r w:rsidRPr="00D2120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ОСОБЛИВОСТІ ЗОВНІШНЬОЕКОНОМІЧНИХ ОПЕРАЦІЙ ГРУЗІЇ ТА МОЛДОВИ З УКРАЇНОЮ</w:t>
            </w: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…………………………………………..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</w:tr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  <w:tcBorders>
              <w:left w:val="nil"/>
            </w:tcBorders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4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4654E2" w:rsidRPr="0004372A" w:rsidTr="00381094">
        <w:tc>
          <w:tcPr>
            <w:tcW w:w="9612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  <w:shd w:val="clear" w:color="auto" w:fill="auto"/>
          </w:tcPr>
          <w:p w:rsidR="004654E2" w:rsidRPr="0004372A" w:rsidRDefault="004654E2" w:rsidP="00381094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4372A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</w:tr>
    </w:tbl>
    <w:p w:rsidR="004654E2" w:rsidRPr="0004372A" w:rsidRDefault="004654E2" w:rsidP="004654E2">
      <w:pPr>
        <w:spacing w:after="0" w:line="259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4654E2" w:rsidRPr="0004372A" w:rsidRDefault="004654E2" w:rsidP="004654E2">
      <w:pPr>
        <w:spacing w:after="160" w:line="259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 w:rsidRPr="0004372A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4654E2" w:rsidRPr="0004372A" w:rsidRDefault="004654E2" w:rsidP="004654E2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4654E2" w:rsidRDefault="004654E2" w:rsidP="004654E2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31420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В умовах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глобалізації світового господарства ефективність </w:t>
      </w:r>
      <w:r w:rsidRPr="0031420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зовнішньоекономічн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ої</w:t>
      </w:r>
      <w:r w:rsidRPr="0031420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дія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льності</w:t>
      </w:r>
      <w:r w:rsidRPr="0031420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є дуже важливим показником того, наскільки країна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відповідає сучасним критеріям міжнародної конкурентоздатності.</w:t>
      </w:r>
    </w:p>
    <w:p w:rsidR="004654E2" w:rsidRDefault="004654E2" w:rsidP="004654E2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31420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Зовнішньоекономічна діяльність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для пострадянських країн </w:t>
      </w:r>
      <w:r w:rsidRPr="0031420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завжди була і залишається пріоритетним напрямком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державної </w:t>
      </w:r>
      <w:r w:rsidRPr="0031420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політики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, бо її результат впливає не лише на макроекономічні показники країни – валютний курс, обсяг зовнішнього боргу, а і на загальні показники добробуту населення держави.</w:t>
      </w:r>
    </w:p>
    <w:p w:rsidR="004654E2" w:rsidRPr="0004372A" w:rsidRDefault="004654E2" w:rsidP="004654E2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Вдалість процесу європейської інтеграції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Молдови, Грузії та України </w:t>
      </w: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спонукають дослідників вивчати цей процес. Серед українських науковців найбільш вдалими були дослідження європейської інтеграції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пострадянських країн </w:t>
      </w: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 боку вчених Київського інститут міжнародних відносин – А.С. Філіпенко, А.І. Рогача, О.І. Шниркова, С.А. Циганова, П.В. Дзюби, а також наступних вчених Одеського національного університету імені І. І. Мечникова: О.В. Горняк, Л.Х. Доленко, Н.М. Бичкової, Є.І. Войнової, Т.А. Родіонової, С.О. Якубовського.</w:t>
      </w:r>
    </w:p>
    <w:p w:rsidR="004654E2" w:rsidRDefault="004654E2" w:rsidP="004654E2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Отже, дослідження особливостей формування зовнішньоекономічних позицій провідних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демократичних пострадянських </w:t>
      </w: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країн, що здійснюється у роботі, є актуальним та має теоретичну та практичну цінність.</w:t>
      </w:r>
    </w:p>
    <w:p w:rsidR="004654E2" w:rsidRPr="0004372A" w:rsidRDefault="004654E2" w:rsidP="004654E2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За останнє десятиліття Грузія, Молдова та Україна не тільки уклали договори про зону вільної торгівлі та асоційовано членство з Європейським Союзом, але виконали найважливіші умови ЄС щодо отримання безвізового режиму.</w:t>
      </w:r>
    </w:p>
    <w:p w:rsidR="004654E2" w:rsidRPr="0004372A" w:rsidRDefault="004654E2" w:rsidP="004654E2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Метою даної роботи є вивчення особливостей формування зовнішньоекономічних позицій провідних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пострадянських </w:t>
      </w: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країн, а саме –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Грузії, Молдови та України</w:t>
      </w: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4654E2" w:rsidRPr="0004372A" w:rsidRDefault="004654E2" w:rsidP="004654E2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sz w:val="28"/>
          <w:szCs w:val="28"/>
          <w:lang w:val="uk-UA" w:eastAsia="ru-RU"/>
        </w:rPr>
        <w:t>Виходячи з поставленої мети в роботі вирішені наступні задачі:</w:t>
      </w:r>
    </w:p>
    <w:p w:rsidR="004654E2" w:rsidRDefault="004654E2" w:rsidP="004654E2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провезти а</w:t>
      </w:r>
      <w:r w:rsidRPr="00857AB7">
        <w:rPr>
          <w:rFonts w:ascii="Times New Roman" w:eastAsia="Times New Roman" w:hAnsi="Times New Roman"/>
          <w:sz w:val="28"/>
          <w:szCs w:val="28"/>
          <w:lang w:val="uk-UA" w:eastAsia="ru-RU"/>
        </w:rPr>
        <w:t>наліз теорій і моделей платіжного балансу та міжнародної інвестиційної позиції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4654E2" w:rsidRDefault="004654E2" w:rsidP="004654E2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57AB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зробити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 w:rsidRPr="00857AB7">
        <w:rPr>
          <w:rFonts w:ascii="Times New Roman" w:eastAsia="Times New Roman" w:hAnsi="Times New Roman"/>
          <w:sz w:val="28"/>
          <w:szCs w:val="28"/>
          <w:lang w:val="uk-UA" w:eastAsia="ru-RU"/>
        </w:rPr>
        <w:t>гляд теоретичних основ зовнішнього боргу та його впливу на економічний ріст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4654E2" w:rsidRDefault="004654E2" w:rsidP="004654E2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дослідити динаміку та структуру </w:t>
      </w:r>
      <w:r w:rsidRPr="00857AB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платіжних балансів країн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України, Грузії та Молдови;</w:t>
      </w:r>
    </w:p>
    <w:p w:rsidR="004654E2" w:rsidRDefault="004654E2" w:rsidP="004654E2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зробити п</w:t>
      </w:r>
      <w:r w:rsidRPr="00857AB7">
        <w:rPr>
          <w:rFonts w:ascii="Times New Roman" w:eastAsia="Times New Roman" w:hAnsi="Times New Roman"/>
          <w:sz w:val="28"/>
          <w:szCs w:val="28"/>
          <w:lang w:val="uk-UA" w:eastAsia="ru-RU"/>
        </w:rPr>
        <w:t>орівняльний аналіз міжнародних інвестиційних позицій країн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4654E2" w:rsidRDefault="004654E2" w:rsidP="004654E2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визначити</w:t>
      </w:r>
      <w:r w:rsidRPr="00857AB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структур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857AB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динамік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857AB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зовнішніх боргів України, Грузії та Молдови;</w:t>
      </w:r>
    </w:p>
    <w:p w:rsidR="004654E2" w:rsidRDefault="004654E2" w:rsidP="004654E2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вивчити </w:t>
      </w:r>
      <w:r w:rsidRPr="00857AB7">
        <w:rPr>
          <w:rFonts w:ascii="Times New Roman" w:eastAsia="Times New Roman" w:hAnsi="Times New Roman"/>
          <w:sz w:val="28"/>
          <w:szCs w:val="28"/>
          <w:lang w:val="uk-UA" w:eastAsia="ru-RU"/>
        </w:rPr>
        <w:t>особливості зовнішньоекономічних операцій Грузії та Молдови з Україною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4654E2" w:rsidRPr="0004372A" w:rsidRDefault="004654E2" w:rsidP="004654E2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Об'єктом дослідження є економіки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Грузії, Молдови та України на сучасному етапі розвитку</w:t>
      </w:r>
      <w:r w:rsidRPr="0004372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4654E2" w:rsidRPr="0004372A" w:rsidRDefault="004654E2" w:rsidP="004654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Предметом дослідження є теоретичні основи та прикладні аспекти трансформації зовнішньоекономічних позицій </w:t>
      </w:r>
      <w:r w:rsidRPr="00857AB7">
        <w:rPr>
          <w:rFonts w:ascii="Times New Roman" w:hAnsi="Times New Roman"/>
          <w:sz w:val="28"/>
          <w:szCs w:val="28"/>
          <w:lang w:val="uk-UA"/>
        </w:rPr>
        <w:t xml:space="preserve">Грузії, Молдови та України </w:t>
      </w:r>
      <w:r w:rsidRPr="0004372A">
        <w:rPr>
          <w:rFonts w:ascii="Times New Roman" w:hAnsi="Times New Roman"/>
          <w:sz w:val="28"/>
          <w:szCs w:val="28"/>
          <w:lang w:val="uk-UA"/>
        </w:rPr>
        <w:t>в умовах</w:t>
      </w:r>
      <w:r>
        <w:rPr>
          <w:rFonts w:ascii="Times New Roman" w:hAnsi="Times New Roman"/>
          <w:sz w:val="28"/>
          <w:szCs w:val="28"/>
          <w:lang w:val="uk-UA"/>
        </w:rPr>
        <w:t xml:space="preserve"> Європейської інтеграції</w:t>
      </w:r>
      <w:r w:rsidRPr="0004372A">
        <w:rPr>
          <w:rFonts w:ascii="Times New Roman" w:hAnsi="Times New Roman"/>
          <w:sz w:val="28"/>
          <w:szCs w:val="28"/>
          <w:lang w:val="uk-UA"/>
        </w:rPr>
        <w:t>.</w:t>
      </w:r>
    </w:p>
    <w:p w:rsidR="004654E2" w:rsidRPr="0004372A" w:rsidRDefault="004654E2" w:rsidP="004654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в роботі мети обумовлено використанням таких методів дослідження, як логічний метод пізнання економічних механізмів, а саме порівняльний аналіз, який застосовуватиметься для аналізу основних особливостей трансформації платіжних балансів </w:t>
      </w:r>
      <w:r w:rsidRPr="00857AB7">
        <w:rPr>
          <w:rFonts w:ascii="Times New Roman" w:hAnsi="Times New Roman"/>
          <w:sz w:val="28"/>
          <w:szCs w:val="28"/>
          <w:lang w:val="uk-UA"/>
        </w:rPr>
        <w:t>Грузії, Молдови та України</w:t>
      </w:r>
      <w:r w:rsidRPr="0004372A">
        <w:rPr>
          <w:rFonts w:ascii="Times New Roman" w:hAnsi="Times New Roman"/>
          <w:sz w:val="28"/>
          <w:szCs w:val="28"/>
          <w:lang w:val="uk-UA"/>
        </w:rPr>
        <w:t>.</w:t>
      </w:r>
    </w:p>
    <w:p w:rsidR="004654E2" w:rsidRPr="0004372A" w:rsidRDefault="004654E2" w:rsidP="004654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Дана дипломна робота складається з вступу, трьох розділів, висновків та списку використаних джерел, який нараховує 5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04372A">
        <w:rPr>
          <w:rFonts w:ascii="Times New Roman" w:hAnsi="Times New Roman"/>
          <w:sz w:val="28"/>
          <w:szCs w:val="28"/>
          <w:lang w:val="uk-UA"/>
        </w:rPr>
        <w:t xml:space="preserve"> джерел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04372A">
        <w:rPr>
          <w:rFonts w:ascii="Times New Roman" w:hAnsi="Times New Roman"/>
          <w:sz w:val="28"/>
          <w:szCs w:val="28"/>
          <w:lang w:val="uk-UA"/>
        </w:rPr>
        <w:t xml:space="preserve">; ілюстрована </w:t>
      </w:r>
      <w:r>
        <w:rPr>
          <w:rFonts w:ascii="Times New Roman" w:hAnsi="Times New Roman"/>
          <w:sz w:val="28"/>
          <w:szCs w:val="28"/>
          <w:lang w:val="uk-UA"/>
        </w:rPr>
        <w:t>10</w:t>
      </w:r>
      <w:r w:rsidRPr="0004372A">
        <w:rPr>
          <w:rFonts w:ascii="Times New Roman" w:hAnsi="Times New Roman"/>
          <w:sz w:val="28"/>
          <w:szCs w:val="28"/>
          <w:lang w:val="uk-UA"/>
        </w:rPr>
        <w:t xml:space="preserve"> рисунками та </w:t>
      </w:r>
      <w:r>
        <w:rPr>
          <w:rFonts w:ascii="Times New Roman" w:hAnsi="Times New Roman"/>
          <w:sz w:val="28"/>
          <w:szCs w:val="28"/>
          <w:lang w:val="uk-UA"/>
        </w:rPr>
        <w:t>12</w:t>
      </w:r>
      <w:r w:rsidRPr="0004372A">
        <w:rPr>
          <w:rFonts w:ascii="Times New Roman" w:hAnsi="Times New Roman"/>
          <w:sz w:val="28"/>
          <w:szCs w:val="28"/>
          <w:lang w:val="uk-UA"/>
        </w:rPr>
        <w:t xml:space="preserve"> таблицями.</w:t>
      </w:r>
    </w:p>
    <w:p w:rsidR="004654E2" w:rsidRPr="0004372A" w:rsidRDefault="004654E2" w:rsidP="004654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Магістерська робота є самостійно виконаним науковим дослідженням, усі наукові результати, що викладені у роботі та виносяться на захист, отримані автором особисто. </w:t>
      </w:r>
    </w:p>
    <w:p w:rsidR="004654E2" w:rsidRDefault="004654E2" w:rsidP="004654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Результати дослідження пройшли апробацію на </w:t>
      </w:r>
      <w:r>
        <w:rPr>
          <w:rFonts w:ascii="Times New Roman" w:hAnsi="Times New Roman"/>
          <w:sz w:val="28"/>
          <w:szCs w:val="28"/>
          <w:lang w:val="uk-UA"/>
        </w:rPr>
        <w:t>Дев’я</w:t>
      </w:r>
      <w:r w:rsidRPr="0004372A">
        <w:rPr>
          <w:rFonts w:ascii="Times New Roman" w:hAnsi="Times New Roman"/>
          <w:sz w:val="28"/>
          <w:szCs w:val="28"/>
          <w:lang w:val="uk-UA"/>
        </w:rPr>
        <w:t>тій міжнародній науково-практичній конференції «Добробут націй в умовах глобальної нестабільності».</w:t>
      </w:r>
    </w:p>
    <w:p w:rsidR="009B7E20" w:rsidRDefault="009B7E20" w:rsidP="004654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B7E20" w:rsidRPr="0004372A" w:rsidRDefault="009B7E20" w:rsidP="009B7E20">
      <w:pPr>
        <w:spacing w:after="0" w:line="36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04372A">
        <w:rPr>
          <w:rFonts w:ascii="Times New Roman" w:hAnsi="Times New Roman"/>
          <w:b/>
          <w:sz w:val="28"/>
          <w:lang w:val="uk-UA"/>
        </w:rPr>
        <w:lastRenderedPageBreak/>
        <w:t>ВИСНОВКИ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 xml:space="preserve">За підсумками проведеного у магістерської роботі дослідження можливо зробити наступні висновки. 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>Зовнішня торгівля Грузії характеризується негативним торговим балансом, імпорт в кілька разів перевищує експорт. Негативне сальдо зовнішньої торгівлі вимагає компенсації за фінансовим рахунком, тому зовнішній борг країни виріс з 2000 року більш ніж в 7,5 разів починаючи з 1 825 млн. дол. до 13 724 млн., досягнувши в 2013 р. 85% ВВП.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>Негативний внесок в стійкість економіки Грузії внесла також політика стимулювання імпорту, яка призвела до різкого зростання негативного сальдо зовнішньої торгівлі і не сприяла розвитку власного виробництва в Грузії.</w:t>
      </w:r>
      <w:r w:rsidRPr="0004372A">
        <w:rPr>
          <w:rFonts w:ascii="Times New Roman" w:hAnsi="Times New Roman"/>
          <w:b/>
          <w:sz w:val="28"/>
          <w:lang w:val="uk-UA"/>
        </w:rPr>
        <w:t xml:space="preserve"> </w:t>
      </w:r>
      <w:r w:rsidRPr="0004372A">
        <w:rPr>
          <w:rFonts w:ascii="Times New Roman" w:hAnsi="Times New Roman"/>
          <w:sz w:val="28"/>
          <w:lang w:val="uk-UA"/>
        </w:rPr>
        <w:t>Незважаючи на це,</w:t>
      </w:r>
      <w:r w:rsidRPr="0004372A">
        <w:rPr>
          <w:rFonts w:ascii="Times New Roman" w:hAnsi="Times New Roman"/>
          <w:b/>
          <w:sz w:val="28"/>
          <w:lang w:val="uk-UA"/>
        </w:rPr>
        <w:t xml:space="preserve"> </w:t>
      </w:r>
      <w:r w:rsidRPr="0004372A">
        <w:rPr>
          <w:rFonts w:ascii="Times New Roman" w:hAnsi="Times New Roman"/>
          <w:sz w:val="28"/>
          <w:lang w:val="uk-UA"/>
        </w:rPr>
        <w:t>успішно розвиваються торгові відносини з країнами Євросоюзу. За останній час Грузія уклала угоди про вільну торгівлю з ЄС, країнами Європейської асоціації вільної торгівлі EFTA, Туреччиною, Гонконгом і Китаєм.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>У 2017 році дефіцит поточного рахунку платіжного балансу Молдови склав 562 млн. дол. США, рахунок операцій з капіталом зафіксував дефіцит у сумі 21 млн. дол. США, фінансовий рахунок - чистий приплив капіталу дорівнював 507 млн. доларів США. Основним джерелом дисбалансу поточного рахунку є збільшення розриву між експортом та імпортом, що в підсумку змушує говорити про наявність недоліків в конкурентоспроможності молдавської економіки і являє собою загрозу для довгострокової макроекономічної стабільності.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 xml:space="preserve">Однією з негативних тенденцій для української економіки є зростання високими темпами дефіциту торгового балансу (на 55% у 2018 р., порівняно з 2017 р.) на тлі традиційно низького зросту ВВП (близько 3% за минулий рік). 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 xml:space="preserve">Основними компонентами формування негативного сальдо за поточними операціями у 2018 році стали: дефіцит торгівельного балансу, який досяг позначки 11,5 млрд дол. США і збільшився на 2,9 млрд дол. порівняно з </w:t>
      </w:r>
      <w:r w:rsidRPr="0004372A">
        <w:rPr>
          <w:rFonts w:ascii="Times New Roman" w:hAnsi="Times New Roman"/>
          <w:sz w:val="28"/>
          <w:lang w:val="uk-UA"/>
        </w:rPr>
        <w:lastRenderedPageBreak/>
        <w:t>попереднім роком; від'ємне сальдо «доходів від інвестицій», яке зросло до 8,2 млрд дол. США порівняно із 6,5 млрд дол. у 2017 році.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>Згідно проведеного аналізу платіжних балансів Грузії, Молдови та України, можна стверджувати, що найкращі показники має Грузія, не зважаючи на негативну динаміку фінансового рахунку. Найкращу інвестиційну позицію займає Молдова -3,550,57 млн. дол. США.</w:t>
      </w:r>
    </w:p>
    <w:p w:rsidR="009B7E20" w:rsidRPr="0004372A" w:rsidRDefault="009B7E20" w:rsidP="009B7E20">
      <w:pPr>
        <w:tabs>
          <w:tab w:val="left" w:pos="846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>Зовнішній борг Грузії у 2019 р. складає 106,31% від</w:t>
      </w:r>
      <w:r w:rsidRPr="0004372A">
        <w:rPr>
          <w:rFonts w:ascii="Times New Roman" w:hAnsi="Times New Roman"/>
          <w:sz w:val="28"/>
          <w:szCs w:val="28"/>
          <w:lang w:val="uk-UA"/>
        </w:rPr>
        <w:t xml:space="preserve"> номінального ВВП</w:t>
      </w:r>
      <w:r w:rsidRPr="0004372A">
        <w:rPr>
          <w:rFonts w:ascii="Times New Roman" w:hAnsi="Times New Roman"/>
          <w:sz w:val="28"/>
          <w:lang w:val="uk-UA"/>
        </w:rPr>
        <w:t xml:space="preserve"> країни (17,8 млрд. дол. (475 млрд. ларі). Порівняно з 2018 р. зовнішній борг Грузії збільшився на 6,27% у 2019 р. </w:t>
      </w:r>
    </w:p>
    <w:p w:rsidR="009B7E20" w:rsidRPr="0004372A" w:rsidRDefault="009B7E20" w:rsidP="009B7E20">
      <w:pPr>
        <w:tabs>
          <w:tab w:val="left" w:pos="846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>Структуру зовнішнього боргу Грузії складають: борг урядового сектора - 5,4 млрд.дол. (14,4 млрд ларі; 33,2% ВВП), зобов'язання Нацбанку - 369,2 млн.дол. (988,2 млн. ларі; 2,3% ВВП), облігації державних підприємств 790,6 млн.дол. (2,1 млрд ларі; 4,9% ВВП). Зовнішній борг банківського сектора склав 4,3 млрд.дол. (11,4 млрд ларі; 26,4% ВВП), зовнішній борг інших секторів - 5,3 млрд.дол. (14,3 млрд ларі; 33,0% ВВП).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 xml:space="preserve">Зовнішній борг Молдови становив 62,5% від номінального ВВП країни в 2019 році в порівнянні з показником в 64,56% в попередньому році. 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>У структурі загального зовнішнього боргу Молдови за секторами на кінець 2018 р. найбільша частка припала на нефінансові підприємства - 39,5% від загального обсягу, міжфілійне кредитування (включаючи борги за імпорт природного газу) - 26,2%, сектор держуправління - 23,4%, депозитні організації - 5,3%, Центробанк - 2,9%, інші фінансові організації - 2,2 %</w:t>
      </w:r>
      <w:r w:rsidRPr="0004372A">
        <w:rPr>
          <w:rFonts w:ascii="Times New Roman" w:hAnsi="Times New Roman"/>
          <w:b/>
          <w:sz w:val="28"/>
          <w:lang w:val="uk-UA"/>
        </w:rPr>
        <w:t>.</w:t>
      </w:r>
    </w:p>
    <w:p w:rsidR="009B7E20" w:rsidRPr="0004372A" w:rsidRDefault="009B7E20" w:rsidP="009B7E20">
      <w:pPr>
        <w:spacing w:after="0" w:line="360" w:lineRule="auto"/>
        <w:ind w:firstLine="720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У Грузії діє режим плаваючого обмінного курсу. Плаваючий обмінний режим надає стійке, довгострокове економічне зростання, високе і зростаюче працевлаштування для збереження конкурентного бізнес-середовища і для зовнішньої конкурентоздатності. Для плаваючого обмінного курсу характерна мінливість. Це відбувається як в Грузії, так і в інших країнах. Бюджет країни перевиконується, що дозволяє робити оптимістичні прогнози. Дивлячись на доходи державного бюджету за дев'ять місяців, Грузія отримала на 200 мільйонів більше, жоден з показників не погіршений. Виходячи з цього, можна </w:t>
      </w:r>
      <w:r w:rsidRPr="0004372A">
        <w:rPr>
          <w:rFonts w:ascii="Times New Roman" w:hAnsi="Times New Roman"/>
          <w:sz w:val="28"/>
          <w:szCs w:val="28"/>
          <w:lang w:val="uk-UA"/>
        </w:rPr>
        <w:lastRenderedPageBreak/>
        <w:t>сказати, що згідно з макроекономічними показниками, немає ніякої небезпеки різкої девальвації ларі.</w:t>
      </w:r>
    </w:p>
    <w:p w:rsidR="009B7E20" w:rsidRPr="0004372A" w:rsidRDefault="009B7E20" w:rsidP="009B7E20">
      <w:pPr>
        <w:spacing w:after="0" w:line="360" w:lineRule="auto"/>
        <w:ind w:firstLine="720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Молдова ввела національну валюту, молдавський лей, 29 листопада 1993 року. Програма фінансової стабілізації та структурних реформ, прийнята з введенням лея, була підтримана МВФ за допомогою резервних угод. Програма МВФ повинна була забезпечити стабільність лея шляхом прийняття жорсткої фінансової політики. </w:t>
      </w:r>
    </w:p>
    <w:p w:rsidR="009B7E20" w:rsidRPr="0004372A" w:rsidRDefault="009B7E20" w:rsidP="009B7E20">
      <w:pPr>
        <w:spacing w:after="0" w:line="360" w:lineRule="auto"/>
        <w:ind w:firstLine="720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Кредити з рефінансування НБГ використовуються для забезпечення короткострокової ліквідності банківському сектору. Позики видаються через аукціони з відповідним забезпеченням. Позики рефінансування передають ставку монетарної політики спочатку до короткострокових ставок банківського сектору, а потім до довгострокових ставок. Кредити та депозити овернайт створюють на міжбанківському ринку так званий діапазон процентних ставок і обмежують коливання процентних ставок на цьому ринку.</w:t>
      </w:r>
    </w:p>
    <w:p w:rsidR="009B7E20" w:rsidRPr="0004372A" w:rsidRDefault="009B7E20" w:rsidP="009B7E20">
      <w:pPr>
        <w:spacing w:after="0" w:line="360" w:lineRule="auto"/>
        <w:ind w:firstLine="720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Мінімальні резервні вимоги є одним з інструментів монетарної політики, які використовуються НБГ для впливу на монетарні агрегати та грошову масу. Крім того, шляхом запровадження обов'язкових резервних норм НБГ забезпечує підтримання достатньої ліквідності у разі раптового відтоку коштів. Збільшення резервних вимог зменшує доступність банківських ресурсів для кредитних операцій, та навпаки, зниження нормативів обов'язкових резервів збільшує грошову масу.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04372A">
        <w:rPr>
          <w:rFonts w:ascii="Times New Roman" w:hAnsi="Times New Roman"/>
          <w:sz w:val="28"/>
          <w:lang w:val="uk-UA"/>
        </w:rPr>
        <w:t>Проаналізувавши динаміку зовнішніх боргів обраних країн можна стверджувати, що найбільшим є зовнішній борг Грузії – 106,13% ВВП.  Найменшим є зовнішній борг України – 63% ВВП. У структурі зовнішнього боргу країн спостерігається спільна тенденція – найбільший сектор зовнішнього боргу – сектор державного управління та банківський сектор.</w:t>
      </w:r>
    </w:p>
    <w:p w:rsidR="009B7E20" w:rsidRPr="0004372A" w:rsidRDefault="009B7E20" w:rsidP="009B7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04372A">
        <w:rPr>
          <w:rFonts w:ascii="Times New Roman" w:hAnsi="Times New Roman"/>
          <w:sz w:val="28"/>
          <w:lang w:val="uk-UA"/>
        </w:rPr>
        <w:t>Грузія і Молдова мають довгострокові дипломатичні відносини з Україною та успішно здійснюють зовнішньоекономічні операції у сфері торгівлі та інвестицій.</w:t>
      </w:r>
    </w:p>
    <w:p w:rsidR="009B7E20" w:rsidRPr="0004372A" w:rsidRDefault="009B7E20" w:rsidP="009B7E2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4372A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9B7E20" w:rsidRPr="0004372A" w:rsidRDefault="009B7E20" w:rsidP="009B7E20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B7E20" w:rsidRPr="00C15674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Anthony J. Makin (2002), The Balance of Payments and the Exchange Rate </w:t>
      </w:r>
      <w:r w:rsidRPr="00C15674">
        <w:rPr>
          <w:rFonts w:ascii="Times New Roman" w:hAnsi="Times New Roman"/>
          <w:sz w:val="28"/>
          <w:szCs w:val="28"/>
          <w:lang w:val="uk-UA"/>
        </w:rPr>
        <w:t xml:space="preserve">[Електронний ресурс]. Режим доступу: </w:t>
      </w:r>
      <w:hyperlink r:id="rId5" w:history="1">
        <w:r w:rsidRPr="00C15674">
          <w:rPr>
            <w:rStyle w:val="a4"/>
            <w:rFonts w:ascii="Times New Roman" w:hAnsi="Times New Roman"/>
            <w:sz w:val="28"/>
            <w:szCs w:val="28"/>
            <w:lang w:val="uk-UA"/>
          </w:rPr>
          <w:t>https://www.researchgate.net/publication/37626214_The_Balance_of_Payments_and_the_Exchange_Rate</w:t>
        </w:r>
      </w:hyperlink>
    </w:p>
    <w:p w:rsidR="009B7E20" w:rsidRPr="00C15674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15674">
        <w:rPr>
          <w:rFonts w:ascii="Times New Roman" w:hAnsi="Times New Roman"/>
          <w:sz w:val="28"/>
          <w:szCs w:val="28"/>
          <w:lang w:val="uk-UA"/>
        </w:rPr>
        <w:t xml:space="preserve">W. Kenton (2019), Balance of Payments [Електронний ресурс]. Режим доступу: </w:t>
      </w:r>
      <w:hyperlink r:id="rId6" w:history="1">
        <w:r w:rsidRPr="00C15674">
          <w:rPr>
            <w:rStyle w:val="a3"/>
            <w:rFonts w:ascii="Times New Roman" w:hAnsi="Times New Roman"/>
            <w:sz w:val="28"/>
            <w:szCs w:val="28"/>
            <w:lang w:val="uk-UA"/>
          </w:rPr>
          <w:t>https://www.investopedia.com/terms/b/bop.asp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15674">
        <w:rPr>
          <w:rFonts w:ascii="Times New Roman" w:hAnsi="Times New Roman"/>
          <w:sz w:val="28"/>
          <w:szCs w:val="28"/>
          <w:lang w:val="uk-UA"/>
        </w:rPr>
        <w:t>D. Stojanov (2006), Relevance of balance of payments theories from classics up to the present [Електронний ресурс]. Режим доступу:</w:t>
      </w:r>
      <w:r w:rsidRPr="0004372A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7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http://staro.rifin.com/root/tekstovi/casopis_pdf/ek_ec_509.pdf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C. Wennerlind (2005),  David Hume’s Monetary Theory Revisited: Was He Really a Quantity Theorist and an Inflationist? [Електронний ресурс]. Режим доступу: </w:t>
      </w:r>
      <w:hyperlink r:id="rId8" w:anchor="page_scan_tab_contents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https://www.jstor.org/stable/10.1086/426037?seq=1#page_scan_tab_contents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N. Lioudis (2019), What is the Gold Standard? [Електронний ресурс]. Режим доступу: </w:t>
      </w:r>
      <w:hyperlink r:id="rId9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https://www.investopedia.com/ask/answers/09/gold-standard.asp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Isaac O.C. Igwe (2019), History of the International Economy: The Bretton Woods System and its Impact on the Economic Development of Developing Countries [Електронний ресурс]. Режим доступу: </w:t>
      </w:r>
      <w:hyperlink r:id="rId10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https://www.athensjournals.gr/law/2018-4-2-1-Igwe.pdf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Jin, Y.R., Liu, D.Y. and Li, Y.H. (2018), Factors  That  Have  Led  to  the  Collapse  of  the  Bretton  Woods  Sys-tem. American  Journal  of  Industrial  and  Business Management, 8, 2133-2142. [Електронний ресурс]. Режим доступу: </w:t>
      </w:r>
      <w:hyperlink r:id="rId11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https://www.scirp.org/journal/paperinformation.aspx?paperid=87932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Sami A. K., Mbah S. A. (2018), External Debt and Economic Growth : The Case of Emerging Economy [Електронний ресурс]. Режим доступу: </w:t>
      </w:r>
      <w:hyperlink r:id="rId12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https://www.e-jei.org/upload/JEI_33_1_1141_1157_2013600154.pdf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W. Kenton (2018), External Debt Defined [Електронний ресурс]. Режим доступу: </w:t>
      </w:r>
      <w:hyperlink r:id="rId13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https://www.investopedia.com/terms/e/external-debt.asp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lastRenderedPageBreak/>
        <w:t xml:space="preserve">F. Lambert, L. Paul (2002), The International Investment Position : Measurement Aspects and Usefulness for Monetary Policy and Financial Stability Issues [Електронний ресурс]. Режим доступу: </w:t>
      </w:r>
      <w:hyperlink r:id="rId14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https://www.imf.org/external/pubs/ft/bop/2002/02-74.pdf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F. Presbitero (2010), Total Public Debt and Economic Growth in Developing Countries [Електронний ресурс]. Режим доступу: </w:t>
      </w:r>
      <w:hyperlink r:id="rId15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https://papers.ssrn.com/sol3/papers.cfm?abstract_id=1697506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Calderón, J. R. Fuentes (2013), Government Debt and Economic Growth [Електронний ресурс]. Режим доступу: </w:t>
      </w:r>
      <w:hyperlink r:id="rId16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https://pdfs.semanticscholar.org/dfe4/1b937ebd2540b06bfd5cf8ebda2899c87a97.pdf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H.M. Tchereni, T.J. Sekhampu, R.F. Ndovi (2013), The Impact of Foreign Debt on Economic Growth in Malawi [Електронний ресурс]. Режим доступу: </w:t>
      </w:r>
      <w:hyperlink r:id="rId17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https://onlinelibrary.wiley.com/doi/abs/10.1111/j.1467-8268.2013.12015.x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W. Kenton (2019), Nixon Shock [Електронний ресурс]. Режим доступу: </w:t>
      </w:r>
      <w:hyperlink r:id="rId18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https://www.investopedia.com/terms/n/nixon-shock.asp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The World Bank (2018), Ukraine economic update [Електронний ресурс]. Режим доступу: </w:t>
      </w:r>
      <w:hyperlink r:id="rId19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http://pubdocs.worldbank.org/en/674341538644590138/Ukraine-Economic-Update-October-2018-ENG.pdf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IMF / Annual Report [Електронний ресурс]. – Режим доступу:</w:t>
      </w:r>
    </w:p>
    <w:p w:rsidR="009B7E20" w:rsidRPr="0004372A" w:rsidRDefault="009B7E20" w:rsidP="009B7E20">
      <w:pPr>
        <w:spacing w:after="0" w:line="360" w:lineRule="auto"/>
        <w:ind w:left="360"/>
        <w:jc w:val="both"/>
        <w:outlineLvl w:val="1"/>
        <w:rPr>
          <w:rStyle w:val="a4"/>
          <w:rFonts w:ascii="Times New Roman" w:hAnsi="Times New Roman"/>
          <w:sz w:val="28"/>
          <w:szCs w:val="28"/>
          <w:lang w:val="uk-UA"/>
        </w:rPr>
      </w:pPr>
      <w:hyperlink r:id="rId20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https://www.imf.org/en/Publications/Annual-Report-on-Exchange-Arrangements-and-Exchange-Restrictions/Issues/2018/08/10/Annual-Report-on-Exchange-Arrangements-and-Exchange-Restrictions-2017-44930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IMF / Annual Report [Електронний ресурс]. – Режим доступу:</w:t>
      </w:r>
    </w:p>
    <w:p w:rsidR="009B7E20" w:rsidRPr="0004372A" w:rsidRDefault="009B7E20" w:rsidP="009B7E20">
      <w:pPr>
        <w:spacing w:after="0" w:line="360" w:lineRule="auto"/>
        <w:ind w:left="360"/>
        <w:jc w:val="both"/>
        <w:outlineLvl w:val="1"/>
        <w:rPr>
          <w:rStyle w:val="a4"/>
          <w:rFonts w:ascii="Times New Roman" w:hAnsi="Times New Roman"/>
          <w:sz w:val="28"/>
          <w:szCs w:val="28"/>
          <w:lang w:val="uk-UA"/>
        </w:rPr>
      </w:pPr>
      <w:hyperlink r:id="rId21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https://www.imf.org/en/Publications/Annual-Report-on-Exchange-Arrangements-and-Exchange-Restrictions/Issues/2017/01/25/Annual-Report-on-Exchange-Arrangements-and-Exchange-Restrictions-2016-43741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Center for Social and Economic Research / Финансовый кризис в Молдове</w:t>
      </w:r>
    </w:p>
    <w:p w:rsidR="009B7E20" w:rsidRPr="0004372A" w:rsidRDefault="009B7E20" w:rsidP="009B7E20">
      <w:pPr>
        <w:spacing w:after="0" w:line="360" w:lineRule="auto"/>
        <w:ind w:firstLine="360"/>
        <w:jc w:val="both"/>
        <w:outlineLvl w:val="1"/>
        <w:rPr>
          <w:rStyle w:val="a4"/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[Електронний ресурс]. – Режим доступу:</w:t>
      </w:r>
      <w:hyperlink r:id="rId22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https://cisr-md.org/pdf/case-rus1.pdf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Style w:val="a4"/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lastRenderedPageBreak/>
        <w:t xml:space="preserve">National Bank of Georgia / Financial Stability [Електронний ресурс]. – Режим доступу:  </w:t>
      </w:r>
      <w:hyperlink r:id="rId23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https://www.nbg.gov.ge/index.php?m=2&amp;lng=eng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Sputnik / Economy of Georgia [Електронний ресурс]. – Режим доступу:</w:t>
      </w:r>
    </w:p>
    <w:p w:rsidR="009B7E20" w:rsidRPr="0004372A" w:rsidRDefault="009B7E20" w:rsidP="009B7E20">
      <w:pPr>
        <w:spacing w:after="0" w:line="360" w:lineRule="auto"/>
        <w:ind w:left="360"/>
        <w:jc w:val="both"/>
        <w:outlineLvl w:val="1"/>
        <w:rPr>
          <w:rStyle w:val="a4"/>
          <w:rFonts w:ascii="Times New Roman" w:hAnsi="Times New Roman"/>
          <w:sz w:val="28"/>
          <w:szCs w:val="28"/>
          <w:lang w:val="uk-UA"/>
        </w:rPr>
      </w:pPr>
      <w:hyperlink r:id="rId24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https://sputnik-georgia.ru/economy/20190114/243889253/Ocherednoy-rekord-Gruzii---valyutnye-rezervy-dostigli-istoricheskogo-maksimuma.html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National Bank of Moldova / Financial Stability</w:t>
      </w:r>
    </w:p>
    <w:p w:rsidR="009B7E20" w:rsidRPr="0004372A" w:rsidRDefault="009B7E20" w:rsidP="009B7E20">
      <w:pPr>
        <w:spacing w:after="0" w:line="360" w:lineRule="auto"/>
        <w:ind w:firstLine="360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 </w:t>
      </w:r>
      <w:hyperlink r:id="rId25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http://www.bnm.md/ru/search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National Bank of Georgia / Monetary Policy</w:t>
      </w:r>
    </w:p>
    <w:p w:rsidR="009B7E20" w:rsidRPr="0004372A" w:rsidRDefault="009B7E20" w:rsidP="009B7E20">
      <w:pPr>
        <w:spacing w:after="0" w:line="360" w:lineRule="auto"/>
        <w:ind w:firstLine="360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</w:p>
    <w:p w:rsidR="009B7E20" w:rsidRPr="0004372A" w:rsidRDefault="009B7E20" w:rsidP="009B7E20">
      <w:pPr>
        <w:spacing w:after="0" w:line="360" w:lineRule="auto"/>
        <w:ind w:firstLine="360"/>
        <w:jc w:val="both"/>
        <w:outlineLvl w:val="1"/>
        <w:rPr>
          <w:rStyle w:val="a4"/>
          <w:rFonts w:ascii="Times New Roman" w:hAnsi="Times New Roman"/>
          <w:sz w:val="28"/>
          <w:szCs w:val="28"/>
          <w:lang w:val="uk-UA"/>
        </w:rPr>
      </w:pPr>
      <w:hyperlink r:id="rId26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https://www.nbg.gov.ge/index.php?m=517&amp;lng=eng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Стратегия денежной политики Молдовы / National Bank of Moldova</w:t>
      </w:r>
    </w:p>
    <w:p w:rsidR="009B7E20" w:rsidRPr="0004372A" w:rsidRDefault="009B7E20" w:rsidP="009B7E20">
      <w:pPr>
        <w:spacing w:after="0" w:line="360" w:lineRule="auto"/>
        <w:ind w:firstLine="360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[Електронний ресурс]. – Режим доступу:</w:t>
      </w:r>
    </w:p>
    <w:p w:rsidR="009B7E20" w:rsidRPr="0004372A" w:rsidRDefault="009B7E20" w:rsidP="009B7E20">
      <w:pPr>
        <w:spacing w:after="0" w:line="360" w:lineRule="auto"/>
        <w:ind w:firstLine="360"/>
        <w:jc w:val="both"/>
        <w:outlineLvl w:val="1"/>
        <w:rPr>
          <w:rStyle w:val="a4"/>
          <w:rFonts w:ascii="Times New Roman" w:hAnsi="Times New Roman"/>
          <w:sz w:val="28"/>
          <w:szCs w:val="28"/>
          <w:lang w:val="uk-UA"/>
        </w:rPr>
      </w:pPr>
      <w:hyperlink r:id="rId27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http://www.bnm.md/files/attachments/2010-2012_1.pdf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/>
          <w:kern w:val="36"/>
          <w:sz w:val="28"/>
          <w:szCs w:val="28"/>
          <w:lang w:val="uk-UA"/>
        </w:rPr>
      </w:pPr>
      <w:r w:rsidRPr="0004372A">
        <w:rPr>
          <w:rFonts w:ascii="Times New Roman" w:hAnsi="Times New Roman"/>
          <w:kern w:val="36"/>
          <w:sz w:val="28"/>
          <w:szCs w:val="28"/>
          <w:lang w:val="uk-UA"/>
        </w:rPr>
        <w:t xml:space="preserve">Hawkish Monetary Policy / Intellinews </w:t>
      </w:r>
      <w:r w:rsidRPr="0004372A">
        <w:rPr>
          <w:rFonts w:ascii="Times New Roman" w:hAnsi="Times New Roman"/>
          <w:sz w:val="28"/>
          <w:szCs w:val="28"/>
          <w:lang w:val="uk-UA"/>
        </w:rPr>
        <w:t>[Електронний ресурс]. – Режим доступу:</w:t>
      </w:r>
    </w:p>
    <w:p w:rsidR="009B7E20" w:rsidRPr="0004372A" w:rsidRDefault="009B7E20" w:rsidP="009B7E20">
      <w:p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hyperlink r:id="rId28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https://www.intellinews.com/moldova-s-central-bank-maintains-hawkish-monetary-policy-147823/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Style w:val="a4"/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IMF/International Financial Statistics [Електронний ресурс]. – Режим доступу: https://www.imf.org/~/media/Files/Publications</w:t>
      </w:r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Style w:val="a4"/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National Statistical Institute/Абсолютний паритет купівельної спроможності  [Електронний ресурс]. - Режим доступу: </w:t>
      </w:r>
      <w:hyperlink r:id="rId29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http://www.nsi.bg/en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Unctad/United Nations; World Investment Report; from 1999 BNB International Investment Position [Електронний ресурс]. - Режим доступу:</w:t>
      </w:r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04372A">
        <w:rPr>
          <w:rFonts w:ascii="Times New Roman" w:hAnsi="Times New Roman"/>
          <w:sz w:val="28"/>
          <w:szCs w:val="28"/>
          <w:lang w:val="uk-UA"/>
        </w:rPr>
        <w:fldChar w:fldCharType="begin"/>
      </w:r>
      <w:r w:rsidRPr="0004372A">
        <w:rPr>
          <w:rFonts w:ascii="Times New Roman" w:hAnsi="Times New Roman"/>
          <w:sz w:val="28"/>
          <w:szCs w:val="28"/>
          <w:lang w:val="uk-UA"/>
        </w:rPr>
        <w:instrText xml:space="preserve"> HYPERLINK "https://unctad.org/en/PublicationsLibrary</w:instrText>
      </w:r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instrText xml:space="preserve">" </w:instrText>
      </w:r>
      <w:r w:rsidRPr="0004372A">
        <w:rPr>
          <w:rFonts w:ascii="Times New Roman" w:hAnsi="Times New Roman"/>
          <w:sz w:val="28"/>
          <w:szCs w:val="28"/>
          <w:lang w:val="uk-UA"/>
        </w:rPr>
      </w:r>
      <w:r w:rsidRPr="0004372A">
        <w:rPr>
          <w:rFonts w:ascii="Times New Roman" w:hAnsi="Times New Roman"/>
          <w:sz w:val="28"/>
          <w:szCs w:val="28"/>
          <w:lang w:val="uk-UA"/>
        </w:rPr>
        <w:fldChar w:fldCharType="separate"/>
      </w:r>
      <w:r w:rsidRPr="0004372A">
        <w:rPr>
          <w:rStyle w:val="a4"/>
          <w:rFonts w:ascii="Times New Roman" w:hAnsi="Times New Roman"/>
          <w:sz w:val="28"/>
          <w:szCs w:val="28"/>
          <w:lang w:val="uk-UA"/>
        </w:rPr>
        <w:t>https://unctad.org/en/PublicationsLibrary</w:t>
      </w:r>
      <w:r w:rsidRPr="0004372A">
        <w:rPr>
          <w:rFonts w:ascii="Times New Roman" w:hAnsi="Times New Roman"/>
          <w:sz w:val="28"/>
          <w:szCs w:val="28"/>
          <w:lang w:val="uk-UA"/>
        </w:rPr>
        <w:fldChar w:fldCharType="end"/>
      </w:r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IMF/Міжнародна інвестиційна позиція [Електронний ресурс]. - Режим доступу: </w:t>
      </w:r>
      <w:hyperlink r:id="rId30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http://data.imf.org/?sk=7A51304B-6426-40C0-83DD-CA473CA1FD52&amp;sId=1390030341854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The National Bureau of Economic Research/Financial Markets' Views about the Euro-Swiss Franc Floor [Електронний ресурс]. – Режим доступу: </w:t>
      </w:r>
      <w:hyperlink r:id="rId31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https://www.nber.org/papers/w21977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lastRenderedPageBreak/>
        <w:t xml:space="preserve">Problems of Macroeconomic Stabilization in Georgia in the Conditions of an Open Economy / SSNR [Електронний ресурс]. – Режим доступу: </w:t>
      </w:r>
      <w:hyperlink r:id="rId32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https://papers.ssrn.com/sol3/papers.cfm?abstract_id=2978163</w:t>
        </w:r>
      </w:hyperlink>
    </w:p>
    <w:p w:rsidR="009B7E20" w:rsidRPr="0004372A" w:rsidRDefault="009B7E20" w:rsidP="009B7E20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>Improving the Efficiency and Equity of Public Education Spending: The Case of Moldova / SSNR [Електронний ресурс]. – Режим доступу:</w:t>
      </w:r>
    </w:p>
    <w:p w:rsidR="009B7E20" w:rsidRPr="0004372A" w:rsidRDefault="009B7E20" w:rsidP="009B7E20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hyperlink r:id="rId33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https://papers.ssrn.com/sol3/papers.cfm?abstract_id=3367427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IMF Staff Report - </w:t>
      </w:r>
      <w:hyperlink r:id="rId34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https://www.imf.org/external/country/index.htm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IMS International Financial Statistics World Bank Open Data - </w:t>
      </w:r>
      <w:hyperlink r:id="rId35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http://data.worldbank.org/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Joint External Debt Hub - </w:t>
      </w:r>
      <w:hyperlink r:id="rId36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http://www.jedh.org/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Баланс поточного рахунку Грузії в доларах США. International Financial Statistics IMF [Електронний ресурс] – Режим доступу: </w:t>
      </w:r>
      <w:hyperlink r:id="rId37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https://www.imf.org/external/datamapper/BCA@WEO/GEO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Баланс поточного рахунку Молдови в доларах США. International Financial Statistics IMF [Електронний ресурс] – Режим доступу: </w:t>
      </w:r>
      <w:hyperlink r:id="rId38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https://www.imf.org/external/datamapper/BCA@WEO/MDA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Баланс поточного рахунку України в доларах США. International Financial Statistics IMF [Електронний ресурс] – Режим доступу: </w:t>
      </w:r>
      <w:hyperlink r:id="rId39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https://www.imf.org/external/datamapper/BCA@WEO/UKR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Баланс поточного рахунку Грузії, Молдови, України. International Financial Statistics IMF [Електронний ресурс] – Режим доступу: </w:t>
      </w:r>
      <w:hyperlink r:id="rId40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https://www.imf.org/external/datamapper/BCA@WEO/MDA/GEO/UKR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National Security Concept of Georgia [Електронний ресурс] – Режим доступу: </w:t>
      </w:r>
      <w:hyperlink r:id="rId41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http://www.parliament.ge/files/292_880_927746_concept_en.pdf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Торговельно-економічне співробітництво між Україною та Молдовою [Електронний ресурс] – Режим доступу: </w:t>
      </w:r>
      <w:hyperlink r:id="rId42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https://moldova.mfa.gov.ua/ua/ukraine-md/trade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Торговельно-економічне співробітництво між Україною та Грузією [Електронний ресурс] – Режим доступу: </w:t>
      </w:r>
      <w:hyperlink r:id="rId43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https://georgia.mfa.gov.ua/ua/ukraine-ge/trade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lastRenderedPageBreak/>
        <w:t xml:space="preserve">Total External Debt for Georgia [Електронний ресурс] – Режим доступу: </w:t>
      </w:r>
      <w:hyperlink r:id="rId44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https://fred.stlouisfed.org/series/GEODGDPGDPPT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Moldova External Debt: % of GDP [Електронний ресурс] – Режим доступу: </w:t>
      </w:r>
      <w:hyperlink r:id="rId45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https://www.ceicdata.com/en/indicator /moldova/external-debt--of-nominal-gdp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Ukraine External Debt: % of GDP [Електронний ресурс] – Режим доступу: </w:t>
      </w:r>
      <w:hyperlink r:id="rId46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https://www.ceicdata.com/en/indicator/ukraine/external-debt--of-nominal-gdp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Зовнішній борг України на кінець 2018 року [Електронний ресурс] – Режим доступу: </w:t>
      </w:r>
      <w:hyperlink r:id="rId47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https://old.bank.gov.ua/doccatalog/document?id=19241238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Експертно-аналітичний центр «Оптіма». Міжнародна інвестиційна позиція України [Електронний ресурс] – Режим доступу: </w:t>
      </w:r>
      <w:hyperlink r:id="rId48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http://optimacenter.org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Офіційний сайт Національного банку Молдови. Міжнародна інвестиційна позиція Молдови [Електронний ресурс] – Режим доступу: </w:t>
      </w:r>
      <w:hyperlink r:id="rId49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https://www.bnm.md/</w:t>
        </w:r>
      </w:hyperlink>
    </w:p>
    <w:p w:rsidR="009B7E20" w:rsidRPr="0004372A" w:rsidRDefault="009B7E20" w:rsidP="009B7E2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Georgia: International Investment Position [Електронний ресурс] – Режим доступу: </w:t>
      </w:r>
      <w:hyperlink r:id="rId50" w:history="1">
        <w:r w:rsidRPr="0004372A">
          <w:rPr>
            <w:rStyle w:val="a4"/>
            <w:rFonts w:ascii="Times New Roman" w:hAnsi="Times New Roman"/>
            <w:sz w:val="28"/>
            <w:szCs w:val="28"/>
            <w:lang w:val="uk-UA"/>
          </w:rPr>
          <w:t>http://data.imf.org/regular.aspx?key=62805744</w:t>
        </w:r>
      </w:hyperlink>
    </w:p>
    <w:p w:rsidR="009B7E20" w:rsidRDefault="009B7E20" w:rsidP="009B7E20">
      <w:pPr>
        <w:numPr>
          <w:ilvl w:val="0"/>
          <w:numId w:val="2"/>
        </w:numPr>
        <w:spacing w:after="0" w:line="360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04372A">
        <w:rPr>
          <w:rFonts w:ascii="Times New Roman" w:hAnsi="Times New Roman"/>
          <w:sz w:val="28"/>
          <w:szCs w:val="28"/>
          <w:lang w:val="uk-UA"/>
        </w:rPr>
        <w:t xml:space="preserve">Державна служба статистики України, Прямі інвестиції (акціонерний капітал) в економіці України/з України: за країнами світу; країнами ЄС; видами економічної діяльності; по регіонах (2010-2018) [Електронний ресурс]. Режим доступу: </w:t>
      </w:r>
      <w:hyperlink r:id="rId51" w:history="1">
        <w:r w:rsidRPr="0004372A">
          <w:rPr>
            <w:rStyle w:val="a3"/>
            <w:rFonts w:ascii="Times New Roman" w:hAnsi="Times New Roman"/>
            <w:sz w:val="28"/>
            <w:szCs w:val="28"/>
            <w:lang w:val="uk-UA"/>
          </w:rPr>
          <w:t>http://ukrstat.gov.ua/operativ/operativ2017/zd/inv_zd/pi_ak_ks_reg/pi_ak_ks_reg_u.xlsx</w:t>
        </w:r>
      </w:hyperlink>
    </w:p>
    <w:p w:rsidR="009B7E20" w:rsidRPr="00F81AEB" w:rsidRDefault="009B7E20" w:rsidP="009B7E20">
      <w:pPr>
        <w:numPr>
          <w:ilvl w:val="0"/>
          <w:numId w:val="2"/>
        </w:numPr>
        <w:spacing w:after="0" w:line="360" w:lineRule="auto"/>
        <w:ind w:left="357" w:hanging="357"/>
        <w:jc w:val="both"/>
        <w:rPr>
          <w:rStyle w:val="HTML"/>
          <w:rFonts w:ascii="Times New Roman" w:hAnsi="Times New Roman"/>
          <w:i w:val="0"/>
          <w:iCs w:val="0"/>
          <w:sz w:val="28"/>
          <w:szCs w:val="28"/>
          <w:lang w:val="uk-UA"/>
        </w:rPr>
      </w:pPr>
      <w:r w:rsidRPr="00F81AEB">
        <w:rPr>
          <w:rStyle w:val="HTML"/>
          <w:rFonts w:ascii="Times New Roman" w:hAnsi="Times New Roman"/>
          <w:i w:val="0"/>
          <w:iCs w:val="0"/>
          <w:sz w:val="28"/>
          <w:szCs w:val="28"/>
          <w:lang w:val="uk-UA"/>
        </w:rPr>
        <w:t>Пожар В. О., Філіпенко Д. В., Кифак А. О. Особливості розвитку зовнішньоекономічних зв’язків України та Японії. - Збірник наукових праць Дев’ятої міжнародної науково-практичної конференції «Добробут націй в умовах глобальної нестабільності». – Одеса: Одеський національний університет імені І. І. Мечникова. – 2019. – С. 49-50.</w:t>
      </w:r>
    </w:p>
    <w:p w:rsidR="009B7E20" w:rsidRPr="0004372A" w:rsidRDefault="009B7E20" w:rsidP="004654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884BAB" w:rsidRPr="004654E2" w:rsidRDefault="00884BAB">
      <w:pPr>
        <w:rPr>
          <w:lang w:val="uk-UA"/>
        </w:rPr>
      </w:pPr>
    </w:p>
    <w:sectPr w:rsidR="00884BAB" w:rsidRPr="004654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9E430B"/>
    <w:multiLevelType w:val="hybridMultilevel"/>
    <w:tmpl w:val="CE3A1E66"/>
    <w:lvl w:ilvl="0" w:tplc="E0AE060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DB80EE7"/>
    <w:multiLevelType w:val="hybridMultilevel"/>
    <w:tmpl w:val="B2D2CEAA"/>
    <w:lvl w:ilvl="0" w:tplc="8A8C92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Calibri" w:hint="default"/>
      </w:rPr>
    </w:lvl>
    <w:lvl w:ilvl="1" w:tplc="E1C4B81E">
      <w:start w:val="1"/>
      <w:numFmt w:val="upperLetter"/>
      <w:lvlText w:val="%2.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4A1"/>
    <w:rsid w:val="003332D0"/>
    <w:rsid w:val="004654E2"/>
    <w:rsid w:val="007834A1"/>
    <w:rsid w:val="00884BAB"/>
    <w:rsid w:val="009B7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F0BAF-8766-4A86-93D5-27CBFC363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54E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translation">
    <w:name w:val="tlid-translation translation"/>
    <w:basedOn w:val="a0"/>
    <w:rsid w:val="004654E2"/>
  </w:style>
  <w:style w:type="paragraph" w:styleId="a3">
    <w:name w:val="Normal (Web)"/>
    <w:basedOn w:val="a"/>
    <w:uiPriority w:val="99"/>
    <w:unhideWhenUsed/>
    <w:rsid w:val="009B7E2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ListParagraph">
    <w:name w:val="List Paragraph"/>
    <w:basedOn w:val="a"/>
    <w:rsid w:val="009B7E20"/>
    <w:pPr>
      <w:ind w:left="720"/>
      <w:contextualSpacing/>
    </w:pPr>
    <w:rPr>
      <w:rFonts w:eastAsia="Times New Roman"/>
    </w:rPr>
  </w:style>
  <w:style w:type="character" w:styleId="a4">
    <w:name w:val="Hyperlink"/>
    <w:rsid w:val="009B7E20"/>
    <w:rPr>
      <w:color w:val="0000FF"/>
      <w:u w:val="single"/>
    </w:rPr>
  </w:style>
  <w:style w:type="character" w:styleId="HTML">
    <w:name w:val="HTML Cite"/>
    <w:semiHidden/>
    <w:rsid w:val="009B7E20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investopedia.com/terms/e/external-debt.asp" TargetMode="External"/><Relationship Id="rId18" Type="http://schemas.openxmlformats.org/officeDocument/2006/relationships/hyperlink" Target="https://www.investopedia.com/terms/n/nixon-shock.asp" TargetMode="External"/><Relationship Id="rId26" Type="http://schemas.openxmlformats.org/officeDocument/2006/relationships/hyperlink" Target="https://www.nbg.gov.ge/index.php?m=517&amp;lng=eng" TargetMode="External"/><Relationship Id="rId39" Type="http://schemas.openxmlformats.org/officeDocument/2006/relationships/hyperlink" Target="https://www.imf.org/external/datamapper/BCA@WEO/UKR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imf.org/en/Publications/Annual-Report-on-Exchange-Arrangements-and-Exchange-Restrictions/Issues/2017/01/25/Annual-Report-on-Exchange-Arrangements-and-Exchange-Restrictions-2016-43741" TargetMode="External"/><Relationship Id="rId34" Type="http://schemas.openxmlformats.org/officeDocument/2006/relationships/hyperlink" Target="https://www.imf.org/external/country/index.htm" TargetMode="External"/><Relationship Id="rId42" Type="http://schemas.openxmlformats.org/officeDocument/2006/relationships/hyperlink" Target="https://moldova.mfa.gov.ua/ua/ukraine-md/trade" TargetMode="External"/><Relationship Id="rId47" Type="http://schemas.openxmlformats.org/officeDocument/2006/relationships/hyperlink" Target="https://old.bank.gov.ua/doccatalog/document?id=19241238" TargetMode="External"/><Relationship Id="rId50" Type="http://schemas.openxmlformats.org/officeDocument/2006/relationships/hyperlink" Target="http://data.imf.org/regular.aspx?key=62805744" TargetMode="External"/><Relationship Id="rId7" Type="http://schemas.openxmlformats.org/officeDocument/2006/relationships/hyperlink" Target="http://staro.rifin.com/root/tekstovi/casopis_pdf/ek_ec_509.pdf" TargetMode="External"/><Relationship Id="rId12" Type="http://schemas.openxmlformats.org/officeDocument/2006/relationships/hyperlink" Target="https://www.e-jei.org/upload/JEI_33_1_1141_1157_2013600154.pdf" TargetMode="External"/><Relationship Id="rId17" Type="http://schemas.openxmlformats.org/officeDocument/2006/relationships/hyperlink" Target="https://onlinelibrary.wiley.com/doi/abs/10.1111/j.1467-8268.2013.12015.x" TargetMode="External"/><Relationship Id="rId25" Type="http://schemas.openxmlformats.org/officeDocument/2006/relationships/hyperlink" Target="http://www.bnm.md/ru/search" TargetMode="External"/><Relationship Id="rId33" Type="http://schemas.openxmlformats.org/officeDocument/2006/relationships/hyperlink" Target="https://papers.ssrn.com/sol3/papers.cfm?abstract_id=3367427" TargetMode="External"/><Relationship Id="rId38" Type="http://schemas.openxmlformats.org/officeDocument/2006/relationships/hyperlink" Target="https://www.imf.org/external/datamapper/BCA@WEO/MDA" TargetMode="External"/><Relationship Id="rId46" Type="http://schemas.openxmlformats.org/officeDocument/2006/relationships/hyperlink" Target="https://www.ceicdata.com/en/indicator/ukraine/external-debt--of-nominal-gdp" TargetMode="External"/><Relationship Id="rId2" Type="http://schemas.openxmlformats.org/officeDocument/2006/relationships/styles" Target="styles.xml"/><Relationship Id="rId16" Type="http://schemas.openxmlformats.org/officeDocument/2006/relationships/hyperlink" Target="https://pdfs.semanticscholar.org/dfe4/1b937ebd2540b06bfd5cf8ebda2899c87a97.pdf" TargetMode="External"/><Relationship Id="rId20" Type="http://schemas.openxmlformats.org/officeDocument/2006/relationships/hyperlink" Target="https://www.imf.org/en/Publications/Annual-Report-on-Exchange-Arrangements-and-Exchange-Restrictions/Issues/2018/08/10/Annual-Report-on-Exchange-Arrangements-and-Exchange-Restrictions-2017-44930" TargetMode="External"/><Relationship Id="rId29" Type="http://schemas.openxmlformats.org/officeDocument/2006/relationships/hyperlink" Target="http://www.nsi.bg/en" TargetMode="External"/><Relationship Id="rId41" Type="http://schemas.openxmlformats.org/officeDocument/2006/relationships/hyperlink" Target="http://www.parliament.ge/files/292_880_927746_concept_en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vestopedia.com/terms/b/bop.asp" TargetMode="External"/><Relationship Id="rId11" Type="http://schemas.openxmlformats.org/officeDocument/2006/relationships/hyperlink" Target="https://www.scirp.org/journal/paperinformation.aspx?paperid=87932" TargetMode="External"/><Relationship Id="rId24" Type="http://schemas.openxmlformats.org/officeDocument/2006/relationships/hyperlink" Target="https://sputnik-georgia.ru/economy/20190114/243889253/Ocherednoy-rekord-Gruzii---valyutnye-rezervy-dostigli-istoricheskogo-maksimuma.html" TargetMode="External"/><Relationship Id="rId32" Type="http://schemas.openxmlformats.org/officeDocument/2006/relationships/hyperlink" Target="https://papers.ssrn.com/sol3/papers.cfm?abstract_id=2978163" TargetMode="External"/><Relationship Id="rId37" Type="http://schemas.openxmlformats.org/officeDocument/2006/relationships/hyperlink" Target="https://www.imf.org/external/datamapper/BCA@WEO/GEO" TargetMode="External"/><Relationship Id="rId40" Type="http://schemas.openxmlformats.org/officeDocument/2006/relationships/hyperlink" Target="https://www.imf.org/external/datamapper/BCA@WEO/MDA/GEO/UKR" TargetMode="External"/><Relationship Id="rId45" Type="http://schemas.openxmlformats.org/officeDocument/2006/relationships/hyperlink" Target="https://www.ceicdata.com/en/indicator%20/moldova/external-debt--of-nominal-gdp" TargetMode="External"/><Relationship Id="rId53" Type="http://schemas.openxmlformats.org/officeDocument/2006/relationships/theme" Target="theme/theme1.xml"/><Relationship Id="rId5" Type="http://schemas.openxmlformats.org/officeDocument/2006/relationships/hyperlink" Target="https://www.researchgate.net/publication/37626214_The_Balance_of_Payments_and_the_Exchange_Rate" TargetMode="External"/><Relationship Id="rId15" Type="http://schemas.openxmlformats.org/officeDocument/2006/relationships/hyperlink" Target="https://papers.ssrn.com/sol3/papers.cfm?abstract_id=1697506" TargetMode="External"/><Relationship Id="rId23" Type="http://schemas.openxmlformats.org/officeDocument/2006/relationships/hyperlink" Target="https://www.nbg.gov.ge/index.php?m=2&amp;lng=eng" TargetMode="External"/><Relationship Id="rId28" Type="http://schemas.openxmlformats.org/officeDocument/2006/relationships/hyperlink" Target="https://www.intellinews.com/moldova-s-central-bank-maintains-hawkish-monetary-policy-147823/" TargetMode="External"/><Relationship Id="rId36" Type="http://schemas.openxmlformats.org/officeDocument/2006/relationships/hyperlink" Target="http://www.jedh.org/" TargetMode="External"/><Relationship Id="rId49" Type="http://schemas.openxmlformats.org/officeDocument/2006/relationships/hyperlink" Target="https://www.bnm.md/" TargetMode="External"/><Relationship Id="rId10" Type="http://schemas.openxmlformats.org/officeDocument/2006/relationships/hyperlink" Target="https://www.athensjournals.gr/law/2018-4-2-1-Igwe.pdf" TargetMode="External"/><Relationship Id="rId19" Type="http://schemas.openxmlformats.org/officeDocument/2006/relationships/hyperlink" Target="http://pubdocs.worldbank.org/en/674341538644590138/Ukraine-Economic-Update-October-2018-ENG.pdf" TargetMode="External"/><Relationship Id="rId31" Type="http://schemas.openxmlformats.org/officeDocument/2006/relationships/hyperlink" Target="https://www.nber.org/papers/w21977" TargetMode="External"/><Relationship Id="rId44" Type="http://schemas.openxmlformats.org/officeDocument/2006/relationships/hyperlink" Target="https://fred.stlouisfed.org/series/GEODGDPGDPPT" TargetMode="External"/><Relationship Id="rId52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investopedia.com/ask/answers/09/gold-standard.asp" TargetMode="External"/><Relationship Id="rId14" Type="http://schemas.openxmlformats.org/officeDocument/2006/relationships/hyperlink" Target="https://www.imf.org/external/pubs/ft/bop/2002/02-74.pdf" TargetMode="External"/><Relationship Id="rId22" Type="http://schemas.openxmlformats.org/officeDocument/2006/relationships/hyperlink" Target="https://cisr-md.org/pdf/case-rus1.pdf" TargetMode="External"/><Relationship Id="rId27" Type="http://schemas.openxmlformats.org/officeDocument/2006/relationships/hyperlink" Target="http://www.bnm.md/files/attachments/2010-2012_1.pdf" TargetMode="External"/><Relationship Id="rId30" Type="http://schemas.openxmlformats.org/officeDocument/2006/relationships/hyperlink" Target="http://data.imf.org/?sk=7A51304B-6426-40C0-83DD-CA473CA1FD52&amp;sId=1390030341854" TargetMode="External"/><Relationship Id="rId35" Type="http://schemas.openxmlformats.org/officeDocument/2006/relationships/hyperlink" Target="http://data.worldbank.org/" TargetMode="External"/><Relationship Id="rId43" Type="http://schemas.openxmlformats.org/officeDocument/2006/relationships/hyperlink" Target="https://georgia.mfa.gov.ua/ua/ukraine-ge/trade" TargetMode="External"/><Relationship Id="rId48" Type="http://schemas.openxmlformats.org/officeDocument/2006/relationships/hyperlink" Target="http://optimacenter.org" TargetMode="External"/><Relationship Id="rId8" Type="http://schemas.openxmlformats.org/officeDocument/2006/relationships/hyperlink" Target="https://www.jstor.org/stable/10.1086/426037?seq=1" TargetMode="External"/><Relationship Id="rId51" Type="http://schemas.openxmlformats.org/officeDocument/2006/relationships/hyperlink" Target="http://ukrstat.gov.ua/operativ/operativ2017/zd/inv_zd/pi_ak_ks_reg/pi_ak_ks_reg_u.xls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3515</Words>
  <Characters>20041</Characters>
  <Application>Microsoft Office Word</Application>
  <DocSecurity>0</DocSecurity>
  <Lines>167</Lines>
  <Paragraphs>47</Paragraphs>
  <ScaleCrop>false</ScaleCrop>
  <Company/>
  <LinksUpToDate>false</LinksUpToDate>
  <CharactersWithSpaces>23509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2020-10-26T10:28:00Z</dcterms:created>
  <dcterms:modified xsi:type="dcterms:W3CDTF">2020-10-26T10:30:00Z</dcterms:modified>
</cp:coreProperties>
</file>