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CF7" w:rsidRDefault="00653CF7" w:rsidP="00653CF7">
      <w:pPr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jc w:val="center"/>
        <w:rPr>
          <w:sz w:val="20"/>
          <w:szCs w:val="20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653CF7" w:rsidRDefault="00653CF7" w:rsidP="00653CF7">
      <w:pPr>
        <w:jc w:val="center"/>
        <w:rPr>
          <w:sz w:val="28"/>
          <w:szCs w:val="28"/>
          <w:lang w:val="uk-UA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653CF7" w:rsidRDefault="00653CF7" w:rsidP="00653CF7">
      <w:pPr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spacing w:before="240"/>
        <w:jc w:val="center"/>
        <w:rPr>
          <w:sz w:val="20"/>
          <w:szCs w:val="20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653CF7" w:rsidRDefault="00653CF7" w:rsidP="00653CF7">
      <w:pPr>
        <w:jc w:val="center"/>
        <w:rPr>
          <w:sz w:val="28"/>
          <w:szCs w:val="28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653CF7" w:rsidRDefault="00653CF7" w:rsidP="00653CF7">
      <w:pPr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spacing w:before="240"/>
        <w:jc w:val="center"/>
        <w:rPr>
          <w:sz w:val="20"/>
          <w:szCs w:val="20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міжнародних відносин</w:t>
      </w:r>
    </w:p>
    <w:p w:rsidR="00653CF7" w:rsidRDefault="00653CF7" w:rsidP="00653CF7">
      <w:pPr>
        <w:jc w:val="center"/>
        <w:rPr>
          <w:b/>
          <w:spacing w:val="60"/>
          <w:sz w:val="40"/>
          <w:szCs w:val="40"/>
          <w:lang w:val="uk-UA"/>
        </w:rPr>
      </w:pPr>
      <w:r>
        <w:rPr>
          <w:sz w:val="20"/>
          <w:szCs w:val="20"/>
        </w:rPr>
        <w:t>(повна назва кафедри)</w:t>
      </w:r>
    </w:p>
    <w:p w:rsidR="00653CF7" w:rsidRDefault="00653CF7" w:rsidP="00653CF7">
      <w:pPr>
        <w:rPr>
          <w:b/>
          <w:spacing w:val="60"/>
          <w:sz w:val="40"/>
          <w:szCs w:val="40"/>
          <w:lang w:val="uk-UA"/>
        </w:rPr>
      </w:pPr>
    </w:p>
    <w:p w:rsidR="00653CF7" w:rsidRDefault="00653CF7" w:rsidP="00653CF7">
      <w:pPr>
        <w:jc w:val="center"/>
        <w:rPr>
          <w:sz w:val="28"/>
          <w:szCs w:val="28"/>
          <w:lang w:val="uk-UA"/>
        </w:rPr>
      </w:pPr>
      <w:r>
        <w:rPr>
          <w:b/>
          <w:spacing w:val="60"/>
          <w:sz w:val="32"/>
          <w:szCs w:val="32"/>
          <w:lang w:val="uk-UA"/>
        </w:rPr>
        <w:t>Дипломна робота</w:t>
      </w:r>
    </w:p>
    <w:p w:rsidR="00653CF7" w:rsidRDefault="00653CF7" w:rsidP="00653CF7">
      <w:pPr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653CF7" w:rsidRDefault="00653CF7" w:rsidP="00653CF7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653CF7" w:rsidRDefault="00653CF7" w:rsidP="00653CF7">
      <w:pPr>
        <w:tabs>
          <w:tab w:val="right" w:pos="9355"/>
        </w:tabs>
        <w:jc w:val="center"/>
      </w:pPr>
      <w:r>
        <w:rPr>
          <w:sz w:val="28"/>
          <w:szCs w:val="28"/>
          <w:lang w:val="uk-UA"/>
        </w:rPr>
        <w:t xml:space="preserve">на тему: </w:t>
      </w:r>
      <w:r>
        <w:rPr>
          <w:b/>
          <w:sz w:val="28"/>
          <w:szCs w:val="28"/>
          <w:u w:val="single"/>
          <w:lang w:val="uk-UA"/>
        </w:rPr>
        <w:t>«</w:t>
      </w:r>
      <w:r>
        <w:rPr>
          <w:iCs/>
          <w:color w:val="000000"/>
          <w:sz w:val="28"/>
          <w:szCs w:val="28"/>
          <w:u w:val="single"/>
          <w:lang w:val="uk-UA"/>
        </w:rPr>
        <w:t>Арабо-ізраїльський конфлікт: сучасний стан проблеми</w:t>
      </w:r>
      <w:r>
        <w:rPr>
          <w:b/>
          <w:sz w:val="28"/>
          <w:szCs w:val="28"/>
          <w:u w:val="single"/>
          <w:lang w:val="uk-UA"/>
        </w:rPr>
        <w:t>»</w:t>
      </w:r>
    </w:p>
    <w:p w:rsidR="00653CF7" w:rsidRDefault="00653CF7" w:rsidP="00653CF7">
      <w:pPr>
        <w:tabs>
          <w:tab w:val="right" w:pos="9355"/>
        </w:tabs>
        <w:jc w:val="center"/>
      </w:pPr>
    </w:p>
    <w:p w:rsidR="00653CF7" w:rsidRDefault="00653CF7" w:rsidP="00653CF7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>«</w:t>
      </w:r>
      <w:r>
        <w:rPr>
          <w:sz w:val="28"/>
          <w:szCs w:val="28"/>
          <w:u w:val="single"/>
        </w:rPr>
        <w:t>Арабо-израильский конфликт: текущее положение проблемы»</w:t>
      </w:r>
    </w:p>
    <w:p w:rsidR="00653CF7" w:rsidRDefault="00653CF7" w:rsidP="00653CF7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653CF7" w:rsidRDefault="00653CF7" w:rsidP="00653CF7">
      <w:pPr>
        <w:tabs>
          <w:tab w:val="right" w:pos="9355"/>
        </w:tabs>
        <w:jc w:val="center"/>
        <w:rPr>
          <w:u w:val="single"/>
          <w:lang w:val="uk-UA"/>
        </w:rPr>
      </w:pPr>
      <w:r>
        <w:rPr>
          <w:u w:val="single"/>
          <w:lang w:val="uk-UA"/>
        </w:rPr>
        <w:t>«</w:t>
      </w:r>
      <w:r>
        <w:rPr>
          <w:b/>
          <w:bCs/>
          <w:u w:val="single"/>
          <w:lang w:val="en-US"/>
        </w:rPr>
        <w:t xml:space="preserve">The </w:t>
      </w:r>
      <w:r>
        <w:rPr>
          <w:b/>
          <w:bCs/>
          <w:u w:val="single"/>
          <w:lang w:val="en-US" w:bidi="ar-JO"/>
        </w:rPr>
        <w:t>Arab-Israeli Conflict: Current State of the Problem</w:t>
      </w:r>
      <w:r>
        <w:rPr>
          <w:b/>
          <w:bCs/>
          <w:u w:val="single"/>
          <w:lang w:val="uk-UA"/>
        </w:rPr>
        <w:t>»</w:t>
      </w:r>
    </w:p>
    <w:p w:rsidR="00653CF7" w:rsidRDefault="00653CF7" w:rsidP="00653CF7">
      <w:pPr>
        <w:tabs>
          <w:tab w:val="right" w:pos="9355"/>
        </w:tabs>
        <w:jc w:val="center"/>
        <w:rPr>
          <w:u w:val="single"/>
          <w:lang w:val="uk-UA"/>
        </w:rPr>
      </w:pPr>
    </w:p>
    <w:p w:rsidR="00653CF7" w:rsidRDefault="00653CF7" w:rsidP="00653CF7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653CF7" w:rsidRDefault="00653CF7" w:rsidP="00653CF7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</w:t>
      </w:r>
      <w:r>
        <w:rPr>
          <w:sz w:val="28"/>
          <w:szCs w:val="28"/>
          <w:lang w:val="uk-UA"/>
        </w:rPr>
        <w:tab/>
        <w:t>Виконав(ла): студент(ка) 4  курсу</w:t>
      </w:r>
    </w:p>
    <w:p w:rsidR="00653CF7" w:rsidRDefault="00653CF7" w:rsidP="00653CF7">
      <w:pPr>
        <w:ind w:left="212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  <w:t>денної форми навчання</w:t>
      </w:r>
    </w:p>
    <w:p w:rsidR="00653CF7" w:rsidRDefault="00653CF7" w:rsidP="00653CF7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 xml:space="preserve">                                 </w:t>
      </w:r>
      <w:r>
        <w:rPr>
          <w:sz w:val="28"/>
          <w:szCs w:val="28"/>
          <w:lang w:val="uk-UA"/>
        </w:rPr>
        <w:tab/>
        <w:t xml:space="preserve">напряму підготовки </w:t>
      </w:r>
    </w:p>
    <w:p w:rsidR="00653CF7" w:rsidRDefault="00653CF7" w:rsidP="00653CF7">
      <w:pPr>
        <w:ind w:left="2124" w:firstLine="708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u w:val="single"/>
          <w:lang w:val="uk-UA"/>
        </w:rPr>
        <w:t>6.030201  Міжнародні</w:t>
      </w:r>
      <w:r>
        <w:rPr>
          <w:sz w:val="28"/>
          <w:szCs w:val="28"/>
          <w:u w:val="single"/>
        </w:rPr>
        <w:t xml:space="preserve"> відносини</w:t>
      </w:r>
    </w:p>
    <w:p w:rsidR="00653CF7" w:rsidRDefault="00653CF7" w:rsidP="00653CF7">
      <w:pPr>
        <w:spacing w:line="120" w:lineRule="auto"/>
        <w:ind w:left="2829"/>
        <w:rPr>
          <w:sz w:val="28"/>
          <w:szCs w:val="28"/>
        </w:rPr>
      </w:pPr>
      <w:r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653CF7" w:rsidRDefault="00653CF7" w:rsidP="00653CF7">
      <w:pPr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</w:rPr>
        <w:t xml:space="preserve">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</w:rPr>
        <w:t xml:space="preserve">Колтунова </w:t>
      </w:r>
      <w:r>
        <w:rPr>
          <w:sz w:val="28"/>
          <w:szCs w:val="28"/>
          <w:u w:val="single"/>
          <w:lang w:val="uk-UA"/>
        </w:rPr>
        <w:t xml:space="preserve">Влада Сергіївна   </w:t>
      </w:r>
    </w:p>
    <w:p w:rsidR="00653CF7" w:rsidRDefault="00653CF7" w:rsidP="00653CF7">
      <w:pPr>
        <w:spacing w:line="120" w:lineRule="auto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653CF7" w:rsidRDefault="00653CF7" w:rsidP="00653CF7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</w:p>
    <w:p w:rsidR="00653CF7" w:rsidRDefault="00653CF7" w:rsidP="00653CF7">
      <w:pPr>
        <w:spacing w:line="168" w:lineRule="auto"/>
        <w:ind w:left="2124" w:firstLine="708"/>
        <w:rPr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Керівник </w:t>
      </w:r>
      <w:r>
        <w:rPr>
          <w:sz w:val="28"/>
          <w:szCs w:val="28"/>
          <w:u w:val="single"/>
          <w:lang w:val="uk-UA"/>
        </w:rPr>
        <w:t xml:space="preserve">ст. </w:t>
      </w:r>
      <w:r>
        <w:rPr>
          <w:sz w:val="28"/>
          <w:szCs w:val="28"/>
          <w:u w:val="single"/>
          <w:lang w:val="uk-UA" w:bidi="ar-JO"/>
        </w:rPr>
        <w:t>викладач Поблє Д.К</w:t>
      </w:r>
      <w:r>
        <w:rPr>
          <w:sz w:val="28"/>
          <w:szCs w:val="28"/>
          <w:u w:val="single"/>
          <w:lang w:val="uk-UA"/>
        </w:rPr>
        <w:t xml:space="preserve">.   </w:t>
      </w:r>
      <w:r>
        <w:rPr>
          <w:sz w:val="28"/>
          <w:szCs w:val="28"/>
          <w:lang w:val="uk-UA"/>
        </w:rPr>
        <w:t xml:space="preserve">  _________</w:t>
      </w:r>
    </w:p>
    <w:p w:rsidR="00653CF7" w:rsidRDefault="00653CF7" w:rsidP="00653CF7">
      <w:pPr>
        <w:spacing w:line="168" w:lineRule="auto"/>
        <w:ind w:left="2124"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(</w:t>
      </w:r>
      <w:r>
        <w:rPr>
          <w:sz w:val="20"/>
          <w:szCs w:val="20"/>
          <w:lang w:val="uk-UA"/>
        </w:rPr>
        <w:t>науковий ступінь, вчене звання,прізвище та ініціали, підпис)</w:t>
      </w:r>
    </w:p>
    <w:p w:rsidR="00653CF7" w:rsidRDefault="00653CF7" w:rsidP="00653CF7">
      <w:pPr>
        <w:tabs>
          <w:tab w:val="left" w:pos="5245"/>
          <w:tab w:val="right" w:pos="9355"/>
        </w:tabs>
        <w:spacing w:before="120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Рецензент      к. політ. н., доц. Захарченко А.М.___</w:t>
      </w:r>
      <w:r>
        <w:rPr>
          <w:sz w:val="28"/>
          <w:szCs w:val="28"/>
          <w:u w:val="single"/>
          <w:lang w:val="uk-UA"/>
        </w:rPr>
        <w:t xml:space="preserve">   </w:t>
      </w:r>
    </w:p>
    <w:p w:rsidR="00653CF7" w:rsidRDefault="00653CF7" w:rsidP="00653CF7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(</w:t>
      </w:r>
      <w:r>
        <w:rPr>
          <w:sz w:val="20"/>
          <w:szCs w:val="20"/>
          <w:lang w:val="uk-UA"/>
        </w:rPr>
        <w:t>науковий ступінь, вчене звання,прізвище та ініціали)</w:t>
      </w:r>
    </w:p>
    <w:p w:rsidR="00653CF7" w:rsidRDefault="00653CF7" w:rsidP="00653CF7">
      <w:pPr>
        <w:tabs>
          <w:tab w:val="left" w:pos="5245"/>
          <w:tab w:val="right" w:pos="9355"/>
        </w:tabs>
        <w:spacing w:before="120"/>
        <w:rPr>
          <w:sz w:val="28"/>
          <w:szCs w:val="28"/>
          <w:vertAlign w:val="subscript"/>
          <w:lang w:val="uk-UA"/>
        </w:rPr>
      </w:pPr>
    </w:p>
    <w:p w:rsidR="00653CF7" w:rsidRDefault="00653CF7" w:rsidP="00653CF7">
      <w:pPr>
        <w:ind w:left="3969"/>
        <w:rPr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653CF7" w:rsidTr="00E95364">
        <w:tc>
          <w:tcPr>
            <w:tcW w:w="5082" w:type="dxa"/>
            <w:shd w:val="clear" w:color="auto" w:fill="auto"/>
          </w:tcPr>
          <w:p w:rsidR="00653CF7" w:rsidRDefault="00653CF7" w:rsidP="00E95364">
            <w:pPr>
              <w:spacing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653CF7" w:rsidRDefault="00653CF7" w:rsidP="00E95364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653CF7" w:rsidRDefault="00653CF7" w:rsidP="00E95364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653CF7" w:rsidRDefault="00653CF7" w:rsidP="00E95364">
            <w:pPr>
              <w:spacing w:before="600" w:line="254" w:lineRule="auto"/>
              <w:rPr>
                <w:sz w:val="28"/>
                <w:szCs w:val="28"/>
                <w:u w:val="single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r>
              <w:rPr>
                <w:sz w:val="28"/>
                <w:szCs w:val="28"/>
                <w:lang w:val="uk-UA" w:eastAsia="en-US"/>
              </w:rPr>
              <w:t>ідувач</w:t>
            </w:r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653CF7" w:rsidRDefault="00653CF7" w:rsidP="00E95364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653CF7" w:rsidRDefault="00653CF7" w:rsidP="00E95364">
            <w:pPr>
              <w:tabs>
                <w:tab w:val="left" w:pos="284"/>
                <w:tab w:val="left" w:pos="1767"/>
              </w:tabs>
              <w:spacing w:line="254" w:lineRule="auto"/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786" w:type="dxa"/>
            <w:shd w:val="clear" w:color="auto" w:fill="auto"/>
          </w:tcPr>
          <w:p w:rsidR="00653CF7" w:rsidRDefault="00653CF7" w:rsidP="00E95364">
            <w:pPr>
              <w:tabs>
                <w:tab w:val="right" w:pos="4462"/>
              </w:tabs>
              <w:spacing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№_</w:t>
            </w:r>
            <w:r>
              <w:rPr>
                <w:sz w:val="28"/>
                <w:szCs w:val="28"/>
                <w:lang w:val="uk-UA" w:eastAsia="en-US"/>
              </w:rPr>
              <w:t>_</w:t>
            </w:r>
            <w:r>
              <w:rPr>
                <w:sz w:val="28"/>
                <w:szCs w:val="28"/>
                <w:u w:val="single"/>
                <w:lang w:val="uk-UA" w:eastAsia="en-US"/>
              </w:rPr>
              <w:t>3</w:t>
            </w:r>
            <w:r>
              <w:rPr>
                <w:sz w:val="28"/>
                <w:szCs w:val="28"/>
                <w:lang w:val="uk-UA" w:eastAsia="en-US"/>
              </w:rPr>
              <w:t>__</w:t>
            </w:r>
          </w:p>
          <w:p w:rsidR="00653CF7" w:rsidRDefault="00653CF7" w:rsidP="00E95364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від </w:t>
            </w:r>
            <w:r>
              <w:rPr>
                <w:sz w:val="28"/>
                <w:szCs w:val="28"/>
                <w:lang w:val="uk-UA" w:eastAsia="en-US"/>
              </w:rPr>
              <w:t>____________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653CF7" w:rsidRDefault="00653CF7" w:rsidP="00E95364">
            <w:pPr>
              <w:tabs>
                <w:tab w:val="right" w:pos="4462"/>
              </w:tabs>
              <w:spacing w:before="120"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653CF7" w:rsidRDefault="00653CF7" w:rsidP="00E95364">
            <w:pPr>
              <w:spacing w:line="254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653CF7" w:rsidRDefault="00653CF7" w:rsidP="00E95364">
            <w:pPr>
              <w:spacing w:before="360" w:line="254" w:lineRule="auto"/>
              <w:rPr>
                <w:sz w:val="28"/>
                <w:szCs w:val="28"/>
                <w:u w:val="single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653CF7" w:rsidRDefault="00653CF7" w:rsidP="00E95364">
            <w:pPr>
              <w:tabs>
                <w:tab w:val="left" w:pos="1446"/>
                <w:tab w:val="right" w:pos="4462"/>
              </w:tabs>
              <w:spacing w:before="360"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653CF7" w:rsidRDefault="00653CF7" w:rsidP="00E95364">
            <w:pPr>
              <w:tabs>
                <w:tab w:val="left" w:pos="454"/>
                <w:tab w:val="left" w:pos="2155"/>
              </w:tabs>
              <w:spacing w:line="254" w:lineRule="auto"/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653CF7" w:rsidTr="00E95364">
        <w:tc>
          <w:tcPr>
            <w:tcW w:w="5082" w:type="dxa"/>
            <w:shd w:val="clear" w:color="auto" w:fill="auto"/>
          </w:tcPr>
          <w:p w:rsidR="00653CF7" w:rsidRDefault="00653CF7" w:rsidP="00E95364">
            <w:pPr>
              <w:snapToGrid w:val="0"/>
              <w:spacing w:line="254" w:lineRule="auto"/>
            </w:pPr>
          </w:p>
        </w:tc>
        <w:tc>
          <w:tcPr>
            <w:tcW w:w="4786" w:type="dxa"/>
            <w:shd w:val="clear" w:color="auto" w:fill="auto"/>
          </w:tcPr>
          <w:p w:rsidR="00653CF7" w:rsidRDefault="00653CF7" w:rsidP="00E95364">
            <w:pPr>
              <w:snapToGrid w:val="0"/>
              <w:spacing w:line="254" w:lineRule="auto"/>
            </w:pPr>
          </w:p>
        </w:tc>
      </w:tr>
    </w:tbl>
    <w:p w:rsidR="00653CF7" w:rsidRDefault="00653CF7" w:rsidP="00653CF7">
      <w:pPr>
        <w:jc w:val="center"/>
        <w:rPr>
          <w:b/>
          <w:sz w:val="28"/>
          <w:szCs w:val="28"/>
        </w:rPr>
      </w:pPr>
    </w:p>
    <w:p w:rsidR="00653CF7" w:rsidRDefault="00653CF7" w:rsidP="00653CF7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653CF7" w:rsidRDefault="00653CF7" w:rsidP="00653CF7">
      <w:pPr>
        <w:jc w:val="center"/>
        <w:rPr>
          <w:sz w:val="28"/>
          <w:szCs w:val="28"/>
        </w:rPr>
      </w:pPr>
    </w:p>
    <w:p w:rsidR="00653CF7" w:rsidRDefault="00653CF7" w:rsidP="00653CF7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СОДЕРЖАНИЕ</w:t>
      </w: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Введение………………………………………………………………..с. 3</w:t>
      </w: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Глава 1. Ближневосточный мир процесс и отношения Израиля и ООП в   начале 21 века…………………………………..……….……………..с. 6</w:t>
      </w: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Глава 2. Влияние внутренних факторов арабо-израильского противостояния на международные отношения…………………….с. 22</w:t>
      </w: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Заключение……………………………………………………….....….с. 39</w:t>
      </w: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Список изученных источников…………………………………..…....с. 41</w:t>
      </w: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Дополнение 1………………………………………………………..….с. 46</w:t>
      </w:r>
    </w:p>
    <w:p w:rsidR="00653CF7" w:rsidRDefault="00653CF7" w:rsidP="00653CF7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Дополнение 2. Сокращения…………………….……………..……….с. 47</w:t>
      </w: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b/>
          <w:color w:val="222222"/>
          <w:sz w:val="28"/>
          <w:szCs w:val="28"/>
        </w:rPr>
      </w:pP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b/>
          <w:color w:val="222222"/>
          <w:sz w:val="28"/>
          <w:szCs w:val="28"/>
        </w:rPr>
        <w:lastRenderedPageBreak/>
        <w:t>Введение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Темой дипломной работы является анализ арабо-израильского конфликта и его современное состояние в международных отношениях.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 xml:space="preserve">Актуальность выбранной темы обусловливается тем, что на сегодняшний день данный конфликт остаётся нерешённым и носит международный характер, а также широко исследуется отечественными и зарубежными учёнными.  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Однако, нельзя недооценивать его значимость и влияние на международные отношения. Ряд нерешённых вопросов подрывает безопасность и стабильность в регионе. Прежде всего, речь идёт о палестинском вопросе, который по сей день остаётся открытым.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 xml:space="preserve">Целью дипломной работы является исследование эволюции Арабо-Израильского конфликта с начала Ближневосточного мирного процесса в </w:t>
      </w:r>
    </w:p>
    <w:p w:rsidR="00653CF7" w:rsidRDefault="00653CF7" w:rsidP="00653CF7">
      <w:pPr>
        <w:shd w:val="clear" w:color="auto" w:fill="FFFFFF"/>
        <w:spacing w:line="360" w:lineRule="auto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90-е гг. 20 века - до 2018 г., момента провозглашения США столицей Израиля Иерусалим.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Для достижения указанной цели бакалаврской работы были поставлены следующие задачи: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1. Детально изучить ключевые этапы развития отношений между Израилем и арабскими государствами, (в частности с ООП, как представителем палестинской стороны) в процессе урегулирования конфликта на Ближнем Востоке.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2. Рассмотреть эволюцию отношений Израиля с Палестинской Национальной Администрацией, анализируя узлы противоречий в регионе и их взаимосвязь с международными акторами.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 xml:space="preserve">Научная актуальность выбранной темы имеет значимость и в украинской историографии.  Так как отношения с Израилем и другими ближневосточными государствами играют приоритетную роль во внешней политике Украины с 1991 г. </w:t>
      </w:r>
    </w:p>
    <w:p w:rsidR="00653CF7" w:rsidRDefault="00653CF7" w:rsidP="00653CF7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222222"/>
          <w:sz w:val="28"/>
          <w:szCs w:val="28"/>
        </w:rPr>
        <w:lastRenderedPageBreak/>
        <w:t xml:space="preserve">Этому свидетельствует стратегический и политический интерес Украины к процессам на Ближнем Востоке. А также глубокая историческая связь с еврейским народом и наличие широкой диаспоры.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Основными литературными источниками для изучения арабо-израильского конфликта были международные документы, в том числе Резолюции ООН, а также труды украинских и зарубежных авторов.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анализе конфликта были изучены работы Захарченко А.Н., благодаря которым удалось изучить вектор развития отношений Израиля с ООП и их эволюцию, как акторов международных отношений.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Говоря об украинской школе, необходимо также выделить работу Воловича О.О., в которой автор анализирует не только отношения Израиля с ООП, но и влияние арабо-израильского конфликта на безопасность стабильность в регионе.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Однако, для достижения поставленных задач были изучены работы не только отечественных авторов, но и зарубежных.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Особое место среди них занимают труды таких авторов, как Эпштейн А.Д., Пырлин Е.Д. и Глебова  Н.С.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Именно они поспособствовали в проведении анализа отношений Израиля с ООП, а затем и с террористической организацией ХАМАС.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Изучить вопросы взаимодействия США с Израилем и арабским миром помогли работы Фрадковой В.И., а также </w:t>
      </w:r>
      <w:r>
        <w:rPr>
          <w:sz w:val="28"/>
          <w:szCs w:val="28"/>
          <w:lang w:val="uk-UA"/>
        </w:rPr>
        <w:t>Шумилин А.И</w:t>
      </w:r>
      <w:r>
        <w:rPr>
          <w:sz w:val="28"/>
          <w:szCs w:val="28"/>
        </w:rPr>
        <w:t xml:space="preserve">. В них авторы изучили все тонкости американской политики в отношении Ближнего Востока.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Необходимо отметить ценность и американских и других англоязычных изданий в написании дипломной работы.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Среди них следует выделить работы авторов </w:t>
      </w:r>
      <w:r>
        <w:rPr>
          <w:sz w:val="28"/>
          <w:szCs w:val="28"/>
          <w:lang w:val="en-US"/>
        </w:rPr>
        <w:t>Brooking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institution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press</w:t>
      </w:r>
      <w:r>
        <w:rPr>
          <w:sz w:val="28"/>
          <w:szCs w:val="28"/>
        </w:rPr>
        <w:t xml:space="preserve">, например </w:t>
      </w:r>
      <w:r>
        <w:rPr>
          <w:sz w:val="28"/>
          <w:szCs w:val="28"/>
          <w:lang w:val="uk-UA"/>
        </w:rPr>
        <w:t>Simon Haddad</w:t>
      </w:r>
      <w:r>
        <w:rPr>
          <w:sz w:val="28"/>
          <w:szCs w:val="28"/>
        </w:rPr>
        <w:t xml:space="preserve">, а также аналитические статьи </w:t>
      </w:r>
      <w:r>
        <w:rPr>
          <w:sz w:val="28"/>
          <w:szCs w:val="28"/>
          <w:lang w:val="en-US"/>
        </w:rPr>
        <w:t>Washington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Post</w:t>
      </w:r>
      <w:r>
        <w:rPr>
          <w:sz w:val="28"/>
          <w:szCs w:val="28"/>
        </w:rPr>
        <w:t>.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этих источников присутствуют материалы, которые существенно помогли приблизиться к пониманию текущего состояния арабо-израильского конфликта. </w:t>
      </w: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Структура дипломной работы состоит из двух глав. </w:t>
      </w:r>
    </w:p>
    <w:p w:rsidR="00653CF7" w:rsidRDefault="00653CF7" w:rsidP="00653CF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Хронологические рамки бакалаврской работы включают в себя начало 90-х гг.  20 века до 2018 г.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первой главе проведён анализ Ближневосточного мирного процесса и его влияние на развитие отношений между Израилем и ООП.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Также говорится о процессах в начале нового столетия, которые повлияли на мир и стабильность в регионе. Влияние Второй палестинской интифады, победа на выборах в ПНА ХАМАСа, проведение Израилем ряда антитеррористических операций – все эти факторы стали ключевыми в эскалации конфликта на Ближнем Востоке, который остаётся всё ещё нерешённым.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 второй главе выделено особое внимание взаимоотношениям Израиля с ведущими, мировыми державами и международными структурами, такими как ООН и правозащитные организации.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Были изучены основные тенденции развития израильских отношений с США, а также их попытки урегулирования конфликта. Начиная от «Дорожной карты» 2003 г. и до Парижской мирной конференции 2017 г.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Помимо отношений Израиля с лидирующими державами на международной арене, было исследовано влияние внутренних процессов в Израиле на международные отношения.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Эти исторические события значительно отразились на безопасности в регионе, а также дали новый виток развития проблемы палестинских беженцев, который является одним из самых острых в арабо-израильском конфликте сегодня. </w:t>
      </w:r>
    </w:p>
    <w:p w:rsidR="00653CF7" w:rsidRDefault="00653CF7" w:rsidP="00653CF7">
      <w:pPr>
        <w:spacing w:line="360" w:lineRule="auto"/>
        <w:ind w:firstLine="709"/>
        <w:jc w:val="both"/>
        <w:rPr>
          <w:sz w:val="28"/>
          <w:szCs w:val="28"/>
        </w:rPr>
      </w:pPr>
    </w:p>
    <w:p w:rsidR="003A4682" w:rsidRDefault="003A4682"/>
    <w:p w:rsidR="00DA17CB" w:rsidRDefault="00DA17CB"/>
    <w:p w:rsidR="00DA17CB" w:rsidRDefault="00DA17CB"/>
    <w:p w:rsidR="00DA17CB" w:rsidRDefault="00DA17CB"/>
    <w:p w:rsidR="00DA17CB" w:rsidRDefault="00DA17CB"/>
    <w:p w:rsidR="00DA17CB" w:rsidRDefault="00DA17CB"/>
    <w:p w:rsidR="00DA17CB" w:rsidRDefault="00DA17CB"/>
    <w:p w:rsidR="00DA17CB" w:rsidRDefault="00DA17CB"/>
    <w:p w:rsidR="00DA17CB" w:rsidRDefault="00DA17CB"/>
    <w:p w:rsidR="00DA17CB" w:rsidRDefault="00DA17CB"/>
    <w:p w:rsidR="00DA17CB" w:rsidRDefault="00DA17CB" w:rsidP="00DA17CB">
      <w:pPr>
        <w:rPr>
          <w:b/>
          <w:sz w:val="28"/>
          <w:szCs w:val="28"/>
        </w:rPr>
      </w:pPr>
      <w:r>
        <w:rPr>
          <w:b/>
          <w:sz w:val="28"/>
          <w:szCs w:val="28"/>
        </w:rPr>
        <w:t>Заключение</w:t>
      </w:r>
    </w:p>
    <w:p w:rsidR="00DA17CB" w:rsidRDefault="00DA17CB" w:rsidP="00DA17CB">
      <w:pPr>
        <w:rPr>
          <w:b/>
          <w:sz w:val="28"/>
          <w:szCs w:val="28"/>
        </w:rPr>
      </w:pP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результате проведённого исследования данной бакалаврской работы, можно прийти к следующим выводам: была изучена эволюция отношений между независимым государством Израиль и ПНА. Она прослеживается со времён начала Ближневосточного мирного процесса 1991 г. и присутствует по сегодняшний день.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Также были выполнены задачи, в ходе которых проанализированы источники отечественных и зарубежных авторов и документы международной значимости.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Исходя из анализа дипломной работы, можно утверждать, что арабо-израильское противостояние  является одним из ключевых на Ближнем Востоке, а также одним из самых затяжных, кровопролитных и сложных в достижении общего консенсуса не только в регионе, но и во всём мире.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Этому способствует отсутствие взаимопонимания двух сторон в острых для них вопросах, так как Израиль и ПНА имеют диаметрально противоположные взгляды на пути решения их общих проблем. Абсолютное нежелание поступиться и отойти от собственных принципов только усугубляет конфликт с течением временем, а его внутренние проблемы существенно влияют на безопасность в регионе.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сегодняшний день между Израилем и ПНА существует три взаимосвязанных проблемы: статус Иерусалима, особенно, после недавних событий с признанием его Соединёнными штатами, как единой столицей Израиля. Статус палестинских беженцев и незаконное расширение еврейских поселений на Западном берегу реки Иордан.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дипломной работе также была изучена реакция мирового сообщества на внутренние процессы арабо-израильского противостояния. Многие действия со стороны израильского правительства, а также террористической организации ХАМАС в Секторе Газа привели к эскалации конфликта и тормозили процесс стабилизации в регионе. 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Немало значима остаётся позиция США и других государств-лидеров на международной арене, которые рассматривают Ближний Восток в качестве приоритета в своей внешней политике.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Неоднократно США после завершения Ближневосточного процесса стремились реанимировать переговоры между двумя конфликтующими сторонами, став арбитром в урегулировании конфликта.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Этому свидетельствует создание «международного квартета», план «Дорожной карты» 2003 г. и множество других попыток поиска путей решения палестино-израильского противостояния.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Однако, все они оказались безрезультатными, и конфликт продолжается по сей день.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Перспективы его решения присутствуют, так как с начала нового столетия неоднократно проходили переговоры между двумя противоборствующими сторонами. Международное сообщество продолжает дальше проявлять свою глубокую заинтересованность в решении конфликта и принимает всевозможные меры для усиления и ускорения процессов демократизации и стабилизации в регионе, во многом полагаясь на про-западную риторику израильских лидеров.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Однако, даже в таких вопросах каждая сторона следует собственным интересам и готова жертвовать миром для их защиты. </w:t>
      </w:r>
    </w:p>
    <w:p w:rsidR="00DA17CB" w:rsidRDefault="00DA17CB" w:rsidP="00DA17CB">
      <w:pPr>
        <w:spacing w:line="360" w:lineRule="auto"/>
        <w:ind w:firstLine="709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both"/>
        <w:rPr>
          <w:sz w:val="28"/>
          <w:szCs w:val="28"/>
        </w:rPr>
      </w:pPr>
    </w:p>
    <w:p w:rsidR="00DA17CB" w:rsidRDefault="00DA17CB" w:rsidP="00DA17CB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изученных источнков:</w:t>
      </w:r>
    </w:p>
    <w:p w:rsidR="00DA17CB" w:rsidRDefault="00DA17CB" w:rsidP="00DA17CB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Байрамова М.В. Особенности ближневосточной политики США // Политика, экономика и социальная сфера: проблемы взаимодействия. – М.: Аспект Пресс, 2016. – № 3. – С. 72-74.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Бакланов А.Г. Палестино-израильское противостояние – поиск развития и механизмов достижения мира / Ближний Восток: вызовы 21 века. Сб. статей. – М.: Институт Ближнего Востока, 2009. – С.26-29.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Белокреницкий В.Я. Восток в международных отношениях и мировой политике. - М.: Восточный университет, 2009. – 329 с. 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Волович О.О. Про плани демократизації Близького Сходу / Близький Схід: міжнародна безпека. Регіональні відносини та перспективи для України: Монографія. Відп. редактор Б.О. Парахонський. – К.: ПЦ «Фоліант», 2008. – С. 167-170.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Глебова Н.С. О взаимодействии ХАМАС и ООП / Ближний Восток и современность. Сб. статей. – М.: Институт Ближнего Востока, 2003. – Вып. 20. – С. 86-91.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Донцов В.Е. Палестинское движение «Исламский джихад»: идеология и политическая практика / Ближний Восток и современность. Сб. статей. – М.: Институт Ближнего Востока, 2004. – Вып. 22. – С. 90-91.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Захарченко А.М. Арабо-Ізраїльський конфлікт, проблеми врегулювання на сучасному етапі: збірник статей / А.М. Захарченко. – Одеса: Фенікс, 2009. – 237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Захарченко А.М., Яворська Г.М. План врегулювання близькосхідного конфлікту «Дорожня карта» та перспективи його реалізації / Близький Схід: міжнародна безпека, регіональні відносини та перспективи для України: Монографія. Відп. редактор Б.О. Парахонський. – К.: ПЦ «Фоліант», 2008. – С. 208-220.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Звягельская И. Ближневосточный клинч: конфликты на Ближнем Востоке и политика России. М.: Аспект Пресс, 2014. - 207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Звягельская И.Д. История Государства Израиль / Ирина Звягельская. М.: Аспект Пресс, 2012. — 359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Зейналов М.П. Незабываемые встречи с председателем Арафатом. М.: Реалии, 2002. – 208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Кеворкова Н.В. Палестина. Сопротивление. М., 2013. – 222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Кислов А.Н. Арабо-израильский детонатор // Международная жизнь, М.: Аспект Пресс, 2004. – С. 56.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Косач Г.Г. Политический ислам в палестинском контексте: движение ХАМАС / Исламизм и экстремизм на Ближнем Востоке. Сб. статей. – М.: Институт Ближнего Востока, 2001. – С.30-35.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Крылов А.В. Израильские поселения на оккупированных арабских территориях (1967—2007 гг.). М.: МГИМО-Университет, 2011. – 340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Кузнецов Д. В. Арабо-израильский конфликт: История и современность. Очерк событий. Документы и материалы: учебное пособие / Д.В.Кузнецов. - Благовещенск: Изд-во БГПУ, 2006. - 289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Ланда Р.Г. Политический ислам и события в Газе / Ближний Восток: вызовы 21 века. Сб. статей. – М.: Институт Ближнего Востока, 2009. – С.51-63.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Меламедов Г., Эпштейн А.Д. Дипломатическая битва за Иерусалим. Закулисная история. М./Иерусалим: Институт стран Азии и Африки при МГУ им. М.В. Ломоносова; Институт Ближнего Востока; «Мосты культуры», 2008. – 416с.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Мовсесян В.А. Ближневосточная политика США // Регион и мир. М.: Аспект Пресс,  – 2017. –Т. VIII. – № 1. – С. 15.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Носенко Т.В. Принцип двух государств в урегулировании палестино-израильского конфликта / Ближний Восток: вызовы 21 века. Сб. статей. – М.: Институт Блжнего Востока, 2009. – С. 58-62.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Павлов О.Н. «Дорожная карта» и судьбы палестино-израильского урегулирования / Арабо-израильский конфликт: старые проблемы и нове этапы Сб. статей. – М.: Институт Ближнего Востока, 2003. – С. 51-78.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Паттерсон Дж. Г. С иудеями в Палестинской кампании. СПб.: Издательство Европейского университета в Санкт-Петербурге, 2014. – 254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Пырлин Е.Д. 100 лет противоборства: генезис, эволюция, современное состояние и перспективы решения палестинской проблемы. М.: РОССПЭН, 2001. – 480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Пырлин Е.Д. Трудный и долгий путь к миру: Взгляд из Москвы на проблему ближневосточного урегулирования. М.: РОССПЭН, 2002. – 512с.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Рашед А. Палестинская проблема: история и современность. М.: Библос-консалтинг, 2009. – 320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Фрадкова В.И. Американский лоббизм и Израиль // Международные процессы. М.: Аспект Пресс,  2008. – Т. 6. – № 17. – С. 153.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Хаддидл Р.М. Современная ближневосточная стратегия США: геополитические и концептуальные основы // Армия и общество. М.: Аспект Пресс,  2008. - №4. – С. 40-45 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Цыганок А.Д. Русский взгляд на израильские войны: Вторая Ливанская – 2006 и в секторе Газа – 2009. М.: АИРО-XXI; Крафт, 2011. – 352с.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Чисятков А.Ф. Палестино-израильский конфликт: от переговоров к конфронтации / Ближний Восток и современность. Сб. статей. – М.: Институт Ближнего Востока, 2001. – 130 с. 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Шумилин А.И. Политика администрации Буша на Ближнем Востоке: «кнута» и «пряника» // США на Ближнем Востоке: «Доктрина Буша» в действии / А.И. Шумилин, Л.Г. Гукасян, В.А. Литовкин. – М., 2004. - С. 6-20.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Эпштейн А.Д. Антитеррористический террор. "Точечные ликвидации" Израилем палестинских лидеров: политические, правовые и моральные аспекты. М.: Институт Ближнего Востока, 2009. – 164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Эпштейн А.Д., Варшавер Е. В диалоге с врагом: Переговоры об освобождении израильских граждан, захваченных палестинскими и ливанскими боевыми организациями. М.: Институт Ближнего Востока, 2012. – 232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Эпштейн А.Д. Войны и дипломатия. Арабо-израильский конфликт в XX веке., М.: Аспект Пресс, 2003 – 236 с. 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Эпштейн А.Д. Израиль и (не) контролируемые территории: уйти нельзя остаться. М./Иерусалим: Институт Ближнего Востока, Ассоциация «Мосты культуры», 2008. – 302с.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Эпштейн А.Д. Израильтяне и палестинцы: от конфронтации – к переговорам и обратно. М./Иерусалим: Институт Ближнего Востока; Ассоциация «Мосты культуры», 2009. – 192с. 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Эпштейн А.Д. Почему провалилась “Дорожная карта”? М.: Институт Ближнего Востока, 2006.  – 130с.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Эпштейн А.Д. ХАМАС в региональной политике. – М.: Институт изучения Ближнего Востока, 2007. – 193 с.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Alaa Abu Amer. Evolution of the PLO position 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n the Middle East settlement: (The Palestinian problem in the resolutions of the National Council of Palestine of 1964-1991). 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Gini Graham Scott. Resolving Conflict, 1990. Guichard A. Les Juifs. P. 198.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Greenwald C. Can Arabs Make Peace with Israel? // Middle East Quartetly. - 1999. - Vol. 6, No3. - P. 35-40.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Makovsky D. Middle East Trough Parition // Foreign Affairs. - 2001. - Vol. 80, No2. - P. 71-88.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Marr, P. The United States? Europe, and the Middle East.an uneasy triangle 11 Middle East Journal, Wash., 1994. Vol. 48, No 2. P. 211-225.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Simon Haddad. Les Planteurs d'olives. Paris, 1997. Saunders, Harold H. Reconstituting the Arab-Israeli Peace Process // The Middle East. Ten Years after Camp David./ Ed. W. B. Qundt. Washington, D. C.: The Brooking Institution, 1997.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Telhami S. Camp David 2: Assumptions and Consequences // Current History. - 2001. - Vol. 100, No624. - P.10-15.</w:t>
      </w:r>
    </w:p>
    <w:p w:rsidR="00DA17CB" w:rsidRDefault="00DA17CB" w:rsidP="00DA17CB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The United States, Europe, and the Middle East: an uneasy triangle // Middle East J. Wash., 1994. Vol. 48, No 2. P. 211-225.</w:t>
      </w:r>
    </w:p>
    <w:p w:rsidR="00DA17CB" w:rsidRDefault="00DA17CB">
      <w:bookmarkStart w:id="0" w:name="_GoBack"/>
      <w:bookmarkEnd w:id="0"/>
    </w:p>
    <w:p w:rsidR="00DA17CB" w:rsidRDefault="00DA17CB"/>
    <w:sectPr w:rsidR="00DA17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/>
        <w:sz w:val="28"/>
        <w:szCs w:val="28"/>
        <w:lang w:val="uk-UA"/>
      </w:r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28"/>
        <w:szCs w:val="28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696"/>
    <w:rsid w:val="003A4682"/>
    <w:rsid w:val="00603696"/>
    <w:rsid w:val="00653CF7"/>
    <w:rsid w:val="00DA1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75D99C-C905-4A97-88D4-74E7B4E99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3C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A17CB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2404</Words>
  <Characters>13706</Characters>
  <Application>Microsoft Office Word</Application>
  <DocSecurity>0</DocSecurity>
  <Lines>114</Lines>
  <Paragraphs>32</Paragraphs>
  <ScaleCrop>false</ScaleCrop>
  <Company/>
  <LinksUpToDate>false</LinksUpToDate>
  <CharactersWithSpaces>16078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2019-01-25T11:02:00Z</dcterms:created>
  <dcterms:modified xsi:type="dcterms:W3CDTF">2019-01-25T11:04:00Z</dcterms:modified>
</cp:coreProperties>
</file>