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ОДЕСЬКИЙ НАЦІОНАЛЬНИЙ УНІВЕРСИТЕТ імені І. І. МЕЧНИКОВА</w:t>
      </w:r>
    </w:p>
    <w:p w:rsidR="00000000" w:rsidDel="00000000" w:rsidP="00000000" w:rsidRDefault="00000000" w:rsidRPr="00000000" w14:paraId="00000002">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3">
      <w:pPr>
        <w:spacing w:after="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Факультет міжнародних відносин, політології та соціології</w:t>
      </w:r>
    </w:p>
    <w:p w:rsidR="00000000" w:rsidDel="00000000" w:rsidP="00000000" w:rsidRDefault="00000000" w:rsidRPr="00000000" w14:paraId="00000004">
      <w:pPr>
        <w:spacing w:after="0" w:line="240" w:lineRule="auto"/>
        <w:jc w:val="center"/>
        <w:rPr>
          <w:rFonts w:ascii="Times New Roman" w:cs="Times New Roman" w:eastAsia="Times New Roman" w:hAnsi="Times New Roman"/>
          <w:sz w:val="32"/>
          <w:szCs w:val="32"/>
        </w:rPr>
      </w:pPr>
      <w:r w:rsidDel="00000000" w:rsidR="00000000" w:rsidRPr="00000000">
        <w:rPr>
          <w:rtl w:val="0"/>
        </w:rPr>
      </w:r>
    </w:p>
    <w:p w:rsidR="00000000" w:rsidDel="00000000" w:rsidP="00000000" w:rsidRDefault="00000000" w:rsidRPr="00000000" w14:paraId="00000005">
      <w:pPr>
        <w:spacing w:after="0" w:line="240" w:lineRule="auto"/>
        <w:jc w:val="center"/>
        <w:rPr>
          <w:rFonts w:ascii="Times New Roman" w:cs="Times New Roman" w:eastAsia="Times New Roman" w:hAnsi="Times New Roman"/>
          <w:sz w:val="32"/>
          <w:szCs w:val="32"/>
        </w:rPr>
      </w:pPr>
      <w:r w:rsidDel="00000000" w:rsidR="00000000" w:rsidRPr="00000000">
        <w:rPr>
          <w:rFonts w:ascii="Times New Roman" w:cs="Times New Roman" w:eastAsia="Times New Roman" w:hAnsi="Times New Roman"/>
          <w:sz w:val="32"/>
          <w:szCs w:val="32"/>
          <w:rtl w:val="0"/>
        </w:rPr>
        <w:t xml:space="preserve">Кафедра політології</w:t>
      </w:r>
    </w:p>
    <w:p w:rsidR="00000000" w:rsidDel="00000000" w:rsidP="00000000" w:rsidRDefault="00000000" w:rsidRPr="00000000" w14:paraId="00000006">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7">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8">
      <w:pPr>
        <w:spacing w:after="0" w:line="240" w:lineRule="auto"/>
        <w:jc w:val="center"/>
        <w:rPr>
          <w:rFonts w:ascii="Times New Roman" w:cs="Times New Roman" w:eastAsia="Times New Roman" w:hAnsi="Times New Roman"/>
          <w:b w:val="1"/>
          <w:sz w:val="32"/>
          <w:szCs w:val="32"/>
        </w:rPr>
      </w:pPr>
      <w:r w:rsidDel="00000000" w:rsidR="00000000" w:rsidRPr="00000000">
        <w:rPr>
          <w:rtl w:val="0"/>
        </w:rPr>
      </w:r>
    </w:p>
    <w:p w:rsidR="00000000" w:rsidDel="00000000" w:rsidP="00000000" w:rsidRDefault="00000000" w:rsidRPr="00000000" w14:paraId="00000009">
      <w:pPr>
        <w:spacing w:after="0" w:line="240" w:lineRule="auto"/>
        <w:jc w:val="center"/>
        <w:rPr>
          <w:rFonts w:ascii="Times New Roman" w:cs="Times New Roman" w:eastAsia="Times New Roman" w:hAnsi="Times New Roman"/>
          <w:b w:val="1"/>
          <w:sz w:val="32"/>
          <w:szCs w:val="32"/>
        </w:rPr>
      </w:pPr>
      <w:r w:rsidDel="00000000" w:rsidR="00000000" w:rsidRPr="00000000">
        <w:rPr>
          <w:rFonts w:ascii="Times New Roman" w:cs="Times New Roman" w:eastAsia="Times New Roman" w:hAnsi="Times New Roman"/>
          <w:b w:val="1"/>
          <w:sz w:val="32"/>
          <w:szCs w:val="32"/>
          <w:rtl w:val="0"/>
        </w:rPr>
        <w:t xml:space="preserve">Кваліфікаційна робота</w:t>
      </w:r>
    </w:p>
    <w:p w:rsidR="00000000" w:rsidDel="00000000" w:rsidP="00000000" w:rsidRDefault="00000000" w:rsidRPr="00000000" w14:paraId="0000000A">
      <w:pPr>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 здобуття ступеня вищої освіти «магістр»</w:t>
      </w:r>
    </w:p>
    <w:p w:rsidR="00000000" w:rsidDel="00000000" w:rsidP="00000000" w:rsidRDefault="00000000" w:rsidRPr="00000000" w14:paraId="0000000B">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C">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D">
      <w:pPr>
        <w:tabs>
          <w:tab w:val="right" w:leader="none" w:pos="9355"/>
        </w:tabs>
        <w:spacing w:after="0" w:line="240" w:lineRule="auto"/>
        <w:jc w:val="center"/>
        <w:rPr>
          <w:rFonts w:ascii="Times New Roman" w:cs="Times New Roman" w:eastAsia="Times New Roman" w:hAnsi="Times New Roman"/>
          <w:i w:val="1"/>
          <w:sz w:val="28"/>
          <w:szCs w:val="28"/>
        </w:rPr>
      </w:pPr>
      <w:bookmarkStart w:colFirst="0" w:colLast="0" w:name="_heading=h.gjdgxs" w:id="0"/>
      <w:bookmarkEnd w:id="0"/>
      <w:r w:rsidDel="00000000" w:rsidR="00000000" w:rsidRPr="00000000">
        <w:rPr>
          <w:rFonts w:ascii="Times New Roman" w:cs="Times New Roman" w:eastAsia="Times New Roman" w:hAnsi="Times New Roman"/>
          <w:b w:val="1"/>
          <w:sz w:val="28"/>
          <w:szCs w:val="28"/>
          <w:rtl w:val="0"/>
        </w:rPr>
        <w:t xml:space="preserve">Тема: «Регіональні групи тиску в українському політикумі та національні стратегії узгодження інтересів»</w:t>
      </w:r>
      <w:r w:rsidDel="00000000" w:rsidR="00000000" w:rsidRPr="00000000">
        <w:rPr>
          <w:rtl w:val="0"/>
        </w:rPr>
      </w:r>
    </w:p>
    <w:p w:rsidR="00000000" w:rsidDel="00000000" w:rsidP="00000000" w:rsidRDefault="00000000" w:rsidRPr="00000000" w14:paraId="0000000E">
      <w:pPr>
        <w:tabs>
          <w:tab w:val="right" w:leader="none" w:pos="9355"/>
        </w:tabs>
        <w:spacing w:after="0" w:line="240" w:lineRule="auto"/>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0F">
      <w:pPr>
        <w:tabs>
          <w:tab w:val="right" w:leader="none" w:pos="9355"/>
        </w:tabs>
        <w:spacing w:after="0" w:line="240" w:lineRule="auto"/>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w:t>
      </w:r>
      <w:r w:rsidDel="00000000" w:rsidR="00000000" w:rsidRPr="00000000">
        <w:rPr>
          <w:rFonts w:ascii="Times New Roman" w:cs="Times New Roman" w:eastAsia="Times New Roman" w:hAnsi="Times New Roman"/>
          <w:b w:val="1"/>
          <w:sz w:val="28"/>
          <w:szCs w:val="28"/>
          <w:highlight w:val="white"/>
          <w:rtl w:val="0"/>
        </w:rPr>
        <w:t xml:space="preserve">Regional Pressure Groupsin Ukrainian Politics and National Strategies for Aligning Interests</w:t>
      </w:r>
      <w:r w:rsidDel="00000000" w:rsidR="00000000" w:rsidRPr="00000000">
        <w:rPr>
          <w:rFonts w:ascii="Times New Roman" w:cs="Times New Roman" w:eastAsia="Times New Roman" w:hAnsi="Times New Roman"/>
          <w:sz w:val="28"/>
          <w:szCs w:val="28"/>
          <w:rtl w:val="0"/>
        </w:rPr>
        <w:t xml:space="preserve">»</w:t>
      </w:r>
    </w:p>
    <w:p w:rsidR="00000000" w:rsidDel="00000000" w:rsidP="00000000" w:rsidRDefault="00000000" w:rsidRPr="00000000" w14:paraId="00000010">
      <w:pPr>
        <w:tabs>
          <w:tab w:val="left" w:leader="none" w:pos="5320"/>
          <w:tab w:val="right" w:leader="none" w:pos="9355"/>
        </w:tabs>
        <w:spacing w:after="0" w:line="240" w:lineRule="auto"/>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11">
      <w:pPr>
        <w:tabs>
          <w:tab w:val="left" w:leader="none" w:pos="5320"/>
          <w:tab w:val="right" w:leader="none" w:pos="9355"/>
        </w:tabs>
        <w:spacing w:after="0" w:line="240" w:lineRule="auto"/>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ab/>
      </w:r>
    </w:p>
    <w:p w:rsidR="00000000" w:rsidDel="00000000" w:rsidP="00000000" w:rsidRDefault="00000000" w:rsidRPr="00000000" w14:paraId="00000012">
      <w:pPr>
        <w:spacing w:after="0" w:line="240" w:lineRule="auto"/>
        <w:ind w:left="2552"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Виконав:  здобувач денної форми навчання</w:t>
      </w:r>
    </w:p>
    <w:p w:rsidR="00000000" w:rsidDel="00000000" w:rsidP="00000000" w:rsidRDefault="00000000" w:rsidRPr="00000000" w14:paraId="00000013">
      <w:pPr>
        <w:spacing w:after="0" w:line="240" w:lineRule="auto"/>
        <w:ind w:left="3968" w:firstLine="28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спеціальності 052 – «Політологія»</w:t>
      </w:r>
    </w:p>
    <w:p w:rsidR="00000000" w:rsidDel="00000000" w:rsidP="00000000" w:rsidRDefault="00000000" w:rsidRPr="00000000" w14:paraId="00000014">
      <w:pPr>
        <w:spacing w:after="0" w:line="240" w:lineRule="auto"/>
        <w:ind w:left="2552"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Освітня програма – Політологія</w:t>
      </w:r>
    </w:p>
    <w:p w:rsidR="00000000" w:rsidDel="00000000" w:rsidP="00000000" w:rsidRDefault="00000000" w:rsidRPr="00000000" w14:paraId="00000015">
      <w:pPr>
        <w:spacing w:after="0" w:line="240" w:lineRule="auto"/>
        <w:ind w:left="2552" w:firstLine="0"/>
        <w:jc w:val="right"/>
        <w:rPr>
          <w:rFonts w:ascii="Times New Roman" w:cs="Times New Roman" w:eastAsia="Times New Roman" w:hAnsi="Times New Roman"/>
          <w:b w:val="1"/>
          <w:sz w:val="28"/>
          <w:szCs w:val="28"/>
          <w:u w:val="single"/>
        </w:rPr>
      </w:pPr>
      <w:r w:rsidDel="00000000" w:rsidR="00000000" w:rsidRPr="00000000">
        <w:rPr>
          <w:rFonts w:ascii="Times New Roman" w:cs="Times New Roman" w:eastAsia="Times New Roman" w:hAnsi="Times New Roman"/>
          <w:b w:val="1"/>
          <w:sz w:val="28"/>
          <w:szCs w:val="28"/>
          <w:u w:val="single"/>
          <w:rtl w:val="0"/>
        </w:rPr>
        <w:t xml:space="preserve">Рибіцький Станіслав Володимирович</w:t>
      </w:r>
    </w:p>
    <w:p w:rsidR="00000000" w:rsidDel="00000000" w:rsidP="00000000" w:rsidRDefault="00000000" w:rsidRPr="00000000" w14:paraId="00000016">
      <w:pPr>
        <w:spacing w:after="0" w:line="240" w:lineRule="auto"/>
        <w:ind w:left="2552" w:firstLine="0"/>
        <w:jc w:val="right"/>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7">
      <w:pPr>
        <w:tabs>
          <w:tab w:val="left" w:leader="none" w:pos="5245"/>
        </w:tabs>
        <w:spacing w:after="0" w:before="120" w:line="240" w:lineRule="auto"/>
        <w:ind w:firstLine="709"/>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rtl w:val="0"/>
        </w:rPr>
        <w:t xml:space="preserve">                                    Керівник: к.політ.н., доцент </w:t>
      </w:r>
      <w:r w:rsidDel="00000000" w:rsidR="00000000" w:rsidRPr="00000000">
        <w:rPr>
          <w:rFonts w:ascii="Times New Roman" w:cs="Times New Roman" w:eastAsia="Times New Roman" w:hAnsi="Times New Roman"/>
          <w:b w:val="1"/>
          <w:sz w:val="28"/>
          <w:szCs w:val="28"/>
          <w:rtl w:val="0"/>
        </w:rPr>
        <w:t xml:space="preserve">Кройтор А.В.</w:t>
      </w:r>
      <w:r w:rsidDel="00000000" w:rsidR="00000000" w:rsidRPr="00000000">
        <w:rPr>
          <w:rFonts w:ascii="Times New Roman" w:cs="Times New Roman" w:eastAsia="Times New Roman" w:hAnsi="Times New Roman"/>
          <w:sz w:val="28"/>
          <w:szCs w:val="28"/>
          <w:rtl w:val="0"/>
        </w:rPr>
        <w:t xml:space="preserve"> _________</w:t>
      </w:r>
      <w:r w:rsidDel="00000000" w:rsidR="00000000" w:rsidRPr="00000000">
        <w:rPr>
          <w:rtl w:val="0"/>
        </w:rPr>
      </w:r>
    </w:p>
    <w:p w:rsidR="00000000" w:rsidDel="00000000" w:rsidP="00000000" w:rsidRDefault="00000000" w:rsidRPr="00000000" w14:paraId="00000018">
      <w:pPr>
        <w:tabs>
          <w:tab w:val="right" w:leader="none" w:pos="2552"/>
          <w:tab w:val="left" w:leader="none" w:pos="5245"/>
        </w:tabs>
        <w:spacing w:after="0" w:before="120" w:line="240" w:lineRule="auto"/>
        <w:ind w:left="2552" w:firstLine="0"/>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Рецензент: </w:t>
      </w:r>
      <w:r w:rsidDel="00000000" w:rsidR="00000000" w:rsidRPr="00000000">
        <w:rPr>
          <w:rFonts w:ascii="Times New Roman" w:cs="Times New Roman" w:eastAsia="Times New Roman" w:hAnsi="Times New Roman"/>
          <w:sz w:val="28"/>
          <w:szCs w:val="28"/>
          <w:u w:val="single"/>
          <w:rtl w:val="0"/>
        </w:rPr>
        <w:t xml:space="preserve">д.політ.н., професор </w:t>
      </w:r>
      <w:r w:rsidDel="00000000" w:rsidR="00000000" w:rsidRPr="00000000">
        <w:rPr>
          <w:rFonts w:ascii="Times New Roman" w:cs="Times New Roman" w:eastAsia="Times New Roman" w:hAnsi="Times New Roman"/>
          <w:b w:val="1"/>
          <w:sz w:val="28"/>
          <w:szCs w:val="28"/>
          <w:u w:val="single"/>
          <w:rtl w:val="0"/>
        </w:rPr>
        <w:t xml:space="preserve">Коч С.В.</w:t>
      </w:r>
      <w:r w:rsidDel="00000000" w:rsidR="00000000" w:rsidRPr="00000000">
        <w:rPr>
          <w:rFonts w:ascii="Times New Roman" w:cs="Times New Roman" w:eastAsia="Times New Roman" w:hAnsi="Times New Roman"/>
          <w:b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 _________</w:t>
      </w:r>
    </w:p>
    <w:p w:rsidR="00000000" w:rsidDel="00000000" w:rsidP="00000000" w:rsidRDefault="00000000" w:rsidRPr="00000000" w14:paraId="00000019">
      <w:pPr>
        <w:tabs>
          <w:tab w:val="left" w:leader="none" w:pos="5245"/>
          <w:tab w:val="right" w:leader="none" w:pos="9355"/>
        </w:tabs>
        <w:spacing w:after="0" w:before="120" w:line="240"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1A">
      <w:pPr>
        <w:tabs>
          <w:tab w:val="left" w:leader="none" w:pos="5245"/>
          <w:tab w:val="right" w:leader="none" w:pos="9355"/>
        </w:tabs>
        <w:spacing w:after="0" w:before="120" w:line="240" w:lineRule="auto"/>
        <w:jc w:val="both"/>
        <w:rPr>
          <w:rFonts w:ascii="Times New Roman" w:cs="Times New Roman" w:eastAsia="Times New Roman" w:hAnsi="Times New Roman"/>
          <w:sz w:val="20"/>
          <w:szCs w:val="20"/>
        </w:rPr>
      </w:pPr>
      <w:r w:rsidDel="00000000" w:rsidR="00000000" w:rsidRPr="00000000">
        <w:rPr>
          <w:rtl w:val="0"/>
        </w:rPr>
      </w:r>
    </w:p>
    <w:tbl>
      <w:tblPr>
        <w:tblStyle w:val="Table1"/>
        <w:tblW w:w="9868.0" w:type="dxa"/>
        <w:jc w:val="left"/>
        <w:tblInd w:w="-115.0" w:type="dxa"/>
        <w:tblLayout w:type="fixed"/>
        <w:tblLook w:val="0000"/>
      </w:tblPr>
      <w:tblGrid>
        <w:gridCol w:w="5082"/>
        <w:gridCol w:w="4786"/>
        <w:tblGridChange w:id="0">
          <w:tblGrid>
            <w:gridCol w:w="5082"/>
            <w:gridCol w:w="4786"/>
          </w:tblGrid>
        </w:tblGridChange>
      </w:tblGrid>
      <w:tr>
        <w:trPr>
          <w:cantSplit w:val="1"/>
          <w:tblHeader w:val="1"/>
        </w:trPr>
        <w:tc>
          <w:tcPr/>
          <w:p w:rsidR="00000000" w:rsidDel="00000000" w:rsidP="00000000" w:rsidRDefault="00000000" w:rsidRPr="00000000" w14:paraId="0000001B">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Рекомендовано до захисту:</w:t>
            </w:r>
          </w:p>
          <w:p w:rsidR="00000000" w:rsidDel="00000000" w:rsidP="00000000" w:rsidRDefault="00000000" w:rsidRPr="00000000" w14:paraId="0000001C">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засідання кафедри</w:t>
            </w:r>
          </w:p>
          <w:p w:rsidR="00000000" w:rsidDel="00000000" w:rsidP="00000000" w:rsidRDefault="00000000" w:rsidRPr="00000000" w14:paraId="0000001D">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__________________________</w:t>
            </w:r>
          </w:p>
          <w:p w:rsidR="00000000" w:rsidDel="00000000" w:rsidP="00000000" w:rsidRDefault="00000000" w:rsidRPr="00000000" w14:paraId="0000001E">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___  від ____.____. 20___ р. </w:t>
            </w:r>
          </w:p>
          <w:p w:rsidR="00000000" w:rsidDel="00000000" w:rsidP="00000000" w:rsidRDefault="00000000" w:rsidRPr="00000000" w14:paraId="0000001F">
            <w:pPr>
              <w:spacing w:after="0" w:line="240" w:lineRule="auto"/>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0">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Завідувачка кафедри</w:t>
            </w:r>
          </w:p>
          <w:p w:rsidR="00000000" w:rsidDel="00000000" w:rsidP="00000000" w:rsidRDefault="00000000" w:rsidRPr="00000000" w14:paraId="00000021">
            <w:pPr>
              <w:tabs>
                <w:tab w:val="left" w:leader="none" w:pos="1168"/>
                <w:tab w:val="left" w:leader="none" w:pos="3861"/>
              </w:tabs>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Світлана КОЧ</w:t>
            </w:r>
            <w:r w:rsidDel="00000000" w:rsidR="00000000" w:rsidRPr="00000000">
              <w:rPr>
                <w:rtl w:val="0"/>
              </w:rPr>
            </w:r>
          </w:p>
          <w:p w:rsidR="00000000" w:rsidDel="00000000" w:rsidP="00000000" w:rsidRDefault="00000000" w:rsidRPr="00000000" w14:paraId="00000022">
            <w:pPr>
              <w:tabs>
                <w:tab w:val="left" w:leader="none" w:pos="284"/>
                <w:tab w:val="left" w:leader="none" w:pos="1767"/>
              </w:tabs>
              <w:spacing w:after="0" w:line="240" w:lineRule="auto"/>
              <w:jc w:val="both"/>
              <w:rPr>
                <w:rFonts w:ascii="Times New Roman" w:cs="Times New Roman" w:eastAsia="Times New Roman" w:hAnsi="Times New Roman"/>
                <w:sz w:val="20"/>
                <w:szCs w:val="20"/>
              </w:rPr>
            </w:pPr>
            <w:r w:rsidDel="00000000" w:rsidR="00000000" w:rsidRPr="00000000">
              <w:rPr>
                <w:rtl w:val="0"/>
              </w:rPr>
            </w:r>
          </w:p>
        </w:tc>
        <w:tc>
          <w:tcPr/>
          <w:p w:rsidR="00000000" w:rsidDel="00000000" w:rsidP="00000000" w:rsidRDefault="00000000" w:rsidRPr="00000000" w14:paraId="00000023">
            <w:pPr>
              <w:tabs>
                <w:tab w:val="right" w:leader="none" w:pos="4462"/>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Захищено на засіданні ЕК № 5</w:t>
            </w:r>
          </w:p>
          <w:p w:rsidR="00000000" w:rsidDel="00000000" w:rsidP="00000000" w:rsidRDefault="00000000" w:rsidRPr="00000000" w14:paraId="00000024">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протокол № __від ____.____.20___ р.</w:t>
            </w:r>
          </w:p>
          <w:p w:rsidR="00000000" w:rsidDel="00000000" w:rsidP="00000000" w:rsidRDefault="00000000" w:rsidRPr="00000000" w14:paraId="00000025">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 </w:t>
            </w:r>
          </w:p>
          <w:p w:rsidR="00000000" w:rsidDel="00000000" w:rsidP="00000000" w:rsidRDefault="00000000" w:rsidRPr="00000000" w14:paraId="00000026">
            <w:pPr>
              <w:tabs>
                <w:tab w:val="right" w:leader="none" w:pos="4462"/>
              </w:tabs>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Оцінка______________/___</w:t>
            </w:r>
            <w:r w:rsidDel="00000000" w:rsidR="00000000" w:rsidRPr="00000000">
              <w:rPr>
                <w:rFonts w:ascii="Times New Roman" w:cs="Times New Roman" w:eastAsia="Times New Roman" w:hAnsi="Times New Roman"/>
                <w:sz w:val="20"/>
                <w:szCs w:val="20"/>
                <w:rtl w:val="0"/>
              </w:rPr>
              <w:tab/>
            </w:r>
            <w:r w:rsidDel="00000000" w:rsidR="00000000" w:rsidRPr="00000000">
              <w:rPr>
                <w:rFonts w:ascii="Times New Roman" w:cs="Times New Roman" w:eastAsia="Times New Roman" w:hAnsi="Times New Roman"/>
                <w:sz w:val="28"/>
                <w:szCs w:val="28"/>
                <w:rtl w:val="0"/>
              </w:rPr>
              <w:t xml:space="preserve">___/_____</w:t>
            </w:r>
          </w:p>
          <w:p w:rsidR="00000000" w:rsidDel="00000000" w:rsidP="00000000" w:rsidRDefault="00000000" w:rsidRPr="00000000" w14:paraId="00000027">
            <w:pPr>
              <w:spacing w:after="0" w:line="240" w:lineRule="auto"/>
              <w:jc w:val="cente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(за національною шкалою/шкалою ЕСТS/ бали)</w:t>
            </w:r>
          </w:p>
          <w:p w:rsidR="00000000" w:rsidDel="00000000" w:rsidP="00000000" w:rsidRDefault="00000000" w:rsidRPr="00000000" w14:paraId="00000028">
            <w:pPr>
              <w:spacing w:after="0" w:line="240" w:lineRule="auto"/>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Голова ЕК</w:t>
            </w:r>
          </w:p>
          <w:p w:rsidR="00000000" w:rsidDel="00000000" w:rsidP="00000000" w:rsidRDefault="00000000" w:rsidRPr="00000000" w14:paraId="00000029">
            <w:pPr>
              <w:spacing w:after="0" w:line="240" w:lineRule="auto"/>
              <w:jc w:val="both"/>
              <w:rPr>
                <w:rFonts w:ascii="Times New Roman" w:cs="Times New Roman" w:eastAsia="Times New Roman" w:hAnsi="Times New Roman"/>
                <w:sz w:val="28"/>
                <w:szCs w:val="28"/>
                <w:u w:val="single"/>
              </w:rPr>
            </w:pPr>
            <w:r w:rsidDel="00000000" w:rsidR="00000000" w:rsidRPr="00000000">
              <w:rPr>
                <w:rFonts w:ascii="Times New Roman" w:cs="Times New Roman" w:eastAsia="Times New Roman" w:hAnsi="Times New Roman"/>
                <w:sz w:val="28"/>
                <w:szCs w:val="28"/>
                <w:u w:val="single"/>
                <w:rtl w:val="0"/>
              </w:rPr>
              <w:tab/>
            </w:r>
            <w:r w:rsidDel="00000000" w:rsidR="00000000" w:rsidRPr="00000000">
              <w:rPr>
                <w:rFonts w:ascii="Times New Roman" w:cs="Times New Roman" w:eastAsia="Times New Roman" w:hAnsi="Times New Roman"/>
                <w:sz w:val="28"/>
                <w:szCs w:val="28"/>
                <w:rtl w:val="0"/>
              </w:rPr>
              <w:t xml:space="preserve">              Олег ХОРОШИЛОВ</w:t>
            </w:r>
            <w:r w:rsidDel="00000000" w:rsidR="00000000" w:rsidRPr="00000000">
              <w:rPr>
                <w:rtl w:val="0"/>
              </w:rPr>
            </w:r>
          </w:p>
          <w:p w:rsidR="00000000" w:rsidDel="00000000" w:rsidP="00000000" w:rsidRDefault="00000000" w:rsidRPr="00000000" w14:paraId="0000002A">
            <w:pPr>
              <w:tabs>
                <w:tab w:val="left" w:leader="none" w:pos="454"/>
                <w:tab w:val="left" w:leader="none" w:pos="2155"/>
              </w:tabs>
              <w:spacing w:after="0" w:line="240" w:lineRule="auto"/>
              <w:jc w:val="both"/>
              <w:rPr>
                <w:rFonts w:ascii="Times New Roman" w:cs="Times New Roman" w:eastAsia="Times New Roman" w:hAnsi="Times New Roman"/>
                <w:sz w:val="28"/>
                <w:szCs w:val="28"/>
              </w:rPr>
            </w:pPr>
            <w:r w:rsidDel="00000000" w:rsidR="00000000" w:rsidRPr="00000000">
              <w:rPr>
                <w:rtl w:val="0"/>
              </w:rPr>
            </w:r>
          </w:p>
        </w:tc>
      </w:tr>
      <w:tr>
        <w:trPr>
          <w:cantSplit w:val="1"/>
          <w:tblHeader w:val="1"/>
        </w:trPr>
        <w:tc>
          <w:tcPr/>
          <w:p w:rsidR="00000000" w:rsidDel="00000000" w:rsidP="00000000" w:rsidRDefault="00000000" w:rsidRPr="00000000" w14:paraId="0000002B">
            <w:pPr>
              <w:spacing w:after="0" w:line="240" w:lineRule="auto"/>
              <w:jc w:val="both"/>
              <w:rPr>
                <w:rFonts w:ascii="Times New Roman" w:cs="Times New Roman" w:eastAsia="Times New Roman" w:hAnsi="Times New Roman"/>
                <w:sz w:val="28"/>
                <w:szCs w:val="28"/>
              </w:rPr>
            </w:pPr>
            <w:r w:rsidDel="00000000" w:rsidR="00000000" w:rsidRPr="00000000">
              <w:rPr>
                <w:rtl w:val="0"/>
              </w:rPr>
            </w:r>
          </w:p>
        </w:tc>
        <w:tc>
          <w:tcPr/>
          <w:p w:rsidR="00000000" w:rsidDel="00000000" w:rsidP="00000000" w:rsidRDefault="00000000" w:rsidRPr="00000000" w14:paraId="0000002C">
            <w:pPr>
              <w:spacing w:after="0" w:line="240" w:lineRule="auto"/>
              <w:jc w:val="both"/>
              <w:rPr>
                <w:rFonts w:ascii="Times New Roman" w:cs="Times New Roman" w:eastAsia="Times New Roman" w:hAnsi="Times New Roman"/>
                <w:sz w:val="28"/>
                <w:szCs w:val="28"/>
              </w:rPr>
            </w:pPr>
            <w:r w:rsidDel="00000000" w:rsidR="00000000" w:rsidRPr="00000000">
              <w:rPr>
                <w:rtl w:val="0"/>
              </w:rPr>
            </w:r>
          </w:p>
        </w:tc>
      </w:tr>
    </w:tbl>
    <w:p w:rsidR="00000000" w:rsidDel="00000000" w:rsidP="00000000" w:rsidRDefault="00000000" w:rsidRPr="00000000" w14:paraId="0000002D">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E">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2F">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0">
      <w:pPr>
        <w:spacing w:after="0" w:line="240" w:lineRule="auto"/>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31">
      <w:pPr>
        <w:ind w:firstLine="567"/>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Одеса 2024</w:t>
      </w:r>
      <w:r w:rsidDel="00000000" w:rsidR="00000000" w:rsidRPr="00000000">
        <w:rPr>
          <w:rtl w:val="0"/>
        </w:rPr>
      </w:r>
    </w:p>
    <w:p w:rsidR="00000000" w:rsidDel="00000000" w:rsidP="00000000" w:rsidRDefault="00000000" w:rsidRPr="00000000" w14:paraId="00000032">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ЗМІСТ</w:t>
      </w:r>
    </w:p>
    <w:p w:rsidR="00000000" w:rsidDel="00000000" w:rsidP="00000000" w:rsidRDefault="00000000" w:rsidRPr="00000000" w14:paraId="000000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ВСТУП..………………………………………………………………………...3</w:t>
      </w:r>
    </w:p>
    <w:p w:rsidR="00000000" w:rsidDel="00000000" w:rsidP="00000000" w:rsidRDefault="00000000" w:rsidRPr="00000000" w14:paraId="000000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І. ТЕОРЕТИЧНІ ЗАСАДИ АНАЛІЗУ ГРУП ТИСКУ В ПОЛІТИЦІ …………………………………………………...……………………..7</w:t>
      </w:r>
    </w:p>
    <w:p w:rsidR="00000000" w:rsidDel="00000000" w:rsidP="00000000" w:rsidRDefault="00000000" w:rsidRPr="00000000" w14:paraId="00000037">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Еволюція та сучасний стан теорії груп інтересів в політиці……7</w:t>
      </w:r>
    </w:p>
    <w:p w:rsidR="00000000" w:rsidDel="00000000" w:rsidP="00000000" w:rsidRDefault="00000000" w:rsidRPr="00000000" w14:paraId="000000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1.2.Статус груп тиску в політичному процесі та їх види……………….18</w:t>
      </w:r>
    </w:p>
    <w:p w:rsidR="00000000" w:rsidDel="00000000" w:rsidP="00000000" w:rsidRDefault="00000000" w:rsidRPr="00000000" w14:paraId="000000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1.3. Лобізм як особлива форма діяльності груп тиску в політиці……..25</w:t>
      </w:r>
    </w:p>
    <w:p w:rsidR="00000000" w:rsidDel="00000000" w:rsidP="00000000" w:rsidRDefault="00000000" w:rsidRPr="00000000" w14:paraId="000000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першого розділу………………………………………………41</w:t>
      </w:r>
    </w:p>
    <w:p w:rsidR="00000000" w:rsidDel="00000000" w:rsidP="00000000" w:rsidRDefault="00000000" w:rsidRPr="00000000" w14:paraId="000000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ІІ. РЕГІОНАЛІЗМ В УКРАЇНІ ЯК ЧИННИК ФОРМУВАННЯ РЕГІОНАЛЬНИХ ГРУП ТИСКУ…………………………………..………….43</w:t>
      </w:r>
    </w:p>
    <w:p w:rsidR="00000000" w:rsidDel="00000000" w:rsidP="00000000" w:rsidRDefault="00000000" w:rsidRPr="00000000" w14:paraId="000000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2.1. Особливості регіоналізму в Україні як чинника трансформації політичної системи………………………………………………………………..43</w:t>
      </w:r>
    </w:p>
    <w:p w:rsidR="00000000" w:rsidDel="00000000" w:rsidP="00000000" w:rsidRDefault="00000000" w:rsidRPr="00000000" w14:paraId="000000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Партійні стратегії врегулювання представництва регіональних груп інтересів в Україні: ретроспективний аналіз…………………….……..51</w:t>
      </w:r>
    </w:p>
    <w:p w:rsidR="00000000" w:rsidDel="00000000" w:rsidP="00000000" w:rsidRDefault="00000000" w:rsidRPr="00000000" w14:paraId="000000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другого розділу……………………………………………….63</w:t>
      </w:r>
    </w:p>
    <w:p w:rsidR="00000000" w:rsidDel="00000000" w:rsidP="00000000" w:rsidRDefault="00000000" w:rsidRPr="00000000" w14:paraId="000000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ІІІ. РЕГІОНАЛЬНІ ГРУПИ ВПЛИВУ В УКРАЇНІ: СТРАТЕГІЇ УЗГОДЖЕННЯ ІНТЕРЕСІВ…….………………………………65</w:t>
      </w:r>
    </w:p>
    <w:p w:rsidR="00000000" w:rsidDel="00000000" w:rsidP="00000000" w:rsidRDefault="00000000" w:rsidRPr="00000000" w14:paraId="000000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 Регіональні групи впливу та їх роль у регіональній та національній політиці……………………………………………………………76</w:t>
      </w:r>
    </w:p>
    <w:p w:rsidR="00000000" w:rsidDel="00000000" w:rsidP="00000000" w:rsidRDefault="00000000" w:rsidRPr="00000000" w14:paraId="000000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 Децентралізація як стратегія узгодження інтересів національних еліт та регіональних груп впливу </w:t>
      </w:r>
    </w:p>
    <w:p w:rsidR="00000000" w:rsidDel="00000000" w:rsidP="00000000" w:rsidRDefault="00000000" w:rsidRPr="00000000" w14:paraId="000000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3.3. Бікамеризм як стратегія представництва регіональних груп впливу на національному рівні політики……………………………………..85</w:t>
      </w:r>
    </w:p>
    <w:p w:rsidR="00000000" w:rsidDel="00000000" w:rsidP="00000000" w:rsidRDefault="00000000" w:rsidRPr="00000000" w14:paraId="000000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третього розділу……………………………………………..89</w:t>
      </w:r>
    </w:p>
    <w:p w:rsidR="00000000" w:rsidDel="00000000" w:rsidP="00000000" w:rsidRDefault="00000000" w:rsidRPr="00000000" w14:paraId="000000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ВИСНОВКИ………………………………………………………………….91</w:t>
      </w:r>
    </w:p>
    <w:p w:rsidR="00000000" w:rsidDel="00000000" w:rsidP="00000000" w:rsidRDefault="00000000" w:rsidRPr="00000000" w14:paraId="000000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ВИКОРИСТАНОЇ ЛІТЕРАТУРИ……………………………98</w:t>
      </w:r>
    </w:p>
    <w:p w:rsidR="00000000" w:rsidDel="00000000" w:rsidP="00000000" w:rsidRDefault="00000000" w:rsidRPr="00000000" w14:paraId="00000046">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47">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ВСТУП</w:t>
      </w:r>
    </w:p>
    <w:p w:rsidR="00000000" w:rsidDel="00000000" w:rsidP="00000000" w:rsidRDefault="00000000" w:rsidRPr="00000000" w14:paraId="00000048">
      <w:pPr>
        <w:spacing w:after="0" w:line="360" w:lineRule="auto"/>
        <w:ind w:firstLine="567"/>
        <w:jc w:val="center"/>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04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Актуальність дослідження </w:t>
      </w:r>
      <w:r w:rsidDel="00000000" w:rsidR="00000000" w:rsidRPr="00000000">
        <w:rPr>
          <w:rFonts w:ascii="Times New Roman" w:cs="Times New Roman" w:eastAsia="Times New Roman" w:hAnsi="Times New Roman"/>
          <w:sz w:val="28"/>
          <w:szCs w:val="28"/>
          <w:rtl w:val="0"/>
        </w:rPr>
        <w:t xml:space="preserve">зумолена низкою чинників, що стосуються як внутрішньополітичних процесів в Україні, так і викликів у сфері регіонального управління. Зокрема успішне впровадження децентралізації в Україні призвело до посилення впливу регіональних еліт на місцеву політику, економіку та суспільне життя. Це створило нові умови для появи й активності регіональних груп тиску, які часто діють незалежно від центральної влади. Дослідження цих груп є важливим для розуміння їхнього впливу на політичну стабільність та розвиток країни. Також регіональні групи тиску дедалі частіше стають активними гравцями на національному рівні, формуючи порядок денний через контроль за ресурсами, вплив на виборчі процеси й лобіювання власних інтересів у центральній владі. Аналіз механізмів їхнього впливу допоможе виробити ефективні стратегії узгодження регіональних і державних інтересів.</w:t>
      </w:r>
    </w:p>
    <w:p w:rsidR="00000000" w:rsidDel="00000000" w:rsidP="00000000" w:rsidRDefault="00000000" w:rsidRPr="00000000" w14:paraId="0000004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Нерівномірний розвиток регіонів, економічна нерівність і конкуренція між регіональними елітами можуть призвести до загострення відносин між центром і регіонами, аж до появи сепаратистських настроїв. Вивчення цієї проблематики дозволить передбачити можливі конфлікти та запропонувати шляхи їхнього врегулювання.</w:t>
      </w:r>
    </w:p>
    <w:p w:rsidR="00000000" w:rsidDel="00000000" w:rsidP="00000000" w:rsidRDefault="00000000" w:rsidRPr="00000000" w14:paraId="0000004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умовах зовнішніх загроз, зокрема війни Російської Федерації проти України, та необхідності внутрішньої консолідації ключовим завданням державної політики є створення моделі співпраці між центральною владою і регіонами. Це можливо лише за умови глибокого розуміння інтересів регіональних груп тиску та пошуку стратегій їхньої інтеграції в загальнонаціональні процеси.</w:t>
      </w:r>
    </w:p>
    <w:p w:rsidR="00000000" w:rsidDel="00000000" w:rsidP="00000000" w:rsidRDefault="00000000" w:rsidRPr="00000000" w14:paraId="0000004C">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країнах із розвиненою демократією (зокрема, у федераціях і країнах із двопалатними парламентами) ефективно використовуються моделі представлення інтересів регіонів на центральному рівні. Дослідження цієї теми в українському контексті дозволить адаптувати найкращі практики до наших реалій. Формування нової моделі суспільного договору, яка враховує інтереси усіх сторін, є необхідною для стабільності держави. Вивчення регіональних груп як вагомого політичного чинника сприятиме розробці механізмів для зміцнення співпраці між різними рівнями влади.</w:t>
      </w:r>
    </w:p>
    <w:p w:rsidR="00000000" w:rsidDel="00000000" w:rsidP="00000000" w:rsidRDefault="00000000" w:rsidRPr="00000000" w14:paraId="0000004D">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Таким чином, дослідження регіональних груп тиску та стратегій узгодження інтересів не лише сприяє розумінню їхньої ролі в сучасному українському політикумі, а й допомагає формувати ефективну політичну модель, орієнтовану на стабільний розвиток і єдність країни.</w:t>
      </w:r>
    </w:p>
    <w:p w:rsidR="00000000" w:rsidDel="00000000" w:rsidP="00000000" w:rsidRDefault="00000000" w:rsidRPr="00000000" w14:paraId="0000004E">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Мета роботи полягає в </w:t>
      </w:r>
      <w:r w:rsidDel="00000000" w:rsidR="00000000" w:rsidRPr="00000000">
        <w:rPr>
          <w:rFonts w:ascii="Times New Roman" w:cs="Times New Roman" w:eastAsia="Times New Roman" w:hAnsi="Times New Roman"/>
          <w:sz w:val="28"/>
          <w:szCs w:val="28"/>
          <w:rtl w:val="0"/>
        </w:rPr>
        <w:t xml:space="preserve">аналізі ролі регіональних групи тиску в українському політикумі та аналізі стратегій узгодження їх інтересів.</w:t>
      </w:r>
    </w:p>
    <w:p w:rsidR="00000000" w:rsidDel="00000000" w:rsidP="00000000" w:rsidRDefault="00000000" w:rsidRPr="00000000" w14:paraId="0000004F">
      <w:pPr>
        <w:spacing w:after="0" w:line="360" w:lineRule="auto"/>
        <w:ind w:firstLine="567"/>
        <w:jc w:val="both"/>
        <w:rPr>
          <w:rFonts w:ascii="Times New Roman" w:cs="Times New Roman" w:eastAsia="Times New Roman" w:hAnsi="Times New Roman"/>
          <w:b w:val="1"/>
          <w:i w:val="1"/>
          <w:sz w:val="28"/>
          <w:szCs w:val="28"/>
        </w:rPr>
      </w:pPr>
      <w:r w:rsidDel="00000000" w:rsidR="00000000" w:rsidRPr="00000000">
        <w:rPr>
          <w:rFonts w:ascii="Times New Roman" w:cs="Times New Roman" w:eastAsia="Times New Roman" w:hAnsi="Times New Roman"/>
          <w:sz w:val="28"/>
          <w:szCs w:val="28"/>
          <w:rtl w:val="0"/>
        </w:rPr>
        <w:t xml:space="preserve">Досягнення поставленої мети потребує вирішення наступних </w:t>
      </w:r>
      <w:r w:rsidDel="00000000" w:rsidR="00000000" w:rsidRPr="00000000">
        <w:rPr>
          <w:rFonts w:ascii="Times New Roman" w:cs="Times New Roman" w:eastAsia="Times New Roman" w:hAnsi="Times New Roman"/>
          <w:b w:val="1"/>
          <w:i w:val="1"/>
          <w:sz w:val="28"/>
          <w:szCs w:val="28"/>
          <w:rtl w:val="0"/>
        </w:rPr>
        <w:t xml:space="preserve">дослідницьких завдань: </w:t>
      </w:r>
    </w:p>
    <w:p w:rsidR="00000000" w:rsidDel="00000000" w:rsidP="00000000" w:rsidRDefault="00000000" w:rsidRPr="00000000" w14:paraId="00000050">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еволюцію та сучасний стан теорії груп інтересів в політиці;</w:t>
      </w:r>
    </w:p>
    <w:p w:rsidR="00000000" w:rsidDel="00000000" w:rsidP="00000000" w:rsidRDefault="00000000" w:rsidRPr="00000000" w14:paraId="00000051">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статус груп тиску в політичному процесі та їх види;</w:t>
      </w:r>
    </w:p>
    <w:p w:rsidR="00000000" w:rsidDel="00000000" w:rsidP="00000000" w:rsidRDefault="00000000" w:rsidRPr="00000000" w14:paraId="00000052">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лобізм як особливу форму діяльності груп тиску в політиці;</w:t>
      </w:r>
    </w:p>
    <w:p w:rsidR="00000000" w:rsidDel="00000000" w:rsidP="00000000" w:rsidRDefault="00000000" w:rsidRPr="00000000" w14:paraId="00000053">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особливості регіоналізму в Україні як чинника трансформації політичної системи;</w:t>
      </w:r>
    </w:p>
    <w:p w:rsidR="00000000" w:rsidDel="00000000" w:rsidP="00000000" w:rsidRDefault="00000000" w:rsidRPr="00000000" w14:paraId="00000054">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здійснити ретроспективний аналіз партійних стратегій врегулювання представництва регіональних груп інтересів в Україні;</w:t>
      </w:r>
    </w:p>
    <w:p w:rsidR="00000000" w:rsidDel="00000000" w:rsidP="00000000" w:rsidRDefault="00000000" w:rsidRPr="00000000" w14:paraId="00000055">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визначити сутність регіональних груп впливу та встановити їх роль у регіональній та національній політиці;</w:t>
      </w:r>
    </w:p>
    <w:p w:rsidR="00000000" w:rsidDel="00000000" w:rsidP="00000000" w:rsidRDefault="00000000" w:rsidRPr="00000000" w14:paraId="00000056">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дослідити децентралізацію як стратегію узгодження інтересів національних еліт та регіональних груп впливу;</w:t>
      </w:r>
    </w:p>
    <w:p w:rsidR="00000000" w:rsidDel="00000000" w:rsidP="00000000" w:rsidRDefault="00000000" w:rsidRPr="00000000" w14:paraId="00000057">
      <w:pPr>
        <w:numPr>
          <w:ilvl w:val="0"/>
          <w:numId w:val="9"/>
        </w:numPr>
        <w:spacing w:after="0" w:line="360" w:lineRule="auto"/>
        <w:ind w:left="0"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проаналізувати двопалатний паламент як інститут представництва регіональних груп впливу на національному рівні політики.</w:t>
      </w:r>
    </w:p>
    <w:p w:rsidR="00000000" w:rsidDel="00000000" w:rsidP="00000000" w:rsidRDefault="00000000" w:rsidRPr="00000000" w14:paraId="00000058">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Об’єктом дослідження</w:t>
      </w:r>
      <w:r w:rsidDel="00000000" w:rsidR="00000000" w:rsidRPr="00000000">
        <w:rPr>
          <w:rFonts w:ascii="Times New Roman" w:cs="Times New Roman" w:eastAsia="Times New Roman" w:hAnsi="Times New Roman"/>
          <w:sz w:val="28"/>
          <w:szCs w:val="28"/>
          <w:rtl w:val="0"/>
        </w:rPr>
        <w:t xml:space="preserve"> є групи тиску як впливові гравці на політичній арені.</w:t>
      </w:r>
    </w:p>
    <w:p w:rsidR="00000000" w:rsidDel="00000000" w:rsidP="00000000" w:rsidRDefault="00000000" w:rsidRPr="00000000" w14:paraId="00000059">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Предметом дослідження</w:t>
      </w:r>
      <w:r w:rsidDel="00000000" w:rsidR="00000000" w:rsidRPr="00000000">
        <w:rPr>
          <w:rFonts w:ascii="Times New Roman" w:cs="Times New Roman" w:eastAsia="Times New Roman" w:hAnsi="Times New Roman"/>
          <w:sz w:val="28"/>
          <w:szCs w:val="28"/>
          <w:rtl w:val="0"/>
        </w:rPr>
        <w:t xml:space="preserve"> виступають регіональні групи тиску в українському політичному процесі та стратегії узгодження їх інтересів на національному рівні.</w:t>
      </w:r>
    </w:p>
    <w:p w:rsidR="00000000" w:rsidDel="00000000" w:rsidP="00000000" w:rsidRDefault="00000000" w:rsidRPr="00000000" w14:paraId="0000005A">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Рівень наукової розробки теми достатньо високий. Зокрема теоретичним основам аналізу групам інтересів та групам тиску в політиці присвячені праці: У.Браунлі, Р.Даля, Д.Трумена, В.Домхоффа, Х.Хеклла, Д. Лоурі, Т.Лоуі, Ч.Боссо, М.Олсона, Р. Роудса, Д.Марша, П.Сабатьє, Х.Дженкінс-Смітта, Р.Солсбері, Е.Шаттшнайдера, В.Томпсона, Дж.Хіккі, Дж.Вокера Д.Вомерслі та інших. </w:t>
      </w:r>
    </w:p>
    <w:p w:rsidR="00000000" w:rsidDel="00000000" w:rsidP="00000000" w:rsidRDefault="00000000" w:rsidRPr="00000000" w14:paraId="0000005B">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Серед вітчизняних дослідників в межах проблематики дослідницької теми присвячені праці: В. Базалєєва, А.Кройтора, Т.Кучеренка, В.Лупація, Г. Макарова, Т.Ярового, М.Кармазіна, Т.Бевз, Н.Ротара, О.Тупиці, М.Токара, М.Горбатюка, О.Лісничука, О.Михайлича та інших.</w:t>
      </w:r>
    </w:p>
    <w:p w:rsidR="00000000" w:rsidDel="00000000" w:rsidP="00000000" w:rsidRDefault="00000000" w:rsidRPr="00000000" w14:paraId="0000005C">
      <w:pPr>
        <w:spacing w:after="0" w:line="360" w:lineRule="auto"/>
        <w:ind w:right="-143"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Методи дослідження</w:t>
      </w:r>
      <w:r w:rsidDel="00000000" w:rsidR="00000000" w:rsidRPr="00000000">
        <w:rPr>
          <w:rFonts w:ascii="Times New Roman" w:cs="Times New Roman" w:eastAsia="Times New Roman" w:hAnsi="Times New Roman"/>
          <w:i w:val="1"/>
          <w:sz w:val="28"/>
          <w:szCs w:val="28"/>
          <w:rtl w:val="0"/>
        </w:rPr>
        <w:t xml:space="preserve"> </w:t>
      </w:r>
      <w:r w:rsidDel="00000000" w:rsidR="00000000" w:rsidRPr="00000000">
        <w:rPr>
          <w:rFonts w:ascii="Times New Roman" w:cs="Times New Roman" w:eastAsia="Times New Roman" w:hAnsi="Times New Roman"/>
          <w:sz w:val="28"/>
          <w:szCs w:val="28"/>
          <w:rtl w:val="0"/>
        </w:rPr>
        <w:t xml:space="preserve">визнaчaються склaдністю тa бaгaтогрaнністю регіональних груп тиску. Серед зaгaльнонaуковиx методів у дослідженні використовувaвся логічний метод, що дозволив виділити логічні структурні чaстини тa змістовні склaдові понять тa термінів, які досліджуються у роботі і є основою для визнaчень тa узaгaльнень. </w:t>
      </w:r>
    </w:p>
    <w:p w:rsidR="00000000" w:rsidDel="00000000" w:rsidP="00000000" w:rsidRDefault="00000000" w:rsidRPr="00000000" w14:paraId="0000005D">
      <w:pPr>
        <w:spacing w:after="0" w:line="360" w:lineRule="auto"/>
        <w:ind w:right="-143"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Крім того, теоретико-методологічнa основa роботи бaзується нa використанні системного підxоду, який дозволив дослідити роль та місце регіональних груп тиску в політичних процесах.</w:t>
      </w:r>
    </w:p>
    <w:p w:rsidR="00000000" w:rsidDel="00000000" w:rsidP="00000000" w:rsidRDefault="00000000" w:rsidRPr="00000000" w14:paraId="0000005E">
      <w:pPr>
        <w:spacing w:after="0" w:line="360" w:lineRule="auto"/>
        <w:ind w:right="-143"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Інституційний метод дозволив виявити основні структурні та інституційні форми діяльності та просування інтересів регіональних груп тиску в політиці.</w:t>
      </w:r>
    </w:p>
    <w:p w:rsidR="00000000" w:rsidDel="00000000" w:rsidP="00000000" w:rsidRDefault="00000000" w:rsidRPr="00000000" w14:paraId="0000005F">
      <w:pPr>
        <w:spacing w:after="0" w:line="360" w:lineRule="auto"/>
        <w:ind w:right="-143"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Структурно-функціонaльний метод застосовувався при розгляді меxaнізму узгодження інтересів регіональних груп тиску як на національному так і регіональному рівнях функціонування політики.</w:t>
      </w:r>
    </w:p>
    <w:p w:rsidR="00000000" w:rsidDel="00000000" w:rsidP="00000000" w:rsidRDefault="00000000" w:rsidRPr="00000000" w14:paraId="00000060">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b w:val="1"/>
          <w:sz w:val="28"/>
          <w:szCs w:val="28"/>
          <w:rtl w:val="0"/>
        </w:rPr>
        <w:t xml:space="preserve">Структура кваліфікаційного дослідження. </w:t>
      </w:r>
      <w:r w:rsidDel="00000000" w:rsidR="00000000" w:rsidRPr="00000000">
        <w:rPr>
          <w:rFonts w:ascii="Times New Roman" w:cs="Times New Roman" w:eastAsia="Times New Roman" w:hAnsi="Times New Roman"/>
          <w:sz w:val="28"/>
          <w:szCs w:val="28"/>
          <w:rtl w:val="0"/>
        </w:rPr>
        <w:t xml:space="preserve">Робота складається з вступу, восьми підрозділів, що об’єднані в три розділи, висновків до кожного розділу, загальних висновків та списку літератури.</w:t>
      </w:r>
    </w:p>
    <w:p w:rsidR="00000000" w:rsidDel="00000000" w:rsidP="00000000" w:rsidRDefault="00000000" w:rsidRPr="00000000" w14:paraId="00000061">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Перший розділ присвячений теоретичним засадам аналізу груп тиску в політиці. Зокрема в розділі проаналізовано еволюція та сучасний стан теорії груп інтересів в політиці. Здійснено дослідження статусу груп тиску в політичному процесі та їх види. Достатню увагу приділено лобізму як особливій формі діяльності груп тиску в політиці.</w:t>
      </w:r>
    </w:p>
    <w:p w:rsidR="00000000" w:rsidDel="00000000" w:rsidP="00000000" w:rsidRDefault="00000000" w:rsidRPr="00000000" w14:paraId="00000062">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 другому розділі дослідження сконцентровано увагу на регіоналізмі в Україні як чинника формування регіональних груп тиску у вітчизняній політиці. А саме, акцентовано увагу на особливостях вітчизняного регіоналізму та його впливі на трансформацію політичної системи. Також загострено увагу на ретроспективному аналізі партійних стратегій врегулювання представництва регіональних груп інтересів в Україні.</w:t>
      </w:r>
    </w:p>
    <w:p w:rsidR="00000000" w:rsidDel="00000000" w:rsidP="00000000" w:rsidRDefault="00000000" w:rsidRPr="00000000" w14:paraId="00000063">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Третій розділ присвячений дослідженню регіональних груп впливу в Україні та стратегіям узгодження їх інтересів. Зокрема, проаналізовано регіональні групи впливу та їх роль у регіональній та національній політиці в сучасній Україні. Здійснено аналіз децентралізація як стратегія узгодження інтересів національних еліт та регіональних груп впливу. Окрему увагу приділено інституту двопалатного парламенту як можливому механізму представництва інтересів регіональних груп тиску на національному рівні, що дозволить ефективніше узгоджувати їх.</w:t>
      </w:r>
    </w:p>
    <w:p w:rsidR="00000000" w:rsidDel="00000000" w:rsidP="00000000" w:rsidRDefault="00000000" w:rsidRPr="00000000" w14:paraId="00000064">
      <w:pPr>
        <w:spacing w:after="0" w:line="360" w:lineRule="auto"/>
        <w:ind w:firstLine="567"/>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використаних джерел нараховує 50 найменувань. Загальний обсяг роботи – 102 сторінки.</w:t>
      </w:r>
    </w:p>
    <w:p w:rsidR="00000000" w:rsidDel="00000000" w:rsidP="00000000" w:rsidRDefault="00000000" w:rsidRPr="00000000" w14:paraId="00000065">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6">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7">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8">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9">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A">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B">
      <w:pPr>
        <w:spacing w:after="0"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6C">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І. ТЕОРЕТИЧНІ ЗАСАДИ АНАЛІЗУ ГРУП ТИСКУ В ПОЛІТИЦІ </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240" w:lineRule="auto"/>
        <w:ind w:left="1287" w:right="0" w:hanging="72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Еволюція та сучасний стан теорії груп інтересів в політиці</w:t>
      </w:r>
    </w:p>
    <w:p w:rsidR="00000000" w:rsidDel="00000000" w:rsidP="00000000" w:rsidRDefault="00000000" w:rsidRPr="00000000" w14:paraId="000000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Прийнято вважати, що груповий підхід, який дав методологічне обґрунтування теорії плюралізму, розвинувся у працях А. Бентлі, Д. Трумена і Р. Даля, ставши критичною відповіддю як на класовий, так і на елітистський аналіз. Представників групового підходу об'єднує думка, згідно з якою в суспільстві існує безліч каналів вираження групових інтересів, які постійно вступають один з одним у конфлікт і конкурентні відносини за право доступу до центрів ухвалення рішень. </w:t>
      </w:r>
    </w:p>
    <w:p w:rsidR="00000000" w:rsidDel="00000000" w:rsidP="00000000" w:rsidRDefault="00000000" w:rsidRPr="00000000" w14:paraId="000000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Імовірність того, що одна й та сама група інтересів домагатиметься перемоги щоразу, зводиться до мінімуму, і ця точка зору стала головним аргументом проти концепції монополізації влади елітною групою. Зокрема, Д. Рісмен заперечував існування єдиної владної групи або правлячого класу (які для нього були синонімами) і стверджував, що «у суспільстві є безліч груп з різними інтересами»[32].</w:t>
      </w:r>
    </w:p>
    <w:p w:rsidR="00000000" w:rsidDel="00000000" w:rsidP="00000000" w:rsidRDefault="00000000" w:rsidRPr="00000000" w14:paraId="000000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Структура політичної стратифікації в такому разі є дисперсною, стає практично неможливо виявити загальні тенденції в процесі артикуляції інтересів, а питання доступу до владних ресурсів перетворюється на серію окремих питань щодо впливу розрізнених груп інтересів, які можна вивчати лише методами кейс-стадіуму. Тому вкрай низькою є ймовірність того, що в суспільстві утвориться владна еліта (правлячий клас), яка володіє владою на постійній основі.</w:t>
      </w:r>
    </w:p>
    <w:p w:rsidR="00000000" w:rsidDel="00000000" w:rsidP="00000000" w:rsidRDefault="00000000" w:rsidRPr="00000000" w14:paraId="000000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якщо уважніше подивитися на еволюцію та особливості теорії груп інтересів, то з'ясується, що ця школа зовсім не є однорідною. Початковий опис групового інтересу в політиці можна простежити в працях одного з батьків-засновників Сполучених Штатів Дж. Медісона. Насамперед ідеться про класичну статтю №10 "Записок Федераліста", у якій Медісон попереджав громадськість про небезпеку виникнення в молодій республіці групових інтересів (крамоли), що могли б стати противагою суспільному благу. Груповий інтерес, на думку Медісона, є можливістю диктату умов, що може вилитися в тиранію більшості, яка підточує державний конституційний лад. Незважаючи на те що Медісон спочатку говорив про групові інтереси в негативному світлі, вбачаючи в них джерело прямої демократії (загрозливій противазі республіканським ідеям федералістів), саме він поставив перші теоретичні рамки, які в XX ст. перетворилися на те, що сьогодні називається груповим підходом у політиці [8].</w:t>
      </w:r>
    </w:p>
    <w:p w:rsidR="00000000" w:rsidDel="00000000" w:rsidP="00000000" w:rsidRDefault="00000000" w:rsidRPr="00000000" w14:paraId="000000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Хоча основоположником групового підходу вважається А. Бентлі, проте його книжка "Процес управління", що вийшла друком у 1908 р., набула поширення в науковому співтоваристві набагато пізніше, завдяки іншому політологу - Д. Трумену. Праця Бентлі з'явилася в той момент, коли погляд на політику в США перебував під активним впливом німецької інституціональної школи, згідно з ідеями якої держава і законодавство перебувають в епіцентрі політичних відносин, будучи автономними сферами по відношенню до суспільства. Бентлі ж вважав, що держава перебуває в тісному взаємозв'язку з групами інтересів, які й визначають суть політичного процесу. Що важливо, під інтересами дослідник розумів винятково економічні інтереси, внаслідок чого політика розглядалася ним як сфера протистояння економічних інтересів, у той час як роль державних інститутів зводилася до представництва інтересів груп. [3] </w:t>
      </w:r>
    </w:p>
    <w:p w:rsidR="00000000" w:rsidDel="00000000" w:rsidP="00000000" w:rsidRDefault="00000000" w:rsidRPr="00000000" w14:paraId="000000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не був марксизм, оскільки Бентлі говорив не про класові інтереси, а про економічні інтереси груп, що було абсолютно новим поглядом на політичну та економічну структуру суспільства. Саме той факт, що Бентлі говорив про економічні інтереси, був пізніше переглянутий Труменом у його трактуванні "Процесу управління". Завдяки Трумену груповий підхід досяг апогею свого розвитку в 1950-ті рр. Позиція Трумена була більш поміркованою: він вважав, що природа груп інтересів лежить у політичній і соціальній площинах і не обов'язково має економічне походження. Ключовою для Трумена стала ідея балансу сил між групами інтересів, яка має більше значення для підтримання політичної стабільності, ніж інституційні чинники. При цьому державу Трумен вважав інститутом, за допомогою якого здійснюється розподіл ресурсів влади[48].</w:t>
      </w:r>
    </w:p>
    <w:p w:rsidR="00000000" w:rsidDel="00000000" w:rsidP="00000000" w:rsidRDefault="00000000" w:rsidRPr="00000000" w14:paraId="000000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групи, що конкурують між собою, шукають доступ до центрів ухвалення політичних рішень у своєму прагненні домогтися від держави сприятливого для себе розподілу ресурсів. Груповий підхід став у 1950-ті рр. безсумнівним проривом у політичній теорії, проте вже в 1960-ті рр. на зміну йому приходить теорія політичного плюралізму, головним представником якої став Р. Даль [33].</w:t>
      </w:r>
    </w:p>
    <w:p w:rsidR="00000000" w:rsidDel="00000000" w:rsidP="00000000" w:rsidRDefault="00000000" w:rsidRPr="00000000" w14:paraId="000000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той час як Трумен розвивав теорію груп інтересів, відштовхуючись від праці Бентлі, праця Даля "Хто  править?" стала критичною відповіддю на публікації двох представників елітистського підходу - Ч.Р. Міллса і Ф. Гантера. Під час досліджень владних відносин в Атланті та інших американських містах, що розбурхали соціологічну і політологічну спільноту, Міллс і Гантер дійшли висновку, що у США виникла еліта, що складається з вищих представників адміністрації, великих корпорацій і військової галузі, яка контролює процес ухвалення рішень. </w:t>
      </w:r>
    </w:p>
    <w:p w:rsidR="00000000" w:rsidDel="00000000" w:rsidP="00000000" w:rsidRDefault="00000000" w:rsidRPr="00000000" w14:paraId="000000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Пізніше Міллс екстраполював концепцію владної еліти в містах на загальнофедеральний рівень. Даль у відповідь провів дослідження в місті Нью-Гейвен, дійшовши протилежної думки: владної еліти в США немає, а ухвалення політичних рішень відбувається виходячи з урахування плюралізму суспільних інтересів. Тут важливо підкреслити, що Даль говорить про плюралізм інтересів, а не про групи інтересів як такі. Отже, той факт, що багато авторів, зокрема й в Україні, відносять його до школи груп інтересів, є методологічною та семантичною неточністю. Адже у цьому випадку плюралізм не дорівнює діяльності груп інтересів, а тому Бентлі та Трумен не є плюралістами в далівській інтерпретації. Слід розмежовувати поняття теорії груп інтересів і ширшого групового підходу в політиці, який включає в себе першу. Звісно, Даль говорив про важливу роль груп інтересів у громадянському суспільстві, проте центральне місце в його теорії посідають не вони, а політичні партії та конкурентні вибори між ними, які й визначають вектори процесу ухвалення рішень. Теорія Даля відіграє набагато більшу роль у розвитку широкої концепції децентралізованої ліберальної демократії, що набула поширення у США в 1960-1970- ті рр., ніж у розвитку теорії груп інтересів.</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ціннісного погляду плюралізм виходить із видозміненої ідеї лібералізму про "невидиму руку ринку" А. Сміта, згідно з якою сукупність виробників, що переслідують свої власні інтереси і конкурують один з одним, ефективно реалізує інтереси всього суспільства. Точно так само і сукупність конкуруючих партій і груп інтересів призводить до постійної стабілізації всього суспільного ладу. Однак теорія плюралізму не дає прямої відповіді на запитання, чому в суспільстві виникає нерівність щодо влади та ресурсів, якщо враховувати, що кожен громадянин може відстояти свій інтерес через входження до тієї чи іншої групи інтересів? Така суперечність пов'язана з тим, що Даль ніколи не ставив перед собою завдання проаналізувати природу економічних відносин та економічні інтереси. Насправді не всі громадяни  мають можливість артикуляції власних інтересів, проте Даль намагався створити таку модель демократії, в якій суспільне благо розглядалося б опосередковано - через плюралістичну систему представництва інтересів. </w:t>
      </w:r>
    </w:p>
    <w:p w:rsidR="00000000" w:rsidDel="00000000" w:rsidP="00000000" w:rsidRDefault="00000000" w:rsidRPr="00000000" w14:paraId="000000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Справжню суть теорії плюралізму найлаконічніше охарактеризував американський історик і політолог У. Браунлі: "Плюралісти прагнуть підкреслити, якою мірою інтереси середнього класу превалюють у політичному процесі"[30]. Іншими словами, плюралісти прагнуть показати, що провідною силою в американській політиці є саме великий та інтегрований у політичну систему середній клас, а не вищий клас і не владна еліта.</w:t>
      </w:r>
    </w:p>
    <w:p w:rsidR="00000000" w:rsidDel="00000000" w:rsidP="00000000" w:rsidRDefault="00000000" w:rsidRPr="00000000" w14:paraId="0000007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погляду американської системи цінностей тут простежується зв'язок плюралізму з джефферсонівською ідеєю демократії, згідно з якою всі громадяни мають володіти рівними політичними можливостями, що почасти була противагою ліберальному республіканізму А. Гамільтона, який обстоював ідеї вільного ринку і цінності laissez-faire. У цьому сенсі Даль, безсумнівно, є представником традиції Т. Джеффа Ферсона і пізнішого Медісона, який за кілька років після критики групових інтересів у "Записках Федераліста" став прихильником партійної системи, стверджуючи, що "в будь-якому політичному суспільстві партії неминучі". Такий розворот у поглядах Медісона сам Даль вважав неминучим за умов розвитку вільного американського суспільства і визнавав Медісона першим справжнім плюралістом [50]. </w:t>
      </w:r>
    </w:p>
    <w:p w:rsidR="00000000" w:rsidDel="00000000" w:rsidP="00000000" w:rsidRDefault="00000000" w:rsidRPr="00000000" w14:paraId="000000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плюралізм Даля виходить із того, що в суспільстві існують універсальні закони представництва інтересів і що кожен член суспільства вільний делегувати представнику громадської організації чи партії свій інтерес, у чому й полягає вільна воля громадян. Усі ці інтереси, за висловом Даля, формують поліархічну систему, в якій інтереси соціуму реалізуються за допомогою усередненого прийнятного (satisfactory) рівня репрезентації. Інакше кажучи, плюралізм передбачає рівність інтересів і є відносно еґалітарним поглядом на політичну структуру, а дослідження нерівних відносин з приводу влади заміщується поняттям політичної конкуренції між великими групами, насамперед партіями. Такий погляд справив і продовжує справляти значний вплив на дослідників демократії в усьому світі, включно з Дж. Сарторі, Д. Растоу, Р. Патнемом та ін.</w:t>
      </w:r>
    </w:p>
    <w:p w:rsidR="00000000" w:rsidDel="00000000" w:rsidP="00000000" w:rsidRDefault="00000000" w:rsidRPr="00000000" w14:paraId="000000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поширення теорії плюралізму в 1960-1970-ті рр. викликало виток критики прихильників "реальної політики" (realpolitik), що породило новий погляд на аналіз владних відносин, який дістав узагальнюючу назву елітного плюралізму або множинності еліт. У рамках цього  підходу починає зароджуватися не тільки новий погляд на групи інтересів, а й уперше отримують розвиток методи вивчення лобізму як особливої сфери і технології політики. </w:t>
      </w:r>
    </w:p>
    <w:p w:rsidR="00000000" w:rsidDel="00000000" w:rsidP="00000000" w:rsidRDefault="00000000" w:rsidRPr="00000000" w14:paraId="000000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Першим представником цього підходу є М. Олсон, автор концепції колективної дії, який піддав фундаментальній критиці теорію плюралізму Даля. М.Олсон розглядав політичні відносини з погляду економічного раціоналізму, стверджуючи, що середньостатистичні громадяни не зацікавлені в тому, щоб брати участь у просуванні групового інтересу, оскільки група досягне або не досягне ефективного результату і без їхньої участі. "Великі або латентні групи не мають мотивації діяти для забезпечення колективного блага", оскільки в індивіда немає причин брати на себе частину витрат за добування цього блага. "Тільки персональний "селективний" мотив може спонукати раціонального індивіда діяти в інтересах групи"6 . Якщо лобі групи інтересів досягає успіху у своєму впливі на центри ухвалення рішень, то бенефіціарами виступають усі члени соціальної спільноти, від імені якої воно виступає. Олсон наводить приклад із регулюванням мита на ввезення цукру: звичайний споживач не буде своєю участю і будь-якими ресурсами підтримувати групу тиску виробників цукру, тому що завдання зниження кінцевої ціни, що його розв'язують лобісти, у будь- якому разі зачепить широкі верстви населення [41].</w:t>
      </w:r>
    </w:p>
    <w:p w:rsidR="00000000" w:rsidDel="00000000" w:rsidP="00000000" w:rsidRDefault="00000000" w:rsidRPr="00000000" w14:paraId="000000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як реальні групи тиску виступають ті лобі, які представляють інтереси невеликої кількості бенефіціарів (приватних компаній, виробників, промисловців тощо). При цьому що більша група інтересів (бенефіціарів), то їй складніше організуватися. Звідси випливає логіка колективної дії Олсона: у процесі ухвалення рішень меншість перемагає більшість. У такому політичному просторі немає місця усередненому представництву, а процес ухвалення політичних рішень побудований навколо спеціалізованих інтересів (special interests), кожен з яких має чітку структуру, функцію і мету. Поняття спеціалізованих інтересів за змістом і сутністю є найближчим до того, що сьогодні прийнято розуміти під інтересом у лобістських відносинах.</w:t>
      </w:r>
    </w:p>
    <w:p w:rsidR="00000000" w:rsidDel="00000000" w:rsidP="00000000" w:rsidRDefault="00000000" w:rsidRPr="00000000" w14:paraId="000000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Теорія елітного плюралізму дістала продовження у впливових у 1970-ті рр. дослідників Т. Лоуї та Е. Шаттшнайдера, які були в різний час президентами Американської асоціації  політичних наук. Згідно з Лоуї, структура й особливості діяльності груп інтересів, які ведуть боротьбу за ухвалення рішень на свою користь, залежать від масштабу завдань, що стоять перед ними. Сам процес ухвалення рішень Лоуї розділив на три сфери: регулювання взаємовідносин між бізнесом і найманими працівниками, розподіл економічних ресурсів між різними верствами суспільства і так звану дистрибутивну політику (distributive politics), в якій як основний ресурс виступають спеціальні субсидії, замовлення, проєкти, гранти, а  як монопольний розподільник цих ресурсів – держава [39].</w:t>
      </w:r>
    </w:p>
    <w:p w:rsidR="00000000" w:rsidDel="00000000" w:rsidP="00000000" w:rsidRDefault="00000000" w:rsidRPr="00000000" w14:paraId="000000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Лоуї, у 1930-ті рр. американська політична система пережила якісну трансформацію: у процесі ухвалення рішень починають поступово домінувати ліберальні (в економічному сенсі) групи інтересів, які потребують гнучкішого підходу до законодавства та послаблення контролю над ним з боку держави. У підсумку в США склалася така структура влади, в рамках якої різні сфери та рівні ухвалення рішень (галузі промисловості, фінансові сектори, соціальні питання, розподіл державних коштів тощо) стали відповідати певним групам інтересів, які й почали визначати політичний ландшафт і справляти вирішальний вплив на партійну систему. Лоуї  був одним із перших дослідників, який методологічно обґрунтував вплив груп тиску не тільки на рівні законодавчої, а й адміністративної влади. Хоча з правового погляду лобізм у виконавчій гілці влади був визнаний лише в 1995 р.[39].</w:t>
      </w:r>
    </w:p>
    <w:p w:rsidR="00000000" w:rsidDel="00000000" w:rsidP="00000000" w:rsidRDefault="00000000" w:rsidRPr="00000000" w14:paraId="000000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Колега Лоуї, Е. Шаттшнайдер, у своїх міркуваннях пішов далі: він показав, що групи інтересів у США за своєю суттю є нерепрезентативними, оскільки виражають інтереси тільки вищого класу. Зрештою це може становити небезпеку для політичної системи та економіки, на підтвердження чого Шаттшнайдер наводить приклад із законом Смута-Хоулі 1930 р., який було ухвалено під тиском груп інтересів від промисловості. В умовах фінансової кризи, намагаючись створити тарифну амортизацію для власної індустрії, американські промисловці налаштували проти себе всіх провідних зарубіжних партнерів, що призвело до посилення депресії. Єдиною противагою владі груп інтересів, на думку Шаттшнайдера, може слугувати партійна система, котра, з одного боку, залежить від діяльності цих груп, з іншого - має виступати як обмежувач їхньої влади [45].</w:t>
      </w:r>
    </w:p>
    <w:p w:rsidR="00000000" w:rsidDel="00000000" w:rsidP="00000000" w:rsidRDefault="00000000" w:rsidRPr="00000000" w14:paraId="0000008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Завдяки працям Олсона, Лоуї та Шаттшнайдера американська теорія груп інтересів зазнала цікавої метаморфози, створивши емпіричне підтвердження окремим постулатам теорії владних еліт - теорії, яка з часів Даля перебувала в однозначній опозиції до групового підходу. Це підштовхнуло представників елітистського підходу до перегляду низки положень власної теорії. Зокрема, В. Домхофф вважав, що елітисти ніколи не стверджували, ніби наявні групи інтересів обстоюють інтереси винятково вищого класу. Але ступінь впливу конкретних лобістських груп, що представляють інтереси вищого класу, значно вищий, ніж ступінь впливу аналогічних груп, що представляють інтереси середнього класу. Домхофф стверджує, що лобістські групи є політичними суб'єктами, що виникають на короткочасний відрізок часу з волі класу великих власників і покликані обстоювати інтереси цього класу в органах державної влади, а також в органах місцевого самоврядування, державної влади [34]. </w:t>
      </w:r>
    </w:p>
    <w:p w:rsidR="00000000" w:rsidDel="00000000" w:rsidP="00000000" w:rsidRDefault="00000000" w:rsidRPr="00000000" w14:paraId="0000008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емпіричному рівні вплив груп тиску вимірюється кількістю досягнутих ними "виграшів". "Виграш" групи тиску відбувається в тому разі, коли члени політичного класу ухвалюють рішення на користь цієї групи або відкидають пропозиції інших груп тиску, чиї інтереси вступають у конфлікт з інтересами вищого економічного класу (чи з групами тиску, що представляють його інтереси). Таким чином, ця модель не заперечує існування плюралізму лобістських груп, які обстоюють інтереси різних сеґментів суспільства, проте перевагу в цьому процесі завжди отримуватимуть групи тиску, що обстоюють інтереси великого бізнесу.</w:t>
      </w:r>
    </w:p>
    <w:p w:rsidR="00000000" w:rsidDel="00000000" w:rsidP="00000000" w:rsidRDefault="00000000" w:rsidRPr="00000000" w14:paraId="0000008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Постійні емпіричні дослідження, вивчення процесу ухвалення рішень призвело до того, що позиції елітистів і плюралістів помітно зблизилися: перші більше не заперечували можливість середнього класу обстоювати свої інтереси, а другі - вірогідність того, що представники будь-якого сегмента суспільства, зокрема й вищого класу, отримують доступ до центрів ухвалення рішень. Тут, звісно, напрошується порівняння американської та української політичної системи, однак у цьому разі воно не зовсім коректне. У той час як існування в Україні вищого класу не викликає сумнівів, по-справжньому сильний середній клас поки що не утворився. </w:t>
      </w:r>
    </w:p>
    <w:p w:rsidR="00000000" w:rsidDel="00000000" w:rsidP="00000000" w:rsidRDefault="00000000" w:rsidRPr="00000000" w14:paraId="0000008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США основою середнього класу, який, згідно з У. Томпсоном і Дж. Хікі, становить 48% населення, є малий і середній бізнес. Лише підприємств малого бізнесу в США 27 млн, які виробляють 50% американського ВВП (12 трлн дол.). 17% населення США є керівниками власних приватних підприємств. При цьому, коли йдеться про захист своїх інтересів, то представникам спільноти малого бізнесу часто не потрібна приватна допомога в галузі права або PR, оскільки їхні інтереси обстоює один "колективний лобіст і юрист" - Адміністрація малого бізнесу (US Small business administration), що має значний вплив у Конгресі [47].</w:t>
      </w:r>
    </w:p>
    <w:p w:rsidR="00000000" w:rsidDel="00000000" w:rsidP="00000000" w:rsidRDefault="00000000" w:rsidRPr="00000000" w14:paraId="000000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цим згодні й інструменталісти, які стверджують, що вищий клас при обстоюванні своїх інтересів прагне опертися на виконавчу гілку влади (мається на увазі насамперед уряд та адміністрація президента), тоді як у Конгресі його вплив значно нижчий. Певний ступінь впливу середнього класу, таким чином, забезпечується особливостями самої політичної системи, бо, згідно з американським законодавством, 23% держзамовлень неодмінно мають діставатися підприємствам малого бізнесу. Як видно, американські плюралісти спираються у своїх дослідженнях на реальні цифри, які підтверджують, що існування громадянського суспільства з опорою на чисельний середній клас, що утворюється довкола підприємств малого та середнього бізнесу, вносить суттєві корективи в структуру владних відносин. Тому найважливішою функцією держави і правлячої еліти стає реґулювання інтересів різних верств населення, оскільки від їхньої діяльності залежить економічний добробут суспільства, стабільність усієї політичної системи, а відтак і стабільність самої еліти. [38, 40, 43].</w:t>
      </w:r>
    </w:p>
    <w:p w:rsidR="00000000" w:rsidDel="00000000" w:rsidP="00000000" w:rsidRDefault="00000000" w:rsidRPr="00000000" w14:paraId="000000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американських академічних колах теорія елітизму і теорія плюралізму, фактично переставши заперечувати одна одну, у 1980- ті й 1990-ті рр. остаточно злилися в єдиний напрям, що  дістав назву неоплюралізму, представниками якого стали Дж. Беррі, К. Боссо, П. Сабатьє, Г. Дженкінс-Сміт, Дж. Вокер та багато інших. Було б хибно говорити, що цей напрям перекреслив елітизм або далевську теорію плюралізму: обидві продовжили існування, почасти переживши друге народження завдяки перехідним режимам у Східній Європі, Азії та Латинській Америці, які йдуть своїм шляхом становлення владних структур, почасти зберігши свій вплив у лівих колах американо- канського наукового середовища й інтеліґенції (теорія владної еліти в поєднанні з елементами марксизму) і в правому консервативно-ліберальному секторі (теорія демократичного плюралізму) [38, 40, 43].</w:t>
      </w:r>
    </w:p>
    <w:p w:rsidR="00000000" w:rsidDel="00000000" w:rsidP="00000000" w:rsidRDefault="00000000" w:rsidRPr="00000000" w14:paraId="000000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саме неоплюралісти створили на сьогодні найпереконливішу емпіричну базу, яка дала їм змогу окреслити матрицю американського процесу ухвалення рішень і виявити значну частину його суб'єктів. Цю матрицю в загальному вигляді можна уявити у вигляді сотень, а, можливо, з огляду на реґіональний рівень, і тисяч сфер ухвалення рішень, з яких частина є полем конкурентної боротьби між різними групами і класами (верствами), а частина - прерогативою винятково груп інтересів еліти. Існують такі сфери, наприклад, у військовій або космічній промисловості, які повністю контролюються об'єднаною коаліцією груп інтересів великого бізнесу і держави.</w:t>
      </w:r>
    </w:p>
    <w:p w:rsidR="00000000" w:rsidDel="00000000" w:rsidP="00000000" w:rsidRDefault="00000000" w:rsidRPr="00000000" w14:paraId="000000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Неоплюралізм, активно розвиваючись донині, допомагає не тільки найдокладніше описати структуру процесу ухвалення рішень і взаємодію груп інтересів, а й дати відповіді на деякі запитання, які тривалий час були без відповіді. Наприклад, чому, незважаючи на логіку колективної дії та малу репрезентативність груп інтересів, на політичній арені завжди присутні громадські групи з великою кількістю членів, тобто громадські асоціативні об'єднання, на кшталт асоціацій пенсіонерів, екологічних об'єднань, асоціацій за права людини та ін.? </w:t>
      </w:r>
    </w:p>
    <w:p w:rsidR="00000000" w:rsidDel="00000000" w:rsidP="00000000" w:rsidRDefault="00000000" w:rsidRPr="00000000" w14:paraId="000000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Поворотною в цьому плані стала концепція цільових мереж (issue net-works) американського дослідника Х. Хекло, що з'явилася наприкінці 1970-х рр., яка дала початок новій субкатегорії в рамках неоплюралізму - політичним мережам. Мережевий підхід сьогодні найчастіше застосовується для вивчення процесу ухвалення рішень і дає змогу якнайповніше виявити зв'язки між різними групами інтересів. Гекло припустив, а потім емпірично довів, що в різних сферах ухвалення рішень з одного або кількох суміжних питань діють неформальні альянси між економічними та адміністративними елітами, групами інтересів, державними організаціями та приватними компаніями з метою вплинути на ухвалення конкретних рішень[38, 40, 43].</w:t>
      </w:r>
    </w:p>
    <w:p w:rsidR="00000000" w:rsidDel="00000000" w:rsidP="00000000" w:rsidRDefault="00000000" w:rsidRPr="00000000" w14:paraId="000000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відміну від залізних трикутників лобізму, в яких ідеться про взаємодію груп інтересів, виконавчої та законодавчої гілок влади, цільові мережі набагато складніші за своєю структурою, оскільки вони вирішують свої завдання не тільки в рамках вузької міжелітної комунікації, а й активно впливають на громадську думку. Цільові мережі зазвичай виникають у тих випадках, коли треба створити довгострокове суспільне й аналітичне тло для здійснення своєї політики, і в цьому вони відрізняються від одноцільових груп тиску, які виникають на короткий проміжок часу, щоб вплинути на конкретних осіб і центри ухвалення рішень. При цьому цільові мережі, безсумнівно, включають у себе групи тиску як безпосередній інструмент політичного впливу. Сабатьє і Дженкінс-Сміт під час дослідження екологічних асоціацій у Західних штатах дійшли висновку, що такі мережі можуть діяти протягом багатьох років і навіть десятиліть, як це було на початку 1990-х рр. у Каліфорнії, де групи екологів були найсерйознішим інструментом політичного впливу, фактором, що стримує місцевих забудовників [43].</w:t>
      </w:r>
    </w:p>
    <w:p w:rsidR="00000000" w:rsidDel="00000000" w:rsidP="00000000" w:rsidRDefault="00000000" w:rsidRPr="00000000" w14:paraId="000000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словами одного з провідних сучасних представників мережевого підходу Р. Роудса: «основним завданням цільової мережі є створення полі- тичної спільноти, яка відповідала б певним вимогам: обмежена кількість учасників; постійна та якісна взаємодія між усіма членами цієї спільноти з питань, які зачіпають процес ухвалення рішень; спільність цілей, цінностей, ідеологічних поглядів, необхідних для підтримання політичної єдності; ієрархічна структура мережі, яка стратифікується» [42].</w:t>
      </w:r>
    </w:p>
    <w:p w:rsidR="00000000" w:rsidDel="00000000" w:rsidP="00000000" w:rsidRDefault="00000000" w:rsidRPr="00000000" w14:paraId="000000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Ієрархічна структура мереж була, своєю чергою, вивчена Дж. Вокером, який показав, що на вершині мережевої піраміди зазвичай існують так звані патрони, котрі володіють ресурсами для утворення груп інтересів і, ширше, - групової мережі. Причому як такі патрони можуть виступати не тільки приватні компанії та особи, а й державні організації, такі, як Американська торговельна палата, Круглий стіл бізнесу, Федерація американських фермерів, Національна стрілецька асоціація тощо. Під  час  досліджень Вокера було, наприклад, виявлено, що Американська асоціація пенсіонерів була створена на кошти приватної страхової компанії Colonial Penn. [49].</w:t>
      </w:r>
    </w:p>
    <w:p w:rsidR="00000000" w:rsidDel="00000000" w:rsidP="00000000" w:rsidRDefault="00000000" w:rsidRPr="00000000" w14:paraId="000000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Сьогодні в умовах зміни механізмів формування громадської думки та інформаційних технологій структура цільових мереж також зазнає змін. Зокрема, групи інтересів дедалі більше уваги приділяють створенню аналітичних центрів, що займаються досконалими дослідженнями сфери ухвалення рішень. Це може стосуватися як окремих питань міського планування, так і стратегічних завдань національного та міжнародного рівня. Приміром, низка найбільших корпорацій, серед яких значаться Facebook, Microsoft, AT&amp;T, Glaxo Smith Kline, Time Warner, Philip Morris тощо, створили Державну політичну мережу (State policy network) - об'єднання з 64 аналітичних центрів, що покриває всі американські штати. Завданнями цієї цільової мережі є опрацювання та дослідження таких питань: скорочення податків, приватизація системи освіти, плюси й мінуси регулювання забруднення довкілля, права найманих працівників тощо. Ця мережа відповідає й ідеологічному принципу мережі, оскільки всі центри позиціонують себе як провідники ідеї вільного ринку. [36].</w:t>
      </w:r>
    </w:p>
    <w:p w:rsidR="00000000" w:rsidDel="00000000" w:rsidP="00000000" w:rsidRDefault="00000000" w:rsidRPr="00000000" w14:paraId="000000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2">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1287" w:right="0" w:hanging="72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Статус груп тиску в політичному процесі та їх види</w:t>
      </w:r>
    </w:p>
    <w:p w:rsidR="00000000" w:rsidDel="00000000" w:rsidP="00000000" w:rsidRDefault="00000000" w:rsidRPr="00000000" w14:paraId="000000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287" w:right="0" w:firstLine="0"/>
        <w:jc w:val="left"/>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Економічна політика влади в процесі політичної модернізації має ґрунтуватися на балансі інтересів усіх соціальних груп. Тут слід також враховувати, що політична поведінка індивідів зумовлюється соціальними інтересами. Держава тому виробляє свій курс, пов'язаний із компромісом, який влаштовує більшість громадян та їхніх груп. Водночас державна влада має бути організована так, щоб не потрапити під вплив якоїсь однієї групи інтересів, інакше їй не вдасться виконати роль неупередженого "арбітра" протиборчих різноманітних інтересів.</w:t>
      </w:r>
    </w:p>
    <w:p w:rsidR="00000000" w:rsidDel="00000000" w:rsidP="00000000" w:rsidRDefault="00000000" w:rsidRPr="00000000" w14:paraId="000000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Кожна людина може реалізувати свій інтерес, будучи членом якоїсь групи. Її індивідуальний інтерес не завжди тотожний інтересу групи. Інтереси суспільства, групи і людини можуть і не збігтися. Розв'язання цієї проблеми - не в проголошенні пріоритету тих чи інших інтересів, а в тому, щоб їх гарантувати. Самому індивідові, різним соціальним групам треба усвідомити політичні інтереси. Про це свідчить процес подальшого формування і вдосконалення багатопартійної системи, зокрема і в Україні. Політика відображає інтереси різних верств, груп, їхню спрямованість до владних можливостей задовольняти ці інтереси.</w:t>
      </w:r>
    </w:p>
    <w:p w:rsidR="00000000" w:rsidDel="00000000" w:rsidP="00000000" w:rsidRDefault="00000000" w:rsidRPr="00000000" w14:paraId="000000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політичний процес виступає як результат додавання і взаємодії субпроцесів мікро-, мезо- і макрорівня, як результат впливу груп інтересів усіх рівнів на органи влади. Це призводить до ухвалення таких рішень, у яких ураховуються центральні, регіональні та локальні інтереси.</w:t>
      </w:r>
    </w:p>
    <w:p w:rsidR="00000000" w:rsidDel="00000000" w:rsidP="00000000" w:rsidRDefault="00000000" w:rsidRPr="00000000" w14:paraId="000000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Зміст політичного процесу може бути різним. Він може бути пов'язаний із реформою політичної системи, формуванням громадської думки з проблеми, що зачіпає інтереси суспільства і влади, проведенням виборів президента країни, депутатів різного рівня, розробленням конкретної концепції розвитку країни, регіону тощо. Для надання демократичної спрямованості політичному процесу в нашій країні необхідне дотримання певних принципів. </w:t>
      </w:r>
    </w:p>
    <w:p w:rsidR="00000000" w:rsidDel="00000000" w:rsidP="00000000" w:rsidRDefault="00000000" w:rsidRPr="00000000" w14:paraId="000000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 політичний процес має діяти і розвиватися відповідно до правил і процедур, які непідконтрольні одній людині, навіть наймогутнішій, з огляду на це, політичні лідери не мають визначати правила, за якими вони гратимуть. </w:t>
      </w:r>
    </w:p>
    <w:p w:rsidR="00000000" w:rsidDel="00000000" w:rsidP="00000000" w:rsidRDefault="00000000" w:rsidRPr="00000000" w14:paraId="000000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реальність, конфлікти, що їх породжує епоха, не мають диктувати процес творення політичної системи, не мають знаходити свого негайного розв'язання в той момент, коли створюється нова демократична держава. Тому що прагнення примирити інтереси всіх учасників політичної гри на стадії створення нової конституції загрожує майбутніми</w:t>
      </w: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конфліктами, природу яких неможливо передбачити повністю.</w:t>
      </w:r>
    </w:p>
    <w:p w:rsidR="00000000" w:rsidDel="00000000" w:rsidP="00000000" w:rsidRDefault="00000000" w:rsidRPr="00000000" w14:paraId="000000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Особливе місце серед різних груп інтересів належить групам тиску. Термін «групи тиску» (press groups) уперше з'явився у США приблизно в середині 20-х рр. XX століття, а перші дослідження діяльності цих об'єднань датуються 1928-1929 рр. (Е. Сайт, П. Хер- ринг, X. Чаялд). Спочатку характеристика груп тиску була пов'язана зі специфічними способами виконання ними своїх функцій. Як зазначає Р.-Ж. Шварценберг, їх розглядали як організації, створені для захисту інтересів і чинення тиску на громадську владу з метою домогтися ухвалення таких рішень, які відповідали їхнім інтересам. Неабиякою мірою таке розуміння зберігається в певних колах західної науки й донині. Як зазначено в американській енциклопедії, групи тиску - це "певна кількість індивідів, які намагаються чинити тиск на уряд для досягнення своїх цілей" [46].</w:t>
      </w:r>
    </w:p>
    <w:p w:rsidR="00000000" w:rsidDel="00000000" w:rsidP="00000000" w:rsidRDefault="00000000" w:rsidRPr="00000000" w14:paraId="000000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Описуючи діяльність цих асоціацій, науковці оперували різними поняттями, зокрема, "потенційні групи", "офіційні особи", "лобі", "угруповання інтересів обов'язкового характеру", "перерозподільні </w:t>
        <w:tab/>
        <w:t xml:space="preserve">асоціації", групи впливу тощо, виокремлювали різні грані та аспекти їхньої діяльності. Роботи Д. Трумена показали, що жодна з цих груп не може повністю підпорядкувати собі уряд. У дослідженнях М. Олсона особлива увага приділяється можливості індивідуального тиску на уряд, а в працях Р. Салісбері вказано на роль політичного організатора групи, оскільки "саме він зобов'язаний ухвалювати рішення в разі зміни ситуації... Він розпоряджається капіталом, спрямовує його на надання послуг членам групи" [44]. Тим самим визначальним чинником виконання групою тиску своїх функцій було визнано її організатора.</w:t>
      </w:r>
    </w:p>
    <w:p w:rsidR="00000000" w:rsidDel="00000000" w:rsidP="00000000" w:rsidRDefault="00000000" w:rsidRPr="00000000" w14:paraId="000000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Поступово роль і значення цієї різновидності груп інтересів стали досліджуватися більш поглиблено, тиск почали інтерпретувати як форму діяльності, але не її головну ознаку. Досвід показав, що групи тиску посідають таке становище в суспільстві та його окремих сферах, за якого їх так чи інакше зачіпають ухвалювані в державі рішення, через що вони просто зобов'язані включатися в управління. </w:t>
      </w:r>
    </w:p>
    <w:p w:rsidR="00000000" w:rsidDel="00000000" w:rsidP="00000000" w:rsidRDefault="00000000" w:rsidRPr="00000000" w14:paraId="000000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Понад те, ці групи фактично володіють важливими ресурсами, і тому нерідко через їхню діяльність формальні підстави влади приводяться у відповідність із владою фактичною. Не випадково Р. Даль говорив, що аналіз їхньої діяльності допомагає розкрити справжні центри влади в суспільстві. Тож діяльність цих груп - це не просто тиск на владу згори, збоку або знизу, а механізм ієрархічного узгодження рішень, перерозподілу влади шляхом укладання угод між бюрократією і небагатьма привілейованими групами. Як підкреслює С. Фаєр, асоціації такого роду прагнуть здійснити цілеспрямований вплив на політичний процес, але при цьому не претендують на пряму участь в управлінні державою. Тим самим вони уникають будь-якої політичної відповідальності за свої дії. Відмовляючись від претензій на вищу політичну владу, вони весь свій вплив зосереджують на вирішенні конкретних господарських питань на рівні управлінні державою. Причому, якщо інші групи інтересів можуть пред'являти вимоги одна до одної, то групи тиску роблять це тільки по відношенню до органів влади.</w:t>
      </w:r>
    </w:p>
    <w:p w:rsidR="00000000" w:rsidDel="00000000" w:rsidP="00000000" w:rsidRDefault="00000000" w:rsidRPr="00000000" w14:paraId="000000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особливостей дій груп тиску можна зарахувати й те, що вони активні, здебільшого, тільки у сфері ухвалення виконавчих або законодавчих рішень. З огляду на це їх відрізняє нечисленність контактів із масами, зв'язок лише зі специфічними, а не загальними інтересами, вужчий набір засобів, що застосовуються в політичній грі, менш публічна діяльність. Такі ж форми діяльності, як добір кандидатів на майбутні вибори, видання засобів масової інформації, створення фондів підтримки кандидатів тощо, є радше винятком ніж правилом їхніх взаємовідносин із суспільством і владою.</w:t>
      </w:r>
    </w:p>
    <w:p w:rsidR="00000000" w:rsidDel="00000000" w:rsidP="00000000" w:rsidRDefault="00000000" w:rsidRPr="00000000" w14:paraId="000000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зазначити, що не всяка група інтересів є групою тиску і не всяка група, яка впливає на владу, є групою тиску. Для групи тиску характерні такі ознаки, як оформлена організаційна структура, захист власних інтересів, існування її як автономного центру ухвалення рішень, здійснення групою ефективного тиску.</w:t>
      </w:r>
    </w:p>
    <w:p w:rsidR="00000000" w:rsidDel="00000000" w:rsidP="00000000" w:rsidRDefault="00000000" w:rsidRPr="00000000" w14:paraId="000000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Учені Алмонд і Пауелл виокремлювали чотири групи тиску за ступенем їхньої організованості та спеціалізації:</w:t>
      </w:r>
    </w:p>
    <w:p w:rsidR="00000000" w:rsidDel="00000000" w:rsidP="00000000" w:rsidRDefault="00000000" w:rsidRPr="00000000" w14:paraId="000000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 асоціативні групи інтересів добровільних організацій, що спеціалізуються на вираженні інтересів таких організацій: підприємницьких спілок, профспілок, релігійних та етнічних асоціацій громадян;</w:t>
      </w:r>
    </w:p>
    <w:p w:rsidR="00000000" w:rsidDel="00000000" w:rsidP="00000000" w:rsidRDefault="00000000" w:rsidRPr="00000000" w14:paraId="000000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 інституціональні групи інтересів, що представляють інтереси формальних організацій (партій, адміністрації, церкви, армії), наділених, окрім вираження інтересів, й іншими функціями (наприклад, керівний орган політичної партії);</w:t>
      </w:r>
    </w:p>
    <w:p w:rsidR="00000000" w:rsidDel="00000000" w:rsidP="00000000" w:rsidRDefault="00000000" w:rsidRPr="00000000" w14:paraId="000000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tab/>
        <w:t xml:space="preserve"> неасоціативні групи інтересів, які об'єднують інтереси неформальних і ненасильницьких угруповань (нанаприклад, тих, що складаються на основі віри,</w:t>
        <w:tab/>
        <w:t xml:space="preserve">родинних зв'язків), що характеризуються</w:t>
        <w:tab/>
        <w:t xml:space="preserve"> відсутністю безперервності існування та організованості);</w:t>
      </w:r>
    </w:p>
    <w:p w:rsidR="00000000" w:rsidDel="00000000" w:rsidP="00000000" w:rsidRDefault="00000000" w:rsidRPr="00000000" w14:paraId="000000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спонтанні групи інтересів, які відображають стихійні, ефемерні інтереси; часто вони орієнтовані на інтереси, пов'язані з насильством [31].</w:t>
      </w:r>
    </w:p>
    <w:p w:rsidR="00000000" w:rsidDel="00000000" w:rsidP="00000000" w:rsidRDefault="00000000" w:rsidRPr="00000000" w14:paraId="000000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спрямованістю і формами впливу на владу вони різні. Типологія груп тиску може мати різні підстави: </w:t>
      </w:r>
    </w:p>
    <w:p w:rsidR="00000000" w:rsidDel="00000000" w:rsidP="00000000" w:rsidRDefault="00000000" w:rsidRPr="00000000" w14:paraId="000000A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масштабом і значущістю інтересів; </w:t>
      </w:r>
    </w:p>
    <w:p w:rsidR="00000000" w:rsidDel="00000000" w:rsidP="00000000" w:rsidRDefault="00000000" w:rsidRPr="00000000" w14:paraId="000000A7">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типом носія (приватні та громадські групи); </w:t>
      </w:r>
    </w:p>
    <w:p w:rsidR="00000000" w:rsidDel="00000000" w:rsidP="00000000" w:rsidRDefault="00000000" w:rsidRPr="00000000" w14:paraId="000000A8">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927"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 цілями діяльності тощо.</w:t>
      </w:r>
    </w:p>
    <w:p w:rsidR="00000000" w:rsidDel="00000000" w:rsidP="00000000" w:rsidRDefault="00000000" w:rsidRPr="00000000" w14:paraId="000000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основні форми і способи розв'язання своїх завдань групи тиску використовують поради, рекомендації, консультації для відповідальних осіб та органів управління, допомогу політикам і управлінцям у складанні промов, сприяння їм у виконанні рішень, забезпечення зв'язку з пресою, фінансування політичних груп, роботу в депутатських комісіях, виступів на слуханнях, неофіційних контактах, інспірування листів і телеграм (підтримки чи протесту), контроль за законами в умовах співробітництва з адмініструванням і т. ін. </w:t>
      </w:r>
    </w:p>
    <w:p w:rsidR="00000000" w:rsidDel="00000000" w:rsidP="00000000" w:rsidRDefault="00000000" w:rsidRPr="00000000" w14:paraId="000000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до їхнього арсеналу входять шантаж, надання відповідальним особам незаконних послуг, погрози, підкуп, фінансова підтримка нелегальних об'єднань, контроль за особистим життям політсили з метою збору компромату тощо. (причому ці методи особливо впливають на вперше обраних депутатів).</w:t>
      </w:r>
    </w:p>
    <w:p w:rsidR="00000000" w:rsidDel="00000000" w:rsidP="00000000" w:rsidRDefault="00000000" w:rsidRPr="00000000" w14:paraId="000000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Переважними способами лобіювання є скоріше негласні, ніж публічні та легальні за характером взаємні домовленості й угоди між групами за інтересами, особисті зв'язки з високопосадовцями, підкуп осіб, від яких залежить ухвалення необхідних рішень. Меншою мірою використовують такий спосіб лобіювання, як публічне обговорення назрілих проблем, формування громадської думки.</w:t>
      </w:r>
    </w:p>
    <w:p w:rsidR="00000000" w:rsidDel="00000000" w:rsidP="00000000" w:rsidRDefault="00000000" w:rsidRPr="00000000" w14:paraId="000000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різноманітних видів груп тиску можна виокремити, наприклад, групи:</w:t>
      </w:r>
    </w:p>
    <w:p w:rsidR="00000000" w:rsidDel="00000000" w:rsidP="00000000" w:rsidRDefault="00000000" w:rsidRPr="00000000" w14:paraId="000000AD">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"прямого входження", що віддають перевагу чинити тиск на владні структури за допомогою окремих представників бізнесу; </w:t>
      </w:r>
    </w:p>
    <w:p w:rsidR="00000000" w:rsidDel="00000000" w:rsidP="00000000" w:rsidRDefault="00000000" w:rsidRPr="00000000" w14:paraId="000000AE">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"коридорний лобізм", що означає наявність "своїх людей" в органах влади (підкуплених чиновників); </w:t>
      </w:r>
    </w:p>
    <w:p w:rsidR="00000000" w:rsidDel="00000000" w:rsidP="00000000" w:rsidRDefault="00000000" w:rsidRPr="00000000" w14:paraId="000000AF">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"корпоративний лобізм", що виражає різні форми (поєднання) зрощення представників виконавчої влади та бізнесу; </w:t>
      </w:r>
    </w:p>
    <w:p w:rsidR="00000000" w:rsidDel="00000000" w:rsidP="00000000" w:rsidRDefault="00000000" w:rsidRPr="00000000" w14:paraId="000000B0">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"просунуті групи", що частково перебирають на себе розв'язання суто політичних проблем; </w:t>
      </w:r>
    </w:p>
    <w:p w:rsidR="00000000" w:rsidDel="00000000" w:rsidP="00000000" w:rsidRDefault="00000000" w:rsidRPr="00000000" w14:paraId="000000B1">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"кластери зв'язків", що являють собою угруповання, побудовані на неформальних зв'язках; </w:t>
      </w:r>
    </w:p>
    <w:p w:rsidR="00000000" w:rsidDel="00000000" w:rsidP="00000000" w:rsidRDefault="00000000" w:rsidRPr="00000000" w14:paraId="000000B2">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"парантелли", що базуються на кланових або родинних зв'язках;  </w:t>
      </w:r>
    </w:p>
    <w:p w:rsidR="00000000" w:rsidDel="00000000" w:rsidP="00000000" w:rsidRDefault="00000000" w:rsidRPr="00000000" w14:paraId="000000B3">
      <w:pPr>
        <w:keepNext w:val="0"/>
        <w:keepLines w:val="0"/>
        <w:pageBreakBefore w:val="0"/>
        <w:widowControl w:val="1"/>
        <w:numPr>
          <w:ilvl w:val="0"/>
          <w:numId w:val="10"/>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"олігархії", які виражають змикання галузевих еліт і кримінальних груп, та ін. </w:t>
      </w:r>
    </w:p>
    <w:p w:rsidR="00000000" w:rsidDel="00000000" w:rsidP="00000000" w:rsidRDefault="00000000" w:rsidRPr="00000000" w14:paraId="000000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Найвпливовіші групи тиску отримали назву "груп вето" (Д. Рісмен), що означає їхню здатність блокувати або не допускати рішень, які їх не влаштовують.</w:t>
      </w:r>
    </w:p>
    <w:p w:rsidR="00000000" w:rsidDel="00000000" w:rsidP="00000000" w:rsidRDefault="00000000" w:rsidRPr="00000000" w14:paraId="000000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Україні найвпливовішими з політичних та економічних груп тиску є фінансово-промислові групи, які мають прямі виходи на уряд і володіють вагомими засобами масової інформації та комунікації. Їхня взаємодія з урядом і тиск на нього полягає в тому, що за хронічного дефіциту бюджету дохідні його статті значною мірою припадають на частку відрахувань саме від фінансово-промислових груп.</w:t>
      </w:r>
    </w:p>
    <w:p w:rsidR="00000000" w:rsidDel="00000000" w:rsidP="00000000" w:rsidRDefault="00000000" w:rsidRPr="00000000" w14:paraId="000000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слід виокремити регіональні групи тиску (впливу) зокрема дослідники Українського інституту майбутнього зазначають: «Роль і сила РГВ в українському врядуванні і владарюванні обумовлюється низкою чинників аж до особливостей політичної системи країни. Головними серед них є:</w:t>
      </w:r>
    </w:p>
    <w:p w:rsidR="00000000" w:rsidDel="00000000" w:rsidP="00000000" w:rsidRDefault="00000000" w:rsidRPr="00000000" w14:paraId="000000B7">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традиційна слабкість політичних партій, особливо в частині партійного будівництва на регіональному рівні;</w:t>
      </w:r>
    </w:p>
    <w:p w:rsidR="00000000" w:rsidDel="00000000" w:rsidP="00000000" w:rsidRDefault="00000000" w:rsidRPr="00000000" w14:paraId="000000B8">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домінування неформальних практик в представництві інтересів;</w:t>
      </w:r>
    </w:p>
    <w:p w:rsidR="00000000" w:rsidDel="00000000" w:rsidP="00000000" w:rsidRDefault="00000000" w:rsidRPr="00000000" w14:paraId="000000B9">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усталеність клієнт-патрональних відносин як на регіональному рівні, так і в центральній політиці;</w:t>
      </w:r>
    </w:p>
    <w:p w:rsidR="00000000" w:rsidDel="00000000" w:rsidP="00000000" w:rsidRDefault="00000000" w:rsidRPr="00000000" w14:paraId="000000BA">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слабкість інституцій держави, представництва яких на регіональному рівні є об’єктом розподілу впливу, а не інструментом реалізації державної політики;</w:t>
      </w:r>
    </w:p>
    <w:p w:rsidR="00000000" w:rsidDel="00000000" w:rsidP="00000000" w:rsidRDefault="00000000" w:rsidRPr="00000000" w14:paraId="000000B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перенесення внаслідок реформи децентралізації значної частини розподілу ресурсів на локальний рівень.» [7].</w:t>
      </w:r>
    </w:p>
    <w:p w:rsidR="00000000" w:rsidDel="00000000" w:rsidP="00000000" w:rsidRDefault="00000000" w:rsidRPr="00000000" w14:paraId="000000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пріоритет тих чи інших способів діяльності груп тиску визначається ступенем демократичності, відкритості політичної системи, рівнем законодавчого врегулювання. Водночас типові способи взаємовідносин груп інтересів із владою можуть впливати на певні тенденції в розвитку національної державності, а часом і змінювати їх. Так, у низці латиноамериканських держав, в Італії, зокрема і в Україні та деяких інших колишніх республіках СРСР діяльність окремих груп інтересів сприяє наростанню тіньових форм правління, корумпованості державних чиновників, криміналізації сфери ухвалення рішень. У низці інших держав ці політичні інститути, навпаки, роблять сферу державного управління відкритішою для громадськості, зміцнюють свої зв'язки з іншими посередниками між населенням і владою</w:t>
        <w:tab/>
        <w:t xml:space="preserve">(наприклад, у США загальнонаціональні партії являють собою сукупність гібридних асоціацій, груп інтересів громадян, що співпрацюють між собою в процесі виборів у федеральні органи влади).</w:t>
      </w:r>
    </w:p>
    <w:p w:rsidR="00000000" w:rsidDel="00000000" w:rsidP="00000000" w:rsidRDefault="00000000" w:rsidRPr="00000000" w14:paraId="000000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вітчизняних регіональних груп тиску (впливу) дослідники Українського інституту муйбутнього виокремлюють: «виокремити наступні типи РГВ:</w:t>
      </w:r>
    </w:p>
    <w:p w:rsidR="00000000" w:rsidDel="00000000" w:rsidP="00000000" w:rsidRDefault="00000000" w:rsidRPr="00000000" w14:paraId="000000B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власне регіональні – вплив яких поширюється в межах одного регіону-області і які нарощують свій конкурентний потенціал та посилюють позиції саме на цьому рівні;</w:t>
      </w:r>
    </w:p>
    <w:p w:rsidR="00000000" w:rsidDel="00000000" w:rsidP="00000000" w:rsidRDefault="00000000" w:rsidRPr="00000000" w14:paraId="000000B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субрегіональні групи – сформувалися на основі одного із районів області, потім масштабували вплив в межах регіону, можливо, й за його межами, часом інтегруються в загальну регіональну групу в межах стратегії впливу на центральну політику;</w:t>
      </w:r>
    </w:p>
    <w:p w:rsidR="00000000" w:rsidDel="00000000" w:rsidP="00000000" w:rsidRDefault="00000000" w:rsidRPr="00000000" w14:paraId="000000C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«локальні олігархії» – сформовані на основі зростання місцевих бізнесів і поширення їхнього впливу на інші сфери (передусім, політичну), спочатку в межах своїх локальних спільнот, потім і за межі регіону;</w:t>
      </w:r>
    </w:p>
    <w:p w:rsidR="00000000" w:rsidDel="00000000" w:rsidP="00000000" w:rsidRDefault="00000000" w:rsidRPr="00000000" w14:paraId="000000C1">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«варяги» – групи, які сформувалися в інших регіонах, можливо, мали загальноукраїнський потенціал, «зайшли» в регіон, отримали своїх компаньйонів і тепер орієнтовані на перетворення регіону на свій «базовий»; найбільш показовий приклад – «регіональні політики», що реалізуються провідними олігархічними групами». [7].</w:t>
      </w:r>
    </w:p>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показав досвід, виникнення груп тиску в нових галузях може сприяти просуванню суспільства вперед, а діяльність "традиційних" груп - консервувати реформи тощо. Ефективність же діяльності груп тиску залежить від характеру зв'язків між органами виконавчої та законодавчої влади, усталеної правової системи, наявності підтримки в різних гілках влади і фінансовій сфері, а також ЗМІ. Негативні для суспільства наслідки діяльності груп тиску будуть там, де висока бюрократизація влади, відсутнє правове регулювання лобізму, низький ступінь розвитку громадянського суспільства і контролю за елітою, висока економічна залежність ЗМІ від комерційних угруповань.</w:t>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4">
      <w:pPr>
        <w:keepNext w:val="0"/>
        <w:keepLines w:val="0"/>
        <w:pageBreakBefore w:val="0"/>
        <w:widowControl w:val="1"/>
        <w:numPr>
          <w:ilvl w:val="1"/>
          <w:numId w:val="5"/>
        </w:numPr>
        <w:pBdr>
          <w:top w:space="0" w:sz="0" w:val="nil"/>
          <w:left w:space="0" w:sz="0" w:val="nil"/>
          <w:bottom w:space="0" w:sz="0" w:val="nil"/>
          <w:right w:space="0" w:sz="0" w:val="nil"/>
          <w:between w:space="0" w:sz="0" w:val="nil"/>
        </w:pBdr>
        <w:shd w:fill="auto" w:val="clear"/>
        <w:spacing w:after="0" w:before="0" w:line="360" w:lineRule="auto"/>
        <w:ind w:left="1287" w:right="0" w:hanging="720"/>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Лобізм як особлива форма діяльності груп тиску в політиці</w:t>
      </w:r>
    </w:p>
    <w:p w:rsidR="00000000" w:rsidDel="00000000" w:rsidP="00000000" w:rsidRDefault="00000000" w:rsidRPr="00000000" w14:paraId="000000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567" w:right="0" w:firstLine="0"/>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0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Основна мета процесуально-правової політики - це, поза всяким сумнівом, якнайповніше задоволення особистих, суспільних і державних інтересів. З огляду ж на те, що правова політика - це системна, науково обґрунтована діяльність державних і недержавних структур,</w:t>
        <w:tab/>
        <w:t xml:space="preserve">то вона найтісніше переплітається як з механізмом правового регулювання, так і з тим тиском, який різного роду зацікавлені групи намагаються чинити на владу, тобто з лобізмом. </w:t>
      </w:r>
    </w:p>
    <w:p w:rsidR="00000000" w:rsidDel="00000000" w:rsidP="00000000" w:rsidRDefault="00000000" w:rsidRPr="00000000" w14:paraId="000000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маючи свої плюси і мінуси, є природним каналом виходу тієї енергії самоорганізації громадянського суспільства, яку не можна придушити, обмежити штучними бар'єрами у вигляді норм, що заборонили б своєрідний діалог суб'єктів різноманітних правовідносин із владою. Цю енергію потрібно використовувати як на благо суспільства, насамперед, так і самих органів державної влади, чому й покликана сприяти правова політика.</w:t>
      </w:r>
    </w:p>
    <w:p w:rsidR="00000000" w:rsidDel="00000000" w:rsidP="00000000" w:rsidRDefault="00000000" w:rsidRPr="00000000" w14:paraId="000000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Виходячи зі сказаного, вважаємо за доцільне зупинитися на лобізмі як на комплексному явищі, що давно вкоренилося в нашому правовому житті, на його специфіці та функціях. У "Британській енциклопедії" під "лобі" розуміють будь-яку спробу індивіда або групи приватних інтересів впливати на рішення влади; у своєму первісному значенні воно вказує на дії, що коригують результати голосування законодавців, хоча водночас лобі групують і поза законодавчим органом влади. У джерелі підкреслюється, що лобіювання в тій чи іншій формі неминуче в будь-якій політичній системі [35].</w:t>
      </w:r>
    </w:p>
    <w:p w:rsidR="00000000" w:rsidDel="00000000" w:rsidP="00000000" w:rsidRDefault="00000000" w:rsidRPr="00000000" w14:paraId="000000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Вважаємо, що це дійсно так. Будь-яке нормальне функціонування політичної системи передбачає взаємодію різних компонентів, серед яких аж ніяк не останню роль посідають інтереси різних груп населення, способи їхнього відображення і представництва на найвищих рівнях, економічна, духовна, соціальна складові життя суспільства.</w:t>
      </w:r>
    </w:p>
    <w:p w:rsidR="00000000" w:rsidDel="00000000" w:rsidP="00000000" w:rsidRDefault="00000000" w:rsidRPr="00000000" w14:paraId="000000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суспільстві взаємозалежно співіснують індивіди і групи індивідів, які мають різні інтереси, погляди і можливості. Комерційні структури, органи місцевого самоврядування, одержувачі бюджетних коштів та асигнувань, промисловці та представники релігійних конфесій, військові структури та міжнародні організації - це лише невелика частина зацікавлених осіб, які прагнуть відстоювання, представництва своїх інтересів.</w:t>
      </w:r>
    </w:p>
    <w:p w:rsidR="00000000" w:rsidDel="00000000" w:rsidP="00000000" w:rsidRDefault="00000000" w:rsidRPr="00000000" w14:paraId="000000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Держава, враховуючи умови функціонування і життєдіяльності різних категорій суб'єктів, в особі компетентних органів ухвалює ті чи інші рішення. Іноді вони продумані, ефективні, надають свободу діям, розмах. Іноді її обмежують. Рідко політичні, владні рішення влаштовують усіх. У суспільстві багато різнополярних течій, інтересів, які, отримавши пріоритет в одному, втрачають в іншому. У цьому - об'єктивність законів суспільного життя. Але будь-яка зацікавлена хоч у чомусь група осіб хоче бути почутою, хоче, наскільки це можливо, сама визначити свою долю. Тому зазначені суб'єкти, а тепер уже, з огляду на контекст, - лобісти - усіма можливими для них і прийнятними в державі способами прагнуть зробити все, щоб держава звернула на них увагу, а політичні структури зважали на їхні інтереси.</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Тепер, з огляду на сказане, поставимо запитання: хіба можливо досягти ефективного механізму правового регулювання, використати юридичні засоби в досягненні суспільно-корисних цілей без врахування інтересів різних заінтересованих груп, без аналізу розумних і доцільних побажань, що їх надсилають до органів влади суб'єкти правовідносин, без готовності конструктивно співпрацювати з тими, хто пропонує цивілізовані форми взаємодії?</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виконуючи багато функцій, відображаючи все перераховане вище, і може, за належного до нього підходу з боку законодавців, забезпечити належне, повноцінне функціонування всіх юридичних механізмів у правовому просторі держави, високий рівень правової культури під час втілення усвідомлених інтересів у дійсність за допомогою впливу на органи державної влади.</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те, що правова політика являє собою систему пріоритетів у юридичній дійсності, то лобізм, лобістська діяльність, будучи втіленням інтересів, мотивацій найрізноманітніших прошарків суспільства, представників політичних, фінансових кіл, окремих громадян, інколи й самих державних структур та відомств, поза всяким сумнівом, допомагає не лише правильно розставити зазначені пріоритети, а й за належного державного підходу до груп тиску включити до сфери правового регулювання ті суспільні процеси, які є частиною правової системи, а й, за умови належної державної підтримки груп тиску, включити їх у сферу правового регулювання.</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 явище сучасного політико-правового життя, що має на увазі активну діяльність будь-яких зацікавлених осіб (як фізичних, так і юридичних) з обстоювання та представлення своїх інтересів на різних рівнях влади з метою здійснення впливу на ухвалювані рішення.</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Необхідно зазначити, що лобізм і влада, лобізм і політика, лобізм і навіть "найідеальніша" демократія - явища, які не тільки супроводжують одне одного, а й багато в чому "взаємопов'язані". Лобізм - невіддільна риса будь-яких політичних режимів, чи то демократія, чи тоталітаризм, тільки його прояви варіюються від однієї форми до іншої.</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зазначити, що як у науковій літературі, так і в публічних виступах різних політичних діячів проводять паралелі між лобізмом і хабарництвом, корупцією. На наш погляд, робити це можна, інколи й потрібно, щоб побачити специфіку розглядуваного політико-правового явища в конкретний період часу або в окремо взятій країні, але ототожнювати або ставити хоча б на одну чашу терезів ці два поняття не можна. Якщо державні структури вимагають хабарі за" належну реакцію на ту чи іншу ініціативу", то це - корупція, якою, зрозуміло, скористаються лобісти для способу здійснення своїх цілей, який став таким чином можливим. Але не лобізм тут стає і підміняється корупцією, а лобісти використовують метод хабарників, злочинців, і це витісняє сам лобізм як такий, ставлячи політичну, економічну і т. ін. боротьбу на інший рівень, який на порядок нижчий навіть за найвідвертіший лобізм.</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не можна плутати хабарників із лобістами, навіть якщо і ті, й інші переслідують одні й ті самі цілі. Правильно, на наш погляд, вважають багато фахівців, що питання багато в чому полягає не в тому, які позитивні риси вносить лобізм у політичне життя держави за всіх його недоліків, а в тому, як його реалізовуватимуть, зокрема, можливо, і в Україні, і скільки піде часу на перепідготовку наших менталітету і відмову від традиційних неформальних практик впливу у вітчизняному політикумі.</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основних рис лобізму пропонуємо відносити такі:</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tab/>
        <w:t xml:space="preserve">Лобізм пов'язаний із владою. Лобізм - це тиск, "проштовхування" чиїхось інтересів, тому влада - це об'єкт лобі; немає її - і немає місця для лобізму.</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tab/>
        <w:t xml:space="preserve">Лобізм, як правило, має прихований характер і його важко поставити в рамки, впорядкувати.</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tab/>
        <w:t xml:space="preserve">Лобізм "вклинює" елементи випадковості, стихійності в політичні кола, у процес ухвалення тих чи інших рішень.</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tab/>
        <w:t xml:space="preserve">Лобізм - це "посередницьке" політико-правове явище. Лобіст - посередник між впливовими зацікавленими групами, громадськими об'єднаннями та різноманітними організаціями, може представляти інтереси не тільки впливових великих фінансово- промислових угруповань, наприклад, а й індивідуальні інтереси, інтереси будь-яких зацікавлених осіб. У цьому - риса лобізму, що вказує на його універсальність, а відтак, на його атрибутивність соціальним, економічним і політичним процесам.</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tab/>
        <w:t xml:space="preserve">У лобізму завжди є конкретний об'єкт впливу.</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tab/>
        <w:t xml:space="preserve">Лобі може досить істотно видозмінюватися залежно від ситуації, від специфіки методів взаємодії з владою.</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7)</w:t>
        <w:tab/>
        <w:t xml:space="preserve">Лобізм використовує законні форми і методи впливу на владу.</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має основну мету: впливати, використовуючи не заборонені державою засоби, на процес ухвалення державних рішень, на ті органи, що беруть участь у їх ухваленні.</w:t>
      </w:r>
    </w:p>
    <w:p w:rsidR="00000000" w:rsidDel="00000000" w:rsidP="00000000" w:rsidRDefault="00000000" w:rsidRPr="00000000" w14:paraId="000000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 лобізм можна почути найсуперечливіші думки, це політико-правове явище має як безсумнівні плюси, так і негативні риси, які доволі часто проявляють себе. Тому звернемо увагу на його функції, на те, яку роль виконує "цивілізований лобізм" під час досягнення своїх цілей, що він дає суспільству і політичній системі.</w:t>
      </w:r>
    </w:p>
    <w:p w:rsidR="00000000" w:rsidDel="00000000" w:rsidP="00000000" w:rsidRDefault="00000000" w:rsidRPr="00000000" w14:paraId="000000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функцій лобізму слід відзначити функцію представництва інтересів різних груп, об'єднань, осіб у політичній діяльності. Функція представництва пов'язана з тим, що лобізм сприяє виробленню державою правильного курсу, стратегії в ухваленні тих чи інших рішень.</w:t>
      </w:r>
    </w:p>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Важливою, у цьому зв'язку, видається спрямовувальна, коригувальна функція лобізму. Заслуговують на увагу й такі функції, як залучення домінуючих суб'єктів господарювання до участі в політико-правовому житті, посилення самоорганізації громадянського суспільства. Адже лобізм - певною мірою суперник бюрократії. Справедливим буде вважати, що суспільна підтримка або опозиція якомусь законопроєкту ефективно мобілізується в рамках лобізму. Крім сказаного, лобізм надає більшої злободенності, актуальності та соціальної значущості рішенням, ухвалюваним владою.</w:t>
      </w:r>
    </w:p>
    <w:p w:rsidR="00000000" w:rsidDel="00000000" w:rsidP="00000000" w:rsidRDefault="00000000" w:rsidRPr="00000000" w14:paraId="000000D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Підсумовуючи сказане, можна виділити як "плюси", так і "мінуси" лобістської діяльності.</w:t>
      </w:r>
    </w:p>
    <w:p w:rsidR="00000000" w:rsidDel="00000000" w:rsidP="00000000" w:rsidRDefault="00000000" w:rsidRPr="00000000" w14:paraId="000000E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плюсів лобізму віднесемо таке.</w:t>
      </w:r>
    </w:p>
    <w:p w:rsidR="00000000" w:rsidDel="00000000" w:rsidP="00000000" w:rsidRDefault="00000000" w:rsidRPr="00000000" w14:paraId="000000E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впливаючи на управлінські рішення, він змушує "триматися у формі" органи державної влади та управління, у певному сенсі конкурує, змагається з ними, надає їм більшої динаміки та гнучкості. В умовах поділу влади, кожна з гілок може використовувати те чи інше лобі у своїх інтересах.</w:t>
      </w:r>
    </w:p>
    <w:p w:rsidR="00000000" w:rsidDel="00000000" w:rsidP="00000000" w:rsidRDefault="00000000" w:rsidRPr="00000000" w14:paraId="000000E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лобізм виступає інструментом самоорганізації громадянського суспільства, за допомогою якого мобілізується громадська підтримка або опозиція до якогось законопроєкту, здійснюється вплив на політику.</w:t>
      </w:r>
    </w:p>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По-третє, створює можливості для забезпечення інтересів меншості, бо виступає як специфічна форма прояву політичного плюралізму.</w:t>
      </w:r>
    </w:p>
    <w:p w:rsidR="00000000" w:rsidDel="00000000" w:rsidP="00000000" w:rsidRDefault="00000000" w:rsidRPr="00000000" w14:paraId="000000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По-четверте, втілює принцип свободи соціальних недержавних структур: асоціацій, громадських організацій, верств тощо. За допомогою лобіювання вони самі намагаються розв'язувати свої проблеми, володіючи певним вибором шляхів і засобів такого розв'язання.</w:t>
      </w:r>
    </w:p>
    <w:p w:rsidR="00000000" w:rsidDel="00000000" w:rsidP="00000000" w:rsidRDefault="00000000" w:rsidRPr="00000000" w14:paraId="000000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По-п'яте, застосовується як своєрідне соціально-політичне стимулювання, спрямоване на прискорення втілення в життя тих чи інших цілей та інтересів, на спонукання до конкретних дій. За такого підходу лобізм виступає як спосіб активізації будь-яких процесів і явищ у сфері політики.</w:t>
      </w:r>
    </w:p>
    <w:p w:rsidR="00000000" w:rsidDel="00000000" w:rsidP="00000000" w:rsidRDefault="00000000" w:rsidRPr="00000000" w14:paraId="000000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По-шосте, дає змогу розширити інформаційну та організаційну базу ухвалюваних рішень і набагато переконливіше звернути увагу на певні "кричущі" проблеми. Лобісти забезпечують органи державної влади потоком інформації з того чи іншого питання.</w:t>
      </w:r>
    </w:p>
    <w:p w:rsidR="00000000" w:rsidDel="00000000" w:rsidP="00000000" w:rsidRDefault="00000000" w:rsidRPr="00000000" w14:paraId="000000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По-сьоме, лобізм можна оцінювати і як ширший засіб досягнення компромісу, спосіб взаємного врівноваження і примирення між собою різноманітних інтересів.</w:t>
      </w:r>
    </w:p>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Разом з тим, у лобізму є і цілком очевидні "мінуси".</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він може стати інструментом пріоритетного задоволення іноземних інтересів на шкоду інтересам державним, що мало місце в українській практиці. Наслідки лобіювання інтересів правлячих кіл Російської Федерації в Україні через діяльність політичних партій, груп тиску сьогодні стали вже відкритою загрозою нашій державності.</w:t>
      </w:r>
    </w:p>
    <w:p w:rsidR="00000000" w:rsidDel="00000000" w:rsidP="00000000" w:rsidRDefault="00000000" w:rsidRPr="00000000" w14:paraId="000000E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може слугувати чинником розвитку і захисту відомчості, місцевих інтересів, або кланових, регіоналізму тощо, посилювати крайні форми задоволення не завжди адекватних інтересів, що веде до дисбалансу політичної системи.</w:t>
      </w:r>
    </w:p>
    <w:p w:rsidR="00000000" w:rsidDel="00000000" w:rsidP="00000000" w:rsidRDefault="00000000" w:rsidRPr="00000000" w14:paraId="000000E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По-третє, лобізм приховує у собі чималу небезпеку "розмивання" народовладних підвалин суспільства, перетворення демократичних інститутів на потужний інструмент окремих владних груп.</w:t>
      </w:r>
    </w:p>
    <w:p w:rsidR="00000000" w:rsidDel="00000000" w:rsidP="00000000" w:rsidRDefault="00000000" w:rsidRPr="00000000" w14:paraId="000000E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По-четверте, лобізм часто блокує справді потрібні управлінські рішення, перешкоджає задоволенню суспільно цінних інтересів, супроводжуючи здійснення інтересів чиновницьких.</w:t>
      </w:r>
    </w:p>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По-п'яте, це засіб, який інколи суттєво заважає стабільній та оперативній державній політиці, бо може бути спрямований, наприклад, на постійний перерозподіл бюджету ("перетягування ковдри на себе"), на часту зміну пріоритетів, на посилення позицій однієї гілки влади за одночасного ослаблення іншої тощо.</w:t>
      </w:r>
    </w:p>
    <w:p w:rsidR="00000000" w:rsidDel="00000000" w:rsidP="00000000" w:rsidRDefault="00000000" w:rsidRPr="00000000" w14:paraId="000000E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По-шосте, лобізм може використовуватися і в більш "прозаїчних" цілях - як інструмент збагачення окремих верств, еліт.</w:t>
      </w:r>
    </w:p>
    <w:p w:rsidR="00000000" w:rsidDel="00000000" w:rsidP="00000000" w:rsidRDefault="00000000" w:rsidRPr="00000000" w14:paraId="000000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як і будь-який інший соціальний засіб, може бути використаний як на благо всього суспільства (зрештою, зрозуміло), так і у вузькопартійних, вузькогрупових інтересах. Усе залежить від соціально-економічного, політичного і культурного тла, від низки обставин, які можуть "наділити" лобізм як переважно плюсами, так і мінусами.</w:t>
      </w:r>
    </w:p>
    <w:p w:rsidR="00000000" w:rsidDel="00000000" w:rsidP="00000000" w:rsidRDefault="00000000" w:rsidRPr="00000000" w14:paraId="000000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того, щоб він приносив користь більшою мірою всьому суспільству, потрібні відповідні умови: реальна дія демократичних інститутів і норм, економічна і політична стабільність, свобода засобів масової інформації, стійке громадянське суспільство тощо. Тільки за наявності цього набору чинників розширюються шанси на використання лобізму в суспільних інтересах, він починає "працювати" в загальносоціальних (загальнолюдських) режимах.</w:t>
      </w:r>
    </w:p>
    <w:p w:rsidR="00000000" w:rsidDel="00000000" w:rsidP="00000000" w:rsidRDefault="00000000" w:rsidRPr="00000000" w14:paraId="000000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Форми прояву лобізму - найрізноманітніші. Виходячи з контексту нашого дослідження, зупинимося на лобізмі у правозастосовному процесі, що дасть нам змогу проаналізувати потенціал цього явища як засобу реалізації саме процесуально-правової політики.</w:t>
      </w:r>
    </w:p>
    <w:p w:rsidR="00000000" w:rsidDel="00000000" w:rsidP="00000000" w:rsidRDefault="00000000" w:rsidRPr="00000000" w14:paraId="000000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в сучасному суспільстві існує велике розмаїття правовідносин і правових засобів їх упорядкування (чому правозастосування безпосередньо і покликане сприяти), то лобізм у правозастосовчому процесі також охоплює своїм "впливом" як найрізноманітніші сфери життєдіяльності, так і методи державного регулювання суспільних відносин. Причому специфіка лобізму в зазначеному процесі полягає в тому, що "просуваючи" певні інтереси, групи тиску не створюють "нових правил поведінки", певних правовідносин, що мають розвиватися в конкретному, суворо визначеному руслі, як це має місце в разі лобіювання правотворчого процесу, а впливають на характер утілення вже чинних норм у життя певним чином, що реалізовується в ході лобіювання правотворчого процесу, або "стимулюють" створення того індивідуалізованого акта застосування права, який хоча й має сприяти чинному законодавству, але в той чи інший спосіб може "повернути" розвиток ситуації в потрібне русло.</w:t>
      </w:r>
    </w:p>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Лобіювання у правозастосовчому процесі може відповідати пріоритетам і завданням, які стояли перед групами тиску під час "законодавчого" лобіювання, що не тільки збільшує його ефективність, дає змогу повністю домогтися поставлених цілей, а й свідчить про великий досвід і політико-правові навички лобістів. Крім того, якщо деякі цілі реалізувати не вдалося ні під час вироблення будь-якої юридичної доктрини, ні під час розроблення законопроєкту, ні на стадії його ухвалення (причини цього можуть бути як об'єктивними, серед яких можна назвати і просто "осічки" лобістів, і "несприйнятливість" компетентних державних органів до їхніх доводів, так і суб'єктивними - побоювання бурхливої реакції громадськості в разі повного закріплення пропонованих лобістами позицій у законі, небажання повністю розкривати розроблені плани перед законодавцем),</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ситуація може розвинутися і за сценарієм, зворотним до наведеного. Тобто правозастосовний лобізм може (і, найчастіше, це так і буває) переслідувати цілі, відмінні від цілей лобізму правотворчого. Тоді, здавалося б, звичайний закон, за сукупності певних умов, буде здатний відобразити різні, навіть суперечливі інтереси на різних стадіях реалізації права і правової політики.</w:t>
      </w:r>
    </w:p>
    <w:p w:rsidR="00000000" w:rsidDel="00000000" w:rsidP="00000000" w:rsidRDefault="00000000" w:rsidRPr="00000000" w14:paraId="000000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Незважаючи на те, що "мета застосування права - задоволення не особистих потреб правозастосовників і не тільки потреб осіб, які реалізують права та обов'язки, а потреб інтересів усього суспільства"[29], індивідуалізований характер актів застосування права змушує сумніватися в тому, що лобіювання відстоюватиме загальносоціальні інтереси. Саме через те, що акти застосування права зачіпають конкретні життєві ситуації та стосуються конкретних людей, лобізм у правозастосуванні буде практично завжди суб'єктивним. Інша річ, якщо на основі аналізу дій певних лобістських сил буде зроблено корисний висновок про ті чи інші тенденції в суспільстві - то тут і проявляться соціально- корисні, позитивні сторони лобіювання.</w:t>
      </w:r>
    </w:p>
    <w:p w:rsidR="00000000" w:rsidDel="00000000" w:rsidP="00000000" w:rsidRDefault="00000000" w:rsidRPr="00000000" w14:paraId="000000F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Існує й інша "тонкість" правозастосовчого лобізму. Правозастосовний процес являє собою певний комплекс, який не тільки спрямований на реалізацію норм матеріального права, а й опосередкований нормами процедурно-процесуального права.</w:t>
      </w:r>
    </w:p>
    <w:p w:rsidR="00000000" w:rsidDel="00000000" w:rsidP="00000000" w:rsidRDefault="00000000" w:rsidRPr="00000000" w14:paraId="000000F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лобіюватися можуть і окремі правозастосовчі цикли. Наприклад, під час вирішення кримінальних справ правозастосовчий комплекс складається з низки складних циклів, стадій розгляду, тоді як указ про призначення на посаду або розпорядження про створення будь-якої комісії складається з одного - двох правозастосовчих циклів.</w:t>
      </w:r>
    </w:p>
    <w:p w:rsidR="00000000" w:rsidDel="00000000" w:rsidP="00000000" w:rsidRDefault="00000000" w:rsidRPr="00000000" w14:paraId="000000F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Лобіювання певного циклу залежить від цілей зацікавлених груп. Приміром, якщо лобіюється указ про призначення на посаду, то лобі акцентує увагу, залежно від наявних проблем, або на обов'язковій процедурі узгодження кандидатури, або на виборі потрібної особи з низки претендентів тощо.</w:t>
      </w:r>
    </w:p>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будь-якому разі, акцентуючи увагу на позитивних чи негативних аспектах лобістської діяльності, на які вказували раніше і які повністю проявляють себе і в правозастосовчому процесі, необхідно пам'ятати, що правозастосування, навіть більшою мірою ніж правотворчість, пов'язане з проявом забезпечувальної сили державної влади. Тому тут дуже чітко необхідно окреслити межі впливу лобістів на правозастосовників, щоб не відбулося свого роду маневрування самою державною владою. Тиснути в рамках розумного, в рамках закону, перш за все, на владу можна, найчастіше це просто необхідно, але рішення - з урахуванням "побажань" лобістів або без них - мають ухвалювати суто компетентні органи. Тому необхідно розробити такі "стримування", які б дозволили не підміняти в потрібний час суб'єкта ухвалення рішень.</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Підкреслимо, що чим нижчий рівень влади (національний, регіональний, місцевий), тим відвертішими стають лобістські методи, тим частіше вони мають усі шанси переступити межу законного. Приблизно цю ж тенденцію можна віднести і до форм реалізації правової політики: правотворчості, правоінтерпретації, правозастосування - саме в цій послідовності лобізм має тенденцію до посилення своїх методів, "балансуючи" на межі дозволеного. Що сильніше "індивідуалізовано" акт правозастосування, що меншу кількість осіб він зачіпає, що нижчий рівень в "ієрархії правозастосовника", то менше варіантів організувати нормальну лобістську діяльність із залученням навіть ідеалізованих у проєктах закону про регулювання лобістської діяльності "професійних лобістів", тим менше шансів провести належні заходи, процедури, здатні вплинути на вироблення потрібного рішення. Тим сильніша, зрозуміло, спокуса "обмежитися" не лобізмом у будь-якій формі, а хабарем, шантажем, погрозою та іншими методами. Тому в правозастосуванні як ніде необхідно чітко розрізняти лобізм і протиправний "про-лобізм". Не просто розрізняти, а й уміло захищати правозастосовників від незаконного на них впливу.</w:t>
      </w:r>
    </w:p>
    <w:p w:rsidR="00000000" w:rsidDel="00000000" w:rsidP="00000000" w:rsidRDefault="00000000" w:rsidRPr="00000000" w14:paraId="000000F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Говорячи про лобізм у контексті правової політики та належно розроблених правових механізмів її реалізації, необхідно зазначити, що лобізм у правозастосовчому процесі найбільше зачіпає такі застосовні акти, як акти-регламентатори (виокремлювані за функціональною ознакою правозастосування). Це пов'язано з тим, що останні якраз і визначають суб'єктів конкретних правовідносин і вказують на обсяг їхніх прав та обов'язків, передбачають моменти як виникнення конкретних правовідносин, так і умови їхнього розвитку та припинення.</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Правозабезпечувальні ж акти більше пов'язані з функцією правоохоронної діяльності, де, як уже зазначалося, будь-який тиск порушує суворо визначені процесуальні норми, де, інакше кажучи, не може бути "законного тиску", а будь-який тиск є незаконним. Хоча лобізм і тут може бути настільки серйозним, що навіть судові органи, застосовуючи право, найактивнішим чином опосередковуючи практично весь процес правозастосування, можуть здавати навіть ті позиції, які чітко закріплені в законі.</w:t>
      </w:r>
    </w:p>
    <w:p w:rsidR="00000000" w:rsidDel="00000000" w:rsidP="00000000" w:rsidRDefault="00000000" w:rsidRPr="00000000" w14:paraId="000000F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Особливо сильно лобізм у правозастосовчому процесі проявляється тоді, коли існують юридичні колізії, коли складаються такі ситуації, що одночасно і по-різному регулюються одразу кількома нормами. Тут правозастосовник, навіть не йдучи на "угоду з совістю", може не викручуватись у конструюванні, а точніше - у моделюванні того акту застосування права, що влаштує зацікавлені групи, а лише звернутись до іншої норми, та спираючись вже на неї, наділити сторони правовідносин певними правами та обов'язками.</w:t>
      </w:r>
    </w:p>
    <w:p w:rsidR="00000000" w:rsidDel="00000000" w:rsidP="00000000" w:rsidRDefault="00000000" w:rsidRPr="00000000" w14:paraId="000000F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ж на нашу правову дійсність, коли в багатогалузевому й різнорівневому законодавстві різночитань більш ніж достатньо, лобісти вправно користуються тими "нормативними протиріччями", які вони вправно відшукують і застосовують до ситуації, яка в них склалася. (До речі, згадані колізії також багато в чому "трапляються" внаслідок дії певних груп тиску, коли кожний рівень влади маневрує між об'єктивністю та ситуацією, що склалася, раціональністю, ефективністю та очікуванням певних результатів, необхідністю та прогнозуванням подальшого розвитку подій) [29].</w:t>
      </w:r>
    </w:p>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сказане буде справедливим додати до численних причин юридичних колізій діяльність лобістських сил - як одну з найімовірніших. Виходячи зі сказаного, можна зазначити, що пріоритетами реалізації правової політики України мають стати не тільки висновки з уроків лобіювання у правозастосуванні, а й недопущення підміни розглядуваного конституційно-правового інституту відверто злочинними елементами, що, як уже зазначалося, з великою легкістю може статися саме на стадії правозастосування.</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специфіку лобізму в правозастосовчому процесі, проблеми реалізації правової політики потрібно зупинитися на такому. Механізм правового регулювання держави на шляху досягнення поставлених юридичною доктриною завдань, спирається насамперед на певний набір правових засобів. Правові засоби являють собою правові явища, що виражаються в інструментах (установленнях) і діяннях (технології), за допомогою яких задовольняються інтереси суб'єктів права, забезпечуючи досягнення соціально-корисних цілей.</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Правозастосування ж, будучи однією з форм реалізації права, також є певним набором тих правових засобів, які, захищаючи інтереси конкретних суб'єктів правовідносин за допомогою втілення в акти застосування права, сприяють задоволенню інтересів не лише певних осіб, а й, як уже й ішлося, досягненню соціально-значущих цілей. Правозастосовний процес сприяє захисту не тільки інтересів суб'єктів правовідносин, їх охороні, а й сприяє активнішій їх реалізації. Правові ж засоби виражають собою всі узагальнюючі юридичні способи забезпечення інтересів суб'єктів права, досягнення поставлених цілей (у чому проявляється соціальна цінність цих утворень і загалом права).</w:t>
      </w:r>
    </w:p>
    <w:p w:rsidR="00000000" w:rsidDel="00000000" w:rsidP="00000000" w:rsidRDefault="00000000" w:rsidRPr="00000000" w14:paraId="000001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зазначених аспектах було зроблено навмисний акцент, щоб перейти до наступного важливого висновку. Виходить, лобіювання у правозастосовчому процесі, будучи засобом досягнення певних, нехай навіть багато в чому суб'єктивних інтересів, безпосередньо впливає не тільки на набір правових засобів, за допомогою яких задовольняються і захищаються інтереси суб'єктів права, а й саме має багато спільного із зазначеними засобами.</w:t>
      </w:r>
    </w:p>
    <w:p w:rsidR="00000000" w:rsidDel="00000000" w:rsidP="00000000" w:rsidRDefault="00000000" w:rsidRPr="00000000" w14:paraId="000001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Можна сказати й так, що лобіюючи певну стадію, цикл правозастосування, групи тиску впливають на цілий набір правових засобів, що може позначитися на видозміні характеру самого механізму правового регулювання, покликаного в кожній конкретній сфері юридичної дійсності переслідувати свої завдання. Саме тому необхідно законодавчо закріпити конструкції правового регулювання лобізму, що найпозитивнішим чином позначиться на оптимальності та об'єктивності всієї правової політики. Зрозуміло, що повноцінним правовим засобом, що сприяє реалізації того чи іншого інтересу, лобізм зможе стати тільки після появи відповідного закону, що регулює зазначений вид діяльності, але використовуючи не заборонені способи впливу, зокрема й на правозастосування, лобістські сили можуть до невпізнання змінити окремі елементи втілення права в життя.</w:t>
      </w:r>
    </w:p>
    <w:p w:rsidR="00000000" w:rsidDel="00000000" w:rsidP="00000000" w:rsidRDefault="00000000" w:rsidRPr="00000000" w14:paraId="000001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світлі всього сказаного видно, що в будь-якому разі лобізм певним чином позначається на тому наборі правових засобів, яким характеризується та чи інша стадія правозастосування (лобізм може їх або доповнювати, роблячи адекватнішими, різноріднішими, або вносити не завжди потрібні суб'єктивні підстави).</w:t>
      </w:r>
    </w:p>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Оскільки правові засоби, взяті й розглянуті в певній системі, утворюють механізм правового регулювання, який організовує їх найпослідовніше з метою подолання перешкод, що стоять на шляху задоволення інтересів суб'єктів права, то сама лобістська діяльність, впливаючи опосередковано через правові засоби на механізм правового регулювання, так чи інакше сприяє або утруднює процес подолання зазначених перешкод[29].</w:t>
      </w:r>
    </w:p>
    <w:p w:rsidR="00000000" w:rsidDel="00000000" w:rsidP="00000000" w:rsidRDefault="00000000" w:rsidRPr="00000000" w14:paraId="000001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Акцент на тому, що лобістські сили можуть або полегшити, або, навпаки, ускладнити процес подолання перешкод, було зроблено навмисно з таких причин. Акт застосування права, сприяючи реалізації чиїхось інтересів, як правило, сприяє забезпеченню безперешкодного руху інтересів суб'єктів до цінностей, тобто гарантує їхнє справедливе задоволення, що практично повністю відповідає і цілям механізму правового регулювання. З іншого ж боку, у суспільстві інтереси одного реалізуються так чи інакше зачіпаючи інтереси іншого. Виходить, що в результаті правозастосовчого процесу одна зі сторін правовідносин, нехай навіть у силу її суб'єктивних позицій, буде відчувати себе ущемленою і намагатиметься реалізувати свої інтереси, підключаючи цілу низку інших компетентних органів, що може породити цілу систему правозастосовчих актів, що стосуються одних і тих самих правовідносин.</w:t>
      </w:r>
    </w:p>
    <w:p w:rsidR="00000000" w:rsidDel="00000000" w:rsidP="00000000" w:rsidRDefault="00000000" w:rsidRPr="00000000" w14:paraId="000001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Але найцікавішим є інший бік ситуації, що розглядається перешкоди, які стоять на шляху задоволення інтересів суб'єктів права, можуть створюватися протилежною стороною правовідносин, що лобіює свої інтереси і якій буде невигідне ухвалення акту застосування права в інтересах контрагента або іншого суб'єкта права. Лобісти в певних випадках всіляко тиснутимуть на компетентні органи, намагаючись ускладнити процес реалізації інтересів невигідних їм осіб за допомогою правозастосування. У цьому й полягатиме створення правових перешкод, з якими, в принципі, і покликаний боротися механізм правового регулювання, якщо в процес не втручаються ефективні лобістські угруповання.</w:t>
      </w:r>
    </w:p>
    <w:p w:rsidR="00000000" w:rsidDel="00000000" w:rsidP="00000000" w:rsidRDefault="00000000" w:rsidRPr="00000000" w14:paraId="0000010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Що ж стосується процесу подолання перешкод, то тут зусилля груп тиску і цілі механізму правового регулювання збігаються найчастіше. Відмінність полягає лише в тому, що система закріплених правових засобів з огляду на свою природу об'єктивно покликана усувати перешкоди, які стоять на шляху реалізації законних інтересів суб'єктів правовідносин, а лобістська діяльність, виходячи із суб'єктивних позицій, використовує всі законні засоби, щоб домогтися бажаного[29].</w:t>
      </w:r>
    </w:p>
    <w:p w:rsidR="00000000" w:rsidDel="00000000" w:rsidP="00000000" w:rsidRDefault="00000000" w:rsidRPr="00000000" w14:paraId="0000010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Певна колізія може полягати в тому, що в деяких випадках під "перешкодою" лобісти можуть розуміти встановлені законом певні формальності, процедури тощо, тоді як механізм правового регулювання на них і спирається, через свою природу не маючи змоги ігнорувати будь-що з того, що вже створено в результаті правотворчості, хоч би як цього не хотілося лобістам.</w:t>
      </w:r>
    </w:p>
    <w:p w:rsidR="00000000" w:rsidDel="00000000" w:rsidP="00000000" w:rsidRDefault="00000000" w:rsidRPr="00000000" w14:paraId="000001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сказаного, не можна не враховувати те, що лобістська діяльність може в окремих випадках і прискорити процес усунення перешкод, порівняно з "нормальним функціонуванням правозастосовчого процесу", задіюючи ті механізми, на які і необхідно законодавцям звертати найпильнішу увагу як під час розроблення окремих правових засобів, так і під час процесуального оформлення певних стадій правозастосування[42].</w:t>
      </w:r>
    </w:p>
    <w:p w:rsidR="00000000" w:rsidDel="00000000" w:rsidP="00000000" w:rsidRDefault="00000000" w:rsidRPr="00000000" w14:paraId="000001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очевидно, що немає жодних підстав нівелювати роль лобізму у формуванні та здійсненні ефективної процесуально-правової політики. Вважаємо, що ефективність механізму процесуально-правового регулювання найтіснішим чином взаємопов'язана з реалізацією законних інтересів усіх учасників правовідносин незабороненими засобами і методами, що, як і було показано вище, узагальнюється таким поняттям, як "лобізм". Без цивілізованого лобізму говорити про співіснування інтересів особистості, суспільства і держави - безпідставно.</w:t>
      </w:r>
    </w:p>
    <w:p w:rsidR="00000000" w:rsidDel="00000000" w:rsidP="00000000" w:rsidRDefault="00000000" w:rsidRPr="00000000" w14:paraId="000001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Інтерес - велика сила, що володіє великим, часто "непередбачуваним" потенціалом, "навіть якщо" він і законний. Акти його реалізації, незважаючи на те, що є показником правомірної активності, можуть порушити сформований у системі суспільних відносин баланс особистого, суспільного і державного, що загрожує складними катаклізмами. Саме тому законні інтереси учасників правовідносин потребують пильнішого підходу до питань прогнозування ступеня їхнього впливу на характер поведінки суб'єктів.</w:t>
      </w:r>
    </w:p>
    <w:p w:rsidR="00000000" w:rsidDel="00000000" w:rsidP="00000000" w:rsidRDefault="00000000" w:rsidRPr="00000000" w14:paraId="000001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Окреслені аспекти зумовлюють необхідність проведення правової політики у сфері регулювання лобістської діяльності, що, безумовно, позитивним чином позначиться і на самому характері реалізації законних інтересів.</w:t>
      </w:r>
    </w:p>
    <w:p w:rsidR="00000000" w:rsidDel="00000000" w:rsidP="00000000" w:rsidRDefault="00000000" w:rsidRPr="00000000" w14:paraId="0000010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Необхідність регулювання лобізму впирається в питання про можливість цього. Одного бажання замало. Треба бачити те, на що необхідно впливати, як це зробити, і, найголовніше, як проконтролювати ситуацію, ефективність регулювання, адже лобістська діяльність далеко не завжди лежить на поверхні, і простежити за напрямом зусиль лобістів практично неможливо.</w:t>
      </w:r>
    </w:p>
    <w:p w:rsidR="00000000" w:rsidDel="00000000" w:rsidP="00000000" w:rsidRDefault="00000000" w:rsidRPr="00000000" w14:paraId="0000010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на наш погляд, правильніше й об'єктивніше було б формулювати проблему так: на які процеси потрібно звернути пильнішу увагу, які інститути політичної системи потребують чіткішого законодавчого регулювання, щоб, впливаючи на перелічені об'єкти, можна було впорядкувати лобістську діяльність та встановити пріоритетні напрями її контролю.</w:t>
      </w:r>
    </w:p>
    <w:p w:rsidR="00000000" w:rsidDel="00000000" w:rsidP="00000000" w:rsidRDefault="00000000" w:rsidRPr="00000000" w14:paraId="0000011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Говорячи про засоби і цілі регулювання лобістської діяльності, необхідно торкнутися двох аспектів.</w:t>
      </w:r>
    </w:p>
    <w:p w:rsidR="00000000" w:rsidDel="00000000" w:rsidP="00000000" w:rsidRDefault="00000000" w:rsidRPr="00000000" w14:paraId="000001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Аспект 1: межі правового регулювання. Тут важливо не "перегнути палицю": оскільки лобізм зачіпає багато інститутів громадянського суспільства і правової держави, вплив має мати лише впорядковувальний характер, у жодному разі не зменшуючи обсяг прав, законних інтересів як окремих громадян, так і юридичних осіб, хоч би які фінансові та економічні ресурси мали останні.</w:t>
      </w:r>
    </w:p>
    <w:p w:rsidR="00000000" w:rsidDel="00000000" w:rsidP="00000000" w:rsidRDefault="00000000" w:rsidRPr="00000000" w14:paraId="000001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Аспект 2: "стихійність" лобістської діяльності та питання планування і прогнозування її динаміки. Оскільки усвідомлення інтересу різними зацікавленими особами, групами може носити спонтанний характер, то важливо хоча б передбачити ті зміни в суспільно-політичній, правовій дійсності держави, що можуть спровокувати "активізацію" груп тиску та заздалегідь розставити необхідні пріоритети взаємодії з лобістами.</w:t>
      </w:r>
    </w:p>
    <w:p w:rsidR="00000000" w:rsidDel="00000000" w:rsidP="00000000" w:rsidRDefault="00000000" w:rsidRPr="00000000" w14:paraId="000001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будь-якому разі, щоб ефективно регулювати лобізм та його прояви, оптимізувати вплив лобістських сил на правову політику і правове життя суспільства, необхідно на законодавчому рівні сформувати саму концепцію лобізму, визначити сутнісні ознаки, функції цього інституту, а потім уже говорити про можливі методи його впорядкування.</w:t>
      </w:r>
    </w:p>
    <w:p w:rsidR="00000000" w:rsidDel="00000000" w:rsidP="00000000" w:rsidRDefault="00000000" w:rsidRPr="00000000" w14:paraId="000001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першого розділу</w:t>
      </w:r>
    </w:p>
    <w:p w:rsidR="00000000" w:rsidDel="00000000" w:rsidP="00000000" w:rsidRDefault="00000000" w:rsidRPr="00000000" w14:paraId="0000011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еволюції та сучасного стану теорії груп інтересів у політиці дозволило зробити висновок, що ця теорія є одним із найбільш збалансованих і точних підходів до аналізу політичної структури та процесів ухвалення рішень. Сучасні парадигми, що виникли наприкінці ХХ століття, свідчать про те, що теорія групових інтересів не включає елітизму та навіть окремих аспектів марксизму. Водночас важливо відзначити, що своїм корінням ця теорія сягає США, де й набула сучасний рис, хоча сьогодні її застосовують у дослідженнях по всьому світу. Політичні структури й процеси ухвалення рішень відрізняються залежно від систем, кожна система має власні соціальні, політичні та економічні ієрархії. Відтак, для аналізу політичної структури України варто перш за все зрозуміти її історичний розвиток, принципи функціонування та розподіл ролі між основними політичними суб’єктами.</w:t>
      </w:r>
    </w:p>
    <w:p w:rsidR="00000000" w:rsidDel="00000000" w:rsidP="00000000" w:rsidRDefault="00000000" w:rsidRPr="00000000" w14:paraId="0000011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Групи тиску в політиці розглядають як організації, які захищають власні інтереси та чинять вплив на органи влади для досягнення вигідних для них рішень. Це розуміння зберігається в західній науці й досі. У своїх дослідженнях науковці вибирають різноманітні терміни, такі як "потенційні групи", "лобі", "групи інтересів", а також виокремлюють різні аспекти їх діяльності. У вітчизняній літературі часто застосовують термін "групи впливу". Групи тиску поділяються на кілька видів: прямі групи, коридорний та корпоративний лобізм, кластери зв'язків, «парантелли» (утворені на основі кланових чи групових зв'язків), а також олігархічні. Найвпливовіші групи під тиском отримали назву "група вето", оскільки вони здатні блокувати ухвалення рішень, які відповідають їхнім інтересам.</w:t>
      </w:r>
    </w:p>
    <w:p w:rsidR="00000000" w:rsidDel="00000000" w:rsidP="00000000" w:rsidRDefault="00000000" w:rsidRPr="00000000" w14:paraId="000001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Україні найбільший вплив мають фінансово-промислові групи, які мають прямі зв'язки з урядом, контролюють медіа та канали комунікації. Також виокремлюються регіональні групи тиску, що впливають на зумовленість слабкістю партійних структур на місцях, розповсюдженням неформальних механізмів представництва та переважанням клієнтарно-патримоніальних практик як на регіональному, так і на національному рівнях. Інституційна слабкість держави також посилює роль таких груп.</w:t>
      </w:r>
    </w:p>
    <w:p w:rsidR="00000000" w:rsidDel="00000000" w:rsidP="00000000" w:rsidRDefault="00000000" w:rsidRPr="00000000" w14:paraId="000001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регіональних груп тиску можна виділити: регіональні групи, субрегіональні групи, «місцеві олігархії», «варяги».</w:t>
      </w:r>
    </w:p>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Лобізм є особливою формою діяльності групового тиску, спрямованою на вплив на органи влади з посадовими рішеннями, які представляють інтереси цієї групи. У своєму первинному значенні лобізм означає спроби впливу на законодавців, хоча сьогодні він також бере участь у позапарламентській діяльності. Нормальне функціонування політичної системи неможливо без взаємодії її компонентів, серед яких групи тиску впливають на важливу роль, що представляє інтереси населення, зокрема регіональних спільнот, на найвищому рівні.</w:t>
      </w:r>
    </w:p>
    <w:p w:rsidR="00000000" w:rsidDel="00000000" w:rsidP="00000000" w:rsidRDefault="00000000" w:rsidRPr="00000000" w14:paraId="000001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лобізм – це явище сучасного політичного життя, яке передбачає активну діяльність індивідів та організацій із представлення своїх інтересів на різних рівнях влади з наданням впливу на ухвалення рішень.</w:t>
      </w:r>
    </w:p>
    <w:p w:rsidR="00000000" w:rsidDel="00000000" w:rsidP="00000000" w:rsidRDefault="00000000" w:rsidRPr="00000000" w14:paraId="000001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1E">
      <w:pPr>
        <w:ind w:firstLine="567"/>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ІІ. РЕГІОНАЛІЗМ В УКРАЇНІ ЯК ЧИННИК ФОРМУВАННЯ РЕГІОНАЛЬНИ ГРУП ТИСКУ (ВПЛИВУ)</w:t>
      </w:r>
    </w:p>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1">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2.1. Особливості регіоналізму в Україні як чинника трансформації політичної системи</w:t>
      </w:r>
    </w:p>
    <w:p w:rsidR="00000000" w:rsidDel="00000000" w:rsidP="00000000" w:rsidRDefault="00000000" w:rsidRPr="00000000" w14:paraId="000001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Українська нацiоналiстична думка рефлексувала проблему збирання через концепт «соборної України», проте, формування територій України в iсторичнiй ретроспективі носив характер не стільки «збирання земель», скільки їх «відбирання». Над проблемою працювали гравці, які приєднували українські землі до власних територій. По суті, терени сучасної України на початок національного проектування являли ряд периферій династiйних імперій та національних держав, що на той момент ствердилися. Об'єднання периферії внутрiшнiми зусиллями було надскладним завданням. Тим більше, не існувало сили, яка б могла таке завдання вирішити. Можливим це стало тоді, коли СРСР як наступник Російської імперії, подолав опір i претензії Туреччини, Австро-Угорщини, Румунії, Чехословаччини i Польщі та відібрав в них землі, щоб приєднати до радянського територіального образу України.</w:t>
      </w:r>
    </w:p>
    <w:p w:rsidR="00000000" w:rsidDel="00000000" w:rsidP="00000000" w:rsidRDefault="00000000" w:rsidRPr="00000000" w14:paraId="000001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СРСР, створений у 1922 р., мав за мету формування «нової історичної спільноти», створення гомогенного культурного простору, що обумовило виникнення федеративної моделі за етно-нацiональними критеріями. Ігнорування взаємозв’язку між етнічними та політико-адміністративними кордонами, та формою державного устрою призвело до «квазіфедеративності» . Українські культурні кордони за цих обставин пережили інтенсивне «вирівнювання» на кордоні, який при цьому був i зовнiшнiм кордоном радянської держави. Нинiшнi кордони України, а відтак і її обрії є продуктом дiяльностi зовнiшньополiтичної дії імперського типу.</w:t>
      </w:r>
    </w:p>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Згодом, соціально-політичні процеси, наслідком і, одночасно, стимулом яких став розпад СРСР, обумовили трансформацію «просторового образу» територій держав, зовнішньополітичних стратегій, концепцій національної безпеки, визначення й обґрунтування політико-правового статусу, морфології і функцій прикордоння. Для України першочерговим постало питання відтворення державності в межах існуючих політичних кордонів. [2]</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Концептуальна асиметрія у визначенні перспектив розвитку адміністративно-територіального устрою України є результатом сформованих диспропорцій у розвитку регіонів. Електоральний розкол, який виявився в Україні, не коректно пояснювати суто історичною спадщиною.</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Він набув своїх рис в останнє два десятиліття української політичної історії. Український регіоналізм здебільшого спровокований електоральною політикою сьогодення та політичними гаслами багатьох партій. Адже найпростішою формулою накопичення «електорального капіталу» є гра на регіональних, культурних, мовних, конфесійних відмінностях між окремими частинами держави, направлена на конфронтацію електорату різних регіонів.</w:t>
      </w:r>
    </w:p>
    <w:p w:rsidR="00000000" w:rsidDel="00000000" w:rsidP="00000000" w:rsidRDefault="00000000" w:rsidRPr="00000000" w14:paraId="0000012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парламентські вибори 2006, 2007 та місцеві 2010 років електоральний розкол та загострення міжрегіональних (мовних, міжконфесійних) протиріч є не наслідком історії, а результатом кризи моделі реінтеграції - тобто моделі підтримання рівноваги між інтеграційними та дезінтеграційними, центрострімкими та відцентровими процесами, що розгортаються в державі, нації та соціумі. Криза реінтеграції це не лише криза зовнішньополітичного визначення країни в умовах глобалізації, це внутрішня криза вибору стратегії як зовнішньої орієнтації, так і внутрішньої геополітики. Проте жодна з партій не намагається вирішити проблему регіонального розколу. Більш того простежується чітка поляризація головних гасел партій стосовно болючих питань українського сьогодення [12].</w:t>
      </w:r>
    </w:p>
    <w:p w:rsidR="00000000" w:rsidDel="00000000" w:rsidP="00000000" w:rsidRDefault="00000000" w:rsidRPr="00000000" w14:paraId="0000012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такій ситуації регіональні еліти і партії через які каналізувались інтереси місцевих еліт розпочали парад проголошень своїх президентів і автономій. Зокрема 28 листопада 2004 року в Сєверодонецьку Луганської області розпочав роботу так званий Всеукраїнський  з’їзд  місцевого самоврядування, який прийняв рішення 12 грудня 2004 року провести референдум про створення Південно-Східної республіки у випадку не визнання Віктора Федоровича Януковича Президентом України. Дещо раніше міські ради Львова, Тернополя, Вінниці та міська і обласна рада Івано-Франківська самоствердили перемогу Ющенка. З цього моменту партії незалежно від їх соціальних та економічних програм (переважно без особливих відмінностей) розділились не за класичною моделлю поділу, а в двох напрямках Схід та Захід»[10]. Так наприклад Соціалістична Партія України досить добре порозумілася з правими партіями, будучи при цьому партією лівого крила. Як наслідок на парламентських виборах 2006 року здобула підтримку у Хмельницькій, Рівненській, Вінницькій, Житомирській та Волинській області, зберігаючи частку свого електорату у своєму традиційному центральному та північному регіонах, зазнавши втрати в східних регіонах України. Взагалі парламентські вибори 2006 року продемонстрували регіональність важковаговиків партійної палітри України.</w:t>
      </w:r>
    </w:p>
    <w:p w:rsidR="00000000" w:rsidDel="00000000" w:rsidP="00000000" w:rsidRDefault="00000000" w:rsidRPr="00000000" w14:paraId="000001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БЮТ здобуває підтримку Правобережної та Західної України попри початкове дніпропетровське походження. ВО Батьківщина, не спромоглася отримати достатньої підтримки східного регіону через занадто високу електоральну підтримку Партії Регіонів. Тому було змушене презентувати себе як опозиційну партію, спираючись на ідеологічні питання привабливі для   «Заходу», таким чином отримавши підтримку регіональної еліти даних областей. Електоральні межі БЮТ обмежуються на сході Кіровоградською, Полтавською та Сумською областями, здобувши найбільшої підтримки в Волинській області.</w:t>
      </w:r>
    </w:p>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Партія регіонів отримує беззаперечну підтримку південно-східного, густонаселеного регіону, що дало можливість отримати 186 мандатів у парламенті. Звичайно через партію лобіювався інтерес донецької еліти. Щодо еліти Донбасу то її представники різняться залежно від адміністративної приналежності  елітних груп. Характерними рисами політичної еліти Донецька є: консолідація, бізнесова організація елітних груп, особистий план економічного націоналізму. </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політичної еліти Луганська властиво те, що вона ніколи не була консолідованою і постійно зазнавала тиску та експансії з боку впливових груп Донецької області. </w:t>
      </w:r>
    </w:p>
    <w:p w:rsidR="00000000" w:rsidDel="00000000" w:rsidP="00000000" w:rsidRDefault="00000000" w:rsidRPr="00000000" w14:paraId="000001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Україні роль регіонів, як і інших інтересів, визначає присутність в економічній системі, враховуючи це, цілком зрозумілі амбіції регіональних еліт Сходу та їх ідея федералізації, що простежується у партіях які репрезентують інтереси регіональних груп східних регіонів. </w:t>
      </w:r>
    </w:p>
    <w:p w:rsidR="00000000" w:rsidDel="00000000" w:rsidP="00000000" w:rsidRDefault="00000000" w:rsidRPr="00000000" w14:paraId="000001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Президентські вибори 2010 р. засвідчили збереження електорального розколу, що був позначений під час парламентських виборів 2006 та 2007 років.</w:t>
      </w:r>
    </w:p>
    <w:p w:rsidR="00000000" w:rsidDel="00000000" w:rsidP="00000000" w:rsidRDefault="00000000" w:rsidRPr="00000000" w14:paraId="000001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Партійний регіоналізм засвідчили місцеві вибори. Зокрема ВО «Свобода» перетворилася з місцевої, донедавна, в регіональну партію, отримавши більшість мандатів в місцевих радах Івано-Франківська, Львова та Тернополя, здійснюючи вплив на всю Галичину. У Волинській, Рівненській, Житомирській, Хмельницькій, Чернівецькій, Чернігівській, Сумській та Черкаській місцевих радах більшість отримало ВО «Батьківщина». Характерним для цих регіонів є не сприйняття радикальних націоналістичних позицій характерних для свободівців. На  Волині, якій історично притаманне деяке протиставлення Галичині,  свободівці не отримали більшість, з причини того що позиціонують себе як представники Львівської еліти.</w:t>
      </w:r>
    </w:p>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Одеській, Миколаївській, Кіровоградській, Херсонській, Запоріжзькій, Донецькій,  Дніпропетровській, Харківській, Луганській місцевих радах  та в Криму більшість отримала Партія регіонів. Основним конкурентом в боротьбі за прихильність електорату в цьому регіонів для президентської партії, переважно, стали КПУ та Сильна Україна.</w:t>
      </w:r>
    </w:p>
    <w:p w:rsidR="00000000" w:rsidDel="00000000" w:rsidP="00000000" w:rsidRDefault="00000000" w:rsidRPr="00000000" w14:paraId="000001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регіонального розрізу вибились за результатами місцевих виборів Вінницька та Полтавська місцеві ради де більшість посіла партія «Совість України». Другою, після перемоги "Свободи" в трьох західних областях, сенсацією місцевих виборів-2010 стали результати голосування в Полтаві та Вінниці.</w:t>
      </w:r>
    </w:p>
    <w:p w:rsidR="00000000" w:rsidDel="00000000" w:rsidP="00000000" w:rsidRDefault="00000000" w:rsidRPr="00000000" w14:paraId="0000013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Нікому не відома партія «Совість України» перемогла на виборах в Полтавську міськраду з великим відривом, набравши 35,35% голосів виборців (для порівняння – Регіони і БЮТ в сумі по Полтаві набрали тільки 25,38%). Полтава відноситься до центральних областей країни, найбільш незрозумілих для українських партій з огляду на те, як управляти політичними перевагами їх жителів. Сьогодні в цих регіонах велике розчарування діяльністю «помаранчевих» партій. Разом з тим, навряд чи варто припускати, що «біло-блакитна» ідеологія, придбає тут коли-небудь такий же вплив, як на Сході. У центральних областях найсильніше виражена так звана «електоральна втома», що відкриває дорогу «третім силам» і місцевим проектам. Причому останні знаходяться в більш виграшному становищі, оскільки, на відміну від загальнонаціональних сил, апелюють суто  до регіональних проблем. Власне так і збудував кампанію проект «Совість України». Примітно, що місцеві партії в інших центральних регіонах також добилися помітних успіхів, хоч і не таких вражаючих як в Полтаві.</w:t>
      </w:r>
    </w:p>
    <w:p w:rsidR="00000000" w:rsidDel="00000000" w:rsidP="00000000" w:rsidRDefault="00000000" w:rsidRPr="00000000" w14:paraId="000001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Результати місцевих виборів поставили під сумнів, загальноприйнятий, історично – культурний підхід до проблеми регіонального розколу. Розкол відбувся по лінії північний-захід – південний схід. Цей поділ не є історичним чи то культурним, або мовним він передусім є електоральним. Партії частіше за все використовують полеміку з питань мови, культури, історії як інструмент маніпуляції електоратом.  При цьому списуючи проблеми протистояння регіонів на культурно історичні причини.</w:t>
      </w:r>
    </w:p>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таких умовах чинному Президенту, державній еліті необхідно розробити ефективну модель реінтеграції  не допустивши поглиблення розколу, який вже не співпадає з плином Дніпра, адже сформована нова лінія розколу регіонів – електоральна.</w:t>
      </w:r>
    </w:p>
    <w:p w:rsidR="00000000" w:rsidDel="00000000" w:rsidP="00000000" w:rsidRDefault="00000000" w:rsidRPr="00000000" w14:paraId="0000013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Ефективна модель реінтеграції передбачає відтворення єдиного загальнонаціонального простору (економічного та соціально-політичного, культурного та інформаційного, простору громадянської безпеки) незалежно від форми адміністравтино-територіального устрою, який відіграє роль лише технічну, бо є механізмом гармонізації центр-периферійних відносин. [65.310]</w:t>
      </w:r>
    </w:p>
    <w:p w:rsidR="00000000" w:rsidDel="00000000" w:rsidP="00000000" w:rsidRDefault="00000000" w:rsidRPr="00000000" w14:paraId="0000013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модель, передбачає реалізацію стратегії консолідації українського соціуму через політику культивації загальнонаціональної ідентичності, яка б інкорпорувала в себе локальні й регіональні ідентичності. У політичний обіг мають бути включені такі концепти, як новий просторовий розвиток країни, поняття внутрішньої геополітики, розвиток та використання мережевої інфраструктури, моделі формування та управління новими макрорегіонами.</w:t>
      </w:r>
    </w:p>
    <w:p w:rsidR="00000000" w:rsidDel="00000000" w:rsidP="00000000" w:rsidRDefault="00000000" w:rsidRPr="00000000" w14:paraId="0000013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Прерогативою держави є визначення кількості, типу (індустріальний, науково-технологічний, транспортно-комунікативний) та географії розміщення нових центрів. Децентралізація та розвиток соціокультурного простору передбачає створення ринку престижних номінацій. Зокрема, держава має здійснити «соціокультурну емісію», визнавши за окремими містами нові символічні статуси: «театральна столиця» України, українська «силіконова долина», архітектурний музей України, фольклорна столиця й ін.</w:t>
      </w:r>
    </w:p>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Функцією обласних органів державного управління має стати мобілізація ресурсів для участі суб’єктів підприємницької діяльності в міжрегіональних (загальнонаціональних) проектах. З огляду на інтереси внутрішньої геополітики, містами-кандидатами на участь у реалізації нової просторової стратегії розвитку України можуть стати Вінниця, агломерація Херсон — Миколаїв, Полтава, Севастополь. Зазначені міста зберігають достатньо високий інфраструктурний та кадровий потенціал для того, щоб стати «балансирами» просторового розвитку країни. Пріоритетна увага уряду щодо розвитку трикутника Вінниця — агломерація Херсон — Миколаїв — Полтава дозволить урівноважити квазіурбанізовані міста, що постали під час індустріалізації південно-східних теренів України, Північного Причорномор’я. [12]</w:t>
      </w:r>
    </w:p>
    <w:p w:rsidR="00000000" w:rsidDel="00000000" w:rsidP="00000000" w:rsidRDefault="00000000" w:rsidRPr="00000000" w14:paraId="000001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«Уряд має сприяти формуванню інфраструктури внутрішніх соціокультурних обмінів, налагодженню співпраці між культурними, освітніми та навчальними закладами, що діють у більшості обласних центрів України. Держава, яка дбає про розвиток єдиного соціокультурного простору, має стимулювати розвиток горизонтальних зв’язків, формування загальнонаціональних гуманітарних програм, що реалізуються силами декількох регіонів. Без розгортання національної інфраструктури молодіжних обмінів важко сподіватися на розширення «ментальних карт» у молоді та громадян України. Для виховання загальнонаціональної ідентичності потрібен особистий досвід про Україну від Закарпаття до Луганська, від українського Причорномор’я до українського Полісся. Ключовим завданням у цьому напрямку є формування та відтворення єдиного інформаційного простору»[12]: зазначає – Лупацій В.</w:t>
      </w:r>
    </w:p>
    <w:p w:rsidR="00000000" w:rsidDel="00000000" w:rsidP="00000000" w:rsidRDefault="00000000" w:rsidRPr="00000000" w14:paraId="0000013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“Реінтеграція” повинна реалізовуватися як превентивна стратегія, яка покликана попередити дисфункцію соціального цілого, проаналізувати той спектр проблем, якими традиційно займається регіоналістика та внутрішня геополітика.</w:t>
      </w:r>
    </w:p>
    <w:p w:rsidR="00000000" w:rsidDel="00000000" w:rsidP="00000000" w:rsidRDefault="00000000" w:rsidRPr="00000000" w14:paraId="0000013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Країни, в яких не усвідомлюють значення механізмів реінтеграції соціуму, відтворення загальнонаціональної ідентичності, а також власної місії у світі, приречені на втрату міжнародної конкурентноздатності. У таких країнах автоматично активізуються «віруси» дезінтеграції, а історично обумовлені регіональні, етнічні чи релігійно-конфесійні відмінності починають переходити в режим поляризації. </w:t>
      </w:r>
    </w:p>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Попри всю нетиповість ситуації, що склалася в Україні, наявні регіональні відмінності та соціокультурне різноманіття не є чимось унікальним у сьогоднішньому світі глобалізації. Більшість країн світу також не є моноетнічними, в більшості країн існує декілька релігійно-конфесійних груп. Нарешті, практично в будь-якій країні ми знаходимо низку регіонів із яскраво вираженими історико-культурними відмінностями. </w:t>
      </w:r>
    </w:p>
    <w:p w:rsidR="00000000" w:rsidDel="00000000" w:rsidP="00000000" w:rsidRDefault="00000000" w:rsidRPr="00000000" w14:paraId="0000013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Адже соціально-політична єдність нації — це не скільки продукт історії, скільки продукт та результат роботи соціально-політичних механізмів відтворення цілісності громадянського суспільства. Країни, в яких відсутня свідома та цілеспрямована політика реінтеграції, розмита загальнонаціональна ідентичність, несформований єдиний економічний, інформаційний та культурний простір самі провокують відцентрові тенденції та гіпертрофують локальну та регіональну ідентичність. </w:t>
      </w:r>
    </w:p>
    <w:p w:rsidR="00000000" w:rsidDel="00000000" w:rsidP="00000000" w:rsidRDefault="00000000" w:rsidRPr="00000000" w14:paraId="0000013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Відтак, електоральний розкол, який пережила Україна під час президентських та парламентських виборів, навряд чи коректно пояснювати історичною спадщиною. Очевидно, акцент на історичній обумовленості електорального розколу, а відтак, і політичного протистояння в Україні не стільки пояснює причини цього явища, скільки неявно обґрунтовує фаталістичну перспективу для України. </w:t>
      </w:r>
    </w:p>
    <w:p w:rsidR="00000000" w:rsidDel="00000000" w:rsidP="00000000" w:rsidRDefault="00000000" w:rsidRPr="00000000" w14:paraId="0000013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Насправді електоральний розкол та загострення міжрегіональних (мовних, міжконфесійних) протиріч є не наслідком історії, а результатом кризи моделі реінтеграції. Безперспективно намагатися подолати вказану кризу лише за рахунок пропагандистських кампаній чи гасел про злагоду та порозуміння в суспільстві. Необхідно звернутися до розгляду та аналізу роботи соціально-політичних механізмів, що відповідають за процеси економічної, політичної та соціальної реінтеграції (дезінтеграції) соціуму. </w:t>
      </w:r>
    </w:p>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Потрібен перехід до громадсько-політичної моделі реінтеграції. Електоральний розкол, що відбувся під час президентської кампанії 2004 року, засвідчив остаточну кризу як адміністративно-бюрократичної, так і кланово-корпоративної моделей реінтеграції, що змінювали одна одну в період 1991 — 1999 рр. Відтак, сьогодні перед Україною постала необхідність переходу до нової громадсько-політичної моделі реінтеграції країни. Головною метою нової стратегії реінтеграції має бути не стільки подолання зовнішніх проявів дезінтеграції соціуму (електоральний розкол), скільки формування механізмів, що дозволяють підтримувати баланс та рівновагу між інтеграційними та дезінтеграційними складовими розвитку держави, нації, соціуму. </w:t>
      </w:r>
    </w:p>
    <w:p w:rsidR="00000000" w:rsidDel="00000000" w:rsidP="00000000" w:rsidRDefault="00000000" w:rsidRPr="00000000" w14:paraId="0000014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Отже регіональні проблеми не можна вирішити шляхом переходу до федералізму. Політична еліта повинна забезпечити в умовах унітарного устрою ефективну модель реінтеграції.  Така модель, зокрема, передбачає реалізацію багатовимірної стратегії, яка поєднає адміністративні, економічні та громадсько-політичні інструменти інтеграції та консолідації українського соціуму. </w:t>
      </w:r>
    </w:p>
    <w:p w:rsidR="00000000" w:rsidDel="00000000" w:rsidP="00000000" w:rsidRDefault="00000000" w:rsidRPr="00000000" w14:paraId="0000014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Основним ініціатором і провайдером громадсько-політичної моделі реінтеграції буде виступати не бюрократія й не корпоративні групи, а політичні партії, інститути громадянського суспільства, органи самоорганізації населення та групи економічних інтересів, що зацікавлені в розвитку внутрішнього ринку, стабільному функціонуванні загальнонаціональної інфраструктури, збереженні української держави як гаранта особистої та корпоративної безпеки в умовах загострення глобальної конкуренції. </w:t>
      </w:r>
    </w:p>
    <w:p w:rsidR="00000000" w:rsidDel="00000000" w:rsidP="00000000" w:rsidRDefault="00000000" w:rsidRPr="00000000" w14:paraId="0000014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Поява громадсько-політичної моделі реінтеграції передбачає розробку та впровадження стратегії та програм реінтеграції. Ключова роль має приділятися політиці культивації загальнонаціональної ідентичності, яка б увібрала та інкорпорувала в себе локальні й регіональні ідентичності. У політичний обіг мають бути включені такі концепти, як новий просторовий розвиток країни, поняття внутрішньої геополітики, розвиток та використання мережевої інфраструктури, моделі формування та управління новими макрорегіонами. </w:t>
      </w:r>
    </w:p>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Запровадження ефективної моделі реінтеграції передбачає, що одним із базових інструментів нової політики повинна стати технологія формування та відтворення єдиного загальнонаціонального простору (економічного та соціально-політичного, культурного та інформаційного, простору громадянської безпеки). </w:t>
      </w:r>
    </w:p>
    <w:p w:rsidR="00000000" w:rsidDel="00000000" w:rsidP="00000000" w:rsidRDefault="00000000" w:rsidRPr="00000000" w14:paraId="0000014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2.2. Партійні стратегії врегулювання представництва регіональних груп інтересів в центрі прийняття політичних рішень в Україні</w:t>
      </w:r>
    </w:p>
    <w:p w:rsidR="00000000" w:rsidDel="00000000" w:rsidP="00000000" w:rsidRDefault="00000000" w:rsidRPr="00000000" w14:paraId="0000014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політичної трансформації в Україні протягом тривалого часу засвідчував наявність регіональних протиріч, які розбалансовували сталий процес демократичного переходу. Адже політична система не містила механізмів дієвих механізмів представництва інтересів регіональних груп у центрі прийняття політичних рішень, що призводило до регіональної напруженості. </w:t>
      </w:r>
    </w:p>
    <w:p w:rsidR="00000000" w:rsidDel="00000000" w:rsidP="00000000" w:rsidRDefault="00000000" w:rsidRPr="00000000" w14:paraId="0000014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Парламентські, президентські та місцеві вибори демонструють регіоналізацію виборчого поля України та регіоналізацію політичних партій, через які реалізуються інтереси регіональних груп. Останнє десятиліття з ініціативи окремих партій у суспільстві порушуються питання ефективності функціонування державної влади за умови збереження унітарного ладу.</w:t>
      </w:r>
    </w:p>
    <w:p w:rsidR="00000000" w:rsidDel="00000000" w:rsidP="00000000" w:rsidRDefault="00000000" w:rsidRPr="00000000" w14:paraId="0000014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цих конфліктах деякі регіональні партії намагаються отримати виборчий капітал, часто маніпулюючи у своїй риториці мовними, релігійними культурними, історичними та іноді навіть етнічними елементами конфлікту в різних регіонах України.</w:t>
      </w:r>
    </w:p>
    <w:p w:rsidR="00000000" w:rsidDel="00000000" w:rsidP="00000000" w:rsidRDefault="00000000" w:rsidRPr="00000000" w14:paraId="0000014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Вищезазначене зумовлює необхідність вивчення та використання регіональних особливостей у сучасному процесі розбудови незалежної української держави, нейтралізації на цій основі дезінтеграційних процесів.</w:t>
      </w:r>
    </w:p>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Війна з російською федерацією вчергове загострила дискусію про регіональний устрій України. Проблему регіоналізму політичні партії, які діяли в інтересах Росії пропонували вирішувати виключно в полі зміни територіального устрою України. Відповідно до положень статті 132 Конституції України, наша держава є унітарною децентралізованою державою, територіальний устрій якої ґрунтується на засадах єдності і цілісності державної території, поєднання централізації і децентралізації у здійсненні державної влади (державного управління з місцевим самоврядуванням) [9].</w:t>
      </w:r>
    </w:p>
    <w:p w:rsidR="00000000" w:rsidDel="00000000" w:rsidP="00000000" w:rsidRDefault="00000000" w:rsidRPr="00000000" w14:paraId="0000014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підтверджує низка ознак: територія України у межах існуючого кордону є цілісною і недоторканною; єдине громадянство; єдині органи державної влади: Верховна Рада України - вищий законодавчий орган влади; Президент України — глава держави, виступає від її імені, представляє Україну у міжнародних відносинах, Кабінет Міністрів України — вищий орган виконавчої влади, судові органи влади на чолі з Верховним Судом України. Систему адміністративно-територіального устрою України складають: Автономна Республіка Крим, 23 області, м. Київ та м. Севастополь (зі спеціальним статусом) [9].</w:t>
      </w:r>
    </w:p>
    <w:p w:rsidR="00000000" w:rsidDel="00000000" w:rsidP="00000000" w:rsidRDefault="00000000" w:rsidRPr="00000000" w14:paraId="0000014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особливістю України, як унітарної держави, є існування у її складі Автономної Республіки Крим як невід'ємної складової, межі повноважень якої визначені Конституцією України. Автономна Республіка Крим має органи влади - Верховна Рада АРК, Рада міністрів АРК (призначається Верховною Радою АРК за погодженням з Президентом України). Правосуддя в АРК здійснюється судами, що належать до єдиної системи судів України. Верховна Рада АРК може приймати нормативно-правові акти у межах повноважень, визначених Конституцією України, їх дія може бути зупинена Президентом України.</w:t>
      </w:r>
    </w:p>
    <w:p w:rsidR="00000000" w:rsidDel="00000000" w:rsidP="00000000" w:rsidRDefault="00000000" w:rsidRPr="00000000" w14:paraId="0000014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юридичного погляду федералізм означає конституційно зафіксований поділ функцій між центром і територіальними одиницями. Відповідно, федерація трактується як особливий тип організації державної влади, який протиставляється, з одного боку, унітарній, а з іншого – конфедеративній моделі. Федералізм розглядається тут як принцип державного устрою, що передбачає численні види гнучких зв’язків між центральною владою та регіонами в різних сферах суспільного життя. Інакше кажучи, під федерацією розуміється не лише конкретний тип державного устрою, але й спосіб організації суспільства, форми реалізації якого залежать від конкретних обставин. </w:t>
      </w:r>
    </w:p>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Питання доцільності форми правлінні постало передусім, через загострення регіональної проблематики в нашому суспільстві. Регіоналізм в середині країни не слід розглядати як явище пов’язане з прагненням окремих частин держави до певного самовизначення через процес відмежування від центру. Регіоналізм можна трактувати як громадсько-політичний рух, метою якого є ствердження регіону як суб’єкта політичних відносин або розширення повноважень регіональних органів влади, а також відповідна система політичних орієнтацій. Одним з підвидів регіоналізм можна виділити етнорегіоналіз. Його можна трактувати як політичний рух, метою якого є забезпечення більших можливостей для життєдіяльності, розвитку або домінування відповідної етнічної спільноти на території компактного проживання у складі ширшого державного утворення, а також відповідна сукупність політичних поглядів.[13] </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 Кройтор зазначає: «В суспільстві побутує думка про деяку подібність між поняттями регіоналізм і сепаратизм, як процес, що передує федералізації держави. Слід розглядати регіоналізм, як відкрите, екстравертне співробітництво між частинами держави, спрямоване на комплексне розв’язання економічних, політичних, культурних, екологічних та інших проблем і завдань. В такому випадку регіоналізм цілком сумісний з поняттям унітаризму. Реінтеграцію слід розглядати як виважену політику держави у сфері забезпечення цілісності її території через ефективну модель інтеграції регіонів в єдиний економічний, політичний та культурний простір держави, яка гарантує представництво інтересів регіональних еліт під час прийняття політичного рішення»[10].</w:t>
      </w:r>
    </w:p>
    <w:p w:rsidR="00000000" w:rsidDel="00000000" w:rsidP="00000000" w:rsidRDefault="00000000" w:rsidRPr="00000000" w14:paraId="0000015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політичній науці та законодавстві не співпадають поняття «регіону». Регіоном в Україні є область як рівень адміністративної організації, який має органи управління, економічні ресурси і можливості для прийняття політичних рішень. Саме область за інституційними, просторовими параметрами і чисельністю населення відповідає регіонам європейських унітарних децентралізованих держав. Тому за сучасних умов є доцільним збереження існуючого обласного адміністративно-територіального поділу, хоча, водночас, існує потреба раціонального укрупнення базового рівня територіальної організації [11:125-131].</w:t>
      </w:r>
    </w:p>
    <w:p w:rsidR="00000000" w:rsidDel="00000000" w:rsidP="00000000" w:rsidRDefault="00000000" w:rsidRPr="00000000" w14:paraId="0000015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Український дослідник Г. Макаров розглядає регіон як відповідну частину території держави, яка за своїми економічними, політичними, культурними ознаками та досвідом історичного розвитку становить певну цілісність і водночас відрізняється за ними від інших частин країни. Саме наявність пережитого історичного досвіду та чітко окреслених кордонів сприяє збереженню регіональної самосвідомості та формуванню регіонального партикуляризму.[13: 43] </w:t>
      </w:r>
    </w:p>
    <w:p w:rsidR="00000000" w:rsidDel="00000000" w:rsidP="00000000" w:rsidRDefault="00000000" w:rsidRPr="00000000" w14:paraId="0000015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Проблеми регіоналізм в Україні є не новими. Їх вирішенню приділяли увагу і діячі української національної революції початку ХХ ст.. Зокрема вбачалося вирішення регіональних протиріч через оптимальну структуру територіального устрою країни. Розглядалися як унітарна так і федеративна форма державного устрою. </w:t>
      </w:r>
    </w:p>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Слід звернути увагу в історичній ретроспективі на думку Михайла Грушевського, щодо державного устрою України. Свої політичні погляди він визначив у праці «Українська партія соціалістів-революціонерів та її завдання». В праці розкривається сутність народницького світогляду вченого, історичні дослідження якого призвели до обґрунтування історико-юридичних прав українського народу на самостійність і власну державу, до розуміння української соціалістичної республіки як форми народної держави. Ідея пріоритету інтересів народу як критерію суспільного прогресу є головною у всій громадсько-політичній діяльності М. Грушевського. Він вважає, що процес історичного розвитку українського народу, з одного боку, спільність території, політичні й культурні впливи – з іншого, «постійно перемішували українську народність, зводячи її до більш одноманітних форм політичного буття» [5]. </w:t>
      </w:r>
    </w:p>
    <w:p w:rsidR="00000000" w:rsidDel="00000000" w:rsidP="00000000" w:rsidRDefault="00000000" w:rsidRPr="00000000" w14:paraId="0000015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наслідок такі одноманітні форми дають можливість створення соборної, або унітарної  держави. Проте одночасно з унітарною формою держави, для подолання можливих відцентрових процесів Грушевський передбачав створення ефективної моделі місцевого самоврядування і забезпечення прав національних меншин. Зокрема в праці «Українська партія соціалістів-революціонерів та її завдання» йшлося про, широке самоврядування, розвиток будь-якої ініціативи людини і громадянина щодо порозуміння різних національних і класових груп; повне забезпечення політичних, мовних, культурних, релігійних та інших прав національних меншин на автономних засадах [5]. Паралельно процесу формування нових українських національних організацій, М. Грушевський, передбачає розвиток процесу утворення територіальних комітетів, куди б увійшли представники національних меншин. </w:t>
      </w:r>
    </w:p>
    <w:p w:rsidR="00000000" w:rsidDel="00000000" w:rsidP="00000000" w:rsidRDefault="00000000" w:rsidRPr="00000000" w14:paraId="0000015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Такі територіальні комітети могли б розвивати організаційну роботу в контакті з іншими місцевими групами впливу для врегулювання національних, класових і регіональних суперечностей. Вони могли б стати своєрідною плюралістичною противагою органам міської і земської самоуправи. М. Грушевський вважає що для ефективної моделі територіального устрою організація нових повітів і губерній повинна базуватися на природних зв’язках – географічних, економічних, комунікаційних, що сприятиме творенню реального політичному поділу України. </w:t>
      </w:r>
    </w:p>
    <w:p w:rsidR="00000000" w:rsidDel="00000000" w:rsidP="00000000" w:rsidRDefault="00000000" w:rsidRPr="00000000" w14:paraId="0000015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організація на місцях стане підґрунтям для забезпечення інтересів регіональних еліт в середині держави. Окремі питання місцевого самоврядування окреслювались в універсалах. 6 березня 1918 року Центральна Рада затвердила закон «Про поділ України на землі», яких передбачалось 32: «Київ з околицею до Ірпеня і Стугни, і за Дніпром, приблизно на 20 верств, Волинь, Черкаси, Поділля, Подністров'я, Донеччина, Чернігівщина, Переяславщина, Одеса з територією до Дністровського лиману, Полтавщина, Слобідщина, Харків з повітом і частинами Валківською й Бєлгородською... тощо [1:231] </w:t>
      </w:r>
    </w:p>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зазначає Д. Дорошенко, "опанувавши осередок, Київ, та й то не цілком, провідники Центральної Ради зовсім не зуміли так само опанувати провінцію..., не спромоглись зорганізувати вірного собі адміністративного апарату на місцях"[1:126]. Губернські й повітові комісари здебільшого скаржилися на анархію й безвладдя, інформували центр про селянські виступи та вимагали солдатів для підтримання порядку. Органи місцевого самоврядування також потребували грошей. 20 квітня Центральна Рада виділила 15 млн. карбованців на утримання місцевих земельних комітетів. </w:t>
      </w:r>
    </w:p>
    <w:p w:rsidR="00000000" w:rsidDel="00000000" w:rsidP="00000000" w:rsidRDefault="00000000" w:rsidRPr="00000000" w14:paraId="0000015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Володимир Винниченко в умовах конфлікту Центральної Ради з РНК закликав до нової національної стратегії — самостійності; гасла, реалізованого в IV Універсалі ЦР. Його погляди на регіональну політику та державний устрій мало в чому відрізнялися від поглядів М. Грушевського. Він також стояв на засадах унітарного устрою держави з забезпеченням широких культурно-автономних прав національних меншин. А також відстоював позиції забезпечення широких повноважень органам місцевого самоврядування, надаючи їм можливість здійснювати самостійну бюджетну, культурну, освітянську політику. Позиція В. Винниченка щодо адміністративно-територіального устрою знайшла своє втілення в Законі "Про поділ України на землі" від 6 березня 1918 року.</w:t>
      </w:r>
    </w:p>
    <w:p w:rsidR="00000000" w:rsidDel="00000000" w:rsidP="00000000" w:rsidRDefault="00000000" w:rsidRPr="00000000" w14:paraId="0000015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Прихильником жорсткої форми унітаризму був засновник УНП М.Міхновський. Прихильник націоналістичної теорії він передбачав будівництво держави на основі домінування інтересів нації у державному будівництві. Так у брошурі «Самостійна Україна» автор зазначає: «Не може бути ніякої боротьби українського народу в рамках існуючої Російської імперії. Лише цілковите відокремлення України і створення могутньої держави від Карпат до Кавказу необхідне нашій нації. Українцям не потрібна автономія з ласки Москви, а також федерація у складі Росії, їм потрібна повна незалежність. Україна має матеріальні и духовні сили бути самостійною. Україна для Українців!» [15]. </w:t>
      </w:r>
    </w:p>
    <w:p w:rsidR="00000000" w:rsidDel="00000000" w:rsidP="00000000" w:rsidRDefault="00000000" w:rsidRPr="00000000" w14:paraId="0000015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першому пункті брошури «Самостійна Україна» автор викладає своє бачення територіального устрою держави. Він наголошує на тому що Україна має бути Єдиною й неподільною від Карпат і до Кавказу самостійною, вільною Українською Демократичною Республікою — «це національний всеукраїнський ідеал. Нехай кожна українська дитина тямить, що вона народилася на світ на те, щоб здійснити цей ідеал». Міхновський не передбачає можливості створення в межах держави будь-яких національно-культурних автономій, що виражено у гаслі «Україна для українців!».[15] Регіональні проблеми слід вирішувати шляхам побудови централізованої унітарної держави, яка б в зародковому стані придушувала можливі відцентрові тенденції в регіонах, іноді навіть насильницьким шляхом, що витікає із публікацій голови Української народної партії. Автор передбачає насадження культурних ідеалів української нації на всі народності, що проживають на території України. Держава аби уникнути сепаратистських або центробіжних тенденцій повинна проводити політику асиміляції не українського населення, що в майбутньому призведе до формування єдиної національної держави.</w:t>
      </w:r>
    </w:p>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Дещо пізніше ідеями М. Міхновського перейметься Степан Бандера та Організація Українських націоналістів. Ідеал державного ладу викладений ОУН в Постанові Великого Збору Організації Українських Націоналістів (28.01 – 02.02 1929 року). Постанова наголошувала що для Української Нації в стані її політичного поневолення початковим постулатом є створення політично-правової організації, означеної Українська Самостійна Соборна Держава [24].</w:t>
      </w:r>
    </w:p>
    <w:p w:rsidR="00000000" w:rsidDel="00000000" w:rsidP="00000000" w:rsidRDefault="00000000" w:rsidRPr="00000000" w14:paraId="0000015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Бандера вважав, що у визвольній боротьбі лише національна диктатура, встановлена під час національної революції, може гарантувати внутрішню силу Української Держави та її максимальну стійкість до зовнішніх викликів. Після відновлення державності настане епоха внутрішнього регулювання та переходу до статусу єдиного державного інституту. У перехідний період завданням Глави держави є підготовка до створення вищого законодавчого органу на основі представництва всіх організованих верств суспільства з урахуванням відмінностей окремих земель, які увійдуть до відповідності укр. стан. Передбачається, що Глава держави, скликаний представницьким органом, буде Главою держави, яка призначатиме повноваження та відповідальні йому вищі законодавчі органи. Основою державного адміністративного устрою України є місцева автономія, кожна область має свій представницький орган законодавчої та виконавчої влади.[24]</w:t>
      </w:r>
    </w:p>
    <w:p w:rsidR="00000000" w:rsidDel="00000000" w:rsidP="00000000" w:rsidRDefault="00000000" w:rsidRPr="00000000" w14:paraId="0000015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позиції українських політичних партій та їх лідерів першої половини ХХ ст. стає зрозумілим, що регіональна проблематика вирішувалась шляхом створення унітарної держави. Власне, в роки національної революції регіональній політиці приділялася не значна увага. Здебільшого акцент ставився на формі державного устрою та більш чи менш самостійного місцевого самоврядування та прав національних меншин.</w:t>
      </w:r>
    </w:p>
    <w:p w:rsidR="00000000" w:rsidDel="00000000" w:rsidP="00000000" w:rsidRDefault="00000000" w:rsidRPr="00000000" w14:paraId="0000016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Сучасні регіональні проблеми меншою мірою пов'язані з правовим статусом національних меншин. Тому питання регіонального розвитку є актуальним з початку незалежного розвитку України. Це пов'язано зі зміною риторики під час виборчого процесу, а саме маніпулюванням регіональними питаннями під час кампанії. Проте, з іншого боку, актуальність регіональних питань має й ваші реальні об'єктивні причини, а саме опис регіональної політики за роки незалежності.</w:t>
      </w:r>
    </w:p>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Українське керівництво орієнтовано на те, що Україна може вижити як держава лише як єдине територіальне утворення. У 2000 році, визнаючи регіональні проблеми і зростання регіонального еліту, Кучма запропонував конституційну реформу, яка б врахувала двопалатну структуру Верховної Ради, в якій друга палата представляла регіональні інтереси. </w:t>
      </w:r>
    </w:p>
    <w:p w:rsidR="00000000" w:rsidDel="00000000" w:rsidP="00000000" w:rsidRDefault="00000000" w:rsidRPr="00000000" w14:paraId="0000016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«Регіональні еліти не мають реальної легітимності для просування проектів регіонального розвитку. Тому вони змушені політизувати, тобто лобіювати свої інтереси через політичні партії, що призводить до партійної регіоналізації. Регіональні питання вирішувалися у більшості політичних партій. Кожна політична сила намагається висловити свою думку щодо територіального устрою України»: - зазначає А.Кройтор.</w:t>
      </w:r>
    </w:p>
    <w:p w:rsidR="00000000" w:rsidDel="00000000" w:rsidP="00000000" w:rsidRDefault="00000000" w:rsidRPr="00000000" w14:paraId="0000016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Ряд партій проводили ідею федералізації України. Ними передбачається зміна існуючої адміністративної структури й розподіл України на землі, що приблизно збігаються з відомими культурно-історичними зонами. Принцип федеративно-земельного (або земельно-федеративного) устрою записаний у програмах «Слов’янської партії України» (м. Донецьк),[29] Міжрегіонального блоку реформ (м. Харків), партії "Союз" (м. Сімферополь), яка до речі пропонує виділення регіонів за «ландшафтно-економічним принципом», підтримує розширення прав регіонів, особливо в частині формування бюджетів та визначенні пріоритетів розвитку.[21] </w:t>
      </w:r>
    </w:p>
    <w:p w:rsidR="00000000" w:rsidDel="00000000" w:rsidP="00000000" w:rsidRDefault="00000000" w:rsidRPr="00000000" w14:paraId="0000016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Кримська Партія економічного відродження проголошує поступовий рух України до федералізму. Крім того, Міжрегіональний блок реформ - єдиний політичний рух, що записав у своїй програмі необхідність губернаторських виборів.[18] У федералізації України вбачає вирішення проблеми регіоналізації і партія «Родина». Так, наприклад в програмі партії передбачено перетворення України в федеративну парламентську державу з двопалатним парламентом. В якому нижня палата формується за пропорційною виборчою системою. А верхня (сенат) складається з представників суб’єктів федерації, що на думку партії забезпечить оптимальне презентування інтересів регіональних еліт у вищому законодавчому органі держави.[27] </w:t>
      </w:r>
    </w:p>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партій, створених по ідеологічній ознаці, до них близька тільки СДПУ(о), програма якої містить розділ "Земельний устрій" (хоча поняття "федералізм" не використовується). Натомість у програмі “Опозиційного блоку “Не Так!”, до якого входить СДПУ(о)” йдеться про необхідність розширення прав регіонів, про необхідність бюджетної реформи, яка має бути побудована на засадах «бюджетного федералізму». [Передвиборча програма «Опозиційного блоку Не ТАК» [19]</w:t>
      </w:r>
    </w:p>
    <w:p w:rsidR="00000000" w:rsidDel="00000000" w:rsidP="00000000" w:rsidRDefault="00000000" w:rsidRPr="00000000" w14:paraId="0000016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більшість партій не підтримує федералізм і зупиняється на заклику розширювати регіональне самоврядування, не припускаючи виходу за рамки унітаризму. Наприклад, Селянська партія України у передвиборній програмі 2006 р. запропонувала здійснення «децентралізації управління», а також «передачу виконавчої влади на всіх рівнях до органів місцевого самоврядування, створення власних виконавчих органів…, підзвітних населенню». [20] </w:t>
      </w:r>
    </w:p>
    <w:p w:rsidR="00000000" w:rsidDel="00000000" w:rsidP="00000000" w:rsidRDefault="00000000" w:rsidRPr="00000000" w14:paraId="0000016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програмних документів українських партій вказує, що з метою залучення виборців і місцевих еліт українські партії декларують свою прихильність принципам територіального самоврядування, щоправда, розуміючи його по-різному. Одні партії акцентують увагу на потребі розвитку місцевого самоврядування, припускаючи збереження на рівні областей тверду владну вертикаль. Інші виступають за розширення прав і повноважень власне регіонів. </w:t>
      </w:r>
    </w:p>
    <w:p w:rsidR="00000000" w:rsidDel="00000000" w:rsidP="00000000" w:rsidRDefault="00000000" w:rsidRPr="00000000" w14:paraId="0000016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Загальновизнаною стає вимога перегляду економічної політики держави убік  децентралізації: формування бюджету «знизу нагору», розширення економічних повноважень регіонів, розщеплення податкової бази між центром, областями й муніципалітетами. Партії, що представляють інтереси великих промислових регіонів широко користуються регіональною риторикою: Ліберальна Партія Україна використовує гасло: «Економічно сильні регіони – економічно сильна держава!»[17], блок Коновалюка «Трудова Україна» має гасло: «Сильні регіони - сильна держава». </w:t>
      </w:r>
    </w:p>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Партія «Регіонів» діяла під гаслом «Через відродження регіонів - до процвітання України». Хоча у передвиборній програмі «Партії регіонів» 2006 р. регіональну політику радикалізовано. Зазначається, що метою партії є «збільшення прав регіонів реалізуємо федеративний принцип устрою. Єдність у розмаїтості - об'єктивна реальність нашого суспільства…Ми різні - на Півночі й Півдні, Заході й Сході. Це наша сила, основа процвітання…»[23].</w:t>
      </w:r>
    </w:p>
    <w:p w:rsidR="00000000" w:rsidDel="00000000" w:rsidP="00000000" w:rsidRDefault="00000000" w:rsidRPr="00000000" w14:paraId="0000016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і інші політичні сили не заперечували такої необхідності, зокрема Народний Рух, в програмі якого наголошується, що «Рух розглядає Україну як унітарну державу з широким адміністративно-територіальним самоврядуванням…». В програмі Руху 1998 р. зафіксовано принцип формування бюджету "знизу нагору" і протест проти фінансування регіонів по залишковому принципу. Із цим погоджувалися практично всі інші партії [25].</w:t>
      </w:r>
    </w:p>
    <w:p w:rsidR="00000000" w:rsidDel="00000000" w:rsidP="00000000" w:rsidRDefault="00000000" w:rsidRPr="00000000" w14:paraId="0000016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передвиборній програмі Блоку «ПОРА-ПРП», хоча й не йдеться про регіональну політику, зазначається, що вихід лише один - реально «застосувати головний принцип ЄС – субсидіарності: тільки, якщо менша одиниця не може впоратись із проблемою, її вирішення має переходити на вищий рівень».[22]</w:t>
      </w:r>
    </w:p>
    <w:p w:rsidR="00000000" w:rsidDel="00000000" w:rsidP="00000000" w:rsidRDefault="00000000" w:rsidRPr="00000000" w14:paraId="000001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Лише націонал-радикали вводять у свої програмні документи принцип жорсткого унітаризму й вимоги скасування кримської автономії (програма руху «Державна самостійність України» та ін.). Так, у Розділі «Засади державотворення» Програми «Конгресу українських націоналістів», який є учасником Блоку «Наша Україна», йдеться, що Конгрес виступає «за утвердження Української Національної Держави як унітарної - з єдиною системою органів влади й управління без внутрішніх самостійних державних утворень з широкими повноваженнями місцевого самоврядування» така ж позиція збереглась у ВО «Свободи».</w:t>
      </w:r>
    </w:p>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Україна визначається як “унітарна держава із широкими повноваженнями органів територіального самоврядування" в програмах Української Республіканської партії «Собор», яка також є учасницею Блоку «Наша Україна» та Християнсько-демократичного Союзу.</w:t>
      </w:r>
    </w:p>
    <w:p w:rsidR="00000000" w:rsidDel="00000000" w:rsidP="00000000" w:rsidRDefault="00000000" w:rsidRPr="00000000" w14:paraId="000001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Стосовно політичних програм партій, які прийняли участь у виборах до Одеської міської ради у 2006роцці то вони вбачають вирішення регіональних протиріч через зміну територіальної структури України. Так наприклад у своїй передвиборчій програмі партія «Родіна» вказує на потребу федералізації України і передбачає що Україна повинна стати парламентською-федеративною республікою. Рішення повинні прийматися на місцях, що забезпечить фінансову самостійність регіону. Федеративний устрій передбачає формування двопалатного парламенту в якому верхня палата формується представниками суб’єктів федерації, що на думку партійних функціонерів, дасть можливість відстоювати інтереси регіонів в центральній владі. Кількість мість у верхній палаті повинно бути пропорційним кількості населення того чи іншого суб’єкта федерації. Також програмою передбачається скасування інституту президентства, що забезпечить концентрацію влади в ценрі.крім того партія виступає за надання російській мові спеціального статусу в регіоні.[27]</w:t>
      </w:r>
    </w:p>
    <w:p w:rsidR="00000000" w:rsidDel="00000000" w:rsidP="00000000" w:rsidRDefault="00000000" w:rsidRPr="00000000" w14:paraId="0000016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Через федералізацію держави вбачають вирішення регіональних проблем  партія Русько-український союз та блок Наталі Вітренко, шо брали участь  у місцевих виборах 2006 року.</w:t>
      </w:r>
    </w:p>
    <w:p w:rsidR="00000000" w:rsidDel="00000000" w:rsidP="00000000" w:rsidRDefault="00000000" w:rsidRPr="00000000" w14:paraId="0000017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Партія «Сильна Україна» стоїть на засадах збереження унітарного устрою України, а вирішення регіональних питань вбачає через розширення повноважень місцевого самоврядування у галузі бюджетної політики, зокрема, передбачається проведення бюджетної реформи, що дасть можливість отримати регіонам більшу фінансову незалежність від центру. [28]. Схожі позиції, щодо регіональної політики, в Одеській міській раді займали партії Фронт змін, Наша Україна та БЮТ в 2010 році</w:t>
      </w:r>
    </w:p>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Помітно змінилися передвиборні гасла Партії регіонів. Так підчас місцевих виборів 2010 року у програмі партії не містилося положень про можливий федеративний устрій держави. регіональну політику викладено в гаслі – «Єдність та багатоманітність». Суть гасла полягала в наступному: -  «Місцеве самоврядування повинне стати реальним фундаментом народовладдя. Шлях до цього – максимальна передача владних та фінансових повноважень місцевим органам влади для втілення регіональних і локальних стратегій розвитку. Ми – різні: на Півночі та Півдні, Заході та Сході, але ми – громадяни єдиної країни. У цьому – запорука нашої сили і процвітання. Регіони з їх особливостями і традиціями становлять духовну скарбницю України та її самобутність, яку необхідно зберігати та розвивати спільними зусиллями!Ми - за надання російській мові статусу державної мови. Для цього необхідна стійка більшість у Верховній Раді. Ми – послідовні прихильники гасла: «Дві мови - один народ!».[23] Критиком федералізації виступав М.Томенко, член «Блоку Юлії Тимошенко» вважає, що «рух за федералізм відсутній "знизу" і є ні чим іншим як політтехнологією розколу України на 3 сорти або на 25 "князівств", які рано чи пізно повинні будуть об'єднатися із суб'єктами федерації Росії».[10]</w:t>
      </w:r>
    </w:p>
    <w:p w:rsidR="00000000" w:rsidDel="00000000" w:rsidP="00000000" w:rsidRDefault="00000000" w:rsidRPr="00000000" w14:paraId="0000017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трактувати регіоналізм як рухи, орієнтовані ззовні України, є спрощенням проблеми. Регіоналізм не є прихованою формою «радянського», «угорського», «панєвропейського» або якого-небудь ще іредентизму. У його основі — прагнення досягти певного статусу перш за все в рамках української держави, а не руйнування цієї держави. </w:t>
      </w:r>
    </w:p>
    <w:p w:rsidR="00000000" w:rsidDel="00000000" w:rsidP="00000000" w:rsidRDefault="00000000" w:rsidRPr="00000000" w14:paraId="0000017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другого розділу</w:t>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Дослідження регіоналізму в Україні як чинник політичної трансформації показало, що регіональні протиріччя не можна пояснювати використанням історичної спадщини. Їхнє формування відбулося переважно за останні два десятиліття політичної історії України. Основним каталізатором українського регіоналізму є сучасна електоральна політика, яка часто використовує регіональні, культурні, мовні та релігійні відмінності для досягнення політичних цілей. Такий підхід спрямований на поглиблення конфронтації між електоральними базами різних регіонів.</w:t>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окремих демократичних перетворень в Україні, що регіональні посилення стали перешкодою для стабільного розвитку політичної системи. Відсутність ефективних механізмів представництва регіональних інтересів у центрі ухвалення політичних рішень приводила до напруженості між регіонами. Регіональні еліти, не маючи достатньої легітимності для реалізації проектів розвитку, змушені шукати підтримку через політичні партії. Це сприяло політизації регіональних питань і посиленню партійної регіоналізації.</w:t>
      </w:r>
    </w:p>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 2014 року аналіз партійних стратегій показав, що політичні сили, які представляли інтереси Росії, обґрунтували необхідність зміни адміністративно-територіального устрою України з унітарного на федеративний. Ці ідеї активно просувала Російська Федерація, використовуючи їх як інструмент дестабілізації політичної системи України. Це дозволяло посилювати вплив російської агентури у регіональних елітах.</w:t>
      </w:r>
    </w:p>
    <w:p w:rsidR="00000000" w:rsidDel="00000000" w:rsidP="00000000" w:rsidRDefault="00000000" w:rsidRPr="00000000" w14:paraId="0000017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проукраїнські партії, від центристських до прав, пропонували інший підхід до узгодження регіональних інтересів. Вони виступали за збереження унітарного устрою з одночасним впровадженням широкої децентралізації. Такий підхід дозволяє передавати значні фінансові та економічні ресурси на місцевий рівень, сприяючи тому, щоб регіональні еліти зосередилися на вирішенні місцевих питань у межах регіональної політики.</w:t>
      </w:r>
    </w:p>
    <w:p w:rsidR="00000000" w:rsidDel="00000000" w:rsidP="00000000" w:rsidRDefault="00000000" w:rsidRPr="00000000" w14:paraId="000001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регіоналізм в Україні є не лише наслідком історичних обставин, але й продуктом сучасної політичної стратегії, яка шукає підходи до трансформації державного управління та ролі.</w:t>
      </w:r>
    </w:p>
    <w:p w:rsidR="00000000" w:rsidDel="00000000" w:rsidP="00000000" w:rsidRDefault="00000000" w:rsidRPr="00000000" w14:paraId="0000017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C">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17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РОЗДІЛ ІІІ. РЕГІОНАЛЬНІ ГРУПИ ВПЛИВУ В УКРАЇНІ: СТРАТЕГІЇ УЗГОДЖЕННЯ ІНТЕРЕСІВ</w:t>
      </w:r>
    </w:p>
    <w:p w:rsidR="00000000" w:rsidDel="00000000" w:rsidP="00000000" w:rsidRDefault="00000000" w:rsidRPr="00000000" w14:paraId="0000017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7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3.1. Регіональні групи впливу та їх роль у регіональній та національній політиці.</w:t>
      </w:r>
    </w:p>
    <w:p w:rsidR="00000000" w:rsidDel="00000000" w:rsidP="00000000" w:rsidRDefault="00000000" w:rsidRPr="00000000" w14:paraId="0000018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8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Фінансово-промислові групи (ФПГ) — це об'єднання великого капіталу, яке включає підприємства, банки, інвестиційні фонди та інші структури, які об'єднуються навколо спільних економічних інтересів і часто мають спільного власника або керівництво. Вони активно впливають на економіку країни завдяки контролю над великими фінансовими потоками, ресурсами та політичними важелями. В Україні вплив ФПГ на політику має кілька важливих особливостей: </w:t>
      </w:r>
    </w:p>
    <w:p w:rsidR="00000000" w:rsidDel="00000000" w:rsidP="00000000" w:rsidRDefault="00000000" w:rsidRPr="00000000" w14:paraId="0000018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політичне лобіювання та вплив на законодавство: Багато великих ФПГ в Україні мають прямий або опосередкований вплив на політичні партії та депутатів, що дозволяє їм лобіювати законодавчі ініціативи, вигідні для їхнього бізнесу. Через підтримку певних політик або партій вони можуть впливати на формування уряду, ухвалення законів і державну політику.</w:t>
      </w:r>
    </w:p>
    <w:p w:rsidR="00000000" w:rsidDel="00000000" w:rsidP="00000000" w:rsidRDefault="00000000" w:rsidRPr="00000000" w14:paraId="0000018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По-друге, підтримка та фінансування політичних партій з метою просування своїх регіональних, фінансових інтересів у центр прийнятя політичного рішення. Завдяки впливу на політичні партії ФПГ отримують можливість:</w:t>
      </w:r>
    </w:p>
    <w:p w:rsidR="00000000" w:rsidDel="00000000" w:rsidP="00000000" w:rsidRDefault="00000000" w:rsidRPr="00000000" w14:paraId="00000184">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Просувати вигідні ФПГ законопроєкти або блокувати ініціативи, які можуть обмежити можливості груп (наприклад, антимонопольні, податкові або регуляторні закони, які можуть негативно вплинути на бізнес ФПГ).</w:t>
      </w:r>
    </w:p>
    <w:p w:rsidR="00000000" w:rsidDel="00000000" w:rsidP="00000000" w:rsidRDefault="00000000" w:rsidRPr="00000000" w14:paraId="00000185">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Формувати риторику і програму партії відповідно до інтересів ФПГ . Це може включати теми, які вигідні для лобіювання інтересів певної галузі чи регіону, де працює група. Такі партії можуть акцентувати увагу на питаннях економічної підтримки промисловості, зниженні податкового тиску на великий бізнес або спрощених регуляторних вимогах.</w:t>
      </w:r>
    </w:p>
    <w:p w:rsidR="00000000" w:rsidDel="00000000" w:rsidP="00000000" w:rsidRDefault="00000000" w:rsidRPr="00000000" w14:paraId="00000186">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Призначити лояльні до ФПГ особи на державних посадах після перемоги на виборах, що забезпечують доступ груп до важелів державної влади. Це підтримує як парламент, так і виконавчої влади, де представники можуть просувати інтереси бізнес-групи.</w:t>
      </w:r>
    </w:p>
    <w:p w:rsidR="00000000" w:rsidDel="00000000" w:rsidP="00000000" w:rsidRDefault="00000000" w:rsidRPr="00000000" w14:paraId="00000187">
      <w:pPr>
        <w:keepNext w:val="0"/>
        <w:keepLines w:val="0"/>
        <w:pageBreakBefore w:val="0"/>
        <w:widowControl w:val="1"/>
        <w:numPr>
          <w:ilvl w:val="0"/>
          <w:numId w:val="11"/>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Фінансово та організаційно блокувати суперників , які можуть загрожувати економічними чи політичними інтересами ФПГ, за допомогою медіа, судових позовів або шляхом тиску на політичних конкурентів.</w:t>
      </w:r>
    </w:p>
    <w:p w:rsidR="00000000" w:rsidDel="00000000" w:rsidP="00000000" w:rsidRDefault="00000000" w:rsidRPr="00000000" w14:paraId="0000018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Така взаємозалежність між політичними партіями та ФПГ створює ризик, що партії будуть працювати не в інтересах виборців чи суспільства, а в інтересах вузького кола великих бізнесменів. Це знижує рівень політичної відповідальності партій та послаблює демократичні процеси, перетворюючи політичну систему на інструмент захисту корпоративних інтересів.</w:t>
      </w:r>
    </w:p>
    <w:p w:rsidR="00000000" w:rsidDel="00000000" w:rsidP="00000000" w:rsidRDefault="00000000" w:rsidRPr="00000000" w14:paraId="0000018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Президентські та парламентські вибори 2019 року стали періодом значного оновлення політичного складу країни. Натомість місцевих виборів 2020 року продемонстрували збереження прагнення до існуючого впливу регіональних еліт. Це відобразило два різні та навіть протилежні суспільні запити на національному та регіональному рівнях.</w:t>
      </w:r>
    </w:p>
    <w:p w:rsidR="00000000" w:rsidDel="00000000" w:rsidP="00000000" w:rsidRDefault="00000000" w:rsidRPr="00000000" w14:paraId="0000018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регіонах з'явилося специфічне утворення — регіональні групи впливу (РГВ). Це неформальні союзи місцевих політичних еліт, які контролюють події та процеси на місцевому рівні.</w:t>
      </w:r>
    </w:p>
    <w:p w:rsidR="00000000" w:rsidDel="00000000" w:rsidP="00000000" w:rsidRDefault="00000000" w:rsidRPr="00000000" w14:paraId="0000018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Неформальний статус РГВ надає їм можливість ефективно захищати власні інтереси як у межах регіону, так і в стосунках із центральною владою. Через самоврядування, вплив на державні інститути, контроль економічної та інформаційної сфери РГВ стали вагомою силою майже в кожному регіоні.</w:t>
      </w:r>
    </w:p>
    <w:p w:rsidR="00000000" w:rsidDel="00000000" w:rsidP="00000000" w:rsidRDefault="00000000" w:rsidRPr="00000000" w14:paraId="0000018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РГВ перетворилися на ключовий політичний чинник в Україні. Їх дія є локалізованою, і більшість груп не прагне національного впливу, а швидше орієнтується на обмеження контролю центральної влади у своїх регіонах.</w:t>
      </w:r>
    </w:p>
    <w:p w:rsidR="00000000" w:rsidDel="00000000" w:rsidP="00000000" w:rsidRDefault="00000000" w:rsidRPr="00000000" w14:paraId="0000018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Фактично, РГВ перебрали на себе роль центральної влади у формуванні домовленостей між елітами та суспільством. Це було особливо підкреслено у 2019 році на національних виборах, де головна роль розвивала конкуренцію образів, у той час як місцеві вибори 2020 року стали полем домовленостей еліт і суспільства щодо співробітництва соціальних великих груп</w:t>
      </w:r>
    </w:p>
    <w:p w:rsidR="00000000" w:rsidDel="00000000" w:rsidP="00000000" w:rsidRDefault="00000000" w:rsidRPr="00000000" w14:paraId="0000018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місцевих виборів у 2020 році почався процес становлення регіональних політичних режимів під впливом РГВ. Якщо ця тенденція збережеться, наступний вибірковий цикл може остаточно закріпити такі регіональні системи. Центр втратить значний контроль над регіонами, які своєю чергою можуть втратити інтереси до центральної влади через обмеження впливу на</w:t>
      </w:r>
    </w:p>
    <w:p w:rsidR="00000000" w:rsidDel="00000000" w:rsidP="00000000" w:rsidRDefault="00000000" w:rsidRPr="00000000" w14:paraId="0000018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Наразі є два основних варіанти подальшого розвитку: конфліктний сценарій або діалогова модель.</w:t>
      </w:r>
    </w:p>
    <w:p w:rsidR="00000000" w:rsidDel="00000000" w:rsidP="00000000" w:rsidRDefault="00000000" w:rsidRPr="00000000" w14:paraId="0000019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разі конфлікту центр може спробувати повернути контроль над регіонами та обмежити вплив РГВ. Інший конфліктний шлях — це посилення ізоляції регіонів, аж до ризику сепаратизму, що буде небезпечним як для країни загалом, так і для окремих регіонів.</w:t>
      </w:r>
    </w:p>
    <w:p w:rsidR="00000000" w:rsidDel="00000000" w:rsidP="00000000" w:rsidRDefault="00000000" w:rsidRPr="00000000" w14:paraId="0000019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діалог між центром та регіонами стає реальністю. Він має бути спрямований на визнання нових реалій регіональної політики, де РГВ вже є впливовими гравцями, яких не можна ігнорувати.</w:t>
      </w:r>
    </w:p>
    <w:p w:rsidR="00000000" w:rsidDel="00000000" w:rsidP="00000000" w:rsidRDefault="00000000" w:rsidRPr="00000000" w14:paraId="0000019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результаті такого діалогу має стати новий «пакт еліт», який закріплює політичні домовленості про розподіл повноважень, порядок призначений на ключові посади та механізми представлення регіональних інтересів на державному рівні.</w:t>
      </w:r>
    </w:p>
    <w:p w:rsidR="00000000" w:rsidDel="00000000" w:rsidP="00000000" w:rsidRDefault="00000000" w:rsidRPr="00000000" w14:paraId="0000019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Цей «пакт еліт» також повинен забезпечити взаємну відповідальність центру і регіонів у реалізації владних функцій з урахуванням соціальних аспектів. Оскільки після адміністративно-територіальної реформи в малих населених пунктах з'явилися випадки повної влади, домовленості необхідно охоплювати і ці аспекти.</w:t>
      </w:r>
    </w:p>
    <w:p w:rsidR="00000000" w:rsidDel="00000000" w:rsidP="00000000" w:rsidRDefault="00000000" w:rsidRPr="00000000" w14:paraId="0000019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разі досягнення згоди умови взаємодії між центром та регіонами мають бути зафіксовані на конституційному та законодавчому рівнях, оптимально в межах завершення реформи децентралізації.</w:t>
      </w:r>
    </w:p>
    <w:p w:rsidR="00000000" w:rsidDel="00000000" w:rsidP="00000000" w:rsidRDefault="00000000" w:rsidRPr="00000000" w14:paraId="0000019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Стратегічна домовленість між центром і регіонами дасть можливість створити спільний національний порядок денний, який відобразить інтереси як держави, так і регіонів. Оформлення «пакту еліт» є важливою умовою для побудови нової моделі суспільного договору та визначення напрямку розвитку України.</w:t>
      </w:r>
    </w:p>
    <w:p w:rsidR="00000000" w:rsidDel="00000000" w:rsidP="00000000" w:rsidRDefault="00000000" w:rsidRPr="00000000" w14:paraId="0000019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2020 році завершилося формування об’єднаних територіальних громад (ОТГ), а в Україні нараховується 1470 ОТГ (включаючи Київ). Адміністративно-територіальна реформа та місцеві вибори 2020 року створили нову адміністративну реальність, у якій громади стали основною низькою ланкою [7].</w:t>
      </w:r>
    </w:p>
    <w:p w:rsidR="00000000" w:rsidDel="00000000" w:rsidP="00000000" w:rsidRDefault="00000000" w:rsidRPr="00000000" w14:paraId="0000019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Розпочати у 2014 році децентралізація стала символом модернізації України, яку більшого оцінюють як успішну реформу. Цей успіх значною мірою забезпечує консенсус серед еліт на підтримку децентралізації.</w:t>
      </w:r>
    </w:p>
    <w:p w:rsidR="00000000" w:rsidDel="00000000" w:rsidP="00000000" w:rsidRDefault="00000000" w:rsidRPr="00000000" w14:paraId="0000019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національному рівні не виникло суттєвого опору реформи. Проєвропейські сили вбачали в ній крок до модернізації за зразком, а проросійські сили — відображення своїх поглядів на «народовладдя» і «федералізацію».</w:t>
      </w:r>
    </w:p>
    <w:p w:rsidR="00000000" w:rsidDel="00000000" w:rsidP="00000000" w:rsidRDefault="00000000" w:rsidRPr="00000000" w14:paraId="0000019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Регіональні еліти сприйняли реформу як можливість для реалізації власних цілей, і стали її активними прихильниками, навіть більш послідовними, ніж національні політичні сили.</w:t>
      </w:r>
    </w:p>
    <w:p w:rsidR="00000000" w:rsidDel="00000000" w:rsidP="00000000" w:rsidRDefault="00000000" w:rsidRPr="00000000" w14:paraId="0000019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момент початку реформи в Україні вже існувала обґрунтована теоретична база для її впровадження, сформована завдяки попереднім спробам децентралізації (у 1997, 2005 та 2008–2009 роках). У суспільстві також виник запит на передачу повноважень на місце[7].</w:t>
      </w:r>
    </w:p>
    <w:p w:rsidR="00000000" w:rsidDel="00000000" w:rsidP="00000000" w:rsidRDefault="00000000" w:rsidRPr="00000000" w14:paraId="0000019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2015–2019 роках, за законом «Про добровільне об’єднання територіальних громад», було створено 982 ОТГ. Успішний досвід роботи перших громад отримав широке освітлення, що сприяло подальшому утворенню нових.[6]</w:t>
      </w:r>
    </w:p>
    <w:p w:rsidR="00000000" w:rsidDel="00000000" w:rsidP="00000000" w:rsidRDefault="00000000" w:rsidRPr="00000000" w14:paraId="0000019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місцевих бюджетів дало можливість громадам не тільки вирішувати поточні проблеми, а й реалізовувати проекти розвитку території.</w:t>
      </w:r>
    </w:p>
    <w:p w:rsidR="00000000" w:rsidDel="00000000" w:rsidP="00000000" w:rsidRDefault="00000000" w:rsidRPr="00000000" w14:paraId="0000019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місцевих виборів у 2020 році децентралізацію видно майже завершено, хоча залишаються деякі питання для остаточного закріплення результатів. ОТГ почали активно працювати над формуванням і розподілом бюджетів, а також розвивати нові механізми співпраці на горизонталі</w:t>
      </w:r>
    </w:p>
    <w:p w:rsidR="00000000" w:rsidDel="00000000" w:rsidP="00000000" w:rsidRDefault="00000000" w:rsidRPr="00000000" w14:paraId="0000019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Протест з 2020–2021 років почав виникати нові підходи до оцінки децентралізації. Реформа все частіше стає об'єктом критики.</w:t>
      </w:r>
    </w:p>
    <w:p w:rsidR="00000000" w:rsidDel="00000000" w:rsidP="00000000" w:rsidRDefault="00000000" w:rsidRPr="00000000" w14:paraId="0000019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По-перше, деякі соціально непопулярні рішення, як-от закриття шкіл і поштових відділень викликають незадоволення населення. По-друге, керівники місцевого самоврядування часто неохоче приймають на баланс об’єктів, які потребують значних витрат. Також є побоювання щодо згортання реформ: є ризик, що або процес децентралізації зупиниться на нинішньому етапі, або окремі рішення можуть бути переглянуті в інтересах певних</w:t>
      </w:r>
    </w:p>
    <w:p w:rsidR="00000000" w:rsidDel="00000000" w:rsidP="00000000" w:rsidRDefault="00000000" w:rsidRPr="00000000" w14:paraId="000001A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Загальновизнано, що без змін до Конституції, які б закріпили реформу децентралізації, зберігається ризик її зупинки чи відкату. Відповідно до Концепції реформування місцевого самоврядування та територіальної організації влади, затвердженої Кабінетом Міністрів у 2014 році, першочерговим кроком повинно було стати внесення поправок до Основного закону щодо створення виконавчих органів обласних і районних рад та чіткого розподілу повноважень між ними.</w:t>
      </w:r>
    </w:p>
    <w:p w:rsidR="00000000" w:rsidDel="00000000" w:rsidP="00000000" w:rsidRDefault="00000000" w:rsidRPr="00000000" w14:paraId="000001A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Протест через політичну нестабільність 2014 року внесення конституційних змін виглядало малоймовірним, а реформу почали реалізувати в межах чинної Конституції. Спроба зміни Конституції у 2015 році, одночасно з ухваленням особливого статусу окремих районів Донецької та Луганської областей, призвела до сутичок біля Верховної Ради. Хоча документ ухвалили в першому читанні, повного затвердження змін так і не відбулося [6].</w:t>
      </w:r>
    </w:p>
    <w:p w:rsidR="00000000" w:rsidDel="00000000" w:rsidP="00000000" w:rsidRDefault="00000000" w:rsidRPr="00000000" w14:paraId="000001A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Інший ризик пов'язаний із зростанням напруги між регіональними та центральною владою. Частина політик побоюється, що посилення регіональних еліт призведе до відцентрових процесів, особливо в прикордонних регіонах, де місцева влада може почати ігнор</w:t>
      </w:r>
    </w:p>
    <w:p w:rsidR="00000000" w:rsidDel="00000000" w:rsidP="00000000" w:rsidRDefault="00000000" w:rsidRPr="00000000" w14:paraId="000001A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 час розгляду змін до Конституції також можуть бути загострені повідомлення між державними політичними та громадськими силами, а також правниками щодо окремих положень законопроєкту. Наприклад, навіть на етапі розробки остаточного тексту обговорювалися такі питання, як збереження статусу юридичної особи для громади та доцільності районних рад. У вересні 2021 року перший віце-спікер парламенту Руслан Стефанчук зазначив, що ці питання залишаються відкритими протягом тридцяти років періодично виникали «пасіонарні спалахи» в окремих регіонах України. Проте, раніше це означало, що певна регіональна еліта досягла такого рівня впливу, який дозволяв їй претендувати на значущі політичні та адміністративні позиції в столиці. Тобто, у перші 15-20 років yезалежність надання допомоги розвитку місцевих еліт було благополуччя впливу на загальнонаціональну/</w:t>
      </w:r>
    </w:p>
    <w:p w:rsidR="00000000" w:rsidDel="00000000" w:rsidP="00000000" w:rsidRDefault="00000000" w:rsidRPr="00000000" w14:paraId="000001A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цьому контексті регіони розглядалися не як основний простір для реалізації особистих чи групових інтересів, а як ресурсна база і «трамплін» до посадки на центральному рівні.</w:t>
      </w:r>
    </w:p>
    <w:p w:rsidR="00000000" w:rsidDel="00000000" w:rsidP="00000000" w:rsidRDefault="00000000" w:rsidRPr="00000000" w14:paraId="000001A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найбажанішими політичними та адміністративними ресурсами для регіональних еліт залишилися посади у вертикальній центральній владі. Наприклад, для лідера «донецької» групи Віктора Януковича посада голови обласної адміністрації стала стартовим майданчиком до вищих адміністративних (прем'єрство) і політичних (президентство) посад. Однак тісні зв’язки «донецької» еліти з російськими впливами в Україні обмежили її можливості повноцінно використовувати ресурси регіону[6].</w:t>
      </w:r>
    </w:p>
    <w:p w:rsidR="00000000" w:rsidDel="00000000" w:rsidP="00000000" w:rsidRDefault="00000000" w:rsidRPr="00000000" w14:paraId="000001A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з 1996 року (коли була поліцейована Конституція) до 2005 року (коли набули чинності змін до Конституції на фоні кризи 2004 року) склалася чітка система відносин між центральним і регіональним рівнями політики в Україні. У цій системі центр однозначно домінував, а регіональні еліти були йому підпорядковані.</w:t>
      </w:r>
    </w:p>
    <w:p w:rsidR="00000000" w:rsidDel="00000000" w:rsidP="00000000" w:rsidRDefault="00000000" w:rsidRPr="00000000" w14:paraId="000001A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модель серйозних недоліків, які в кінці-решт призвели до кризи 2004 року та Помаранчевої революції. Спроби Януковича в 2010–2013 роках відновити систему жорсткої централізації, де влада в центрі зосереджена в руках однієї політичної групи, стали причиною Революції</w:t>
      </w:r>
    </w:p>
    <w:p w:rsidR="00000000" w:rsidDel="00000000" w:rsidP="00000000" w:rsidRDefault="00000000" w:rsidRPr="00000000" w14:paraId="000001A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модель централізованих відносин мала ваші вади, що підтверджує неодноразові спроби запровадити елементи децентралізації. Протест, «соціальні ліфти» між регіонами та центром до певного часу функціонували. Однак на рубежі 2000-х і 2010-х років ситуація почала змінюватися.</w:t>
      </w:r>
    </w:p>
    <w:p w:rsidR="00000000" w:rsidDel="00000000" w:rsidP="00000000" w:rsidRDefault="00000000" w:rsidRPr="00000000" w14:paraId="000001A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внесення змін до Конституції також може стати приводом для загострення політичної кризи, якщо деякі політичні сили використовуються незгодою із пропонованими змінами для забезпечення власних інтересів, не пов’язаних із конституцією[7].</w:t>
      </w:r>
    </w:p>
    <w:p w:rsidR="00000000" w:rsidDel="00000000" w:rsidP="00000000" w:rsidRDefault="00000000" w:rsidRPr="00000000" w14:paraId="000001A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Найсприятливішим періодом для внесення змін до Конституції є друга половина 2021 року — перша половина 2022 року, коли політична ситуація стабільна. Із середини 2022 року політичні сили, ймовірно, почнуть зосереджуватися на підготовці до наступних парламентських та</w:t>
      </w:r>
    </w:p>
    <w:p w:rsidR="00000000" w:rsidDel="00000000" w:rsidP="00000000" w:rsidRDefault="00000000" w:rsidRPr="00000000" w14:paraId="000001A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Варто відбутися, що після адміністративно-територіальної реформи на рівнях областей, зокрема укрупнення районів, процес децентралізації торкнувся повсюдного життя громадян. Це викликало певне невдоволення, оскільки люди відчули труднощі з доступом до адміністративних послуг. У результаті почала формуватися критична оцінка реформ, що, напевно, може спонукати політичні сили за допомогою антиреформаторської риторики, зменшуючи шанси на успішне закріплення реформи в Конституції.</w:t>
      </w:r>
    </w:p>
    <w:p w:rsidR="00000000" w:rsidDel="00000000" w:rsidP="00000000" w:rsidRDefault="00000000" w:rsidRPr="00000000" w14:paraId="000001A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Факторами, які «зупиняють соціальний ліфт» є проведення у 2006 та 2007 роках. Вибори до Верховної Ради за пропорційною системою та закритими списками Виборча система, вперше запроваджена у 2006 році, значно зменшила можливості для потужних регіональних гравців вийти на національний політичний рівень. Це дозволяє лідерам партій складати передвиборчі списки на основі принципів особистої лояльності та домовленостей з великими політичними та економічними групами. Представникам регіональних еліт недостатньо бути у виборчих списках і заручитися підтримкою суспільства. Щоб отримати перехідний статус, вони повинні або отримати підтримку керівництва народної партії, або інтегруватися в систему інтересів олігархічної групи. Це призвело до того, що значна кількість потенційно впливових місцевих політиків не змогли подати заявку на посади національного рівня протягом двох виборчих циклів [7]. </w:t>
      </w:r>
    </w:p>
    <w:p w:rsidR="00000000" w:rsidDel="00000000" w:rsidP="00000000" w:rsidRDefault="00000000" w:rsidRPr="00000000" w14:paraId="000001A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 хоча в 2012 р. мажоритарну частину виборчої системи було повернуто, проте в багатьох округах перемогли політики, які підтримувались фінансово-промисловими групами, або ж мали загальнонаціональну підтримку. Таким чином регіональні еліти вчергове не отримали можливості бути представленими на національному рівні.</w:t>
      </w:r>
    </w:p>
    <w:p w:rsidR="00000000" w:rsidDel="00000000" w:rsidP="00000000" w:rsidRDefault="00000000" w:rsidRPr="00000000" w14:paraId="000001A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Структурування національного економічного та політичного простору у вигляді політико-економічних блоків призвело до того, що олігархи стали основними контрагентами центральної влади. Кілька потужних політичних та економічних груп монополізують діалог із центральним урядом. Вони отримують неформальний пріоритет при висуванні кандидатів на важливі адміністративні та політичні посади в центральному уряді, регіонах і великих містах.</w:t>
      </w:r>
    </w:p>
    <w:p w:rsidR="00000000" w:rsidDel="00000000" w:rsidP="00000000" w:rsidRDefault="00000000" w:rsidRPr="00000000" w14:paraId="000001A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того, великі політико-економічні групи встановили панування в інформаційній сфері. Існування кількох таких груп забезпечує плюралізм у політичному процесі. Політична конкуренція в моделях національного розвитку, державній політиці, соціально-політичній конкуренції притаманна Україні протягом останніх десятиліть. Однак ця конкуренція не завжди є відображенням процесів, що відбуваються в суспільстві. Це стало формою боротьби між великими ПЕГ за доступ до ресурсної бази країни.</w:t>
      </w:r>
    </w:p>
    <w:p w:rsidR="00000000" w:rsidDel="00000000" w:rsidP="00000000" w:rsidRDefault="00000000" w:rsidRPr="00000000" w14:paraId="000001B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«Як наслідок, почав наростати розрив між реальними суспільними запитами та інформаційно-політичним порядком денним. Жертвами цього розриву, серед інших, стали регіональні еліти, не включені у систему функціонування олігархічних груп. Тривалий час їхні інтереси ігнорувались, оскільки вони, зазвичай, представляли найменш ресурсні регіони. Крім того, такі самі регіональні лідери та впливові особи не формулювали для себе політичних завдань, які виходили б за рамки боротьби за місце «під парасолею» тієї чи іншої ПЕГ і/або того чи іншого бюрократичного «конгломерату»[7]: - зазначається в доповіді. </w:t>
      </w:r>
    </w:p>
    <w:p w:rsidR="00000000" w:rsidDel="00000000" w:rsidP="00000000" w:rsidRDefault="00000000" w:rsidRPr="00000000" w14:paraId="000001B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Отримавши президентську владу В. Янукович та лідери «Донеччини» почали формувати власні політичні та економічні угруповання, завдяки контролю над країною та владними інститутами прагнуть монополізувати більшість «потоків» і зайняти керівні посади в найважливіших сферах. Прибутковий сектор економіки.</w:t>
      </w:r>
    </w:p>
    <w:p w:rsidR="00000000" w:rsidDel="00000000" w:rsidP="00000000" w:rsidRDefault="00000000" w:rsidRPr="00000000" w14:paraId="000001B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«Сім’я» остаточно «заблокувала соціальний ліфт». Янукович і його «сім'я» намагалися міцно закріпити свої позиції в адміністративній вертикалі, економічному та інформаційному просторі. В результаті «Донецьк» зіткнувся не тільки з суспільством і регіональними елітами, а й з родиною Януковича. Інші олігархічні групи. Ці лінії зіткнення були оновлені наприкінці 2013 року.</w:t>
      </w:r>
    </w:p>
    <w:p w:rsidR="00000000" w:rsidDel="00000000" w:rsidP="00000000" w:rsidRDefault="00000000" w:rsidRPr="00000000" w14:paraId="000001B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дослідженні Українського інститутуту майюутнього (УІМ) зазначається: «Для регіональних еліт період 2010-2013 рр. став часом, коли вони поступово почали переорієнтовуватись з національного на локальний порядок денний. Розуміючи, наскільки складно пробитись в політику загальноукраїнського рівня, регіональні еліти почали більше уваги приділяти місцевим питанням. Більше того, змінилось ставлення до самого факту переходу на національний рівень (депутатство, посади у виконавчій владі, правоохоронних органах). Регіональні еліти почали розглядати ці позиції вже не як самодостатню ціль, а як інструмент, що допомагає реалізувати ті чи інші амбіції «у себе вдома». У цей же період (2010-2013) спостерігається значне збільшення уваги регіональних еліт до настроїв, інтересів, вимог громад в локаціях своєї активності» [7].</w:t>
      </w:r>
    </w:p>
    <w:p w:rsidR="00000000" w:rsidDel="00000000" w:rsidP="00000000" w:rsidRDefault="00000000" w:rsidRPr="00000000" w14:paraId="000001B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Події кінця 2013 та початку 2014 року, які отримали назву Революція Гідності яскраво засвідчили електоральний розкол в регіональних елітах держави та їх залежність від електоральних настроїв в регіонах. Депутати обласного рівня ухвалювали рішення щодо оцінки ситуацій в Україні, керуючись поглядами власних виборців. Так Обласні ради західниз, північних, центральних і частково південних регіонів підтримували учасників революції,  у той час як депутати східних регіонів і подекуди південних підтримували антимайданівців. Така позиція регіональних еліт була прогнозованою, адже повністю відповідала особливостям як електоральної карти так і діяльності політичних партій національного рівня, що підтримувались відповідними регіонами.</w:t>
      </w:r>
    </w:p>
    <w:p w:rsidR="00000000" w:rsidDel="00000000" w:rsidP="00000000" w:rsidRDefault="00000000" w:rsidRPr="00000000" w14:paraId="000001B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Проте навіть участь регіональних еліт у Революції гідності після виборів 2014 року не забезпечило їм представництва у Верховній раді. Зокрема у досліджені Українського інституту майбутнього йдеться: «Персональний склад Верховної Ради, обраної у 2014 р., оновився більше ніж на половину. Але це оновлення відбулось за рахунок громадських активістів центрального рівня, впізнаваних на національному рівні «нових облич», представників волонтерських та добровольчих формувань. Запит на оновлення політичного класу було частково реалізовано у 2014 р. не за рахунок представників регіональних еліт. Так сталося внаслідок різкої зміни національного порядку денного, виходу на перший план тем спротиву російській агресії, модернізації країни, справедливості. Ці питання на той час могли бути важливими для конкретних представників регіональних еліт, але – не для регіональних еліт, як суспільної сили. Політичною відповіддю регіональних еліт стала подальша концентрація уваги на локальному порядку денному. Тим більше, з 2014 р. почалась реалізація реформи децентралізації. На місцевих виборах-2015 регіональні еліти значно активніше, ніж у попередні роки, почали «вкладатись» у локальні кампанії. Почався процес політичної структуризації регіональних політичних режимів»[7].</w:t>
      </w:r>
    </w:p>
    <w:p w:rsidR="00000000" w:rsidDel="00000000" w:rsidP="00000000" w:rsidRDefault="00000000" w:rsidRPr="00000000" w14:paraId="000001B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Вибори до парламенту в 2019 році, попри оновлення трьох четвертих складу Верховної Ради  не забезпечили належного представництва регіональних еліт та їх інтересів у центрі прийняття політичного рішення. Однак інтереси великих фінансових груп через діяльність політичних партій були представлені. Перемога «Зе Команди» суттєво змінила і інтереси самих регіональних політичних еліт. Адже вони зробили ставку не на просування своїх інтересів у центр, а на збереженні влади і впливу в регіоні, яскраво демонструючи свою відцентрову позицію, а скоріше дистанціювання від «Слуги народу». </w:t>
      </w:r>
    </w:p>
    <w:p w:rsidR="00000000" w:rsidDel="00000000" w:rsidP="00000000" w:rsidRDefault="00000000" w:rsidRPr="00000000" w14:paraId="000001B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Таке дистанціювання дослідники пояснюють наступним чином: «Децентралізація створила умови, за яких місцеві бюджетні ресурси стали об’єктом конкуренції. Ці ресурси дозволяють реалізувати проєкти локального значення без включення центру до процесу реалізації. Передача на місця бюджетних ресурсів стала рішенням, яке прискорило процес «виходу» центру з регіонів. Цей процес розпочався ще в ході приватизації. Різке зменшення можливостей центру впливати на регіони стало політичною ціною за передачу економічних об’єктів в руки приватного, ефективного (принаймні, в лексиці офіційної комунікації, а часто – і на практиці) власника. Підприємства опинились в руках або олігархічних груп, або – представників місцевих бюрократичних, ділових, чи навіть напівкримінальних кіл. І – дали як великим ПЕГ, так і регіональним елітам ресурс для власного розвитку та захисту інтересів. Курс на «вихід» центру з регіонів фактично завершився з ухваленням закону про передачу громадам земель державної власності. Фактично, це рішення відібрало у центру останню можливість впливати на позицію регіонів. Передана у власність громад земля наразі швидкими темпами приватизується, даючи додатковий ресурс агрохолдингам та локальним елітам» [7]. </w:t>
      </w:r>
    </w:p>
    <w:p w:rsidR="00000000" w:rsidDel="00000000" w:rsidP="00000000" w:rsidRDefault="00000000" w:rsidRPr="00000000" w14:paraId="000001B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Навіть серед олігархів спостерігалася своєрідний відтік від центру, якщо колись більшість із них на певний час покинули регіональний рівень то наразі вони знову зосереджуються на регіональному рівні з якого і починали формування свої фінансово-промислові групи. Точніше, вони «встановлюють свою територію» в районах, з якими мають зв'язки. Найбільш яскраво це було продемонстровано на прикладі групи «Метінвест» Ахметова, яка втратила базовий регіональний центр Донецьк, але зберегла позиції та намагалася посилити свою присутність у Донецьку в статусі південного регіону. Крім того, організація «увійшла» і створила свою базу в Запорізькій області, яка спочатку була регіоном-сателітом «дніпропетровського клану». У Дніпропетровській області організація Ахметова має сильні позиції в Кривому Розі (і розширює ці позиції).</w:t>
      </w:r>
    </w:p>
    <w:p w:rsidR="00000000" w:rsidDel="00000000" w:rsidP="00000000" w:rsidRDefault="00000000" w:rsidRPr="00000000" w14:paraId="000001B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само частина колишньої приватної групи, афілійованої з Коломойським, фактично втратила свою «базу» – Дніпропетровську область – і прагне експансії на Карпати та Волинь. Через цей процес в Україні остаточно сформувалися сучасні контури феномену регіональних груп впливу (РГВ).</w:t>
      </w:r>
    </w:p>
    <w:p w:rsidR="00000000" w:rsidDel="00000000" w:rsidP="00000000" w:rsidRDefault="00000000" w:rsidRPr="00000000" w14:paraId="000001B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3.2. Децентралізація як стратегія узгодження інтересів національних еліт та регіональних груп впливу</w:t>
      </w:r>
    </w:p>
    <w:p w:rsidR="00000000" w:rsidDel="00000000" w:rsidP="00000000" w:rsidRDefault="00000000" w:rsidRPr="00000000" w14:paraId="000001B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1B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Базовим рівнем функціонування регіональних груп тиску є рівень області відповідно до адміністративно-територіального поділу України.</w:t>
      </w:r>
    </w:p>
    <w:p w:rsidR="00000000" w:rsidDel="00000000" w:rsidP="00000000" w:rsidRDefault="00000000" w:rsidRPr="00000000" w14:paraId="000001B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період 1996-2014 років голова обласної державної адміністрації (ОДА) була центральною фігурою регіональної політики. окремих офіційних обов’язків, він часто виконував роль неформального посередника, що впливав на контакти РГВ з центральними органами влади, і виступав арбітром, координуючи та представляючи узгоджену</w:t>
      </w:r>
    </w:p>
    <w:p w:rsidR="00000000" w:rsidDel="00000000" w:rsidP="00000000" w:rsidRDefault="00000000" w:rsidRPr="00000000" w14:paraId="000001B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Навколо голів ОДА поступово формувалися "регіональні політичні режими", що враховували соціально-економічні особливості регіонів та можливості співпраці з центром і великими політичними й економічними гравцями. Регіональні еліти, у середовищі яких виникали РГВ, функціонували поза формальними державними структурами чи органами місцевого Посада голови ОДА (часто звана "губернатором") обслуговувала центр важелем для контролю за ситуацією в регіонах, тоді як для регіональних груп впливу (РГВ) вона стала об'єктом боротьби. Завданням будь-якої РГВ було забезпечено призначення "свого" кандидата на цю посаду. У регіонах із сильними місцевими лідерами центр РГВ часто мав потребу призначити вихідців із цих груп. Водночас у регіонах із активною конкуренцією між кількома РГВ оптимальним рішенням вважалося визначення «варяга» — нейтральної фігури, головна роль якої полягала в арбітражі між локальними гравцями.</w:t>
      </w:r>
    </w:p>
    <w:p w:rsidR="00000000" w:rsidDel="00000000" w:rsidP="00000000" w:rsidRDefault="00000000" w:rsidRPr="00000000" w14:paraId="000001C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думку А. Ткачука, "протягом 20 років відбувається регіоналізація через виконавчу владу. Голови МДА були не представниками держави, а радше виразниками інтересів місцевих еліт. За весь час було, напевне, два випадки, коли в область призначали головою ОДА не вихідця з цієї області – Москаль на Луганщині в часи Ющенка та Саакашвілі на Одещині часів Порошенка. В тотальній більшості призначення голів ОДА відбувалось як компроміс між Києвом та регіональними елітами. Формально представляючи державу в регіоні, голови ОДА виражали інтереси передусім регіональних еліт і перед ними були відповідальні. Варто згадати події осені 2004 року та весни 2014 року. В обох випадках так звані «губернатори» повели себе саме так, як це вимагали місцеві настрої місцевих еліт. Відсутність жорсткої державної політики, спрямованої на формування єдиного українського простору по всій території держави, вело до того, що різні регіони реалізовували свою політику. Коли в західних, північних та центральних регіонах досить швидко йшло скорочення кількості шкіл з російською мовою навчання, коли місцеві телеканали ставали повністю українськими, перейменовувались вулиці і почали відзначатись власне українські свята, то голови ОДА східних та південних областей робили все з точністю до навпаки, чим суперечності між регіонами лише загострювали."[6]</w:t>
      </w:r>
    </w:p>
    <w:p w:rsidR="00000000" w:rsidDel="00000000" w:rsidP="00000000" w:rsidRDefault="00000000" w:rsidRPr="00000000" w14:paraId="000001C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Хоча РГВ сформувалися на базі обласних центрів, були. Наприклад, група Віктора Балоги почала свій вплив у Мукачеві, згодом охопивши всю Закарпатську область. Група Вілкулів, маючи базу в Кривому Розі, згодом розширила свій вплив на всю Дніпропетровську область, але залишилася з кількома великими РГВ в області.</w:t>
      </w:r>
    </w:p>
    <w:p w:rsidR="00000000" w:rsidDel="00000000" w:rsidP="00000000" w:rsidRDefault="00000000" w:rsidRPr="00000000" w14:paraId="000001C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Обласні центри традиційно ставили головними майданчиками, на яких формувалися, змагалися та узгоджували позиції регіону. Їхня комунікація — як горизонтальна, так і вертикальна — базувалася на неформальних зв'язках.</w:t>
      </w:r>
    </w:p>
    <w:p w:rsidR="00000000" w:rsidDel="00000000" w:rsidP="00000000" w:rsidRDefault="00000000" w:rsidRPr="00000000" w14:paraId="000001C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Великий бізнес завжди змінював активну роль у формуванні регіональних груп впливу (РГВ), часто виступаючи їхнім патроном чи "соціальним замовником". Останнього десятиліття цю роль почали виконувати не тільки традиційні фінансово-промислові олігархії, а й великий агробізнес-імперії. Як результат, в регіонах спостерігається дедалі більше РГВ, що мають аграрне економічне підґрунтя. Часто такі групи функціонують у формі неформальних об’єднань власників агропідприємств, особливо на районному рівні. На обласному рівні прикладами аграрних РГВ є сім’я Засух у Київській області або підприємство «Агродім» у Чернігівській, що асоціюється з родиною В.Давиденка. Деякі аграрні РГВ мають міжрегіональний вплив, але їх діяльність і коаліції в різних випадках можуть суттєво відрізнятися[6].</w:t>
      </w:r>
    </w:p>
    <w:p w:rsidR="00000000" w:rsidDel="00000000" w:rsidP="00000000" w:rsidRDefault="00000000" w:rsidRPr="00000000" w14:paraId="000001C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Формування РГВ за зразком олігархічних структур дало їм можливість контролювати найприбутковіші підприємства та кластери економіки регіону, що дозволило претендувати на ключові адміністративні й політичні позиції. Це також дало їм важелі для встановлення зручних умов співпраці з центральною владою. За формою РГВ копіюють національні олігархічні групи, але за змістом розрізняються, викликані більшими інтересами громад у своїх регіонах, а не тільки центр. Після децентралізації та зростання значення місцевого самоврядування РГВ дедалі активніше співпрацюють з громадами, формуючи й легітимізуючи свою позицію через вираження інтересів місцевих мешканців.</w:t>
      </w:r>
    </w:p>
    <w:p w:rsidR="00000000" w:rsidDel="00000000" w:rsidP="00000000" w:rsidRDefault="00000000" w:rsidRPr="00000000" w14:paraId="000001C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Реформа децентралізації посилила вплив РГВ в регіонах, хоча механізми комунікації з центром залишилися незмінними, що інколи породжує конфлікти інтересів. Центр зберігає інструменти впливу на регіони, але стикається з меншим політичним ресурсом для їх реалізації. На тлі зростання напруги між центром і регіонами олігархічні групи займають позицію очікування, співпрацюючи з обома сторонами залежно від ситуації.</w:t>
      </w:r>
    </w:p>
    <w:p w:rsidR="00000000" w:rsidDel="00000000" w:rsidP="00000000" w:rsidRDefault="00000000" w:rsidRPr="00000000" w14:paraId="000001C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РГВ мають значний вплив на органи місцевого самоврядування, однак представлені в них неформально, через призначених або обраних представників, які виступають за групові інтереси. Це дає РГВ простір для маневру й можливість контролювати впровадження рішень, які генерує центральна влада. Часто такі рішення проходять власну «ревізію» на рівнях області, і їх виконання залежить від того, наскільки вони впливають на інтереси РГВ.</w:t>
      </w:r>
    </w:p>
    <w:p w:rsidR="00000000" w:rsidDel="00000000" w:rsidP="00000000" w:rsidRDefault="00000000" w:rsidRPr="00000000" w14:paraId="000001C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механізмом, якщо хочете блокувати недалекоглядні чи ризиковані ініціативи центру, як це було в 2004 та 2014 роках, коли позиція регіональних груп допомогла Майдану досягти успіху. Водночас, у випадку з масштабними реформами, такими як ринок землі чи судова реформа, РГВ часто чинять спротив, мають інтерес у збереженні неформальних важелів впливу.</w:t>
      </w:r>
    </w:p>
    <w:p w:rsidR="00000000" w:rsidDel="00000000" w:rsidP="00000000" w:rsidRDefault="00000000" w:rsidRPr="00000000" w14:paraId="000001C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Регіональні групи впливу (РГВ), хоча й діють на місцевому рівні, мають значний вплив на загальнодержавну політику через вплив на органи місцевого самоврядування та місцеву виконавчу владу. Крім того, РГВ прагне контролювати ключові адміністративні посади, оскільки доступ до управлінських ресурсів дозволяє їм лобіювати вигідні економічні умови для свого бізнесу та обмежувати конкуренцію. Такі можливості є особливою категорією в контексті аграрного та промислового секторів, які залишаються економічними основами для багатьох регіонів.</w:t>
      </w:r>
    </w:p>
    <w:p w:rsidR="00000000" w:rsidDel="00000000" w:rsidP="00000000" w:rsidRDefault="00000000" w:rsidRPr="00000000" w14:paraId="000001C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Центральна влада стикається з викликами у підтримці контролю над регіонами, де РГВ мають сильні позиції. Після децентралізації обласні та районні структури отримали значно більше можливостей у прийнятті рішень та розподілі фінансових ресурсів, що посилило автономність місцевих еліт. У результаті це відновлення, коли рішення, ухвалені на державному рівні, можуть затримуватися або саботуватися, якщо вони підтримують інтереси РГВ[7].</w:t>
      </w:r>
    </w:p>
    <w:p w:rsidR="00000000" w:rsidDel="00000000" w:rsidP="00000000" w:rsidRDefault="00000000" w:rsidRPr="00000000" w14:paraId="000001C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Відповідно до політичної кон'юнктури, РГВ вибирає різні стратегії, щоб адаптуватися до поточних умов. Наприклад, вони можуть публічно підтримувати центральну владу, якщо це відповідає їхнім інтересам, або, навпаки, об’єднуватися з опозиційними силами на місцевому рівні, щоб зберегти свої позиції. Багато РГВ також беруть участь у неформальних коаліціях із представниками центральної влади, що дозволяє їм мати доступ до ключових ресурсів і впливати на державну політику.</w:t>
      </w:r>
    </w:p>
    <w:p w:rsidR="00000000" w:rsidDel="00000000" w:rsidP="00000000" w:rsidRDefault="00000000" w:rsidRPr="00000000" w14:paraId="000001C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Реформи, спрямовані на децентралізацію, судову реформу та ринок землі, стали для багатьох РГВ як можливості для зміцнення позицій, так і джерелом напруги. Наприклад, відкриття ринку землі загрожує інтересам тих РГВ, які раніше користуються вигодами мораторію на продаж земель сільськогосподарського призначення. Судова реформа також може підірвати можливості впливу РГВ на суди у своїх регіонах, що значно зменшує їхній неформальний контроль над локальною системою правосуддя</w:t>
      </w:r>
    </w:p>
    <w:p w:rsidR="00000000" w:rsidDel="00000000" w:rsidP="00000000" w:rsidRDefault="00000000" w:rsidRPr="00000000" w14:paraId="000001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Місцеві вибори 2020 року стали ключовим етапом, що підкреслив значення регіональної групи впливу (РГВ) у політичному процесі. Результати показали, що місцеві еліти були зосереджені не стільки на партійній боротьбі за представництво в радах, скільки на захисті й розширенні своїх особистих позицій. Для них головним бюджетом була підтримка свого впливу, а отже, в регіонах з високими рейтингами еліти національних партій прагнули контролювати партійні списки. У регіонах із меншою популярністю національних брендів зросла підтримка місцевих партійних проектів.</w:t>
      </w:r>
    </w:p>
    <w:p w:rsidR="00000000" w:rsidDel="00000000" w:rsidP="00000000" w:rsidRDefault="00000000" w:rsidRPr="00000000" w14:paraId="000001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Іноді використовувалися комбіновані стратегії або різні підходи з боку конкуруючих РГВ. Наприклад, у Кривому Розі одна група, яка підтримувала корпорацію «Метінвест», включила своїх кандидатів до списку партії «Слуга народу», тоді як група Вілкулів розвинула свій локальний проект – «Блок Вілкула «Українська перспектива».</w:t>
      </w:r>
    </w:p>
    <w:p w:rsidR="00000000" w:rsidDel="00000000" w:rsidP="00000000" w:rsidRDefault="00000000" w:rsidRPr="00000000" w14:paraId="000001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Хоча законодавство не вимагає формальних коаліцій у місцевих радах, неформальні об’єднання стали очевидними під час виборів керівництва місцевих рад. На публічній площі такі коаліції створювалися під егідою політичних партій, часто з врахуванням інтересів центру, зокрема надання місць для представників «Слуги народу». Втім, у реальності саме РГВ виступали основними гравцями у формуванні коаліцій, а ключові регіональні лідери домовлялися про призначення керівників рад і забезпечували стабільність місцевих органів влади.</w:t>
      </w:r>
    </w:p>
    <w:p w:rsidR="00000000" w:rsidDel="00000000" w:rsidP="00000000" w:rsidRDefault="00000000" w:rsidRPr="00000000" w14:paraId="000001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Органи самоврядування стали головним інструментом для РГВ, дозволяючи їм легітимізувати свою позицію перед центром як виразників інтересів громади. Водночас соціологічні опитування показують, що громадяни більше довіряють регіональним елітам, ніж центральним органам влади. Протест на цьому фоні не створив стабільний союз між громадами та місцевими елітами. Згідно з даними опитувань групи «Рейтинг», проведених у травні 2021 року, більшість громадян не відчули суттєвих успіхів від децентралізації, що вказує на поступове накопичення недовіри до місцевих еліт. Зокрема у досліджені приводяться наступні дані: «Відповідаючи на запитання, чи відчули громадяни якісь результати використання цих коштів (у покращенні якості послуг, благоустрою, соціальної допомоги) за цей час, 51% респондентів зазначили, що вони не відчули жодних змін, 24% відчули певні зміни на краще, а 15% — що відчули зміни лише на гірше. Порівняно з 2017 роком на 4% зменшалася частка респондентів, які не відчули змін, на 8% зросла частка тих, хто відчув позитивні зміни і статистично значуще не змінилася частка тих, хто відчув негативні зміни.</w:t>
      </w:r>
    </w:p>
    <w:p w:rsidR="00000000" w:rsidDel="00000000" w:rsidP="00000000" w:rsidRDefault="00000000" w:rsidRPr="00000000" w14:paraId="000001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Жителі сіл порівняно з жителями міст частіше помічають як позитивні (відповідно 28% і 22%), так і негативні зміни (відповідно 19% і 13%) і рідше говорять про відсутність змін (відповідно 45% і 54%).</w:t>
      </w:r>
    </w:p>
    <w:p w:rsidR="00000000" w:rsidDel="00000000" w:rsidP="00000000" w:rsidRDefault="00000000" w:rsidRPr="00000000" w14:paraId="000001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Відповідаючи на запитання, що дала децентралізація влади (тобто, переміщення багатьох функцій з центру на місця) громадянам, 32% опитаних зазначили, що вся влада опинилася в руках місцевих «князьків», 21% — що пришвидшилося спустошення сіл, селищ та деяких міст, 17% — що покращилася якість послуг для громадян, 14% — що відкрилися нові можливості для громадян впливати на владу.</w:t>
      </w:r>
    </w:p>
    <w:p w:rsidR="00000000" w:rsidDel="00000000" w:rsidP="00000000" w:rsidRDefault="00000000" w:rsidRPr="00000000" w14:paraId="000001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Сільські жителі частіше, ніж жителі міст, говорять про те, що відкрилися нові можливості для громадян впливати на владу (відповідно 17,5% і 13%), що покращилася якість послуг для громадян (відповідно 21% і 15%), що пришвидшилося спустошення сіл, селищ та деяких міст (відповідно 26% і 18,5%), але рідше — про те, що вся влада опинилася в руках місцевих «князьків» (відповідно 27% і 34%)». [16]</w:t>
      </w:r>
    </w:p>
    <w:p w:rsidR="00000000" w:rsidDel="00000000" w:rsidP="00000000" w:rsidRDefault="00000000" w:rsidRPr="00000000" w14:paraId="000001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дослідники Інституту майбутнього України, зазанчають: «Показово, що поступове зростання підтримки реформи супроводжується («компенсується») переадресуванням негативних рефлексій на регіональний рівень. Так, 31,9% респондентів заявили, що в результаті реформи влада опинилась в руках «місцевих князьків» (у 2017 р. цей показник становив 28,7%). 14,4% вважають, що децентралізація відкрила/відкриває нові можливості впливу на владу (у 2017 р. так вважали 24,0%). Це – найбільш тривожні показник для РГВ». [7]</w:t>
      </w:r>
    </w:p>
    <w:p w:rsidR="00000000" w:rsidDel="00000000" w:rsidP="00000000" w:rsidRDefault="00000000" w:rsidRPr="00000000" w14:paraId="000001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тенденції, разом із високою залежністю від місцевих бюджетів, формують нову лінію розколу між центром і регіонами. Водночас РГВ зберігають монопольний контроль над найбільш прибутковими секторами в регіонах, що дозволяє їм домінувати в місцевій політиці та обмежувати конкуренцію з національними та міжнародними інвестиціями. Децентралізація, з одного боку, збільшила бюджетні ресурси регіонів, але, з іншого боку, надала РГВ можливість закріпити свою владу, часто стримуючи прихід великих інвестицій, щоб зберегти економіку.</w:t>
      </w:r>
    </w:p>
    <w:p w:rsidR="00000000" w:rsidDel="00000000" w:rsidP="00000000" w:rsidRDefault="00000000" w:rsidRPr="00000000" w14:paraId="000001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Зрештою, на національному рівні політичний курс зосереджується на модернізації й реформуванні, а на регіональному рівні РГВ здебільшого обирають консервативні стратегії, орієнтуючись на реконструкцію й підтримку звичної економічної структури. Це поглиблює розрив між центром і регіонами, особливо в питаннях доступу до інвестицій і використання бюджетних коштів, що підсилює внутрішні підтвердження та конфлікти між вищим рівнем.</w:t>
      </w:r>
    </w:p>
    <w:p w:rsidR="00000000" w:rsidDel="00000000" w:rsidP="00000000" w:rsidRDefault="00000000" w:rsidRPr="00000000" w14:paraId="000001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Місцеві вибори 2015 і 2020 років продемонстрували стійку тенденцію до зростання впливу регіональних політичних проектів. не допускають формально дозволених регіональних партій, власники локальних політичних брендів знають способи обходити законодавчі органи.</w:t>
      </w:r>
    </w:p>
    <w:p w:rsidR="00000000" w:rsidDel="00000000" w:rsidP="00000000" w:rsidRDefault="00000000" w:rsidRPr="00000000" w14:paraId="000001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Це проявляється в появі на виборах так названих «всеукраїнських» партій із чітко вираженим регіональним спрямуванням у назвах, як-от: «Березанська громада», «Партія чернівчан», «Рідне Закарпаття», «За Одещину», «Черкащани», «Херсонці». ». Зростає і кількість політичних об’єднань з персональним брендуванням, таких як «Команда Андрія Балоги», «УДАР Віталія Кличка», «Блок Едуарда Гурвіца», «Команда Ігоря Сапожка «Єдність», «Блок Вілкула «Українська перспектива», «Блок Вадима». Бойченка» та інші[7].</w:t>
      </w:r>
    </w:p>
    <w:p w:rsidR="00000000" w:rsidDel="00000000" w:rsidP="00000000" w:rsidRDefault="00000000" w:rsidRPr="00000000" w14:paraId="000001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Ця тенденція стала відповіддю регіональних груп впливу на те, що національні політичні партії, по суті, не працюють на місцях. Партійні структури не забезпечують роботу з підготовки кадрів для управління на регіональному рівні, а їхня популярність тісно пов’язана з окремими лідерами, які не завжди підтримують рівень підтримки в різних областях.</w:t>
      </w:r>
    </w:p>
    <w:p w:rsidR="00000000" w:rsidDel="00000000" w:rsidP="00000000" w:rsidRDefault="00000000" w:rsidRPr="00000000" w14:paraId="000001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Для РГВ існує можливість "оренди" національного бренду під час виборів, але дедалі частіше вони обирають інший підхід — створення власних проектів. Така стратегія надає більше свободи у формуванні іміджу партії, дозволяє уникати негативних асоціацій з національним брендом і самостійно вибудовувати команду без узгодження з національними лідерами.</w:t>
      </w:r>
    </w:p>
    <w:p w:rsidR="00000000" w:rsidDel="00000000" w:rsidP="00000000" w:rsidRDefault="00000000" w:rsidRPr="00000000" w14:paraId="000001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 виборах 2020 року регіональні проекти рекомендували себе як серйозні гравці. Деякі партії, як-от «Пропозиція» та «УДАР», показують наміри розширити свій вплив на національний рівень. Обговорюється навіть можливість створення регіональних партій конфедеративного політичного об’єднання для участі в парламентських виборах. Нова система вибору з відкритими списками створює сприятливі умови для реалізації таких ініціатив.</w:t>
      </w:r>
    </w:p>
    <w:p w:rsidR="00000000" w:rsidDel="00000000" w:rsidP="00000000" w:rsidRDefault="00000000" w:rsidRPr="00000000" w14:paraId="000001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майбутньому РГВ, ймовірно, зосередиться на посиленні впливу в умовах змін у політичній та економічній структурі країни. Вони можуть збільшити свою участь у місцевому самоврядуванні та продовжити укріплювати свої позиції через контроль над стратегічними галузями економіки, такими як аграрний сектор, енергетика та транспорт. Водночас центральна влада має потребу в ефективніших механізмах взаємодії з регіонами, щоб уніфікувати конфлікти та забезпечити ефективну реалізацію національної політики на всіх рівнях.</w:t>
      </w:r>
    </w:p>
    <w:p w:rsidR="00000000" w:rsidDel="00000000" w:rsidP="00000000" w:rsidRDefault="00000000" w:rsidRPr="00000000" w14:paraId="000001D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 огляду на зростання впливу місцевих еліт та значення регіональних груп, держава, ймовірно, розвиватиме нові стратегії управління відносинами з регіонами, можливо, шляхом зміцнення нагляду за місцевими органами та вдосконалення механізмів контролю за державними ресурсами. Це може включати модернізацію комунікаційних каналів та створення умов для зворотного зв’язку між центрами та регіонами, щоб зменшити напругу та сприяти гармонізації державної та регіональної політики. Саме політика децентралізації та посилення фінансово-економічної свободи регіонів, є найбільш сприятливою стратегією врахування регіональних інтересів в умовах існування унітарної держави. </w:t>
      </w:r>
    </w:p>
    <w:p w:rsidR="00000000" w:rsidDel="00000000" w:rsidP="00000000" w:rsidRDefault="00000000" w:rsidRPr="00000000" w14:paraId="000001D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Безумовно саме децентралізація виступає однією з найуспішніших стратегій узгодження інтересів регіональних груп тиску на національному рівні реалізації політики. Для врахування інтересів регіональних еліт на загальнодержавному рівні в Україні застосовують різні політичні та адміністративні стратегії. Основні з них включають:</w:t>
      </w:r>
    </w:p>
    <w:p w:rsidR="00000000" w:rsidDel="00000000" w:rsidP="00000000" w:rsidRDefault="00000000" w:rsidRPr="00000000" w14:paraId="000001DE">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Децентралізація. Передача повноважень та ресурсів від центральної влади до місцевих органів самоврядування посилює роль регіональних еліт, адже вони отримують більший контроль над місцевими бюджетами та адміністративними функціями. Це дозволяє елітам відстоювати інтереси своїх регіонів та робить їхній вплив більш видимим у національній політиці.</w:t>
      </w:r>
    </w:p>
    <w:p w:rsidR="00000000" w:rsidDel="00000000" w:rsidP="00000000" w:rsidRDefault="00000000" w:rsidRPr="00000000" w14:paraId="000001DF">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Коаліційні уряди та залучення до центральних органів влади. Центральні політичні сили часто залучають представників регіональних еліт до складу уряду чи адміністративного апарату для забезпечення їхньої лояльності та підтримки у Верховній Раді. Це може бути корисно для розширення політичної підтримки та уникнення конфліктів на регіональному рівні.</w:t>
      </w:r>
    </w:p>
    <w:p w:rsidR="00000000" w:rsidDel="00000000" w:rsidP="00000000" w:rsidRDefault="00000000" w:rsidRPr="00000000" w14:paraId="000001E0">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Програми розвитку регіонів. Фінансування соціальних та економічних проектів у різних областях сприяє збалансованому розвитку України і врахуванню інтересів різних регіонів. Такі програми дозволяють зменшити дисбаланс між регіонами та покращують відносини між центром та місцевими елітами.</w:t>
      </w:r>
    </w:p>
    <w:p w:rsidR="00000000" w:rsidDel="00000000" w:rsidP="00000000" w:rsidRDefault="00000000" w:rsidRPr="00000000" w14:paraId="000001E1">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Квоти та представництво в центральних органах влади. Існує практика залучення представників різних регіонів у державні органи, що допомагає врахувати регіональне різноманіття та інтереси еліт у парламенті, уряді та адміністрації Президента.</w:t>
      </w:r>
    </w:p>
    <w:p w:rsidR="00000000" w:rsidDel="00000000" w:rsidP="00000000" w:rsidRDefault="00000000" w:rsidRPr="00000000" w14:paraId="000001E2">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Фінансові інструменти стимулювання. Центральна влада може застосовувати субвенції, дотації та інші види фінансових стимулів для регіонів, що створює додаткові стимули для співпраці регіональних еліт з центральною владою.</w:t>
      </w:r>
    </w:p>
    <w:p w:rsidR="00000000" w:rsidDel="00000000" w:rsidP="00000000" w:rsidRDefault="00000000" w:rsidRPr="00000000" w14:paraId="000001E3">
      <w:pPr>
        <w:keepNext w:val="0"/>
        <w:keepLines w:val="0"/>
        <w:pageBreakBefore w:val="0"/>
        <w:widowControl w:val="1"/>
        <w:numPr>
          <w:ilvl w:val="0"/>
          <w:numId w:val="12"/>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Культурні та мовні політики. Залучення місцевих культурних і мовних ініціатив дозволяє знизити напругу в регіонах із сильно вираженою національною чи культурною ідентичністю, сприяє інтеграції регіонів та їх представників у загальнодержавний простір.</w:t>
      </w:r>
    </w:p>
    <w:p w:rsidR="00000000" w:rsidDel="00000000" w:rsidP="00000000" w:rsidRDefault="00000000" w:rsidRPr="00000000" w14:paraId="000001E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Ці стратегії допомагають забезпечити рівномірний розвиток регіонів, зменшують соціальні та політичні розбіжності між регіонами, зміцнюють державну єдність і сприяють стабільності в країні.</w:t>
      </w:r>
    </w:p>
    <w:p w:rsidR="00000000" w:rsidDel="00000000" w:rsidP="00000000" w:rsidRDefault="00000000" w:rsidRPr="00000000" w14:paraId="000001E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tl w:val="0"/>
        </w:rPr>
      </w:r>
    </w:p>
    <w:p w:rsidR="00000000" w:rsidDel="00000000" w:rsidP="00000000" w:rsidRDefault="00000000" w:rsidRPr="00000000" w14:paraId="000001E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3.3. Бікамеризм як стратегія представництва регіональних груп впливу на національному рівні політики.</w:t>
      </w:r>
    </w:p>
    <w:p w:rsidR="00000000" w:rsidDel="00000000" w:rsidP="00000000" w:rsidRDefault="00000000" w:rsidRPr="00000000" w14:paraId="000001E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highlight w:val="yellow"/>
          <w:u w:val="none"/>
          <w:vertAlign w:val="baseline"/>
        </w:rPr>
      </w:pPr>
      <w:r w:rsidDel="00000000" w:rsidR="00000000" w:rsidRPr="00000000">
        <w:rPr>
          <w:rtl w:val="0"/>
        </w:rPr>
      </w:r>
    </w:p>
    <w:p w:rsidR="00000000" w:rsidDel="00000000" w:rsidP="00000000" w:rsidRDefault="00000000" w:rsidRPr="00000000" w14:paraId="000001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децентралізації, на нашу думку ефективною стратегією узгодження інтересів регіональних груп тиску міг би бути двопалатний парламент, який може стати ефективним інститутом узгодження інтересів регіональних еліт на загальнонаціональному рівні. В країнах, де існує двопалатний парламент (бікамеризм), верхня палата часто виконує функції представництва регіональних інтересів. Це дозволяє регіонам мати безпосередній вплив на законотворчий процес і захищати свої інтереси на загальнодержавному рівні. Розглянемо, як це може виглядати в українських реаліях:</w:t>
      </w:r>
    </w:p>
    <w:p w:rsidR="00000000" w:rsidDel="00000000" w:rsidP="00000000" w:rsidRDefault="00000000" w:rsidRPr="00000000" w14:paraId="000001E9">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Представництво регіонів у верхній палаті. Верхня палата могла б складатися з представників регіонів, обраних або призначених від кожної області (наприклад, по два сенатори від регіону). Це забезпечило б рівне представництво інтересів усіх регіонів, незалежно від їх розміру або чисельності населення. Такий підхід надає регіональним елітам можливість впливати на рішення, що стосуються регіональної політики, децентралізації, фінансування і розподілу ресурсів.</w:t>
      </w:r>
    </w:p>
    <w:p w:rsidR="00000000" w:rsidDel="00000000" w:rsidP="00000000" w:rsidRDefault="00000000" w:rsidRPr="00000000" w14:paraId="000001EA">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балансу між центральною владою і регіонами. Двопалатна структура може допомогти запобігти надмірній централізації влади, адже верхня палата зазвичай має право вето або може блокувати певні законодавчі ініціативи, що не відповідають інтересам регіонів. Це створює додатковий баланс і змушує обидві палати узгоджувати законопроєкти з урахуванням інтересів регіонів.</w:t>
      </w:r>
    </w:p>
    <w:p w:rsidR="00000000" w:rsidDel="00000000" w:rsidP="00000000" w:rsidRDefault="00000000" w:rsidRPr="00000000" w14:paraId="000001EB">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Інструмент для розв’язання регіональних конфліктів. Двопалатний парламент може бути ефективним інструментом для вирішення міжрегіональних суперечок, адже регіональні представники отримують формальний механізм впливу на загальнонаціональну політику. Це дозволяє уникати ситуацій, коли певні рішення викликають значний спротив у регіонах через недостатнє врахування їхніх інтересів.</w:t>
      </w:r>
    </w:p>
    <w:p w:rsidR="00000000" w:rsidDel="00000000" w:rsidP="00000000" w:rsidRDefault="00000000" w:rsidRPr="00000000" w14:paraId="000001EC">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Забезпечення стабільного представництва інтересів менших регіонів. Верхня палата дозволяє регіонам із меншою чисельністю населення (і, відповідно, меншою кількістю депутатів у нижній палаті) впливати на прийняття законів, не побоюючись домінування більш населених регіонів. Це сприяє рівному та справедливому розподілу влади між різними частинами країни.</w:t>
      </w:r>
    </w:p>
    <w:p w:rsidR="00000000" w:rsidDel="00000000" w:rsidP="00000000" w:rsidRDefault="00000000" w:rsidRPr="00000000" w14:paraId="000001ED">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Сприяння регіональному розвитку через законодавчі ініціативи. Верхня палата, що складається з представників регіонів, може активно ініціювати закони, спрямовані на економічний і соціальний розвиток конкретних областей, що позитивно впливає на загальний розвиток країни та забезпечує більш справедливий розподіл ресурсів.</w:t>
      </w:r>
    </w:p>
    <w:p w:rsidR="00000000" w:rsidDel="00000000" w:rsidP="00000000" w:rsidRDefault="00000000" w:rsidRPr="00000000" w14:paraId="000001EE">
      <w:pPr>
        <w:keepNext w:val="0"/>
        <w:keepLines w:val="0"/>
        <w:pageBreakBefore w:val="0"/>
        <w:widowControl w:val="1"/>
        <w:numPr>
          <w:ilvl w:val="0"/>
          <w:numId w:val="13"/>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Збільшення підзвітності на загальнодержавному рівні. Двопалатна система спонукає політичних акторів узгоджувати свої дії з потребами не тільки загальнонаціональних еліт, але й регіональних. Це покращує підзвітність і підсилює легітимність центральної влади в очах регіонів.</w:t>
      </w:r>
    </w:p>
    <w:p w:rsidR="00000000" w:rsidDel="00000000" w:rsidP="00000000" w:rsidRDefault="00000000" w:rsidRPr="00000000" w14:paraId="000001E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Загалом, двопалатний парламент може відіграти важливу роль у зміцненні державної єдності та стабільності в Україні через інституційне представництво регіональних інтересів, однак його впровадження потребує ретельного обміркування моделей вибору представників, повноважень верхньої палати, а також чіткого розмежування компетенцій.</w:t>
      </w:r>
    </w:p>
    <w:p w:rsidR="00000000" w:rsidDel="00000000" w:rsidP="00000000" w:rsidRDefault="00000000" w:rsidRPr="00000000" w14:paraId="000001F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 наприклад запропонована у 2001 році Леонідом Кучмою реформа, що передбачала створення двопалатного парламенту в Україні, мала на меті вирішити низку політичних та адміністративних проблем, зокрема посилення представництва регіонів на загальнодержавному рівні та зміцнення президентської влади. Розглянемо основні особливості, мотивацію, а також сильні та слабкі сторони цієї реформи.</w:t>
      </w:r>
    </w:p>
    <w:p w:rsidR="00000000" w:rsidDel="00000000" w:rsidP="00000000" w:rsidRDefault="00000000" w:rsidRPr="00000000" w14:paraId="000001F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 Кучма запропонував розділити парламент на дві палати: Верхню палату (або Сенат) і Нижню палату (або Палату депутатів). Нижня палата мала б виконувати основні функції законотворчості, а Верхня — представляти регіональні інтереси та мати право перегляду або вето на певні законопроекти, що стосуються регіонів [4]</w:t>
      </w:r>
    </w:p>
    <w:p w:rsidR="00000000" w:rsidDel="00000000" w:rsidP="00000000" w:rsidRDefault="00000000" w:rsidRPr="00000000" w14:paraId="000001F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Представництво регіонів у Верхній палаті. Верхня палата мала складатися з представників регіонів, обраних за територіальним принципом. Це дало б можливість регіонам впливати на національне законодавство, що має наслідки для їх розвитку, та відстоювати свої інтереси безпосередньо на рівні парламенту.</w:t>
      </w:r>
    </w:p>
    <w:p w:rsidR="00000000" w:rsidDel="00000000" w:rsidP="00000000" w:rsidRDefault="00000000" w:rsidRPr="00000000" w14:paraId="000001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реформа передбачала значну концентрацію повноважень Президента в управлінні країною. Президент мав би отримати більший контроль над призначеннями в уряді та інших державних органах, а також розширені можливості впливу на обидві палати парламенту. Така структура дозволила б Президенту легше впливати на регіональну політику, використовуючи обидві палати для підтримки своїх рішень.</w:t>
      </w:r>
    </w:p>
    <w:p w:rsidR="00000000" w:rsidDel="00000000" w:rsidP="00000000" w:rsidRDefault="00000000" w:rsidRPr="00000000" w14:paraId="000001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Водночас двопалатний парламент мав би створити інституційний баланс між виконавчою владою та законодавчою, адже Верхня палата, що представляє регіони, могла б врівноважувати вплив більш політично орієнтованої Нижньої палати. Це було частиною спроби запобігти концентрації влади в одному органі та сприяти політичній стабільності.</w:t>
      </w:r>
    </w:p>
    <w:p w:rsidR="00000000" w:rsidDel="00000000" w:rsidP="00000000" w:rsidRDefault="00000000" w:rsidRPr="00000000" w14:paraId="000001F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 Кучма намагався вирішити кілька політичних проблем, зокрема:</w:t>
      </w:r>
    </w:p>
    <w:p w:rsidR="00000000" w:rsidDel="00000000" w:rsidP="00000000" w:rsidRDefault="00000000" w:rsidRPr="00000000" w14:paraId="000001F6">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128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Зміцнення державної єдності через формалізацію участі регіонів у національній політиці.</w:t>
      </w:r>
    </w:p>
    <w:p w:rsidR="00000000" w:rsidDel="00000000" w:rsidP="00000000" w:rsidRDefault="00000000" w:rsidRPr="00000000" w14:paraId="000001F7">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128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Посилення впливу президента в умовах зростаючого протистояння з парламентом, який часто мав опозиційний характер.</w:t>
      </w:r>
    </w:p>
    <w:p w:rsidR="00000000" w:rsidDel="00000000" w:rsidP="00000000" w:rsidRDefault="00000000" w:rsidRPr="00000000" w14:paraId="000001F8">
      <w:pPr>
        <w:keepNext w:val="0"/>
        <w:keepLines w:val="0"/>
        <w:pageBreakBefore w:val="0"/>
        <w:widowControl w:val="1"/>
        <w:numPr>
          <w:ilvl w:val="0"/>
          <w:numId w:val="14"/>
        </w:numPr>
        <w:pBdr>
          <w:top w:space="0" w:sz="0" w:val="nil"/>
          <w:left w:space="0" w:sz="0" w:val="nil"/>
          <w:bottom w:space="0" w:sz="0" w:val="nil"/>
          <w:right w:space="0" w:sz="0" w:val="nil"/>
          <w:between w:space="0" w:sz="0" w:val="nil"/>
        </w:pBdr>
        <w:shd w:fill="auto" w:val="clear"/>
        <w:spacing w:after="0" w:before="0" w:line="360" w:lineRule="auto"/>
        <w:ind w:left="1287"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Запобігання політичній нестабільності через розподіл повноважень між двома палатами, що могло б знизити напругу в урядових органах [4].</w:t>
      </w:r>
    </w:p>
    <w:p w:rsidR="00000000" w:rsidDel="00000000" w:rsidP="00000000" w:rsidRDefault="00000000" w:rsidRPr="00000000" w14:paraId="000001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Однією з найсильніших сторін реформи було те, що завдяки двопалатному парламенту регіони отримали б офіційний канал для вираження своїх інтересів у національній політиці. Двопалатна структура могла б зменшити напругу між різними гілками влади та сприяти більшій узгодженості рішень. Реформа, безумовно сприяла посилення ролі президента в умовах політичних конфліктів. Завдяки підвищенню його повноважень, президент отримував би можливість ефективніше керувати країною, особливо в умовах кризи.</w:t>
      </w:r>
    </w:p>
    <w:p w:rsidR="00000000" w:rsidDel="00000000" w:rsidP="00000000" w:rsidRDefault="00000000" w:rsidRPr="00000000" w14:paraId="000001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Однак в умовах не сформованості демократичних цінностей, інститутів та процедур, реформа мала і ряд негативних сторін:</w:t>
      </w:r>
    </w:p>
    <w:p w:rsidR="00000000" w:rsidDel="00000000" w:rsidP="00000000" w:rsidRDefault="00000000" w:rsidRPr="00000000" w14:paraId="000001FB">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Загроза концентрації влади. Реформа передбачала значне розширення повноважень президента, що могло призвести до надмірної концентрації влади в руках однієї особи і створити ризики для демократії.</w:t>
      </w:r>
    </w:p>
    <w:p w:rsidR="00000000" w:rsidDel="00000000" w:rsidP="00000000" w:rsidRDefault="00000000" w:rsidRPr="00000000" w14:paraId="000001FC">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Можливість маніпуляцій через верхню палату. В умовах нестійкої політичної культури існувала загроза, що Верхня палата могла стати інструментом для контролю з боку президента або для збереження інтересів окремих регіональних еліт, а не всіх регіонів загалом.</w:t>
      </w:r>
    </w:p>
    <w:p w:rsidR="00000000" w:rsidDel="00000000" w:rsidP="00000000" w:rsidRDefault="00000000" w:rsidRPr="00000000" w14:paraId="000001FD">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Складність узгодження між палатами. Двопалатний парламент може сповільнити прийняття рішень і створити додаткові перешкоди для ефективної роботи влади через можливі суперечності між палатами.</w:t>
      </w:r>
    </w:p>
    <w:p w:rsidR="00000000" w:rsidDel="00000000" w:rsidP="00000000" w:rsidRDefault="00000000" w:rsidRPr="00000000" w14:paraId="000001FE">
      <w:pPr>
        <w:keepNext w:val="0"/>
        <w:keepLines w:val="0"/>
        <w:pageBreakBefore w:val="0"/>
        <w:widowControl w:val="1"/>
        <w:numPr>
          <w:ilvl w:val="0"/>
          <w:numId w:val="15"/>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Сприйняття як спроба утримання влади. Частина суспільства та політичних сил вважали реформу спробою Кучми зберегти владу, змінивши Конституцію під свій політичний вплив.</w:t>
      </w:r>
    </w:p>
    <w:p w:rsidR="00000000" w:rsidDel="00000000" w:rsidP="00000000" w:rsidRDefault="00000000" w:rsidRPr="00000000" w14:paraId="000001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Хоча запропонована Кучмою двопалатна реформа мала потенціал для вирішення регіональних питань та посилення державної єдності, вона стикалася з суттєвою критикою через загрозу надмірної концентрації влади в руках президента. В умовах політичної нестабільності початку 2000-х років реформа виглядала як спроба адаптувати систему влади під власні політичні потреби, а не як інструмент довготривалої демократичної реформи.</w:t>
      </w:r>
    </w:p>
    <w:p w:rsidR="00000000" w:rsidDel="00000000" w:rsidP="00000000" w:rsidRDefault="00000000" w:rsidRPr="00000000" w14:paraId="000002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найоптимальнішою стратегією врахування інтересів регіональних груп тиску є децентралізація та посилення фінасової самостійності місцевих громад.</w:t>
      </w:r>
    </w:p>
    <w:p w:rsidR="00000000" w:rsidDel="00000000" w:rsidP="00000000" w:rsidRDefault="00000000" w:rsidRPr="00000000" w14:paraId="000002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Висновки до третього розділу</w:t>
      </w:r>
    </w:p>
    <w:p w:rsidR="00000000" w:rsidDel="00000000" w:rsidP="00000000" w:rsidRDefault="00000000" w:rsidRPr="00000000" w14:paraId="0000020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Аналізуючи вплив регіональних груп на регіональну та національну політику, можна дійти висновку, що вони є неформальними об'єднаннями місцевих політичних, економічних та культурних еліт, які мають значний контроль над процесами на місцевому рівні. Завдяки неформальному статусу ці групи здатні ефективно захищати власні інтереси як у межах регіону, так і в комунікації із центральною владою. Їхній вплив проявляється через участь у самоврядуванні, вплив на державні інституції, а також контроль за економічними та інформаційними сферами.</w:t>
      </w:r>
    </w:p>
    <w:p w:rsidR="00000000" w:rsidDel="00000000" w:rsidP="00000000" w:rsidRDefault="00000000" w:rsidRPr="00000000" w14:paraId="000002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Регіональні групи впливу стали важливою силою майже в усіх регіонах, перетворившись на ключовий політичний чинник України. Вони здебільшого орієнтуються на послаблення контролю центральної влади у своїх регіонах, зберігаючи локалізований характер дій. У багатьох випадках вони перебрали на себе роль центральної влади у процесах формування домовленостей між елітами та суспільством. Це було особливо помітно під час виборів 2019 року, де національна політика будувалася навколо протистояння образів, тоді як місцеві вибори 2020 року стали платформою для узгодження інтересів місцевих еліт і суспільства.</w:t>
      </w:r>
    </w:p>
    <w:p w:rsidR="00000000" w:rsidDel="00000000" w:rsidP="00000000" w:rsidRDefault="00000000" w:rsidRPr="00000000" w14:paraId="0000020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місцевих виборів 2020 року розпочався процес становлення регіональних політичних режимів під впливом регіональних груп. Якщо ця тенденція збережеться, наступний виборчий цикл може остаточно закріпити такі моделі. Це, у свою чергу, призведе до втрати значного контролю центру над регіонами, які дедалі більше фокусуватимуться на власних інтересах.</w:t>
      </w:r>
    </w:p>
    <w:p w:rsidR="00000000" w:rsidDel="00000000" w:rsidP="00000000" w:rsidRDefault="00000000" w:rsidRPr="00000000" w14:paraId="0000020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Подальший розвиток може піти двома основними шляхами:</w:t>
      </w:r>
    </w:p>
    <w:p w:rsidR="00000000" w:rsidDel="00000000" w:rsidP="00000000" w:rsidRDefault="00000000" w:rsidRPr="00000000" w14:paraId="00000208">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Конфліктний сценарій. У такому разі центр спробує повернути контроль над регіонами, обмеживши вплив регіональних груп. Це може спричинити ізоляцію регіонів і навіть ризик сепаратистських настроїв, що небезпечно як для держави в цілому, так і для окремих регіонів.</w:t>
      </w:r>
    </w:p>
    <w:p w:rsidR="00000000" w:rsidDel="00000000" w:rsidP="00000000" w:rsidRDefault="00000000" w:rsidRPr="00000000" w14:paraId="00000209">
      <w:pPr>
        <w:keepNext w:val="0"/>
        <w:keepLines w:val="0"/>
        <w:pageBreakBefore w:val="0"/>
        <w:widowControl w:val="1"/>
        <w:numPr>
          <w:ilvl w:val="0"/>
          <w:numId w:val="8"/>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Модель діалогу. Центр має визнати нові реалії регіональної політики та почати діалог із регіонами. У рамках такого підходу регіональні групи повинні бути залучені до формування спільного національного порядку денного.</w:t>
      </w:r>
    </w:p>
    <w:p w:rsidR="00000000" w:rsidDel="00000000" w:rsidP="00000000" w:rsidRDefault="00000000" w:rsidRPr="00000000" w14:paraId="0000020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Результатом діалогу може стати укладення нового «пакту еліт» — політичної угоди щодо розподілу повноважень, процедур призначень на ключові посади та представлення регіональних інтересів на обласному і національному рівнях. Основою для такого діалогу є подальше впровадження децентралізації, яка вже продемонструвала свою ефективність як стратегія узгодження інтересів регіональних еліт із загальнонаціональними цілями.</w:t>
      </w:r>
    </w:p>
    <w:p w:rsidR="00000000" w:rsidDel="00000000" w:rsidP="00000000" w:rsidRDefault="00000000" w:rsidRPr="00000000" w14:paraId="0000020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Ефективним інструментом представлення регіональних інтересів може стати двопалатний парламент. У країнах із бікамерною системою верхня палата зазвичай представляє інтереси регіонів, забезпечуючи їхній вплив на законотворчий процес. Така модель могла б сприяти гармонізації інтересів регіонів із державними завданнями, що особливо важливо для забезпечення політичної стабільності та інтеграції України.</w:t>
      </w:r>
    </w:p>
    <w:p w:rsidR="00000000" w:rsidDel="00000000" w:rsidP="00000000" w:rsidRDefault="00000000" w:rsidRPr="00000000" w14:paraId="0000020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Стратегічна домовленість між центром і регіонами, оформлена через «пакт еліт», стане важливою умовою для побудови нової моделі суспільного договору. Це дозволить сформувати спільний національний порядок денний, який враховує інтереси як держави, так і регіонів, і стане основою для сталого розвитку України.</w:t>
      </w:r>
    </w:p>
    <w:p w:rsidR="00000000" w:rsidDel="00000000" w:rsidP="00000000" w:rsidRDefault="00000000" w:rsidRPr="00000000" w14:paraId="0000020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0E">
      <w:pPr>
        <w:rPr>
          <w:rFonts w:ascii="Times New Roman" w:cs="Times New Roman" w:eastAsia="Times New Roman" w:hAnsi="Times New Roman"/>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0F">
      <w:pPr>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ВИСНОВКИ</w:t>
      </w:r>
    </w:p>
    <w:p w:rsidR="00000000" w:rsidDel="00000000" w:rsidP="00000000" w:rsidRDefault="00000000" w:rsidRPr="00000000" w14:paraId="00000210">
      <w:pPr>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1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Узагальнюючи дослідницьку роботу, слід зазначити, що поставлені дослідницькі завдання вдалося розкрити повною мірою. Таким чином, дослідивши еволюція та сучасний стан теорії груп інтересів в політиці дійшли до висновків, що теорія груп інтересів та тиску, безсумнівно, являє собою найвиваженіший і найточніший на сьогоднішній день підхід до дослідження політичної структури і процесу ухвалення рішень. Причому, як видно з останніх парадигм, що розвинулися наприкінці XX ст., теорія груп інтересів не прагне заперечення елітизму і навіть елементів марксизму. Не варто, однак, забувати, що теорія груп інтересів зародилася і набула своїх сучасних рис у США, хоча й поширилася сьогодні далеко за межі національної наукової школи. Політична структура і процес ухвалення рішень відрізняються від системи до системи, оскільки різні й самі системи, і стратифікаційні піраміди, що утворюють соціальні, політичні та економічні ієрархії. Тому перш ніж братися за аналіз української політичної структури, необхідно спочатку спробувати зрозуміти, яким чином склалася ця структура, за якими принципами розподілено функції та ролі між основними політичними суб'єктами.</w:t>
      </w:r>
    </w:p>
    <w:p w:rsidR="00000000" w:rsidDel="00000000" w:rsidP="00000000" w:rsidRDefault="00000000" w:rsidRPr="00000000" w14:paraId="0000021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Проаналізувавши статус груп тиску в політиці дійшли до висновку, що їх розглядають як організації, створені для захисту інтересів і чинення тиску на громадську владу з метою домогтися ухвалення таких рішень, які відповідали їхнім інтересам. Неабиякою мірою таке розуміння зберігається в певних колах західної науки й донині. Описуючи діяльність цих асоціацій, науковці оперували різними поняттями, зокрема, «потенційні групи», «офіційні особи», «лобі», «угруповання інтересів обов'язкового характеру», «перерозподільні асоціації», виокремлювали різні грані та аспекти їхньої діяльності. Одак синонімічним терміном, що часто вживається у вітчизняній політологічній літературі є поняття «групи впливу». Серед різноманітних видів груп тиску можна виокремити, наприклад, групи: прямого входження, коридорний лобізм, корпоративний лобізм, просунуті групи, кластери зв'язків, "парантелли", що базуються на кланових або родинних зв'язках; олігархії. Найвпливовіші групи тиску отримали назву «груп вето», що означає їхню здатність блокувати або не допускати рішень, які їх не влаштовують.</w:t>
      </w:r>
    </w:p>
    <w:p w:rsidR="00000000" w:rsidDel="00000000" w:rsidP="00000000" w:rsidRDefault="00000000" w:rsidRPr="00000000" w14:paraId="0000021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 Україні найвпливовішими з політичних та економічних груп тиску є фінансово-промислові групи, які мають прямі виходи на уряд і володіють вагомими засобами масової інформації та комунікації. Крім того виокремлюються регіональні групи тиску (впливу). Впливовість цих груп зумовлена слабкістю партійних структур на регіональному рівні, пошереністю неформальних представницьких практик, домінуванням клієнтарно-патримоніальних практик як на регіональному так і на національному рівні, інституційна слабкість держави та її представницьких інститутів як на регіональному так і на місцевому рівні.</w:t>
      </w:r>
    </w:p>
    <w:p w:rsidR="00000000" w:rsidDel="00000000" w:rsidP="00000000" w:rsidRDefault="00000000" w:rsidRPr="00000000" w14:paraId="0000021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Серед вітчизняних регіональних груп тиску виокремлюють: </w:t>
      </w:r>
    </w:p>
    <w:p w:rsidR="00000000" w:rsidDel="00000000" w:rsidP="00000000" w:rsidRDefault="00000000" w:rsidRPr="00000000" w14:paraId="0000021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власне регіональні (діють в межах області, та мають вплив на рівні регіону);</w:t>
      </w:r>
    </w:p>
    <w:p w:rsidR="00000000" w:rsidDel="00000000" w:rsidP="00000000" w:rsidRDefault="00000000" w:rsidRPr="00000000" w14:paraId="0000021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субрегіональні групи (мають центром свого формування певний район області, однак здійснюють свій вплив в межах області);</w:t>
      </w:r>
    </w:p>
    <w:p w:rsidR="00000000" w:rsidDel="00000000" w:rsidP="00000000" w:rsidRDefault="00000000" w:rsidRPr="00000000" w14:paraId="0000021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«локальні олігархії» (бізнесові регіональні групи, що здійснюють вплив на регіональні і державні центри прийняття рішень);</w:t>
      </w:r>
    </w:p>
    <w:p w:rsidR="00000000" w:rsidDel="00000000" w:rsidP="00000000" w:rsidRDefault="00000000" w:rsidRPr="00000000" w14:paraId="0000021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«варяги» (групи що сформувались за мажами свого регіонального впливу).</w:t>
      </w:r>
    </w:p>
    <w:p w:rsidR="00000000" w:rsidDel="00000000" w:rsidP="00000000" w:rsidRDefault="00000000" w:rsidRPr="00000000" w14:paraId="0000021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Дослідивши лобізм як особливу форму діяльності груп тиску в політиці, дійшли висновку, що лобізм це будь-яка спроба індивіда або групи приватних інтересів впливати на рішення влади; у своєму первісному значенні він вказує на дії, що коригують результати голосування законодавців, або впливають на прийняття політичних рішень, хоча водночас лобі діють і поза законодавчим органом влади. Будь-яке нормальне функціонування політичної системи передбачає взаємодію різних компонентів, серед яких аж ніяк не останню роль посідають інтереси різних груп населення, зокрема регіональних груп тиску, способи їхнього відображення і представництва на найвищих рівнях політики. Лобізм - явище сучасного політико-правового життя, що має на увазі активну діяльність будь-яких зацікавлених осіб (як фізичних, так і юридичних) з обстоювання та представлення своїх інтересів на різних рівнях влади з метою здійснення впливу на ухвалювані рішення.</w:t>
      </w:r>
    </w:p>
    <w:p w:rsidR="00000000" w:rsidDel="00000000" w:rsidP="00000000" w:rsidRDefault="00000000" w:rsidRPr="00000000" w14:paraId="0000021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Дослідивши особливості регіоналізму в Україні як чинника трансформації політичної системи дійшли висновку, що регіональний розкол, який виявився в Україні, не коректно пояснювати суто історичною спадщиною. Він набув своїх рис в останні два десятиліття української політичної історії. Український регіоналізм здебільшого спровокований електоральною політикою сьогодення та політичними гаслами багатьох партій. Адже найпростішою формулою накопичення «електорального капіталу» є гра на регіональних, культурних, мовних, конфесійних відмінностях між окремими частинами держави, направлена на конфронтацію електорату різних регіонів.</w:t>
      </w:r>
    </w:p>
    <w:p w:rsidR="00000000" w:rsidDel="00000000" w:rsidP="00000000" w:rsidRDefault="00000000" w:rsidRPr="00000000" w14:paraId="000002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Процес політичної трансформації в Україні протягом тривалого часу засвідчував наявність регіональних протиріч, які розбалансовували сталий процес демократичного переходу. Адже політична система не містила механізмів дієвих механізмів представництва інтересів регіональних груп у центрі прийняття політичних рішень, що призводило до регіональної напруженості. Регіональні еліти не мають реальної легітимності для просування проектів регіонального розвитку. Тому вони змушені політизувати, тобто лобіювати свої інтереси через політичні партії, що призводить до партійної регіоналізації.</w:t>
      </w:r>
    </w:p>
    <w:p w:rsidR="00000000" w:rsidDel="00000000" w:rsidP="00000000" w:rsidRDefault="00000000" w:rsidRPr="00000000" w14:paraId="0000021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Аналіз партійних стратегій узгодження регіональних інтересів засвідчив, що до 2014 року політичні партії, які просували інтереси Російської Федерації наполягали на тому, що єдиним шляхом забезпечення представництва інтересів регіонів є зміна адміністративно-територіального устрою України з унітарного на федеративний. Саме ці ідеї після 2014 року просувала Російська Федерація в публічному просторі, зокрема на переговорах у Мінську. Така стратегія була направлена передусім на дестабілізацію політичної системи України, шляхом посилення представництва російської агентури в регіональних групах впливу. </w:t>
      </w:r>
    </w:p>
    <w:p w:rsidR="00000000" w:rsidDel="00000000" w:rsidP="00000000" w:rsidRDefault="00000000" w:rsidRPr="00000000" w14:paraId="0000021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Політичні партії проукраїнського блоку, від центристів до правих, вбачали узгодження інтересів регіональних груп в межах унітарної держави, однак з широкою децентралізацією, що забезпечить регіональним групам впливу сконцентруватись на рівні регіональної політики, адже саме на місцях залишатимуться значні економічні і фінансові ресурси.</w:t>
      </w:r>
    </w:p>
    <w:p w:rsidR="00000000" w:rsidDel="00000000" w:rsidP="00000000" w:rsidRDefault="00000000" w:rsidRPr="00000000" w14:paraId="0000021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Дослідивши регіональні групи впливу та їх роль у регіональній та національній політиці, дійшли до висновку, що регіональні групи впливу це неформальні союзи місцевих політичних, економічних, культурних еліт, які контролюють події та процеси на місцевому рівні. Неформальний статус регіональних груп впливу надає їм можливість ефективно захищати власні інтереси як у межах регіону, так і в стосунках із центральною владою. Через самоврядування, вплив на державні інститути, контроль економічної та інформаційної сфери регіональні групи впливу стали вагомою силою майже в кожному регіоні. Таким чином, вони перетворилися на ключовий політичний чинник в Україні. Їх дія є локалізованою, і більшість груп не прагне національного впливу, а швидше орієнтується на обмеження контролю центральної влади у своїх регіонах. Фактично, ці групи перебрали на себе роль центральної влади у формуванні домовленостей між елітами та суспільством. Це було особливо підкреслено у 2019 році на національних виборах, де головне протистояння розвивалося навколо конкуренцію образів, у той час як місцеві вибори 2020 року стали полем домовленостей еліт і суспільства щодо співробітництва соціальних великих груп.</w:t>
      </w:r>
    </w:p>
    <w:p w:rsidR="00000000" w:rsidDel="00000000" w:rsidP="00000000" w:rsidRDefault="00000000" w:rsidRPr="00000000" w14:paraId="0000021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Після місцевих виборів у 2020 році почався процес становлення регіональних політичних режимів під впливом РГВ. Якщо ця тенденція збережеться, наступний вибірковий цикл може остаточно закріпити такі регіональні системи. Центр втратить значний контроль над регіонами, які своєю чергою можуть втратити інтереси до центральної влади через обмеження впливу на</w:t>
      </w:r>
    </w:p>
    <w:p w:rsidR="00000000" w:rsidDel="00000000" w:rsidP="00000000" w:rsidRDefault="00000000" w:rsidRPr="00000000" w14:paraId="000002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Наразі є два основних варіанти подальшого розвитку: конфліктний сценарій або діалогова модель. У разі конфлікту центр може спробувати повернути контроль над регіонами та обмежити вплив РГВ. Інший конфліктний шлях — це посилення ізоляції регіонів, аж до ризику сепаратизму, що буде небезпечним як для країни загалом, так і для окремих регіонів.</w:t>
      </w:r>
    </w:p>
    <w:p w:rsidR="00000000" w:rsidDel="00000000" w:rsidP="00000000" w:rsidRDefault="00000000" w:rsidRPr="00000000" w14:paraId="0000022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Тому діалог між центром та регіонами стає сучасною політичною реальністю. Він має бути спрямований на визнання нових реалій регіональної політики, де регіональні групи тиску вже є впливовими гравцями, яких не можна ігнорувати.</w:t>
      </w:r>
    </w:p>
    <w:p w:rsidR="00000000" w:rsidDel="00000000" w:rsidP="00000000" w:rsidRDefault="00000000" w:rsidRPr="00000000" w14:paraId="0000022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У результаті такого діалогу має бути новий «пакт еліт», який закріплює політичні домовленості про розподіл повноважень, порядок призначення на ключові посади та механізми представлення регіональних інтересів на обласному та національному рівні. Осново такої стратегії узгодженої взаємодії є подальше впровадження децентралізації.</w:t>
      </w:r>
    </w:p>
    <w:p w:rsidR="00000000" w:rsidDel="00000000" w:rsidP="00000000" w:rsidRDefault="00000000" w:rsidRPr="00000000" w14:paraId="0000022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Стратегічна домовленість між центром і регіонами дасть можливість створити спільний національний порядок денний, який відобразить інтереси як держави, так і регіонів. Оформлення «пакту еліт» є важливою умовою для побудови нової моделі суспільного договору та визначення напрямку розвитку України.</w:t>
      </w:r>
    </w:p>
    <w:p w:rsidR="00000000" w:rsidDel="00000000" w:rsidP="00000000" w:rsidRDefault="00000000" w:rsidRPr="00000000" w14:paraId="0000022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Таким чином серед основних стратегій узгодження інтересів регіональних груп тиску на національному та регіональному рівні можна виокремити децентралізацію, яка забезпечить наступні наслідки:</w:t>
      </w:r>
    </w:p>
    <w:p w:rsidR="00000000" w:rsidDel="00000000" w:rsidP="00000000" w:rsidRDefault="00000000" w:rsidRPr="00000000" w14:paraId="00000225">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Зниження напруженості між центром і регіонами. Децентралізація дозволяє регіонам отримати більше повноважень у вирішенні місцевих питань, таких як бюджетування, економічне планування та управління інфраструктурою. Це зменшує відчуття "диктату" з боку центрального уряду та підвищення більшої довіри до національного рівня влади і до обласного зокрема; </w:t>
      </w:r>
    </w:p>
    <w:p w:rsidR="00000000" w:rsidDel="00000000" w:rsidP="00000000" w:rsidRDefault="00000000" w:rsidRPr="00000000" w14:paraId="00000226">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Підвищення відповідальності регіональної влади. Коли регіональні лідери отримують контроль над ресурсами та прийняттям рішень, вони стають більш відповідальними перед своїми громадами. Це сприяє розвитку місцевої демократії та ефективність управління.</w:t>
      </w:r>
    </w:p>
    <w:p w:rsidR="00000000" w:rsidDel="00000000" w:rsidP="00000000" w:rsidRDefault="00000000" w:rsidRPr="00000000" w14:paraId="00000227">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Зменшення корупції. Перенесення повноважень на місцевий рівень може створити прозорі механізми контролю, оскільки громадськість має більше можливостей впливу на регіональні еліти, а вони стають більш залежними від громадської думки на місцях.</w:t>
      </w:r>
    </w:p>
    <w:p w:rsidR="00000000" w:rsidDel="00000000" w:rsidP="00000000" w:rsidRDefault="00000000" w:rsidRPr="00000000" w14:paraId="00000228">
      <w:pPr>
        <w:keepNext w:val="0"/>
        <w:keepLines w:val="0"/>
        <w:pageBreakBefore w:val="0"/>
        <w:widowControl w:val="1"/>
        <w:numPr>
          <w:ilvl w:val="0"/>
          <w:numId w:val="6"/>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Підтримка культурної особливості регіонів. Децентралізація може сприяти розвитку культурного різноманіття регіонів.</w:t>
      </w:r>
    </w:p>
    <w:p w:rsidR="00000000" w:rsidDel="00000000" w:rsidP="00000000" w:rsidRDefault="00000000" w:rsidRPr="00000000" w14:paraId="00000229">
      <w:pPr>
        <w:keepNext w:val="0"/>
        <w:keepLines w:val="0"/>
        <w:pageBreakBefore w:val="0"/>
        <w:widowControl w:val="1"/>
        <w:numPr>
          <w:ilvl w:val="0"/>
          <w:numId w:val="7"/>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Стимулювання економічного розвитку. Регіони, які тримають більше повноважень у розпорядженні своїми бюджетами, можуть краще адаптуватися до локальних економічних умов. </w:t>
      </w:r>
    </w:p>
    <w:p w:rsidR="00000000" w:rsidDel="00000000" w:rsidP="00000000" w:rsidRDefault="00000000" w:rsidRPr="00000000" w14:paraId="0000022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Безумовно саме децентралізація виступає однією з найуспішніших стратегій узгодження інтересів регіональних груп тиску на національному рівні реалізації політики. Для врахування інтересів регіональних еліт на загальнодержавному рівні в Україні застосовують різні політичні та адміністративні стратегії. Основні з них включають:</w:t>
      </w:r>
    </w:p>
    <w:p w:rsidR="00000000" w:rsidDel="00000000" w:rsidP="00000000" w:rsidRDefault="00000000" w:rsidRPr="00000000" w14:paraId="000002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1.</w:t>
        <w:tab/>
        <w:t xml:space="preserve">Децентралізація. Передача повноважень та ресурсів від центральної влади до місцевих органів самоврядування посилює роль регіональних еліт, адже вони отримують більший контроль над місцевими бюджетами та адміністративними функціями. Це дозволяє елітам відстоювати інтереси своїх регіонів та робить їхній вплив більш видимим у національній політиці.</w:t>
      </w:r>
    </w:p>
    <w:p w:rsidR="00000000" w:rsidDel="00000000" w:rsidP="00000000" w:rsidRDefault="00000000" w:rsidRPr="00000000" w14:paraId="000002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2.</w:t>
        <w:tab/>
        <w:t xml:space="preserve">Коаліційні уряди та залучення до центральних органів влади. Центральні політичні сили часто залучають представників регіональних еліт до складу уряду чи адміністративного апарату для забезпечення їхньої лояльності та підтримки у Верховній Раді. Це може бути корисно для розширення політичної підтримки та уникнення конфліктів на регіональному рівні.</w:t>
      </w:r>
    </w:p>
    <w:p w:rsidR="00000000" w:rsidDel="00000000" w:rsidP="00000000" w:rsidRDefault="00000000" w:rsidRPr="00000000" w14:paraId="0000022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3.</w:t>
        <w:tab/>
        <w:t xml:space="preserve">Програми розвитку регіонів. Фінансування соціальних та економічних проектів у різних областях сприяє збалансованому розвитку України і врахуванню інтересів різних регіонів. Такі програми дозволяють зменшити дисбаланс між регіонами та покращують відносини між центром та місцевими елітами.</w:t>
      </w:r>
    </w:p>
    <w:p w:rsidR="00000000" w:rsidDel="00000000" w:rsidP="00000000" w:rsidRDefault="00000000" w:rsidRPr="00000000" w14:paraId="0000022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4.</w:t>
        <w:tab/>
        <w:t xml:space="preserve">Квоти та представництво в центральних органах влади. Існує практика залучення представників різних регіонів у державні органи, що допомагає врахувати регіональне різноманіття та інтереси еліт у парламенті, уряді та адміністрації Президента.</w:t>
      </w:r>
    </w:p>
    <w:p w:rsidR="00000000" w:rsidDel="00000000" w:rsidP="00000000" w:rsidRDefault="00000000" w:rsidRPr="00000000" w14:paraId="0000022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5.</w:t>
        <w:tab/>
        <w:t xml:space="preserve">Фінансові інструменти стимулювання. Центральна влада може застосовувати субвенції, дотації та інші види фінансових стимулів для регіонів, що створює додаткові стимули для співпраці регіональних еліт з центральною владою.</w:t>
      </w:r>
    </w:p>
    <w:p w:rsidR="00000000" w:rsidDel="00000000" w:rsidP="00000000" w:rsidRDefault="00000000" w:rsidRPr="00000000" w14:paraId="000002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6.</w:t>
        <w:tab/>
        <w:t xml:space="preserve">Культурні та мовні політики. Залучення місцевих культурних і мовних ініціатив дозволяє знизити напругу в регіонах із сильно вираженою національною чи культурною ідентичністю, сприяє інтеграції регіонів та їх представників у загальнодержавний простір.</w:t>
      </w:r>
    </w:p>
    <w:p w:rsidR="00000000" w:rsidDel="00000000" w:rsidP="00000000" w:rsidRDefault="00000000" w:rsidRPr="00000000" w14:paraId="0000023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Крім децентралізації, на нашу думку ефективною стратегією узгодження інтересів регіональних груп тиску міг би бути двопалатний парламент, який може стати ефективним інститутом узгодження інтересів регіональних еліт на загальнонаціональному рівні. В країнах, де існує двопалатний парламент (бікамеризм), верхня палата часто виконує функції представництва регіональних інтересів. Це дозволяє регіонам мати безпосередній вплив на законотворчий процес і захищати свої інтереси на загальнодержавному рівні.</w:t>
      </w:r>
    </w:p>
    <w:p w:rsidR="00000000" w:rsidDel="00000000" w:rsidP="00000000" w:rsidRDefault="00000000" w:rsidRPr="00000000" w14:paraId="00000232">
      <w:pPr>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5">
      <w:pPr>
        <w:spacing w:line="360" w:lineRule="auto"/>
        <w:ind w:firstLine="567"/>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236">
      <w:pPr>
        <w:jc w:val="both"/>
        <w:rPr>
          <w:rFonts w:ascii="Times New Roman" w:cs="Times New Roman" w:eastAsia="Times New Roman" w:hAnsi="Times New Roman"/>
          <w:b w:val="1"/>
          <w:sz w:val="28"/>
          <w:szCs w:val="28"/>
        </w:rPr>
      </w:pPr>
      <w:r w:rsidDel="00000000" w:rsidR="00000000" w:rsidRPr="00000000">
        <w:rPr>
          <w:rtl w:val="0"/>
        </w:rPr>
      </w:r>
    </w:p>
    <w:p w:rsidR="00000000" w:rsidDel="00000000" w:rsidP="00000000" w:rsidRDefault="00000000" w:rsidRPr="00000000" w14:paraId="00000237">
      <w:pPr>
        <w:rPr>
          <w:rFonts w:ascii="Times New Roman" w:cs="Times New Roman" w:eastAsia="Times New Roman" w:hAnsi="Times New Roman"/>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2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center"/>
        <w:rPr>
          <w:rFonts w:ascii="Times New Roman" w:cs="Times New Roman" w:eastAsia="Times New Roman" w:hAnsi="Times New Roman"/>
          <w:b w:val="1"/>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1"/>
          <w:i w:val="0"/>
          <w:smallCaps w:val="0"/>
          <w:strike w:val="0"/>
          <w:color w:val="000000"/>
          <w:sz w:val="28"/>
          <w:szCs w:val="28"/>
          <w:u w:val="none"/>
          <w:shd w:fill="auto" w:val="clear"/>
          <w:vertAlign w:val="baseline"/>
          <w:rtl w:val="0"/>
        </w:rPr>
        <w:t xml:space="preserve">СПИСОК ВИКОРИСТАНОЇ ЛІТЕРАТУРИ</w:t>
      </w:r>
    </w:p>
    <w:p w:rsidR="00000000" w:rsidDel="00000000" w:rsidP="00000000" w:rsidRDefault="00000000" w:rsidRPr="00000000" w14:paraId="0000023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3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Архів Української Народної Республіки. Міністерство внутрішніх А 87 справ. Звіти департаментів державної варти та політичної інформації (1918–1922) / Упорядкував Валентин Кавунник. — Київ, Інститут української археографії та джерелознавства ім. М. С. Грушевського, 2018. — 612 с.</w:t>
      </w:r>
    </w:p>
    <w:p w:rsidR="00000000" w:rsidDel="00000000" w:rsidP="00000000" w:rsidRDefault="00000000" w:rsidRPr="00000000" w14:paraId="0000023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Базалєєв В. Україна: унітарна чи федеративна. Київ, 2004. 242 с. 125</w:t>
      </w:r>
    </w:p>
    <w:p w:rsidR="00000000" w:rsidDel="00000000" w:rsidP="00000000" w:rsidRDefault="00000000" w:rsidRPr="00000000" w14:paraId="0000023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Бентлі Артур Фішер. "Процес управління". URL: https://anthologyforthelazy.webnode.com.ua/l/artur-fisher-bentli-protses-upravlinnya/ (дата звернення: 21.10.2024).  </w:t>
      </w:r>
    </w:p>
    <w:p w:rsidR="00000000" w:rsidDel="00000000" w:rsidP="00000000" w:rsidRDefault="00000000" w:rsidRPr="00000000" w14:paraId="0000023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ГЛАВКОМ. Ті самі граблі: яким хотіли бачити двопалатний парламент Кучма і Ющенко. ГЛАВКОМ. URL: https://glavcom.ua/publications/120657-ti-sami-grabli-jakim-hotili-bachiti-dvopalatnij-parlament-kuchma-i-jushchenko.html (дата звернення: 13.11.2024)</w:t>
      </w:r>
    </w:p>
    <w:p w:rsidR="00000000" w:rsidDel="00000000" w:rsidP="00000000" w:rsidRDefault="00000000" w:rsidRPr="00000000" w14:paraId="0000023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Грушевський М. Українська партія соціалістів-революціонерів та її завдання / М. Грушевський  [Електронний ресурс] //  Режим доступу: </w:t>
      </w:r>
      <w:hyperlink r:id="rId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http://www.ualogos.kiev.ua/toprint.html?id=1215</w:t>
        </w:r>
      </w:hyperlink>
      <w:r w:rsidDel="00000000" w:rsidR="00000000" w:rsidRPr="00000000">
        <w:rPr>
          <w:rtl w:val="0"/>
        </w:rPr>
      </w:r>
    </w:p>
    <w:p w:rsidR="00000000" w:rsidDel="00000000" w:rsidP="00000000" w:rsidRDefault="00000000" w:rsidRPr="00000000" w14:paraId="0000023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Децентралізація, регіоналізація, згуртованість? Міркування. - Інститут громадянського суспільства. Інститут громадянського суспільства. URL: https://www.csi.org.ua/publications/detsentralizatsiya-regionalizatsiya-zgurtovanist-mirkuvannya/ (дата звернення: 13.11.2024)</w:t>
      </w:r>
    </w:p>
    <w:p w:rsidR="00000000" w:rsidDel="00000000" w:rsidP="00000000" w:rsidRDefault="00000000" w:rsidRPr="00000000" w14:paraId="0000024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Доповідь: Партії регіонів: у що і як грають регіональні групи впливу на полях незавершеної децентралізації - Український інститут майбутнього.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Український інститут майбутнього - Кадровий резерв майбутнього</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https://uifuture.org/publications/dopovid-vidnosyny-kyyeva-i-regioniv-perezavantazhennya/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11.11.2024)</w:t>
      </w:r>
    </w:p>
    <w:p w:rsidR="00000000" w:rsidDel="00000000" w:rsidP="00000000" w:rsidRDefault="00000000" w:rsidRPr="00000000" w14:paraId="0000024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00" w:before="0" w:line="276"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Записки Федераліста Політичні есе Александера Гамільтона, Джеймса Медісона та Джона Джея. URL: </w:t>
      </w:r>
      <w:hyperlink r:id="rId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https://gotoquality.org.ua/TheFederalist.html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21.10.2024).)</w:t>
      </w:r>
    </w:p>
    <w:p w:rsidR="00000000" w:rsidDel="00000000" w:rsidP="00000000" w:rsidRDefault="00000000" w:rsidRPr="00000000" w14:paraId="0000024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Конституція України. Офіційний вебпортал парламенту України. URL: https://zakon.rada.gov.ua/laws/show/254к/96-вр#Text (дата звернення: 27.10.2024)</w:t>
      </w:r>
    </w:p>
    <w:p w:rsidR="00000000" w:rsidDel="00000000" w:rsidP="00000000" w:rsidRDefault="00000000" w:rsidRPr="00000000" w14:paraId="0000024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Кройтор А.В. Регіональний розкол в Україні: основні причини Міжнародна науково-практична конференція «Реалії та перспективи розвитку суспільства: соціальні, психологічні і політичні аспекти» (Сладковічево, Словацька Республіка. 28–29 жовтня 2016 р.) С. 177–180.</w:t>
      </w:r>
    </w:p>
    <w:p w:rsidR="00000000" w:rsidDel="00000000" w:rsidP="00000000" w:rsidRDefault="00000000" w:rsidRPr="00000000" w14:paraId="0000024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Кучеренко Т.В. Регіон в територіальному устрої України: концептуальні підходи і політична практика / Т. Кучеренко // Вісник Харківського національного університету ім. В.Н. Каразіна. «Питання політології». — Харків, 2001. — № 518. — С.125-131</w:t>
      </w:r>
    </w:p>
    <w:p w:rsidR="00000000" w:rsidDel="00000000" w:rsidP="00000000" w:rsidRDefault="00000000" w:rsidRPr="00000000" w14:paraId="0000024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Лупацій В. Українські еліти перед вибором: реінтеграція чи стихійна фрагментація?.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День</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2006. 25 трав. URL: </w:t>
      </w:r>
      <w:hyperlink r:id="rId1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https://day.kyiv.ua/article/polityka/ukrayinski-elity-pered-vyborom</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10.11.2024).</w:t>
      </w:r>
    </w:p>
    <w:p w:rsidR="00000000" w:rsidDel="00000000" w:rsidP="00000000" w:rsidRDefault="00000000" w:rsidRPr="00000000" w14:paraId="0000024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Макаров Г. Динаміка регіоналізму у незалежній Україні / Г. Макаров // Вісник Київського національного університету імені Тараса Шевченка. Серія: Філософія. Політологія. – К.: ВПЦ «Київський університет». -  2004. - №.67-68. - С.40-44. </w:t>
      </w:r>
    </w:p>
    <w:p w:rsidR="00000000" w:rsidDel="00000000" w:rsidP="00000000" w:rsidRDefault="00000000" w:rsidRPr="00000000" w14:paraId="0000024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Михайлич О. Регіональний чинник електоральних орієнтацій в Україні. URL: </w:t>
      </w:r>
      <w:hyperlink r:id="rId1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www.politik.org.ua</w:t>
        </w:r>
      </w:hyperlink>
      <w:r w:rsidDel="00000000" w:rsidR="00000000" w:rsidRPr="00000000">
        <w:rPr>
          <w:rtl w:val="0"/>
        </w:rPr>
      </w:r>
    </w:p>
    <w:p w:rsidR="00000000" w:rsidDel="00000000" w:rsidP="00000000" w:rsidRDefault="00000000" w:rsidRPr="00000000" w14:paraId="0000024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Міхновський М. Самостійна Україна / М. Міхновський [Електронний ресурс]// Режим доступу: http://www.ukrstor. com/ukrstor/ mihnowskij-samostijnaukraina.html (дата звернення: 27.10.2024)</w:t>
      </w:r>
    </w:p>
    <w:p w:rsidR="00000000" w:rsidDel="00000000" w:rsidP="00000000" w:rsidRDefault="00000000" w:rsidRPr="00000000" w14:paraId="0000024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Оцінка громадянами України наслідків реформи децентралізації і готовність брати участь у житті місцевої громади. Бачення ролі бізнесу в розвитку громад (травень 2021р.). Центр Разумкова. URL: https://razumkov.org.ua/napriamky/sotsiologichni-doslidzhennia/otsinka-gromadianamy-ukrainy-naslidkiv-reformy-detsentralizatsii-i-gotovnist-braty-uchast-u-zhytti-mistsevoi-gromady-bachennia-roli-biznesu-v-rozvytku-gromad-traven-2021r?fbclid=IwAR2QPaUBnF7Iq (дата звернення: 13.11.2024)</w:t>
      </w:r>
    </w:p>
    <w:p w:rsidR="00000000" w:rsidDel="00000000" w:rsidP="00000000" w:rsidRDefault="00000000" w:rsidRPr="00000000" w14:paraId="0000024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«Ліберальної партії України» у 2006 р. URL:</w:t>
      </w:r>
      <w:hyperlink r:id="rId1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www.deputat.org/index.php?page=party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27.10.2024)</w:t>
      </w:r>
    </w:p>
    <w:p w:rsidR="00000000" w:rsidDel="00000000" w:rsidP="00000000" w:rsidRDefault="00000000" w:rsidRPr="00000000" w14:paraId="0000024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«Міжрегіонального блоку реформ» </w:t>
      </w:r>
      <w:hyperlink r:id="rId1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URL://www.nbuv.gov.ua/polit/election/2006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27.10.2024)</w:t>
      </w:r>
    </w:p>
    <w:p w:rsidR="00000000" w:rsidDel="00000000" w:rsidP="00000000" w:rsidRDefault="00000000" w:rsidRPr="00000000" w14:paraId="0000024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«Опозиційного блоку Не ТАК» URL: </w:t>
      </w:r>
      <w:hyperlink r:id="rId1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http://sdpuo.com.ua/elections/2006/opoziciyniy-block-ne-tak-/43d60bc5548d1/</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27.10.2024)</w:t>
      </w:r>
    </w:p>
    <w:p w:rsidR="00000000" w:rsidDel="00000000" w:rsidP="00000000" w:rsidRDefault="00000000" w:rsidRPr="00000000" w14:paraId="0000024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«Селянської  партії України» у 2006р. URL: //www.deputat.org/index.php?page=party (дата звернення: 27.10.2024)</w:t>
      </w:r>
    </w:p>
    <w:p w:rsidR="00000000" w:rsidDel="00000000" w:rsidP="00000000" w:rsidRDefault="00000000" w:rsidRPr="00000000" w14:paraId="0000024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«Слов’янської партії України» від 2006 р. URL: http: //www.deputat.org/index.php?page= party. (дата звернення: 27.10.2024)</w:t>
      </w:r>
    </w:p>
    <w:p w:rsidR="00000000" w:rsidDel="00000000" w:rsidP="00000000" w:rsidRDefault="00000000" w:rsidRPr="00000000" w14:paraId="0000024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Блоку «ПОРА-ПРП» URL:  </w:t>
      </w:r>
      <w:hyperlink r:id="rId15">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http://election2006.ukrinform.ua/partia.php?currPart=26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27.10.2024)</w:t>
      </w:r>
    </w:p>
    <w:p w:rsidR="00000000" w:rsidDel="00000000" w:rsidP="00000000" w:rsidRDefault="00000000" w:rsidRPr="00000000" w14:paraId="0000025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Передвиборча програма Партії Регіонів URL: </w:t>
      </w:r>
      <w:hyperlink r:id="rId16">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http://election2006.ukrinform.ua/partia.php?currPart=26</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27.10.2024)</w:t>
      </w:r>
    </w:p>
    <w:p w:rsidR="00000000" w:rsidDel="00000000" w:rsidP="00000000" w:rsidRDefault="00000000" w:rsidRPr="00000000" w14:paraId="0000025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Постанови Великого збору Організації Українських Націоналістів. 1929. Павло Гай Нижник: історія, політика, поезія. Особистий сайт / Pavlo Hai-Nyzhnyk: history, policy, poetry. The personal website. URL: https://hai-nyzhnyk.in.ua/doc2/1929.kongres_oun.php (дата звернення: 27.10.2024)</w:t>
      </w:r>
    </w:p>
    <w:p w:rsidR="00000000" w:rsidDel="00000000" w:rsidP="00000000" w:rsidRDefault="00000000" w:rsidRPr="00000000" w14:paraId="0000025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Народного Руху України. Народний Рух України. URL: https://www.rukh.team/program/ (дата звернення: 28.10.2024)</w:t>
      </w:r>
    </w:p>
    <w:p w:rsidR="00000000" w:rsidDel="00000000" w:rsidP="00000000" w:rsidRDefault="00000000" w:rsidRPr="00000000" w14:paraId="0000025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партії «Родіна» // Передвиборчі програми партій у 2010р.  URL:: </w:t>
      </w:r>
      <w:hyperlink r:id="rId17">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http://rodina.od.ua/programmnye-tezisy-partii-rodina</w:t>
        </w:r>
      </w:hyperlink>
      <w:r w:rsidDel="00000000" w:rsidR="00000000" w:rsidRPr="00000000">
        <w:rPr>
          <w:rtl w:val="0"/>
        </w:rPr>
      </w:r>
    </w:p>
    <w:p w:rsidR="00000000" w:rsidDel="00000000" w:rsidP="00000000" w:rsidRDefault="00000000" w:rsidRPr="00000000" w14:paraId="0000025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партії «Родіна» // Передвиборчі програми партій у 2010р.  [Електронний ресурс] // Режим доступу: </w:t>
      </w:r>
      <w:hyperlink r:id="rId18">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http://rodina.od.ua/programmnye-tezisy-partii-rodina</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(дата звернення: 27.10.2024)</w:t>
      </w:r>
    </w:p>
    <w:p w:rsidR="00000000" w:rsidDel="00000000" w:rsidP="00000000" w:rsidRDefault="00000000" w:rsidRPr="00000000" w14:paraId="0000025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Програма партії «Сильна Україна» URL:  </w:t>
      </w:r>
      <w:hyperlink r:id="rId19">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http://www.silnaukraina.com/static/</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page/id/153 (дата звернення: 27.10.2024)</w:t>
      </w:r>
    </w:p>
    <w:p w:rsidR="00000000" w:rsidDel="00000000" w:rsidP="00000000" w:rsidRDefault="00000000" w:rsidRPr="00000000" w14:paraId="0000025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Яровой Т. Наукові підходи до нормативно-правового регулювання лобістської діяльності в Україні. URL: </w:t>
      </w:r>
      <w:hyperlink r:id="rId20">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https://pa.journal.in.ua/index.php/pa/article/view/29/12</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(дата звернення: 27.10.2024)</w:t>
      </w:r>
    </w:p>
    <w:p w:rsidR="00000000" w:rsidDel="00000000" w:rsidP="00000000" w:rsidRDefault="00000000" w:rsidRPr="00000000" w14:paraId="0000025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Brownlee W.E. Funding the modern American State, 1941–1995: the rise and fall of the era of easy finance. Cambridge, 2003. P. 13</w:t>
      </w:r>
    </w:p>
    <w:p w:rsidR="00000000" w:rsidDel="00000000" w:rsidP="00000000" w:rsidRDefault="00000000" w:rsidRPr="00000000" w14:paraId="0000025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Comparative Politics Today: A. Worid View / gen. ed. G. A. Almond, G. Bingham Powell. 2 nded. Boston ; Toronto, 1980. P. 70–75</w:t>
      </w:r>
    </w:p>
    <w:p w:rsidR="00000000" w:rsidDel="00000000" w:rsidP="00000000" w:rsidRDefault="00000000" w:rsidRPr="00000000" w14:paraId="0000025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200" w:before="0" w:line="276" w:lineRule="auto"/>
        <w:ind w:left="0" w:right="0" w:firstLine="567"/>
        <w:jc w:val="left"/>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Dahl R.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Who governs? Democracy &amp; power in an American city. New Haven, 1961;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Truman D.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governmental process. N.Y., 1953;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LaVaque- Manty M. </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Bentley, Truman, and the study of groups // Annual Rev. of Political Science. 2006. N 9</w:t>
      </w:r>
    </w:p>
    <w:p w:rsidR="00000000" w:rsidDel="00000000" w:rsidP="00000000" w:rsidRDefault="00000000" w:rsidRPr="00000000" w14:paraId="0000025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Dahl R. Who governs? Democracy &amp; power in an American city. New Haven, 1961.</w:t>
      </w:r>
    </w:p>
    <w:p w:rsidR="00000000" w:rsidDel="00000000" w:rsidP="00000000" w:rsidRDefault="00000000" w:rsidRPr="00000000" w14:paraId="0000025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Domhoff W. State autonomy or class dominance? Case studies on policy making in America. N.Y., 1993. P. 44–45.</w:t>
      </w:r>
    </w:p>
    <w:p w:rsidR="00000000" w:rsidDel="00000000" w:rsidP="00000000" w:rsidRDefault="00000000" w:rsidRPr="00000000" w14:paraId="0000025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singl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Encyclopedia Britannica. L., 1980. V. 7. URL: </w:t>
      </w:r>
      <w:hyperlink r:id="rId21">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https://darwin-online.org.uk/converted/pdf/1823_Encyclopedia_A770.06.pdf</w:t>
        </w:r>
      </w:hyperlink>
      <w:r w:rsidDel="00000000" w:rsidR="00000000" w:rsidRPr="00000000">
        <w:rPr>
          <w:rtl w:val="0"/>
        </w:rPr>
      </w:r>
    </w:p>
    <w:p w:rsidR="00000000" w:rsidDel="00000000" w:rsidP="00000000" w:rsidRDefault="00000000" w:rsidRPr="00000000" w14:paraId="0000025D">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Facebook and Microsoft help fund rightwing lobby network, report finds // Guardian. 2013.14.11. URL: http://www.theguardian.com/world/2013/nov/14/facebook-microsoftrightwing-lobby-networ</w:t>
      </w:r>
    </w:p>
    <w:p w:rsidR="00000000" w:rsidDel="00000000" w:rsidP="00000000" w:rsidRDefault="00000000" w:rsidRPr="00000000" w14:paraId="0000025E">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Heclo H. Issue networks and the executive establishment // The New American Political System / Ed. by E. King. Washington, 1978. P. 87–93, 115–124</w:t>
      </w:r>
    </w:p>
    <w:p w:rsidR="00000000" w:rsidDel="00000000" w:rsidP="00000000" w:rsidRDefault="00000000" w:rsidRPr="00000000" w14:paraId="0000025F">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Lowery D. A neopluralist perspective on research on organized interests // Political Research Quarterly. 2004. </w:t>
      </w:r>
    </w:p>
    <w:p w:rsidR="00000000" w:rsidDel="00000000" w:rsidP="00000000" w:rsidRDefault="00000000" w:rsidRPr="00000000" w14:paraId="00000260">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Lowi T. American business, public policy, case-studies, and political theory // World Politics. 1964. Vol. 16. N 4. P. 701–704</w:t>
      </w:r>
    </w:p>
    <w:p w:rsidR="00000000" w:rsidDel="00000000" w:rsidP="00000000" w:rsidRDefault="00000000" w:rsidRPr="00000000" w14:paraId="00000261">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March; Bosso C. Rethinking the concept of membership in nature advocacy organizations // Policy Studies J. 2003. Vol. 31. N 3</w:t>
      </w:r>
    </w:p>
    <w:p w:rsidR="00000000" w:rsidDel="00000000" w:rsidP="00000000" w:rsidRDefault="00000000" w:rsidRPr="00000000" w14:paraId="00000262">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Olson М. The Logic of Collective Action. Google Books. URL: https://books.google.com.ua/books/about/The_Logic_of_Collective_Action.html?id=jzTeOLtf7_wC&amp;amp;redir_esc=y (date of access: 21.10.2024)</w:t>
      </w:r>
    </w:p>
    <w:p w:rsidR="00000000" w:rsidDel="00000000" w:rsidP="00000000" w:rsidRDefault="00000000" w:rsidRPr="00000000" w14:paraId="00000263">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Rhodes R.A.W., Marsh D. Policy networks in British government. Oxford, 1992.</w:t>
      </w:r>
    </w:p>
    <w:p w:rsidR="00000000" w:rsidDel="00000000" w:rsidP="00000000" w:rsidRDefault="00000000" w:rsidRPr="00000000" w14:paraId="00000264">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Sabatier P.A., Jenkins-Smith H.C. Policy change and learning: an advocacy coalition approach (theoretical lenses on public policy). P. 105–149.  Colorado, 1993</w:t>
      </w:r>
    </w:p>
    <w:p w:rsidR="00000000" w:rsidDel="00000000" w:rsidP="00000000" w:rsidRDefault="00000000" w:rsidRPr="00000000" w14:paraId="00000265">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Salisbery R. Interest Group Politics in America. Harper and Row, 1970. P. 44. URL: </w:t>
      </w:r>
      <w:hyperlink r:id="rId22">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https://www.jstor.org/stable/193728</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66">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Schattschneider Е. Party government... Google Books. URL:https://books.google.com.ua/books/about/Party_government.html?id=KJZu0qE0IKAC&amp;amp;redir_esc=y (date of access: 21.10.2024).</w:t>
      </w:r>
    </w:p>
    <w:p w:rsidR="00000000" w:rsidDel="00000000" w:rsidP="00000000" w:rsidRDefault="00000000" w:rsidRPr="00000000" w14:paraId="0000026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The Enciclopedia Americana. Glorier Inc., 1987.Vol. 22. P. 571</w:t>
      </w:r>
    </w:p>
    <w:p w:rsidR="00000000" w:rsidDel="00000000" w:rsidP="00000000" w:rsidRDefault="00000000" w:rsidRPr="00000000" w14:paraId="00000268">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Thompson W., Hickey J. Society in Focus. </w:t>
      </w:r>
      <w:r w:rsidDel="00000000" w:rsidR="00000000" w:rsidRPr="00000000">
        <w:rPr>
          <w:rFonts w:ascii="Times New Roman" w:cs="Times New Roman" w:eastAsia="Times New Roman" w:hAnsi="Times New Roman"/>
          <w:b w:val="0"/>
          <w:i w:val="1"/>
          <w:smallCaps w:val="0"/>
          <w:strike w:val="0"/>
          <w:color w:val="000000"/>
          <w:sz w:val="28"/>
          <w:szCs w:val="28"/>
          <w:u w:val="none"/>
          <w:shd w:fill="auto" w:val="clear"/>
          <w:vertAlign w:val="baseline"/>
          <w:rtl w:val="0"/>
        </w:rPr>
        <w:t xml:space="preserve">Google Books</w:t>
      </w: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URL: </w:t>
      </w:r>
      <w:hyperlink r:id="rId23">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https://books.google.com.ua/books/about/Society_in_Focus.html?id=xeIEAAAACAAJ&amp;amp;redir_esc=y</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 (date of access: 21.10.2024).</w:t>
      </w:r>
    </w:p>
    <w:p w:rsidR="00000000" w:rsidDel="00000000" w:rsidP="00000000" w:rsidRDefault="00000000" w:rsidRPr="00000000" w14:paraId="0000026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Truman D.The governmental process. N.Y., 1953. URL: </w:t>
      </w:r>
      <w:hyperlink r:id="rId24">
        <w:r w:rsidDel="00000000" w:rsidR="00000000" w:rsidRPr="00000000">
          <w:rPr>
            <w:rFonts w:ascii="Times New Roman" w:cs="Times New Roman" w:eastAsia="Times New Roman" w:hAnsi="Times New Roman"/>
            <w:b w:val="0"/>
            <w:i w:val="0"/>
            <w:smallCaps w:val="0"/>
            <w:strike w:val="0"/>
            <w:color w:val="000000"/>
            <w:sz w:val="28"/>
            <w:szCs w:val="28"/>
            <w:u w:val="single"/>
            <w:shd w:fill="auto" w:val="clear"/>
            <w:vertAlign w:val="baseline"/>
            <w:rtl w:val="0"/>
          </w:rPr>
          <w:t xml:space="preserve">https://ideas.repec.org/a/sae/anname/v278y1951i1p200-201.html</w:t>
        </w:r>
      </w:hyperlink>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t>
      </w:r>
    </w:p>
    <w:p w:rsidR="00000000" w:rsidDel="00000000" w:rsidP="00000000" w:rsidRDefault="00000000" w:rsidRPr="00000000" w14:paraId="0000026A">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Walker J. Mobilizing interest groups in America: patrons, professions, and social movements. Michigan, 1991.</w:t>
      </w:r>
    </w:p>
    <w:p w:rsidR="00000000" w:rsidDel="00000000" w:rsidP="00000000" w:rsidRDefault="00000000" w:rsidRPr="00000000" w14:paraId="0000026B">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8"/>
          <w:szCs w:val="28"/>
          <w:u w:val="none"/>
          <w:shd w:fill="auto" w:val="clear"/>
          <w:vertAlign w:val="baseline"/>
          <w:rtl w:val="0"/>
        </w:rPr>
        <w:t xml:space="preserve">Womersley D. Liberty and American experience in the eighteenth century. Indianapolis, 2006. P. 432</w:t>
      </w:r>
    </w:p>
    <w:p w:rsidR="00000000" w:rsidDel="00000000" w:rsidP="00000000" w:rsidRDefault="00000000" w:rsidRPr="00000000" w14:paraId="0000026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p w:rsidR="00000000" w:rsidDel="00000000" w:rsidP="00000000" w:rsidRDefault="00000000" w:rsidRPr="00000000" w14:paraId="000002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0" w:right="0" w:firstLine="567"/>
        <w:jc w:val="both"/>
        <w:rPr>
          <w:rFonts w:ascii="Times New Roman" w:cs="Times New Roman" w:eastAsia="Times New Roman" w:hAnsi="Times New Roman"/>
          <w:b w:val="0"/>
          <w:i w:val="0"/>
          <w:smallCaps w:val="0"/>
          <w:strike w:val="0"/>
          <w:color w:val="000000"/>
          <w:sz w:val="28"/>
          <w:szCs w:val="28"/>
          <w:u w:val="none"/>
          <w:shd w:fill="auto" w:val="clear"/>
          <w:vertAlign w:val="baseline"/>
        </w:rPr>
      </w:pPr>
      <w:r w:rsidDel="00000000" w:rsidR="00000000" w:rsidRPr="00000000">
        <w:rPr>
          <w:rtl w:val="0"/>
        </w:rPr>
      </w:r>
    </w:p>
    <w:sectPr>
      <w:headerReference r:id="rId25" w:type="default"/>
      <w:pgSz w:h="16838" w:w="11906" w:orient="portrait"/>
      <w:pgMar w:bottom="850" w:top="850" w:left="1417" w:right="85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Times New Roman"/>
  <w:font w:name="Courier New"/>
  <w:font w:name="Noto Sans Symbols">
    <w:embedRegular w:fontKey="{00000000-0000-0000-0000-000000000000}" r:id="rId1" w:subsetted="0"/>
    <w:embedBold w:fontKey="{00000000-0000-0000-0000-000000000000}" r:id="rId2"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26E">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righ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26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819"/>
        <w:tab w:val="right" w:leader="none" w:pos="9639"/>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0"/>
      <w:numFmt w:val="bullet"/>
      <w:lvlText w:val="-"/>
      <w:lvlJc w:val="left"/>
      <w:pPr>
        <w:ind w:left="927" w:hanging="360"/>
      </w:pPr>
      <w:rPr>
        <w:rFonts w:ascii="Times New Roman" w:cs="Times New Roman" w:eastAsia="Times New Roman" w:hAnsi="Times New Roman"/>
      </w:rPr>
    </w:lvl>
    <w:lvl w:ilvl="1">
      <w:start w:val="1"/>
      <w:numFmt w:val="bullet"/>
      <w:lvlText w:val="o"/>
      <w:lvlJc w:val="left"/>
      <w:pPr>
        <w:ind w:left="1647" w:hanging="360"/>
      </w:pPr>
      <w:rPr>
        <w:rFonts w:ascii="Courier New" w:cs="Courier New" w:eastAsia="Courier New" w:hAnsi="Courier New"/>
      </w:rPr>
    </w:lvl>
    <w:lvl w:ilvl="2">
      <w:start w:val="1"/>
      <w:numFmt w:val="bullet"/>
      <w:lvlText w:val="▪"/>
      <w:lvlJc w:val="left"/>
      <w:pPr>
        <w:ind w:left="2367" w:hanging="360"/>
      </w:pPr>
      <w:rPr>
        <w:rFonts w:ascii="Noto Sans Symbols" w:cs="Noto Sans Symbols" w:eastAsia="Noto Sans Symbols" w:hAnsi="Noto Sans Symbols"/>
      </w:rPr>
    </w:lvl>
    <w:lvl w:ilvl="3">
      <w:start w:val="1"/>
      <w:numFmt w:val="bullet"/>
      <w:lvlText w:val="●"/>
      <w:lvlJc w:val="left"/>
      <w:pPr>
        <w:ind w:left="3087" w:hanging="360"/>
      </w:pPr>
      <w:rPr>
        <w:rFonts w:ascii="Noto Sans Symbols" w:cs="Noto Sans Symbols" w:eastAsia="Noto Sans Symbols" w:hAnsi="Noto Sans Symbols"/>
      </w:rPr>
    </w:lvl>
    <w:lvl w:ilvl="4">
      <w:start w:val="1"/>
      <w:numFmt w:val="bullet"/>
      <w:lvlText w:val="o"/>
      <w:lvlJc w:val="left"/>
      <w:pPr>
        <w:ind w:left="3807" w:hanging="360"/>
      </w:pPr>
      <w:rPr>
        <w:rFonts w:ascii="Courier New" w:cs="Courier New" w:eastAsia="Courier New" w:hAnsi="Courier New"/>
      </w:rPr>
    </w:lvl>
    <w:lvl w:ilvl="5">
      <w:start w:val="1"/>
      <w:numFmt w:val="bullet"/>
      <w:lvlText w:val="▪"/>
      <w:lvlJc w:val="left"/>
      <w:pPr>
        <w:ind w:left="4527" w:hanging="360"/>
      </w:pPr>
      <w:rPr>
        <w:rFonts w:ascii="Noto Sans Symbols" w:cs="Noto Sans Symbols" w:eastAsia="Noto Sans Symbols" w:hAnsi="Noto Sans Symbols"/>
      </w:rPr>
    </w:lvl>
    <w:lvl w:ilvl="6">
      <w:start w:val="1"/>
      <w:numFmt w:val="bullet"/>
      <w:lvlText w:val="●"/>
      <w:lvlJc w:val="left"/>
      <w:pPr>
        <w:ind w:left="5247" w:hanging="360"/>
      </w:pPr>
      <w:rPr>
        <w:rFonts w:ascii="Noto Sans Symbols" w:cs="Noto Sans Symbols" w:eastAsia="Noto Sans Symbols" w:hAnsi="Noto Sans Symbols"/>
      </w:rPr>
    </w:lvl>
    <w:lvl w:ilvl="7">
      <w:start w:val="1"/>
      <w:numFmt w:val="bullet"/>
      <w:lvlText w:val="o"/>
      <w:lvlJc w:val="left"/>
      <w:pPr>
        <w:ind w:left="5967" w:hanging="360"/>
      </w:pPr>
      <w:rPr>
        <w:rFonts w:ascii="Courier New" w:cs="Courier New" w:eastAsia="Courier New" w:hAnsi="Courier New"/>
      </w:rPr>
    </w:lvl>
    <w:lvl w:ilvl="8">
      <w:start w:val="1"/>
      <w:numFmt w:val="bullet"/>
      <w:lvlText w:val="▪"/>
      <w:lvlJc w:val="left"/>
      <w:pPr>
        <w:ind w:left="6687" w:hanging="360"/>
      </w:pPr>
      <w:rPr>
        <w:rFonts w:ascii="Noto Sans Symbols" w:cs="Noto Sans Symbols" w:eastAsia="Noto Sans Symbols" w:hAnsi="Noto Sans Symbols"/>
      </w:rPr>
    </w:lvl>
  </w:abstractNum>
  <w:abstractNum w:abstractNumId="2">
    <w:lvl w:ilvl="0">
      <w:start w:val="0"/>
      <w:numFmt w:val="bullet"/>
      <w:lvlText w:val="-"/>
      <w:lvlJc w:val="left"/>
      <w:pPr>
        <w:ind w:left="1287" w:hanging="360.0000000000001"/>
      </w:pPr>
      <w:rPr>
        <w:rFonts w:ascii="Times New Roman" w:cs="Times New Roman" w:eastAsia="Times New Roman" w:hAnsi="Times New Roman"/>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3">
    <w:lvl w:ilvl="0">
      <w:start w:val="0"/>
      <w:numFmt w:val="bullet"/>
      <w:lvlText w:val="-"/>
      <w:lvlJc w:val="left"/>
      <w:pPr>
        <w:ind w:left="1287" w:hanging="360.0000000000001"/>
      </w:pPr>
      <w:rPr>
        <w:rFonts w:ascii="Times New Roman" w:cs="Times New Roman" w:eastAsia="Times New Roman" w:hAnsi="Times New Roman"/>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4">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420" w:hanging="420"/>
      </w:pPr>
      <w:rPr/>
    </w:lvl>
    <w:lvl w:ilvl="1">
      <w:start w:val="1"/>
      <w:numFmt w:val="decimal"/>
      <w:lvlText w:val="%1.%2."/>
      <w:lvlJc w:val="left"/>
      <w:pPr>
        <w:ind w:left="1287" w:hanging="720.0000000000001"/>
      </w:pPr>
      <w:rPr/>
    </w:lvl>
    <w:lvl w:ilvl="2">
      <w:start w:val="1"/>
      <w:numFmt w:val="decimal"/>
      <w:lvlText w:val="%1.%2.%3."/>
      <w:lvlJc w:val="left"/>
      <w:pPr>
        <w:ind w:left="1854" w:hanging="720"/>
      </w:pPr>
      <w:rPr/>
    </w:lvl>
    <w:lvl w:ilvl="3">
      <w:start w:val="1"/>
      <w:numFmt w:val="decimal"/>
      <w:lvlText w:val="%1.%2.%3.%4."/>
      <w:lvlJc w:val="left"/>
      <w:pPr>
        <w:ind w:left="2781" w:hanging="1079.9999999999998"/>
      </w:pPr>
      <w:rPr/>
    </w:lvl>
    <w:lvl w:ilvl="4">
      <w:start w:val="1"/>
      <w:numFmt w:val="decimal"/>
      <w:lvlText w:val="%1.%2.%3.%4.%5."/>
      <w:lvlJc w:val="left"/>
      <w:pPr>
        <w:ind w:left="3348" w:hanging="1080"/>
      </w:pPr>
      <w:rPr/>
    </w:lvl>
    <w:lvl w:ilvl="5">
      <w:start w:val="1"/>
      <w:numFmt w:val="decimal"/>
      <w:lvlText w:val="%1.%2.%3.%4.%5.%6."/>
      <w:lvlJc w:val="left"/>
      <w:pPr>
        <w:ind w:left="4275" w:hanging="1440"/>
      </w:pPr>
      <w:rPr/>
    </w:lvl>
    <w:lvl w:ilvl="6">
      <w:start w:val="1"/>
      <w:numFmt w:val="decimal"/>
      <w:lvlText w:val="%1.%2.%3.%4.%5.%6.%7."/>
      <w:lvlJc w:val="left"/>
      <w:pPr>
        <w:ind w:left="5202" w:hanging="1799.9999999999995"/>
      </w:pPr>
      <w:rPr/>
    </w:lvl>
    <w:lvl w:ilvl="7">
      <w:start w:val="1"/>
      <w:numFmt w:val="decimal"/>
      <w:lvlText w:val="%1.%2.%3.%4.%5.%6.%7.%8."/>
      <w:lvlJc w:val="left"/>
      <w:pPr>
        <w:ind w:left="5769" w:hanging="1800"/>
      </w:pPr>
      <w:rPr/>
    </w:lvl>
    <w:lvl w:ilvl="8">
      <w:start w:val="1"/>
      <w:numFmt w:val="decimal"/>
      <w:lvlText w:val="%1.%2.%3.%4.%5.%6.%7.%8.%9."/>
      <w:lvlJc w:val="left"/>
      <w:pPr>
        <w:ind w:left="6696" w:hanging="2160"/>
      </w:pPr>
      <w:rPr/>
    </w:lvl>
  </w:abstractNum>
  <w:abstractNum w:abstractNumId="6">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7">
    <w:lvl w:ilvl="0">
      <w:start w:val="1"/>
      <w:numFmt w:val="bullet"/>
      <w:lvlText w:val="●"/>
      <w:lvlJc w:val="left"/>
      <w:pPr>
        <w:ind w:left="720" w:hanging="360"/>
      </w:pPr>
      <w:rPr>
        <w:rFonts w:ascii="Noto Sans Symbols" w:cs="Noto Sans Symbols" w:eastAsia="Noto Sans Symbols" w:hAnsi="Noto Sans Symbols"/>
        <w:sz w:val="20"/>
        <w:szCs w:val="20"/>
      </w:rPr>
    </w:lvl>
    <w:lvl w:ilvl="1">
      <w:start w:val="1"/>
      <w:numFmt w:val="bullet"/>
      <w:lvlText w:val="o"/>
      <w:lvlJc w:val="left"/>
      <w:pPr>
        <w:ind w:left="1440" w:hanging="360"/>
      </w:pPr>
      <w:rPr>
        <w:rFonts w:ascii="Courier New" w:cs="Courier New" w:eastAsia="Courier New" w:hAnsi="Courier New"/>
        <w:sz w:val="20"/>
        <w:szCs w:val="20"/>
      </w:rPr>
    </w:lvl>
    <w:lvl w:ilvl="2">
      <w:start w:val="1"/>
      <w:numFmt w:val="bullet"/>
      <w:lvlText w:val="▪"/>
      <w:lvlJc w:val="left"/>
      <w:pPr>
        <w:ind w:left="2160" w:hanging="360"/>
      </w:pPr>
      <w:rPr>
        <w:rFonts w:ascii="Noto Sans Symbols" w:cs="Noto Sans Symbols" w:eastAsia="Noto Sans Symbols" w:hAnsi="Noto Sans Symbols"/>
        <w:sz w:val="20"/>
        <w:szCs w:val="20"/>
      </w:rPr>
    </w:lvl>
    <w:lvl w:ilvl="3">
      <w:start w:val="1"/>
      <w:numFmt w:val="bullet"/>
      <w:lvlText w:val="▪"/>
      <w:lvlJc w:val="left"/>
      <w:pPr>
        <w:ind w:left="2880" w:hanging="360"/>
      </w:pPr>
      <w:rPr>
        <w:rFonts w:ascii="Noto Sans Symbols" w:cs="Noto Sans Symbols" w:eastAsia="Noto Sans Symbols" w:hAnsi="Noto Sans Symbols"/>
        <w:sz w:val="20"/>
        <w:szCs w:val="20"/>
      </w:rPr>
    </w:lvl>
    <w:lvl w:ilvl="4">
      <w:start w:val="1"/>
      <w:numFmt w:val="bullet"/>
      <w:lvlText w:val="▪"/>
      <w:lvlJc w:val="left"/>
      <w:pPr>
        <w:ind w:left="3600" w:hanging="360"/>
      </w:pPr>
      <w:rPr>
        <w:rFonts w:ascii="Noto Sans Symbols" w:cs="Noto Sans Symbols" w:eastAsia="Noto Sans Symbols" w:hAnsi="Noto Sans Symbols"/>
        <w:sz w:val="20"/>
        <w:szCs w:val="20"/>
      </w:rPr>
    </w:lvl>
    <w:lvl w:ilvl="5">
      <w:start w:val="1"/>
      <w:numFmt w:val="bullet"/>
      <w:lvlText w:val="▪"/>
      <w:lvlJc w:val="left"/>
      <w:pPr>
        <w:ind w:left="4320" w:hanging="360"/>
      </w:pPr>
      <w:rPr>
        <w:rFonts w:ascii="Noto Sans Symbols" w:cs="Noto Sans Symbols" w:eastAsia="Noto Sans Symbols" w:hAnsi="Noto Sans Symbols"/>
        <w:sz w:val="20"/>
        <w:szCs w:val="20"/>
      </w:rPr>
    </w:lvl>
    <w:lvl w:ilvl="6">
      <w:start w:val="1"/>
      <w:numFmt w:val="bullet"/>
      <w:lvlText w:val="▪"/>
      <w:lvlJc w:val="left"/>
      <w:pPr>
        <w:ind w:left="5040" w:hanging="360"/>
      </w:pPr>
      <w:rPr>
        <w:rFonts w:ascii="Noto Sans Symbols" w:cs="Noto Sans Symbols" w:eastAsia="Noto Sans Symbols" w:hAnsi="Noto Sans Symbols"/>
        <w:sz w:val="20"/>
        <w:szCs w:val="20"/>
      </w:rPr>
    </w:lvl>
    <w:lvl w:ilvl="7">
      <w:start w:val="1"/>
      <w:numFmt w:val="bullet"/>
      <w:lvlText w:val="▪"/>
      <w:lvlJc w:val="left"/>
      <w:pPr>
        <w:ind w:left="5760" w:hanging="360"/>
      </w:pPr>
      <w:rPr>
        <w:rFonts w:ascii="Noto Sans Symbols" w:cs="Noto Sans Symbols" w:eastAsia="Noto Sans Symbols" w:hAnsi="Noto Sans Symbols"/>
        <w:sz w:val="20"/>
        <w:szCs w:val="20"/>
      </w:rPr>
    </w:lvl>
    <w:lvl w:ilvl="8">
      <w:start w:val="1"/>
      <w:numFmt w:val="bullet"/>
      <w:lvlText w:val="▪"/>
      <w:lvlJc w:val="left"/>
      <w:pPr>
        <w:ind w:left="6480" w:hanging="360"/>
      </w:pPr>
      <w:rPr>
        <w:rFonts w:ascii="Noto Sans Symbols" w:cs="Noto Sans Symbols" w:eastAsia="Noto Sans Symbols" w:hAnsi="Noto Sans Symbols"/>
        <w:sz w:val="20"/>
        <w:szCs w:val="20"/>
      </w:rPr>
    </w:lvl>
  </w:abstractNum>
  <w:abstractNum w:abstractNumId="8">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9">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10">
    <w:lvl w:ilvl="0">
      <w:start w:val="0"/>
      <w:numFmt w:val="bullet"/>
      <w:lvlText w:val="-"/>
      <w:lvlJc w:val="left"/>
      <w:pPr>
        <w:ind w:left="1287" w:hanging="360.0000000000001"/>
      </w:pPr>
      <w:rPr>
        <w:rFonts w:ascii="Times New Roman" w:cs="Times New Roman" w:eastAsia="Times New Roman" w:hAnsi="Times New Roman"/>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11">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12">
    <w:lvl w:ilvl="0">
      <w:start w:val="1"/>
      <w:numFmt w:val="decimal"/>
      <w:lvlText w:val="%1."/>
      <w:lvlJc w:val="left"/>
      <w:pPr>
        <w:ind w:left="720" w:hanging="360"/>
      </w:pPr>
      <w:rPr/>
    </w:lvl>
    <w:lvl w:ilvl="1">
      <w:start w:val="1"/>
      <w:numFmt w:val="decimal"/>
      <w:lvlText w:val="%2."/>
      <w:lvlJc w:val="left"/>
      <w:pPr>
        <w:ind w:left="1440" w:hanging="360"/>
      </w:pPr>
      <w:rPr/>
    </w:lvl>
    <w:lvl w:ilvl="2">
      <w:start w:val="1"/>
      <w:numFmt w:val="decimal"/>
      <w:lvlText w:val="%3."/>
      <w:lvlJc w:val="left"/>
      <w:pPr>
        <w:ind w:left="2160" w:hanging="360"/>
      </w:pPr>
      <w:rPr/>
    </w:lvl>
    <w:lvl w:ilvl="3">
      <w:start w:val="1"/>
      <w:numFmt w:val="decimal"/>
      <w:lvlText w:val="%4."/>
      <w:lvlJc w:val="left"/>
      <w:pPr>
        <w:ind w:left="2880" w:hanging="360"/>
      </w:pPr>
      <w:rPr/>
    </w:lvl>
    <w:lvl w:ilvl="4">
      <w:start w:val="1"/>
      <w:numFmt w:val="decimal"/>
      <w:lvlText w:val="%5."/>
      <w:lvlJc w:val="left"/>
      <w:pPr>
        <w:ind w:left="3600" w:hanging="360"/>
      </w:pPr>
      <w:rPr/>
    </w:lvl>
    <w:lvl w:ilvl="5">
      <w:start w:val="1"/>
      <w:numFmt w:val="decimal"/>
      <w:lvlText w:val="%6."/>
      <w:lvlJc w:val="left"/>
      <w:pPr>
        <w:ind w:left="4320" w:hanging="360"/>
      </w:pPr>
      <w:rPr/>
    </w:lvl>
    <w:lvl w:ilvl="6">
      <w:start w:val="1"/>
      <w:numFmt w:val="decimal"/>
      <w:lvlText w:val="%7."/>
      <w:lvlJc w:val="left"/>
      <w:pPr>
        <w:ind w:left="5040" w:hanging="360"/>
      </w:pPr>
      <w:rPr/>
    </w:lvl>
    <w:lvl w:ilvl="7">
      <w:start w:val="1"/>
      <w:numFmt w:val="decimal"/>
      <w:lvlText w:val="%8."/>
      <w:lvlJc w:val="left"/>
      <w:pPr>
        <w:ind w:left="5760" w:hanging="360"/>
      </w:pPr>
      <w:rPr/>
    </w:lvl>
    <w:lvl w:ilvl="8">
      <w:start w:val="1"/>
      <w:numFmt w:val="decimal"/>
      <w:lvlText w:val="%9."/>
      <w:lvlJc w:val="left"/>
      <w:pPr>
        <w:ind w:left="6480" w:hanging="360"/>
      </w:pPr>
      <w:rPr/>
    </w:lvl>
  </w:abstractNum>
  <w:abstractNum w:abstractNumId="13">
    <w:lvl w:ilvl="0">
      <w:start w:val="1"/>
      <w:numFmt w:val="decimal"/>
      <w:lvlText w:val="%1."/>
      <w:lvlJc w:val="left"/>
      <w:pPr>
        <w:ind w:left="360" w:hanging="360"/>
      </w:pPr>
      <w:rPr/>
    </w:lvl>
    <w:lvl w:ilvl="1">
      <w:start w:val="1"/>
      <w:numFmt w:val="decimal"/>
      <w:lvlText w:val="%2."/>
      <w:lvlJc w:val="left"/>
      <w:pPr>
        <w:ind w:left="1080" w:hanging="360"/>
      </w:pPr>
      <w:rPr/>
    </w:lvl>
    <w:lvl w:ilvl="2">
      <w:start w:val="1"/>
      <w:numFmt w:val="decimal"/>
      <w:lvlText w:val="%3."/>
      <w:lvlJc w:val="left"/>
      <w:pPr>
        <w:ind w:left="1800" w:hanging="360"/>
      </w:pPr>
      <w:rPr/>
    </w:lvl>
    <w:lvl w:ilvl="3">
      <w:start w:val="1"/>
      <w:numFmt w:val="decimal"/>
      <w:lvlText w:val="%4."/>
      <w:lvlJc w:val="left"/>
      <w:pPr>
        <w:ind w:left="2520" w:hanging="360"/>
      </w:pPr>
      <w:rPr/>
    </w:lvl>
    <w:lvl w:ilvl="4">
      <w:start w:val="1"/>
      <w:numFmt w:val="decimal"/>
      <w:lvlText w:val="%5."/>
      <w:lvlJc w:val="left"/>
      <w:pPr>
        <w:ind w:left="3240" w:hanging="360"/>
      </w:pPr>
      <w:rPr/>
    </w:lvl>
    <w:lvl w:ilvl="5">
      <w:start w:val="1"/>
      <w:numFmt w:val="decimal"/>
      <w:lvlText w:val="%6."/>
      <w:lvlJc w:val="left"/>
      <w:pPr>
        <w:ind w:left="3960" w:hanging="360"/>
      </w:pPr>
      <w:rPr/>
    </w:lvl>
    <w:lvl w:ilvl="6">
      <w:start w:val="1"/>
      <w:numFmt w:val="decimal"/>
      <w:lvlText w:val="%7."/>
      <w:lvlJc w:val="left"/>
      <w:pPr>
        <w:ind w:left="4680" w:hanging="360"/>
      </w:pPr>
      <w:rPr/>
    </w:lvl>
    <w:lvl w:ilvl="7">
      <w:start w:val="1"/>
      <w:numFmt w:val="decimal"/>
      <w:lvlText w:val="%8."/>
      <w:lvlJc w:val="left"/>
      <w:pPr>
        <w:ind w:left="5400" w:hanging="360"/>
      </w:pPr>
      <w:rPr/>
    </w:lvl>
    <w:lvl w:ilvl="8">
      <w:start w:val="1"/>
      <w:numFmt w:val="decimal"/>
      <w:lvlText w:val="%9."/>
      <w:lvlJc w:val="left"/>
      <w:pPr>
        <w:ind w:left="6120" w:hanging="360"/>
      </w:pPr>
      <w:rPr/>
    </w:lvl>
  </w:abstractNum>
  <w:abstractNum w:abstractNumId="14">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abstractNum w:abstractNumId="15">
    <w:lvl w:ilvl="0">
      <w:start w:val="1"/>
      <w:numFmt w:val="bullet"/>
      <w:lvlText w:val="✔"/>
      <w:lvlJc w:val="left"/>
      <w:pPr>
        <w:ind w:left="1287" w:hanging="360.0000000000001"/>
      </w:pPr>
      <w:rPr>
        <w:rFonts w:ascii="Noto Sans Symbols" w:cs="Noto Sans Symbols" w:eastAsia="Noto Sans Symbols" w:hAnsi="Noto Sans Symbols"/>
      </w:rPr>
    </w:lvl>
    <w:lvl w:ilvl="1">
      <w:start w:val="1"/>
      <w:numFmt w:val="bullet"/>
      <w:lvlText w:val="o"/>
      <w:lvlJc w:val="left"/>
      <w:pPr>
        <w:ind w:left="2007" w:hanging="360"/>
      </w:pPr>
      <w:rPr>
        <w:rFonts w:ascii="Courier New" w:cs="Courier New" w:eastAsia="Courier New" w:hAnsi="Courier New"/>
      </w:rPr>
    </w:lvl>
    <w:lvl w:ilvl="2">
      <w:start w:val="1"/>
      <w:numFmt w:val="bullet"/>
      <w:lvlText w:val="▪"/>
      <w:lvlJc w:val="left"/>
      <w:pPr>
        <w:ind w:left="2727" w:hanging="360"/>
      </w:pPr>
      <w:rPr>
        <w:rFonts w:ascii="Noto Sans Symbols" w:cs="Noto Sans Symbols" w:eastAsia="Noto Sans Symbols" w:hAnsi="Noto Sans Symbols"/>
      </w:rPr>
    </w:lvl>
    <w:lvl w:ilvl="3">
      <w:start w:val="1"/>
      <w:numFmt w:val="bullet"/>
      <w:lvlText w:val="●"/>
      <w:lvlJc w:val="left"/>
      <w:pPr>
        <w:ind w:left="3447" w:hanging="360"/>
      </w:pPr>
      <w:rPr>
        <w:rFonts w:ascii="Noto Sans Symbols" w:cs="Noto Sans Symbols" w:eastAsia="Noto Sans Symbols" w:hAnsi="Noto Sans Symbols"/>
      </w:rPr>
    </w:lvl>
    <w:lvl w:ilvl="4">
      <w:start w:val="1"/>
      <w:numFmt w:val="bullet"/>
      <w:lvlText w:val="o"/>
      <w:lvlJc w:val="left"/>
      <w:pPr>
        <w:ind w:left="4167" w:hanging="360"/>
      </w:pPr>
      <w:rPr>
        <w:rFonts w:ascii="Courier New" w:cs="Courier New" w:eastAsia="Courier New" w:hAnsi="Courier New"/>
      </w:rPr>
    </w:lvl>
    <w:lvl w:ilvl="5">
      <w:start w:val="1"/>
      <w:numFmt w:val="bullet"/>
      <w:lvlText w:val="▪"/>
      <w:lvlJc w:val="left"/>
      <w:pPr>
        <w:ind w:left="4887" w:hanging="360"/>
      </w:pPr>
      <w:rPr>
        <w:rFonts w:ascii="Noto Sans Symbols" w:cs="Noto Sans Symbols" w:eastAsia="Noto Sans Symbols" w:hAnsi="Noto Sans Symbols"/>
      </w:rPr>
    </w:lvl>
    <w:lvl w:ilvl="6">
      <w:start w:val="1"/>
      <w:numFmt w:val="bullet"/>
      <w:lvlText w:val="●"/>
      <w:lvlJc w:val="left"/>
      <w:pPr>
        <w:ind w:left="5607" w:hanging="360"/>
      </w:pPr>
      <w:rPr>
        <w:rFonts w:ascii="Noto Sans Symbols" w:cs="Noto Sans Symbols" w:eastAsia="Noto Sans Symbols" w:hAnsi="Noto Sans Symbols"/>
      </w:rPr>
    </w:lvl>
    <w:lvl w:ilvl="7">
      <w:start w:val="1"/>
      <w:numFmt w:val="bullet"/>
      <w:lvlText w:val="o"/>
      <w:lvlJc w:val="left"/>
      <w:pPr>
        <w:ind w:left="6327" w:hanging="360"/>
      </w:pPr>
      <w:rPr>
        <w:rFonts w:ascii="Courier New" w:cs="Courier New" w:eastAsia="Courier New" w:hAnsi="Courier New"/>
      </w:rPr>
    </w:lvl>
    <w:lvl w:ilvl="8">
      <w:start w:val="1"/>
      <w:numFmt w:val="bullet"/>
      <w:lvlText w:val="▪"/>
      <w:lvlJc w:val="left"/>
      <w:pPr>
        <w:ind w:left="7047" w:hanging="360"/>
      </w:pPr>
      <w:rPr>
        <w:rFonts w:ascii="Noto Sans Symbols" w:cs="Noto Sans Symbols" w:eastAsia="Noto Sans Symbols" w:hAnsi="Noto Sans Symbols"/>
      </w:r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 w:numId="8">
    <w:abstractNumId w:val="8"/>
  </w:num>
  <w:num w:numId="9">
    <w:abstractNumId w:val="9"/>
  </w:num>
  <w:num w:numId="10">
    <w:abstractNumId w:val="10"/>
  </w:num>
  <w:num w:numId="11">
    <w:abstractNumId w:val="11"/>
  </w:num>
  <w:num w:numId="12">
    <w:abstractNumId w:val="12"/>
  </w:num>
  <w:num w:numId="13">
    <w:abstractNumId w:val="13"/>
  </w:num>
  <w:num w:numId="14">
    <w:abstractNumId w:val="14"/>
  </w:num>
  <w:num w:numId="15">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uk-UA"/>
      </w:rPr>
    </w:rPrDefault>
    <w:pPrDefault>
      <w:pPr>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a" w:default="1">
    <w:name w:val="Normal"/>
    <w:qFormat w:val="1"/>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paragraph" w:styleId="a3">
    <w:name w:val="No Spacing"/>
    <w:uiPriority w:val="1"/>
    <w:qFormat w:val="1"/>
    <w:rsid w:val="00691869"/>
    <w:pPr>
      <w:spacing w:after="0" w:line="240" w:lineRule="auto"/>
    </w:pPr>
  </w:style>
  <w:style w:type="character" w:styleId="a4">
    <w:name w:val="Hyperlink"/>
    <w:basedOn w:val="a0"/>
    <w:uiPriority w:val="99"/>
    <w:unhideWhenUsed w:val="1"/>
    <w:rsid w:val="00520647"/>
    <w:rPr>
      <w:color w:val="0000ff" w:themeColor="hyperlink"/>
      <w:u w:val="single"/>
    </w:rPr>
  </w:style>
  <w:style w:type="paragraph" w:styleId="a5">
    <w:name w:val="Body Text"/>
    <w:basedOn w:val="a"/>
    <w:link w:val="a6"/>
    <w:uiPriority w:val="99"/>
    <w:semiHidden w:val="1"/>
    <w:unhideWhenUsed w:val="1"/>
    <w:rsid w:val="00C561B1"/>
    <w:pPr>
      <w:spacing w:after="120"/>
    </w:pPr>
  </w:style>
  <w:style w:type="character" w:styleId="a6" w:customStyle="1">
    <w:name w:val="Основной текст Знак"/>
    <w:basedOn w:val="a0"/>
    <w:link w:val="a5"/>
    <w:uiPriority w:val="99"/>
    <w:semiHidden w:val="1"/>
    <w:rsid w:val="00C561B1"/>
  </w:style>
  <w:style w:type="paragraph" w:styleId="1" w:customStyle="1">
    <w:name w:val="Абзац списка1"/>
    <w:basedOn w:val="a"/>
    <w:uiPriority w:val="34"/>
    <w:qFormat w:val="1"/>
    <w:rsid w:val="00426D11"/>
    <w:pPr>
      <w:ind w:left="720"/>
      <w:contextualSpacing w:val="1"/>
    </w:pPr>
    <w:rPr>
      <w:rFonts w:ascii="Calibri" w:cs="Times New Roman" w:eastAsia="Times New Roman" w:hAnsi="Calibri"/>
      <w:lang w:eastAsia="ru-RU" w:val="ru-RU"/>
    </w:rPr>
  </w:style>
  <w:style w:type="paragraph" w:styleId="10" w:customStyle="1">
    <w:name w:val="Без интервала1"/>
    <w:uiPriority w:val="1"/>
    <w:qFormat w:val="1"/>
    <w:rsid w:val="00756687"/>
    <w:pPr>
      <w:spacing w:after="0" w:line="240" w:lineRule="auto"/>
    </w:pPr>
    <w:rPr>
      <w:rFonts w:ascii="Calibri" w:cs="Times New Roman" w:eastAsia="Times New Roman" w:hAnsi="Calibri"/>
      <w:lang w:eastAsia="ru-RU" w:val="ru-RU"/>
    </w:rPr>
  </w:style>
  <w:style w:type="paragraph" w:styleId="a7">
    <w:name w:val="Balloon Text"/>
    <w:basedOn w:val="a"/>
    <w:link w:val="a8"/>
    <w:uiPriority w:val="99"/>
    <w:semiHidden w:val="1"/>
    <w:unhideWhenUsed w:val="1"/>
    <w:rsid w:val="00957042"/>
    <w:pPr>
      <w:spacing w:after="0" w:line="240" w:lineRule="auto"/>
    </w:pPr>
    <w:rPr>
      <w:rFonts w:ascii="Tahoma" w:cs="Tahoma" w:hAnsi="Tahoma"/>
      <w:sz w:val="16"/>
      <w:szCs w:val="16"/>
    </w:rPr>
  </w:style>
  <w:style w:type="character" w:styleId="a8" w:customStyle="1">
    <w:name w:val="Текст выноски Знак"/>
    <w:basedOn w:val="a0"/>
    <w:link w:val="a7"/>
    <w:uiPriority w:val="99"/>
    <w:semiHidden w:val="1"/>
    <w:rsid w:val="00957042"/>
    <w:rPr>
      <w:rFonts w:ascii="Tahoma" w:cs="Tahoma" w:hAnsi="Tahoma"/>
      <w:sz w:val="16"/>
      <w:szCs w:val="16"/>
    </w:rPr>
  </w:style>
  <w:style w:type="paragraph" w:styleId="a9">
    <w:name w:val="Normal (Web)"/>
    <w:basedOn w:val="a"/>
    <w:uiPriority w:val="99"/>
    <w:semiHidden w:val="1"/>
    <w:unhideWhenUsed w:val="1"/>
    <w:rsid w:val="00957042"/>
    <w:rPr>
      <w:rFonts w:ascii="Times New Roman" w:cs="Times New Roman" w:hAnsi="Times New Roman"/>
      <w:sz w:val="24"/>
      <w:szCs w:val="24"/>
    </w:rPr>
  </w:style>
  <w:style w:type="paragraph" w:styleId="aa">
    <w:name w:val="List Paragraph"/>
    <w:basedOn w:val="a"/>
    <w:uiPriority w:val="34"/>
    <w:qFormat w:val="1"/>
    <w:rsid w:val="00433CA5"/>
    <w:pPr>
      <w:ind w:left="720"/>
      <w:contextualSpacing w:val="1"/>
    </w:pPr>
  </w:style>
  <w:style w:type="paragraph" w:styleId="ab">
    <w:name w:val="header"/>
    <w:basedOn w:val="a"/>
    <w:link w:val="ac"/>
    <w:uiPriority w:val="99"/>
    <w:unhideWhenUsed w:val="1"/>
    <w:rsid w:val="00A557E1"/>
    <w:pPr>
      <w:tabs>
        <w:tab w:val="center" w:pos="4819"/>
        <w:tab w:val="right" w:pos="9639"/>
      </w:tabs>
      <w:spacing w:after="0" w:line="240" w:lineRule="auto"/>
    </w:pPr>
  </w:style>
  <w:style w:type="character" w:styleId="ac" w:customStyle="1">
    <w:name w:val="Верхний колонтитул Знак"/>
    <w:basedOn w:val="a0"/>
    <w:link w:val="ab"/>
    <w:uiPriority w:val="99"/>
    <w:rsid w:val="00A557E1"/>
  </w:style>
  <w:style w:type="paragraph" w:styleId="ad">
    <w:name w:val="footer"/>
    <w:basedOn w:val="a"/>
    <w:link w:val="ae"/>
    <w:uiPriority w:val="99"/>
    <w:unhideWhenUsed w:val="1"/>
    <w:rsid w:val="00A557E1"/>
    <w:pPr>
      <w:tabs>
        <w:tab w:val="center" w:pos="4819"/>
        <w:tab w:val="right" w:pos="9639"/>
      </w:tabs>
      <w:spacing w:after="0" w:line="240" w:lineRule="auto"/>
    </w:pPr>
  </w:style>
  <w:style w:type="character" w:styleId="ae" w:customStyle="1">
    <w:name w:val="Нижний колонтитул Знак"/>
    <w:basedOn w:val="a0"/>
    <w:link w:val="ad"/>
    <w:uiPriority w:val="99"/>
    <w:rsid w:val="00A557E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15.0" w:type="dxa"/>
        <w:bottom w:w="0.0" w:type="dxa"/>
        <w:right w:w="115.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pa.journal.in.ua/index.php/pa/article/view/29/12" TargetMode="External"/><Relationship Id="rId22" Type="http://schemas.openxmlformats.org/officeDocument/2006/relationships/hyperlink" Target="https://www.jstor.org/stable/193728" TargetMode="External"/><Relationship Id="rId21" Type="http://schemas.openxmlformats.org/officeDocument/2006/relationships/hyperlink" Target="https://darwin-online.org.uk/converted/pdf/1823_Encyclopedia_A770.06.pdf" TargetMode="External"/><Relationship Id="rId24" Type="http://schemas.openxmlformats.org/officeDocument/2006/relationships/hyperlink" Target="https://ideas.repec.org/a/sae/anname/v278y1951i1p200-201.html" TargetMode="External"/><Relationship Id="rId23" Type="http://schemas.openxmlformats.org/officeDocument/2006/relationships/hyperlink" Target="https://books.google.com.ua/books/about/Society_in_Focus.html?id=xeIEAAAACAAJ&amp;amp;redir_esc=y"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otoquality.org.ua/TheFederalist.html" TargetMode="External"/><Relationship Id="rId25"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www.ualogos.kiev.ua/toprint.html?id=1215" TargetMode="External"/><Relationship Id="rId8" Type="http://schemas.openxmlformats.org/officeDocument/2006/relationships/hyperlink" Target="https://uifuture.org/publications/dopovid-vidnosyny-kyyeva-i-regioniv-perezavantazhennya/" TargetMode="External"/><Relationship Id="rId11" Type="http://schemas.openxmlformats.org/officeDocument/2006/relationships/hyperlink" Target="http://www.politik.org.ua" TargetMode="External"/><Relationship Id="rId10" Type="http://schemas.openxmlformats.org/officeDocument/2006/relationships/hyperlink" Target="https://day.kyiv.ua/article/polityka/ukrayinski-elity-pered-vyborom" TargetMode="External"/><Relationship Id="rId13" Type="http://schemas.openxmlformats.org/officeDocument/2006/relationships/hyperlink" Target="about:blank" TargetMode="External"/><Relationship Id="rId12" Type="http://schemas.openxmlformats.org/officeDocument/2006/relationships/hyperlink" Target="http://www.deputat.org/index.php?page=party" TargetMode="External"/><Relationship Id="rId15" Type="http://schemas.openxmlformats.org/officeDocument/2006/relationships/hyperlink" Target="http://election2006.ukrinform.ua/partia.php?currPart=26" TargetMode="External"/><Relationship Id="rId14" Type="http://schemas.openxmlformats.org/officeDocument/2006/relationships/hyperlink" Target="http://sdpuo.com.ua/elections/2006/opoziciyniy-block-ne-tak-/43d60bc5548d1/" TargetMode="External"/><Relationship Id="rId17" Type="http://schemas.openxmlformats.org/officeDocument/2006/relationships/hyperlink" Target="http://rodina.od.ua/programmnye-tezisy-partii-rodina" TargetMode="External"/><Relationship Id="rId16" Type="http://schemas.openxmlformats.org/officeDocument/2006/relationships/hyperlink" Target="http://election2006.ukrinform.ua/partia.php?currPart=26" TargetMode="External"/><Relationship Id="rId19" Type="http://schemas.openxmlformats.org/officeDocument/2006/relationships/hyperlink" Target="http://www.silnaukraina.com/static/" TargetMode="External"/><Relationship Id="rId18" Type="http://schemas.openxmlformats.org/officeDocument/2006/relationships/hyperlink" Target="http://rodina.od.ua/programmnye-tezisy-partii-rodina"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fyCepwgkVgtcdovOjSigm9+bfdA==">CgMxLjAyCGguZ2pkZ3hzOAByITFEOE5wclU0RTl1V3RkdlB4RGQ3X3VEbUFrUVVGdURiMw==</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2024-11-19T00:57:00Z</dcterms:created>
  <dc:creator>Артем Кройтор</dc:creator>
</cp:coreProperties>
</file>