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443C" w:rsidRPr="009F443C" w:rsidRDefault="009F443C" w:rsidP="009F443C">
      <w:pPr>
        <w:spacing w:line="360" w:lineRule="auto"/>
        <w:jc w:val="center"/>
        <w:rPr>
          <w:rFonts w:eastAsia="Calibri"/>
          <w:b/>
          <w:bCs/>
          <w:i/>
          <w:iCs/>
          <w:sz w:val="28"/>
          <w:szCs w:val="28"/>
        </w:rPr>
      </w:pPr>
      <w:bookmarkStart w:id="0" w:name="_GoBack"/>
      <w:bookmarkEnd w:id="0"/>
      <w:r w:rsidRPr="009F443C">
        <w:rPr>
          <w:rFonts w:eastAsia="Calibri"/>
          <w:sz w:val="28"/>
          <w:szCs w:val="28"/>
        </w:rPr>
        <w:t>ОДЕСЬКИЙ НАЦІОНАЛЬНИЙ УНІВЕРСИТЕТ ІМЕНІ І. І. МЕЧНИКОВА</w:t>
      </w:r>
    </w:p>
    <w:p w:rsidR="009F443C" w:rsidRPr="009F443C" w:rsidRDefault="009F443C" w:rsidP="009F443C">
      <w:pPr>
        <w:spacing w:line="360" w:lineRule="auto"/>
        <w:jc w:val="center"/>
        <w:rPr>
          <w:rFonts w:eastAsia="Calibri"/>
          <w:sz w:val="28"/>
          <w:szCs w:val="28"/>
        </w:rPr>
      </w:pPr>
      <w:r w:rsidRPr="009F443C">
        <w:rPr>
          <w:rFonts w:eastAsia="Calibri"/>
          <w:sz w:val="28"/>
          <w:szCs w:val="28"/>
        </w:rPr>
        <w:t>Факультет міжнародних відносин, політології та соціології</w:t>
      </w:r>
    </w:p>
    <w:p w:rsidR="009F443C" w:rsidRPr="009F443C" w:rsidRDefault="009F443C" w:rsidP="009F443C">
      <w:pPr>
        <w:spacing w:line="360" w:lineRule="auto"/>
        <w:jc w:val="center"/>
        <w:rPr>
          <w:rFonts w:eastAsia="Calibri"/>
          <w:sz w:val="28"/>
          <w:szCs w:val="28"/>
        </w:rPr>
      </w:pPr>
      <w:r w:rsidRPr="009F443C">
        <w:rPr>
          <w:rFonts w:eastAsia="Calibri"/>
          <w:sz w:val="28"/>
          <w:szCs w:val="28"/>
        </w:rPr>
        <w:t>Кафедра світового господарства і міжнародних економічних відносин</w:t>
      </w:r>
    </w:p>
    <w:p w:rsidR="009F443C" w:rsidRPr="009F443C" w:rsidRDefault="009F443C" w:rsidP="009F443C">
      <w:pPr>
        <w:rPr>
          <w:rFonts w:eastAsia="Calibri"/>
          <w:sz w:val="28"/>
          <w:szCs w:val="28"/>
          <w:u w:val="single"/>
        </w:rPr>
      </w:pPr>
    </w:p>
    <w:p w:rsidR="009F443C" w:rsidRPr="009F443C" w:rsidRDefault="009F443C" w:rsidP="009F443C">
      <w:pPr>
        <w:jc w:val="center"/>
        <w:rPr>
          <w:rFonts w:eastAsia="Calibri"/>
          <w:sz w:val="28"/>
          <w:szCs w:val="28"/>
          <w:u w:val="single"/>
        </w:rPr>
      </w:pPr>
    </w:p>
    <w:p w:rsidR="009F443C" w:rsidRPr="009F443C" w:rsidRDefault="009F443C" w:rsidP="009F443C">
      <w:pPr>
        <w:jc w:val="center"/>
        <w:rPr>
          <w:rFonts w:eastAsia="Calibri"/>
          <w:sz w:val="28"/>
          <w:szCs w:val="28"/>
          <w:u w:val="single"/>
        </w:rPr>
      </w:pPr>
    </w:p>
    <w:p w:rsidR="009F443C" w:rsidRPr="009F443C" w:rsidRDefault="009F443C" w:rsidP="009F443C">
      <w:pPr>
        <w:jc w:val="center"/>
        <w:rPr>
          <w:rFonts w:eastAsia="Calibri"/>
          <w:sz w:val="28"/>
          <w:szCs w:val="28"/>
          <w:u w:val="single"/>
        </w:rPr>
      </w:pPr>
    </w:p>
    <w:p w:rsidR="009F443C" w:rsidRPr="009F443C" w:rsidRDefault="009F443C" w:rsidP="009F443C">
      <w:pPr>
        <w:spacing w:line="360" w:lineRule="auto"/>
        <w:jc w:val="center"/>
        <w:rPr>
          <w:rFonts w:eastAsia="Calibri"/>
          <w:b/>
          <w:bCs/>
          <w:sz w:val="32"/>
          <w:szCs w:val="32"/>
        </w:rPr>
      </w:pPr>
      <w:r w:rsidRPr="009F443C">
        <w:rPr>
          <w:rFonts w:eastAsia="Calibri"/>
          <w:b/>
          <w:bCs/>
          <w:sz w:val="32"/>
          <w:szCs w:val="32"/>
        </w:rPr>
        <w:t>Кваліфікаційна робота</w:t>
      </w:r>
    </w:p>
    <w:p w:rsidR="009F443C" w:rsidRPr="009F443C" w:rsidRDefault="009F443C" w:rsidP="009F443C">
      <w:pPr>
        <w:spacing w:line="360" w:lineRule="auto"/>
        <w:jc w:val="center"/>
        <w:rPr>
          <w:rFonts w:eastAsia="Calibri"/>
          <w:sz w:val="28"/>
          <w:szCs w:val="28"/>
          <w:lang w:eastAsia="en-US"/>
        </w:rPr>
      </w:pPr>
      <w:r w:rsidRPr="009F443C">
        <w:rPr>
          <w:rFonts w:eastAsia="Calibri"/>
          <w:sz w:val="28"/>
          <w:szCs w:val="28"/>
        </w:rPr>
        <w:t xml:space="preserve">на здобуття ступеня вищої освіти </w:t>
      </w:r>
      <w:r w:rsidRPr="009F443C">
        <w:rPr>
          <w:rFonts w:eastAsia="Calibri"/>
          <w:sz w:val="28"/>
          <w:szCs w:val="28"/>
          <w:lang w:eastAsia="uk-UA"/>
        </w:rPr>
        <w:t>«</w:t>
      </w:r>
      <w:r w:rsidRPr="009F443C">
        <w:rPr>
          <w:rFonts w:eastAsia="Calibri"/>
          <w:sz w:val="28"/>
          <w:szCs w:val="28"/>
        </w:rPr>
        <w:t>бакалавр</w:t>
      </w:r>
      <w:r w:rsidRPr="009F443C">
        <w:rPr>
          <w:rFonts w:eastAsia="Calibri"/>
          <w:sz w:val="28"/>
          <w:szCs w:val="28"/>
          <w:lang w:eastAsia="en-US"/>
        </w:rPr>
        <w:t>»</w:t>
      </w:r>
    </w:p>
    <w:p w:rsidR="009F443C" w:rsidRPr="009F443C" w:rsidRDefault="009F443C" w:rsidP="009F443C">
      <w:pPr>
        <w:spacing w:line="360" w:lineRule="auto"/>
        <w:jc w:val="center"/>
        <w:rPr>
          <w:rFonts w:eastAsia="Calibri"/>
          <w:b/>
          <w:bCs/>
          <w:sz w:val="28"/>
          <w:szCs w:val="28"/>
          <w:lang w:eastAsia="en-US"/>
        </w:rPr>
      </w:pPr>
      <w:r w:rsidRPr="009F443C">
        <w:rPr>
          <w:rFonts w:eastAsia="Calibri"/>
          <w:b/>
          <w:bCs/>
          <w:sz w:val="28"/>
          <w:szCs w:val="28"/>
          <w:lang w:eastAsia="uk-UA"/>
        </w:rPr>
        <w:t>«</w:t>
      </w:r>
      <w:r w:rsidRPr="009F443C">
        <w:rPr>
          <w:rFonts w:eastAsia="Calibri"/>
          <w:b/>
          <w:color w:val="000000"/>
          <w:sz w:val="28"/>
          <w:szCs w:val="28"/>
          <w:lang w:eastAsia="en-US"/>
        </w:rPr>
        <w:t xml:space="preserve">Розвиток зовнішньоекономічних зв’язків </w:t>
      </w:r>
      <w:r>
        <w:rPr>
          <w:rFonts w:eastAsia="Calibri"/>
          <w:b/>
          <w:color w:val="000000"/>
          <w:sz w:val="28"/>
          <w:szCs w:val="28"/>
          <w:lang w:eastAsia="en-US"/>
        </w:rPr>
        <w:t>Словаччини та Польщі в умовах європейської інтеграції</w:t>
      </w:r>
      <w:r w:rsidRPr="009F443C">
        <w:rPr>
          <w:rFonts w:eastAsia="Calibri"/>
          <w:b/>
          <w:bCs/>
          <w:sz w:val="28"/>
          <w:szCs w:val="28"/>
          <w:lang w:eastAsia="en-US"/>
        </w:rPr>
        <w:t>»</w:t>
      </w:r>
    </w:p>
    <w:p w:rsidR="009F443C" w:rsidRPr="009F443C" w:rsidRDefault="009F443C" w:rsidP="001E6680">
      <w:pPr>
        <w:spacing w:line="360" w:lineRule="auto"/>
        <w:jc w:val="center"/>
        <w:rPr>
          <w:rFonts w:eastAsia="Calibri"/>
          <w:b/>
          <w:color w:val="000000"/>
          <w:sz w:val="28"/>
          <w:szCs w:val="28"/>
          <w:lang w:eastAsia="en-US"/>
        </w:rPr>
      </w:pPr>
      <w:r w:rsidRPr="009F443C">
        <w:rPr>
          <w:rFonts w:eastAsia="Calibri"/>
          <w:b/>
          <w:sz w:val="28"/>
          <w:szCs w:val="28"/>
          <w:lang w:eastAsia="en-US"/>
        </w:rPr>
        <w:t>«</w:t>
      </w:r>
      <w:r w:rsidRPr="009F443C">
        <w:rPr>
          <w:rFonts w:eastAsia="Calibri"/>
          <w:b/>
          <w:color w:val="000000"/>
          <w:sz w:val="28"/>
          <w:szCs w:val="28"/>
          <w:lang w:eastAsia="en-US"/>
        </w:rPr>
        <w:t xml:space="preserve">Development of Foreign Economic Relations </w:t>
      </w:r>
      <w:r w:rsidR="001E6680" w:rsidRPr="001E6680">
        <w:rPr>
          <w:rFonts w:eastAsia="Calibri"/>
          <w:b/>
          <w:color w:val="000000"/>
          <w:sz w:val="28"/>
          <w:szCs w:val="28"/>
          <w:lang w:eastAsia="en-US"/>
        </w:rPr>
        <w:t>of Sl</w:t>
      </w:r>
      <w:r w:rsidR="001E6680">
        <w:rPr>
          <w:rFonts w:eastAsia="Calibri"/>
          <w:b/>
          <w:color w:val="000000"/>
          <w:sz w:val="28"/>
          <w:szCs w:val="28"/>
          <w:lang w:eastAsia="en-US"/>
        </w:rPr>
        <w:t>ovakia and Poland in the con</w:t>
      </w:r>
      <w:r w:rsidR="001E6680">
        <w:rPr>
          <w:rFonts w:eastAsia="Calibri"/>
          <w:b/>
          <w:color w:val="000000"/>
          <w:sz w:val="28"/>
          <w:szCs w:val="28"/>
          <w:lang w:val="en-US" w:eastAsia="en-US"/>
        </w:rPr>
        <w:t>ditions</w:t>
      </w:r>
      <w:r w:rsidR="001E6680">
        <w:rPr>
          <w:rFonts w:eastAsia="Calibri"/>
          <w:b/>
          <w:color w:val="000000"/>
          <w:sz w:val="28"/>
          <w:szCs w:val="28"/>
          <w:lang w:eastAsia="en-US"/>
        </w:rPr>
        <w:t xml:space="preserve"> of European </w:t>
      </w:r>
      <w:r w:rsidR="001E6680">
        <w:rPr>
          <w:rFonts w:eastAsia="Calibri"/>
          <w:b/>
          <w:color w:val="000000"/>
          <w:sz w:val="28"/>
          <w:szCs w:val="28"/>
          <w:lang w:val="en-US" w:eastAsia="en-US"/>
        </w:rPr>
        <w:t>I</w:t>
      </w:r>
      <w:r w:rsidR="001E6680" w:rsidRPr="001E6680">
        <w:rPr>
          <w:rFonts w:eastAsia="Calibri"/>
          <w:b/>
          <w:color w:val="000000"/>
          <w:sz w:val="28"/>
          <w:szCs w:val="28"/>
          <w:lang w:eastAsia="en-US"/>
        </w:rPr>
        <w:t>ntegration</w:t>
      </w:r>
      <w:r w:rsidRPr="009F443C">
        <w:rPr>
          <w:rFonts w:eastAsia="Calibri"/>
          <w:b/>
          <w:sz w:val="28"/>
          <w:szCs w:val="28"/>
          <w:lang w:eastAsia="en-US"/>
        </w:rPr>
        <w:t>»</w:t>
      </w:r>
    </w:p>
    <w:p w:rsidR="009F443C" w:rsidRPr="009F443C" w:rsidRDefault="009F443C" w:rsidP="009F443C">
      <w:pPr>
        <w:rPr>
          <w:rFonts w:eastAsia="Calibri"/>
          <w:sz w:val="28"/>
          <w:szCs w:val="28"/>
        </w:rPr>
      </w:pPr>
    </w:p>
    <w:p w:rsidR="009F443C" w:rsidRPr="009F443C" w:rsidRDefault="009F443C" w:rsidP="009F443C">
      <w:pPr>
        <w:spacing w:line="360" w:lineRule="auto"/>
        <w:rPr>
          <w:rFonts w:eastAsia="Calibri"/>
          <w:sz w:val="28"/>
          <w:szCs w:val="28"/>
        </w:rPr>
      </w:pPr>
    </w:p>
    <w:p w:rsidR="009F443C" w:rsidRPr="009F443C" w:rsidRDefault="009F443C" w:rsidP="009F443C">
      <w:pPr>
        <w:spacing w:line="360" w:lineRule="auto"/>
        <w:rPr>
          <w:rFonts w:eastAsia="Calibri"/>
          <w:sz w:val="28"/>
          <w:szCs w:val="28"/>
        </w:rPr>
      </w:pPr>
      <w:r w:rsidRPr="009F443C">
        <w:rPr>
          <w:rFonts w:eastAsia="Calibri"/>
          <w:sz w:val="28"/>
          <w:szCs w:val="28"/>
        </w:rPr>
        <w:t xml:space="preserve">                                       Виконала: здобувачка денної форми навчання</w:t>
      </w:r>
    </w:p>
    <w:p w:rsidR="009F443C" w:rsidRPr="009F443C" w:rsidRDefault="009F443C" w:rsidP="009F443C">
      <w:pPr>
        <w:spacing w:line="360" w:lineRule="auto"/>
        <w:rPr>
          <w:rFonts w:eastAsia="Calibri"/>
          <w:sz w:val="28"/>
          <w:szCs w:val="28"/>
        </w:rPr>
      </w:pPr>
      <w:r w:rsidRPr="009F443C">
        <w:rPr>
          <w:rFonts w:eastAsia="Calibri"/>
          <w:sz w:val="28"/>
          <w:szCs w:val="28"/>
        </w:rPr>
        <w:t xml:space="preserve">                                       спеціальності 292 «Міжнародні економічні відносини»</w:t>
      </w:r>
    </w:p>
    <w:p w:rsidR="009F443C" w:rsidRPr="009F443C" w:rsidRDefault="009F443C" w:rsidP="009F443C">
      <w:pPr>
        <w:spacing w:line="360" w:lineRule="auto"/>
        <w:jc w:val="center"/>
        <w:rPr>
          <w:rFonts w:eastAsia="Calibri"/>
          <w:sz w:val="28"/>
          <w:szCs w:val="28"/>
        </w:rPr>
      </w:pPr>
      <w:r w:rsidRPr="009F443C">
        <w:rPr>
          <w:rFonts w:eastAsia="Calibri"/>
          <w:sz w:val="28"/>
          <w:szCs w:val="28"/>
        </w:rPr>
        <w:t xml:space="preserve">                                       Освітня програма «Міжнародні економічні відносини»</w:t>
      </w:r>
    </w:p>
    <w:p w:rsidR="009F443C" w:rsidRPr="009F443C" w:rsidRDefault="009F443C" w:rsidP="009F443C">
      <w:pPr>
        <w:spacing w:line="360" w:lineRule="auto"/>
        <w:jc w:val="both"/>
        <w:rPr>
          <w:rFonts w:eastAsia="Calibri"/>
          <w:sz w:val="28"/>
          <w:szCs w:val="28"/>
        </w:rPr>
      </w:pPr>
      <w:r w:rsidRPr="009F443C">
        <w:rPr>
          <w:rFonts w:eastAsia="Calibri"/>
          <w:sz w:val="28"/>
          <w:szCs w:val="28"/>
        </w:rPr>
        <w:t xml:space="preserve">                                     </w:t>
      </w:r>
      <w:r w:rsidR="001E6680" w:rsidRPr="001E6680">
        <w:rPr>
          <w:rFonts w:eastAsia="Calibri"/>
          <w:sz w:val="28"/>
          <w:szCs w:val="28"/>
        </w:rPr>
        <w:t>Семагіна Анастасія Валеріївна</w:t>
      </w:r>
    </w:p>
    <w:p w:rsidR="009F443C" w:rsidRPr="009F443C" w:rsidRDefault="009F443C" w:rsidP="009F443C">
      <w:pPr>
        <w:spacing w:line="360" w:lineRule="auto"/>
        <w:jc w:val="both"/>
        <w:rPr>
          <w:rFonts w:eastAsia="Calibri"/>
          <w:sz w:val="28"/>
          <w:szCs w:val="28"/>
        </w:rPr>
      </w:pPr>
      <w:r w:rsidRPr="009F443C">
        <w:rPr>
          <w:rFonts w:eastAsia="Calibri"/>
          <w:sz w:val="28"/>
          <w:szCs w:val="28"/>
        </w:rPr>
        <w:t xml:space="preserve">                                     Керівник: д.е.н., проф. </w:t>
      </w:r>
      <w:r w:rsidRPr="009F443C">
        <w:rPr>
          <w:rFonts w:eastAsia="Calibri"/>
          <w:color w:val="000000"/>
          <w:sz w:val="28"/>
          <w:szCs w:val="28"/>
          <w:shd w:val="clear" w:color="auto" w:fill="FFFFFF"/>
          <w:lang w:eastAsia="en-US"/>
        </w:rPr>
        <w:t>Маслій</w:t>
      </w:r>
      <w:r w:rsidRPr="009F443C">
        <w:rPr>
          <w:rFonts w:eastAsia="Calibri"/>
          <w:sz w:val="28"/>
          <w:szCs w:val="28"/>
        </w:rPr>
        <w:t xml:space="preserve"> Н.Д._________</w:t>
      </w:r>
    </w:p>
    <w:p w:rsidR="009F443C" w:rsidRPr="009F443C" w:rsidRDefault="009F443C" w:rsidP="009F443C">
      <w:pPr>
        <w:spacing w:line="360" w:lineRule="auto"/>
        <w:jc w:val="both"/>
        <w:rPr>
          <w:rFonts w:eastAsia="Calibri"/>
          <w:sz w:val="28"/>
          <w:szCs w:val="28"/>
        </w:rPr>
      </w:pPr>
      <w:r w:rsidRPr="009F443C">
        <w:rPr>
          <w:rFonts w:eastAsia="Calibri"/>
          <w:sz w:val="28"/>
          <w:szCs w:val="28"/>
        </w:rPr>
        <w:t xml:space="preserve">                                     Рецензент: д.е.н., проф. Горняк О.В.</w:t>
      </w:r>
    </w:p>
    <w:p w:rsidR="009F443C" w:rsidRPr="009F443C" w:rsidRDefault="009F443C" w:rsidP="009F443C">
      <w:pPr>
        <w:ind w:firstLine="240"/>
        <w:jc w:val="both"/>
        <w:rPr>
          <w:rFonts w:eastAsia="Calibri"/>
        </w:rPr>
      </w:pPr>
      <w:r w:rsidRPr="009F443C">
        <w:rPr>
          <w:rFonts w:eastAsia="Calibri"/>
          <w:sz w:val="28"/>
          <w:szCs w:val="28"/>
        </w:rPr>
        <w:t>.</w:t>
      </w:r>
      <w:r w:rsidRPr="009F443C">
        <w:rPr>
          <w:rFonts w:eastAsia="Calibri"/>
        </w:rPr>
        <w:t xml:space="preserve">                           </w:t>
      </w:r>
    </w:p>
    <w:p w:rsidR="009F443C" w:rsidRPr="009F443C" w:rsidRDefault="009F443C" w:rsidP="009F443C">
      <w:pPr>
        <w:ind w:firstLine="709"/>
        <w:jc w:val="both"/>
        <w:rPr>
          <w:rFonts w:eastAsia="Calibri"/>
        </w:rPr>
      </w:pPr>
      <w:r w:rsidRPr="009F443C">
        <w:rPr>
          <w:rFonts w:eastAsia="Calibri"/>
        </w:rPr>
        <w:t xml:space="preserve">                                                                                                   </w:t>
      </w:r>
      <w:r w:rsidRPr="009F443C">
        <w:rPr>
          <w:rFonts w:eastAsia="Calibri"/>
          <w:sz w:val="28"/>
          <w:szCs w:val="28"/>
        </w:rPr>
        <w:t xml:space="preserve">                                      </w:t>
      </w:r>
    </w:p>
    <w:p w:rsidR="009F443C" w:rsidRPr="009F443C" w:rsidRDefault="009F443C" w:rsidP="009F443C">
      <w:pPr>
        <w:ind w:firstLine="709"/>
        <w:jc w:val="both"/>
        <w:rPr>
          <w:rFonts w:eastAsia="Calibri"/>
          <w:sz w:val="28"/>
          <w:szCs w:val="28"/>
        </w:rPr>
      </w:pPr>
    </w:p>
    <w:p w:rsidR="009F443C" w:rsidRPr="009F443C" w:rsidRDefault="009F443C" w:rsidP="009F443C">
      <w:pPr>
        <w:ind w:firstLine="709"/>
        <w:jc w:val="both"/>
        <w:rPr>
          <w:rFonts w:eastAsia="Calibri"/>
          <w:sz w:val="28"/>
          <w:szCs w:val="28"/>
        </w:rPr>
      </w:pPr>
    </w:p>
    <w:p w:rsidR="009F443C" w:rsidRPr="009F443C" w:rsidRDefault="009F443C" w:rsidP="009F443C">
      <w:pPr>
        <w:widowControl w:val="0"/>
        <w:spacing w:line="360" w:lineRule="auto"/>
        <w:jc w:val="both"/>
        <w:rPr>
          <w:rFonts w:eastAsia="Calibri"/>
          <w:color w:val="000000"/>
          <w:sz w:val="28"/>
          <w:szCs w:val="28"/>
          <w:lang w:eastAsia="en-US"/>
        </w:rPr>
      </w:pPr>
      <w:r w:rsidRPr="009F443C">
        <w:rPr>
          <w:rFonts w:eastAsia="Calibri"/>
          <w:color w:val="000000"/>
          <w:sz w:val="28"/>
          <w:szCs w:val="28"/>
          <w:lang w:eastAsia="en-US"/>
        </w:rPr>
        <w:t>Рекомендовано до захисту:                 Захищено на засіданні ЕК №</w:t>
      </w:r>
      <w:r w:rsidRPr="009F443C">
        <w:rPr>
          <w:rFonts w:eastAsia="Calibri"/>
          <w:color w:val="000000"/>
          <w:sz w:val="28"/>
          <w:szCs w:val="28"/>
          <w:highlight w:val="yellow"/>
          <w:lang w:eastAsia="en-US"/>
        </w:rPr>
        <w:t xml:space="preserve"> </w:t>
      </w:r>
    </w:p>
    <w:p w:rsidR="009F443C" w:rsidRPr="009F443C" w:rsidRDefault="009F443C" w:rsidP="009F443C">
      <w:pPr>
        <w:widowControl w:val="0"/>
        <w:spacing w:line="360" w:lineRule="auto"/>
        <w:jc w:val="both"/>
        <w:rPr>
          <w:rFonts w:eastAsia="Calibri"/>
          <w:color w:val="000000"/>
          <w:sz w:val="28"/>
          <w:szCs w:val="28"/>
          <w:lang w:eastAsia="en-US"/>
        </w:rPr>
      </w:pPr>
      <w:r w:rsidRPr="009F443C">
        <w:rPr>
          <w:rFonts w:eastAsia="Calibri"/>
          <w:color w:val="000000"/>
          <w:sz w:val="28"/>
          <w:szCs w:val="28"/>
          <w:lang w:eastAsia="en-US"/>
        </w:rPr>
        <w:t>Протокол засідання кафедри               протокол №___від _____06.2023 р.</w:t>
      </w:r>
    </w:p>
    <w:p w:rsidR="009F443C" w:rsidRPr="009F443C" w:rsidRDefault="009F443C" w:rsidP="009F443C">
      <w:pPr>
        <w:widowControl w:val="0"/>
        <w:spacing w:line="360" w:lineRule="auto"/>
        <w:jc w:val="both"/>
        <w:rPr>
          <w:rFonts w:eastAsia="Calibri"/>
          <w:color w:val="000000"/>
          <w:sz w:val="28"/>
          <w:szCs w:val="28"/>
          <w:lang w:eastAsia="en-US"/>
        </w:rPr>
      </w:pPr>
      <w:r w:rsidRPr="009F443C">
        <w:rPr>
          <w:rFonts w:eastAsia="Calibri"/>
          <w:color w:val="000000"/>
          <w:sz w:val="28"/>
          <w:szCs w:val="28"/>
          <w:lang w:eastAsia="en-US"/>
        </w:rPr>
        <w:t xml:space="preserve">№ 9 від 31.05.2023 р.                          Оцінка____________/______/______                         </w:t>
      </w:r>
    </w:p>
    <w:p w:rsidR="009F443C" w:rsidRPr="009F443C" w:rsidRDefault="009F443C" w:rsidP="009F443C">
      <w:pPr>
        <w:widowControl w:val="0"/>
        <w:spacing w:line="360" w:lineRule="auto"/>
        <w:jc w:val="both"/>
        <w:rPr>
          <w:rFonts w:eastAsia="Calibri"/>
          <w:color w:val="000000"/>
          <w:sz w:val="28"/>
          <w:szCs w:val="28"/>
          <w:lang w:eastAsia="en-US"/>
        </w:rPr>
      </w:pPr>
      <w:r w:rsidRPr="009F443C">
        <w:rPr>
          <w:rFonts w:eastAsia="Calibri"/>
          <w:color w:val="000000"/>
          <w:sz w:val="28"/>
          <w:szCs w:val="28"/>
          <w:lang w:eastAsia="en-US"/>
        </w:rPr>
        <w:t>Завідувач кафедри                               Голова ЕК</w:t>
      </w:r>
    </w:p>
    <w:p w:rsidR="009F443C" w:rsidRPr="009F443C" w:rsidRDefault="009F443C" w:rsidP="009F443C">
      <w:pPr>
        <w:widowControl w:val="0"/>
        <w:spacing w:line="360" w:lineRule="auto"/>
        <w:jc w:val="both"/>
        <w:rPr>
          <w:rFonts w:eastAsia="Calibri"/>
          <w:color w:val="000000"/>
          <w:sz w:val="28"/>
          <w:szCs w:val="28"/>
          <w:lang w:eastAsia="en-US"/>
        </w:rPr>
      </w:pPr>
    </w:p>
    <w:p w:rsidR="009F443C" w:rsidRPr="009F443C" w:rsidRDefault="009F443C" w:rsidP="009F443C">
      <w:pPr>
        <w:widowControl w:val="0"/>
        <w:spacing w:line="360" w:lineRule="auto"/>
        <w:jc w:val="both"/>
        <w:rPr>
          <w:rFonts w:eastAsia="Calibri"/>
          <w:color w:val="000000"/>
          <w:sz w:val="28"/>
          <w:szCs w:val="28"/>
          <w:lang w:eastAsia="en-US"/>
        </w:rPr>
      </w:pPr>
      <w:r w:rsidRPr="009F443C">
        <w:rPr>
          <w:rFonts w:eastAsia="Calibri"/>
          <w:color w:val="000000"/>
          <w:sz w:val="28"/>
          <w:szCs w:val="28"/>
          <w:lang w:eastAsia="en-US"/>
        </w:rPr>
        <w:t>_________ЯКУБОВСЬКИЙ Сергій       __________ ПІЧУГІНА Юлія</w:t>
      </w:r>
    </w:p>
    <w:p w:rsidR="009F443C" w:rsidRPr="009F443C" w:rsidRDefault="009F443C" w:rsidP="009F443C">
      <w:pPr>
        <w:ind w:firstLine="709"/>
        <w:jc w:val="center"/>
        <w:rPr>
          <w:rFonts w:eastAsia="Calibri"/>
          <w:sz w:val="28"/>
          <w:szCs w:val="28"/>
        </w:rPr>
      </w:pPr>
    </w:p>
    <w:p w:rsidR="009F443C" w:rsidRPr="009F443C" w:rsidRDefault="009F443C" w:rsidP="009F443C">
      <w:pPr>
        <w:jc w:val="center"/>
        <w:rPr>
          <w:rFonts w:eastAsia="Calibri"/>
          <w:sz w:val="28"/>
          <w:szCs w:val="28"/>
        </w:rPr>
      </w:pPr>
    </w:p>
    <w:p w:rsidR="009F443C" w:rsidRPr="009F443C" w:rsidRDefault="009F443C" w:rsidP="009F443C">
      <w:pPr>
        <w:jc w:val="center"/>
        <w:rPr>
          <w:rFonts w:eastAsia="Calibri"/>
          <w:sz w:val="28"/>
          <w:szCs w:val="28"/>
          <w:lang w:eastAsia="en-US"/>
        </w:rPr>
      </w:pPr>
      <w:r w:rsidRPr="009F443C">
        <w:rPr>
          <w:rFonts w:eastAsia="Calibri"/>
          <w:sz w:val="28"/>
          <w:szCs w:val="28"/>
        </w:rPr>
        <w:t>Одеса – 2023</w:t>
      </w:r>
    </w:p>
    <w:p w:rsidR="009F443C" w:rsidRPr="009F443C" w:rsidRDefault="009F443C" w:rsidP="009F443C">
      <w:pPr>
        <w:widowControl w:val="0"/>
        <w:autoSpaceDE w:val="0"/>
        <w:autoSpaceDN w:val="0"/>
        <w:adjustRightInd w:val="0"/>
        <w:jc w:val="center"/>
        <w:rPr>
          <w:rFonts w:eastAsia="Calibri"/>
          <w:b/>
          <w:bCs/>
          <w:color w:val="000000"/>
          <w:sz w:val="28"/>
          <w:szCs w:val="28"/>
        </w:rPr>
      </w:pPr>
      <w:r w:rsidRPr="009F443C">
        <w:rPr>
          <w:rFonts w:eastAsia="Calibri"/>
          <w:b/>
          <w:bCs/>
          <w:color w:val="000000"/>
          <w:sz w:val="28"/>
          <w:szCs w:val="28"/>
        </w:rPr>
        <w:t>ЗМІСТ</w:t>
      </w:r>
    </w:p>
    <w:p w:rsidR="009F443C" w:rsidRPr="009F443C" w:rsidRDefault="009F443C" w:rsidP="009F443C">
      <w:pPr>
        <w:widowControl w:val="0"/>
        <w:autoSpaceDE w:val="0"/>
        <w:autoSpaceDN w:val="0"/>
        <w:adjustRightInd w:val="0"/>
        <w:jc w:val="center"/>
        <w:rPr>
          <w:rFonts w:eastAsia="Calibri"/>
          <w:b/>
          <w:bCs/>
          <w:color w:val="000000"/>
          <w:sz w:val="28"/>
          <w:szCs w:val="28"/>
        </w:rPr>
      </w:pPr>
    </w:p>
    <w:tbl>
      <w:tblPr>
        <w:tblW w:w="10221" w:type="dxa"/>
        <w:tblInd w:w="-431" w:type="dxa"/>
        <w:tblLook w:val="00A0" w:firstRow="1" w:lastRow="0" w:firstColumn="1" w:lastColumn="0" w:noHBand="0" w:noVBand="0"/>
      </w:tblPr>
      <w:tblGrid>
        <w:gridCol w:w="9725"/>
        <w:gridCol w:w="496"/>
      </w:tblGrid>
      <w:tr w:rsidR="009F443C" w:rsidRPr="009F443C" w:rsidTr="009F443C">
        <w:tc>
          <w:tcPr>
            <w:tcW w:w="9725" w:type="dxa"/>
          </w:tcPr>
          <w:p w:rsidR="009F443C" w:rsidRPr="009F443C" w:rsidRDefault="009F443C" w:rsidP="009F443C">
            <w:pPr>
              <w:suppressAutoHyphens/>
              <w:spacing w:line="360" w:lineRule="auto"/>
              <w:jc w:val="both"/>
              <w:rPr>
                <w:rFonts w:eastAsia="Calibri"/>
                <w:color w:val="000000"/>
                <w:sz w:val="28"/>
                <w:szCs w:val="28"/>
              </w:rPr>
            </w:pPr>
            <w:r w:rsidRPr="009F443C">
              <w:rPr>
                <w:rFonts w:eastAsia="Calibri"/>
                <w:color w:val="000000"/>
                <w:sz w:val="28"/>
                <w:szCs w:val="28"/>
              </w:rPr>
              <w:t>ВСТУП……………………………………………………………………………...</w:t>
            </w:r>
          </w:p>
        </w:tc>
        <w:tc>
          <w:tcPr>
            <w:tcW w:w="496" w:type="dxa"/>
          </w:tcPr>
          <w:p w:rsidR="009F443C" w:rsidRPr="009F443C" w:rsidRDefault="009F443C" w:rsidP="009F443C">
            <w:pPr>
              <w:spacing w:line="360" w:lineRule="auto"/>
              <w:rPr>
                <w:rFonts w:eastAsia="Calibri"/>
                <w:color w:val="000000"/>
                <w:sz w:val="28"/>
                <w:szCs w:val="28"/>
              </w:rPr>
            </w:pPr>
            <w:r w:rsidRPr="009F443C">
              <w:rPr>
                <w:rFonts w:eastAsia="Calibri"/>
                <w:color w:val="000000"/>
                <w:sz w:val="28"/>
                <w:szCs w:val="28"/>
              </w:rPr>
              <w:t>3</w:t>
            </w:r>
          </w:p>
        </w:tc>
      </w:tr>
      <w:tr w:rsidR="009F443C" w:rsidRPr="009F443C" w:rsidTr="009F443C">
        <w:tc>
          <w:tcPr>
            <w:tcW w:w="9725" w:type="dxa"/>
          </w:tcPr>
          <w:p w:rsidR="009F443C" w:rsidRPr="009F443C" w:rsidRDefault="009F443C" w:rsidP="009F443C">
            <w:pPr>
              <w:suppressAutoHyphens/>
              <w:spacing w:line="360" w:lineRule="auto"/>
              <w:rPr>
                <w:rFonts w:eastAsia="Calibri"/>
                <w:color w:val="000000"/>
                <w:sz w:val="28"/>
                <w:szCs w:val="28"/>
              </w:rPr>
            </w:pPr>
          </w:p>
          <w:p w:rsidR="009F443C" w:rsidRPr="00D65A91" w:rsidRDefault="009F443C" w:rsidP="009F443C">
            <w:pPr>
              <w:suppressAutoHyphens/>
              <w:spacing w:line="360" w:lineRule="auto"/>
              <w:rPr>
                <w:rFonts w:eastAsia="Calibri"/>
                <w:sz w:val="28"/>
                <w:szCs w:val="28"/>
                <w:lang w:val="ru-RU"/>
              </w:rPr>
            </w:pPr>
            <w:r w:rsidRPr="009F443C">
              <w:rPr>
                <w:rFonts w:eastAsia="Calibri"/>
                <w:color w:val="000000"/>
                <w:sz w:val="28"/>
                <w:szCs w:val="28"/>
              </w:rPr>
              <w:t xml:space="preserve">РОЗДІЛ 1. </w:t>
            </w:r>
            <w:r w:rsidR="00D65A91" w:rsidRPr="00D65A91">
              <w:rPr>
                <w:rFonts w:eastAsia="Calibri"/>
                <w:color w:val="000000"/>
                <w:sz w:val="28"/>
                <w:szCs w:val="28"/>
              </w:rPr>
              <w:t>ТЕОРЕТИЧНІ ОСНОВИ АНАЛІЗУ ЗОВНІШНЬОЕКОНОМІЧНИХ ОПЕРАЦІЙ ПОЛЬЩІ ТА СЛОВАЧЧИНИ В УМОВАХ ЄВРОПЕЙСЬКОЇ ІНТЕГРАЦІЇ</w:t>
            </w:r>
            <w:r w:rsidR="00D65A91">
              <w:rPr>
                <w:rFonts w:eastAsia="Calibri"/>
                <w:color w:val="000000"/>
                <w:sz w:val="28"/>
                <w:szCs w:val="28"/>
                <w:lang w:val="ru-RU"/>
              </w:rPr>
              <w:t>……………………………………………………………………….</w:t>
            </w:r>
            <w:r w:rsidRPr="009F443C">
              <w:rPr>
                <w:rFonts w:eastAsia="Calibri"/>
                <w:color w:val="000000"/>
                <w:sz w:val="28"/>
                <w:szCs w:val="28"/>
                <w:lang w:val="en-US"/>
              </w:rPr>
              <w:t>…</w:t>
            </w:r>
          </w:p>
        </w:tc>
        <w:tc>
          <w:tcPr>
            <w:tcW w:w="496" w:type="dxa"/>
          </w:tcPr>
          <w:p w:rsidR="009F443C" w:rsidRPr="009F443C" w:rsidRDefault="009F443C" w:rsidP="009F443C">
            <w:pPr>
              <w:spacing w:line="360" w:lineRule="auto"/>
              <w:rPr>
                <w:rFonts w:eastAsia="Calibri"/>
                <w:color w:val="000000"/>
                <w:sz w:val="28"/>
                <w:szCs w:val="28"/>
              </w:rPr>
            </w:pPr>
            <w:r w:rsidRPr="009F443C">
              <w:rPr>
                <w:rFonts w:eastAsia="Calibri"/>
                <w:color w:val="000000"/>
                <w:sz w:val="28"/>
                <w:szCs w:val="28"/>
              </w:rPr>
              <w:t xml:space="preserve">         </w:t>
            </w:r>
          </w:p>
          <w:p w:rsidR="009F443C" w:rsidRPr="009F443C" w:rsidRDefault="009F443C" w:rsidP="009F443C">
            <w:pPr>
              <w:spacing w:line="360" w:lineRule="auto"/>
              <w:rPr>
                <w:rFonts w:eastAsia="Calibri"/>
                <w:color w:val="000000"/>
                <w:sz w:val="28"/>
                <w:szCs w:val="28"/>
              </w:rPr>
            </w:pPr>
            <w:r w:rsidRPr="009F443C">
              <w:rPr>
                <w:rFonts w:eastAsia="Calibri"/>
                <w:color w:val="000000"/>
                <w:sz w:val="28"/>
                <w:szCs w:val="28"/>
              </w:rPr>
              <w:t xml:space="preserve">      </w:t>
            </w:r>
          </w:p>
          <w:p w:rsidR="009F443C" w:rsidRPr="009F443C" w:rsidRDefault="009F443C" w:rsidP="009F443C">
            <w:pPr>
              <w:spacing w:line="360" w:lineRule="auto"/>
              <w:rPr>
                <w:rFonts w:eastAsia="Calibri"/>
                <w:color w:val="000000"/>
                <w:sz w:val="28"/>
                <w:szCs w:val="28"/>
              </w:rPr>
            </w:pPr>
            <w:r w:rsidRPr="009F443C">
              <w:rPr>
                <w:rFonts w:eastAsia="Calibri"/>
                <w:color w:val="000000"/>
                <w:sz w:val="28"/>
                <w:szCs w:val="28"/>
              </w:rPr>
              <w:t xml:space="preserve"> </w:t>
            </w:r>
            <w:r w:rsidR="00D65A91">
              <w:rPr>
                <w:rFonts w:eastAsia="Calibri"/>
                <w:color w:val="000000"/>
                <w:sz w:val="28"/>
                <w:szCs w:val="28"/>
                <w:lang w:val="ru-RU"/>
              </w:rPr>
              <w:t xml:space="preserve">  </w:t>
            </w:r>
            <w:r w:rsidRPr="009F443C">
              <w:rPr>
                <w:rFonts w:eastAsia="Calibri"/>
                <w:color w:val="000000"/>
                <w:sz w:val="28"/>
                <w:szCs w:val="28"/>
              </w:rPr>
              <w:t>5</w:t>
            </w:r>
          </w:p>
        </w:tc>
      </w:tr>
      <w:tr w:rsidR="009F443C" w:rsidRPr="009F443C" w:rsidTr="009F443C">
        <w:tc>
          <w:tcPr>
            <w:tcW w:w="9725" w:type="dxa"/>
          </w:tcPr>
          <w:p w:rsidR="009F443C" w:rsidRPr="009F443C" w:rsidRDefault="009F443C" w:rsidP="009F443C">
            <w:pPr>
              <w:suppressAutoHyphens/>
              <w:spacing w:line="360" w:lineRule="auto"/>
              <w:jc w:val="both"/>
              <w:rPr>
                <w:rFonts w:eastAsia="Calibri"/>
                <w:color w:val="000000"/>
                <w:sz w:val="28"/>
                <w:szCs w:val="28"/>
              </w:rPr>
            </w:pPr>
          </w:p>
          <w:p w:rsidR="009F443C" w:rsidRPr="009F443C" w:rsidRDefault="009F443C" w:rsidP="00D65A91">
            <w:pPr>
              <w:suppressAutoHyphens/>
              <w:spacing w:line="360" w:lineRule="auto"/>
              <w:rPr>
                <w:rFonts w:eastAsia="Calibri"/>
                <w:color w:val="000000"/>
                <w:sz w:val="28"/>
                <w:szCs w:val="28"/>
              </w:rPr>
            </w:pPr>
            <w:r w:rsidRPr="009F443C">
              <w:rPr>
                <w:rFonts w:eastAsia="Calibri"/>
                <w:color w:val="000000"/>
                <w:sz w:val="28"/>
                <w:szCs w:val="28"/>
              </w:rPr>
              <w:t xml:space="preserve">РОЗДІЛ 2. </w:t>
            </w:r>
            <w:r w:rsidR="00D65A91" w:rsidRPr="00D65A91">
              <w:rPr>
                <w:rFonts w:eastAsia="Calibri"/>
                <w:color w:val="000000"/>
                <w:sz w:val="28"/>
                <w:szCs w:val="28"/>
              </w:rPr>
              <w:t>ПОРІВНЯЛЬНИЙ АНАЛІЗ ОСНОВНИХ СКЛАДОВИХ ЗОВНІШНЬОЕКОНОМІЧНИХ ОПЕРАЦІЙ ПОЛЬЩІ ТА СЛОВАЧЧИНИ</w:t>
            </w:r>
            <w:r w:rsidRPr="009F443C">
              <w:rPr>
                <w:rFonts w:eastAsia="Calibri"/>
                <w:color w:val="000000"/>
                <w:sz w:val="28"/>
                <w:szCs w:val="28"/>
                <w:lang w:val="en-US"/>
              </w:rPr>
              <w:t>...</w:t>
            </w:r>
            <w:r w:rsidRPr="009F443C">
              <w:rPr>
                <w:rFonts w:eastAsia="Calibri"/>
                <w:color w:val="000000"/>
                <w:sz w:val="28"/>
                <w:szCs w:val="28"/>
              </w:rPr>
              <w:t>..</w:t>
            </w:r>
          </w:p>
        </w:tc>
        <w:tc>
          <w:tcPr>
            <w:tcW w:w="496" w:type="dxa"/>
          </w:tcPr>
          <w:p w:rsidR="009F443C" w:rsidRPr="009F443C" w:rsidRDefault="009F443C" w:rsidP="009F443C">
            <w:pPr>
              <w:suppressAutoHyphens/>
              <w:spacing w:line="360" w:lineRule="auto"/>
              <w:jc w:val="both"/>
              <w:rPr>
                <w:rFonts w:eastAsia="Calibri"/>
                <w:color w:val="000000"/>
                <w:sz w:val="28"/>
                <w:szCs w:val="28"/>
              </w:rPr>
            </w:pPr>
            <w:r w:rsidRPr="009F443C">
              <w:rPr>
                <w:rFonts w:eastAsia="Calibri"/>
                <w:color w:val="000000"/>
                <w:sz w:val="28"/>
                <w:szCs w:val="28"/>
              </w:rPr>
              <w:t xml:space="preserve">  </w:t>
            </w:r>
          </w:p>
          <w:p w:rsidR="009F443C" w:rsidRPr="009F443C" w:rsidRDefault="009F443C" w:rsidP="009F443C">
            <w:pPr>
              <w:suppressAutoHyphens/>
              <w:spacing w:line="360" w:lineRule="auto"/>
              <w:jc w:val="both"/>
              <w:rPr>
                <w:rFonts w:eastAsia="Calibri"/>
                <w:color w:val="000000"/>
                <w:sz w:val="28"/>
                <w:szCs w:val="28"/>
              </w:rPr>
            </w:pPr>
            <w:r w:rsidRPr="009F443C">
              <w:rPr>
                <w:rFonts w:eastAsia="Calibri"/>
                <w:color w:val="000000"/>
                <w:sz w:val="28"/>
                <w:szCs w:val="28"/>
              </w:rPr>
              <w:t xml:space="preserve">  </w:t>
            </w:r>
          </w:p>
          <w:p w:rsidR="009F443C" w:rsidRPr="00D65A91" w:rsidRDefault="009F443C" w:rsidP="00D65A91">
            <w:pPr>
              <w:suppressAutoHyphens/>
              <w:spacing w:line="360" w:lineRule="auto"/>
              <w:jc w:val="both"/>
              <w:rPr>
                <w:rFonts w:eastAsia="Calibri"/>
                <w:color w:val="000000"/>
                <w:sz w:val="28"/>
                <w:szCs w:val="28"/>
                <w:lang w:val="ru-RU"/>
              </w:rPr>
            </w:pPr>
            <w:r w:rsidRPr="009F443C">
              <w:rPr>
                <w:rFonts w:eastAsia="Calibri"/>
                <w:color w:val="000000"/>
                <w:sz w:val="28"/>
                <w:szCs w:val="28"/>
              </w:rPr>
              <w:t>1</w:t>
            </w:r>
            <w:r w:rsidR="00D65A91">
              <w:rPr>
                <w:rFonts w:eastAsia="Calibri"/>
                <w:color w:val="000000"/>
                <w:sz w:val="28"/>
                <w:szCs w:val="28"/>
                <w:lang w:val="ru-RU"/>
              </w:rPr>
              <w:t>1</w:t>
            </w:r>
          </w:p>
        </w:tc>
      </w:tr>
      <w:tr w:rsidR="009F443C" w:rsidRPr="009F443C" w:rsidTr="009F443C">
        <w:tc>
          <w:tcPr>
            <w:tcW w:w="9725" w:type="dxa"/>
          </w:tcPr>
          <w:p w:rsidR="009F443C" w:rsidRPr="009F443C" w:rsidRDefault="009F443C" w:rsidP="00D65A91">
            <w:pPr>
              <w:suppressAutoHyphens/>
              <w:spacing w:line="360" w:lineRule="auto"/>
              <w:jc w:val="both"/>
              <w:rPr>
                <w:rFonts w:eastAsia="Calibri"/>
                <w:color w:val="000000"/>
                <w:sz w:val="28"/>
                <w:szCs w:val="28"/>
              </w:rPr>
            </w:pPr>
            <w:r w:rsidRPr="009F443C">
              <w:rPr>
                <w:rFonts w:eastAsia="Calibri"/>
                <w:color w:val="000000"/>
                <w:sz w:val="28"/>
                <w:szCs w:val="28"/>
              </w:rPr>
              <w:t xml:space="preserve">2.1. Структура та динаміка поточних операцій </w:t>
            </w:r>
            <w:r w:rsidR="00D65A91" w:rsidRPr="00D65A91">
              <w:rPr>
                <w:rFonts w:eastAsia="Calibri"/>
                <w:color w:val="000000"/>
                <w:sz w:val="28"/>
                <w:szCs w:val="28"/>
              </w:rPr>
              <w:t>Польщі та Словаччини</w:t>
            </w:r>
            <w:r w:rsidRPr="009F443C">
              <w:rPr>
                <w:rFonts w:eastAsia="Calibri"/>
                <w:color w:val="000000"/>
                <w:sz w:val="28"/>
                <w:szCs w:val="28"/>
              </w:rPr>
              <w:t>…</w:t>
            </w:r>
            <w:r w:rsidR="00D65A91">
              <w:rPr>
                <w:rFonts w:eastAsia="Calibri"/>
                <w:color w:val="000000"/>
                <w:sz w:val="28"/>
                <w:szCs w:val="28"/>
                <w:lang w:val="ru-RU"/>
              </w:rPr>
              <w:t>….</w:t>
            </w:r>
            <w:r w:rsidRPr="009F443C">
              <w:rPr>
                <w:rFonts w:eastAsia="Calibri"/>
                <w:color w:val="000000"/>
                <w:sz w:val="28"/>
                <w:szCs w:val="28"/>
              </w:rPr>
              <w:t xml:space="preserve">… </w:t>
            </w:r>
          </w:p>
        </w:tc>
        <w:tc>
          <w:tcPr>
            <w:tcW w:w="496" w:type="dxa"/>
          </w:tcPr>
          <w:p w:rsidR="009F443C" w:rsidRPr="00D65A91" w:rsidRDefault="009F443C" w:rsidP="00D65A91">
            <w:pPr>
              <w:suppressAutoHyphens/>
              <w:spacing w:line="360" w:lineRule="auto"/>
              <w:jc w:val="both"/>
              <w:rPr>
                <w:rFonts w:eastAsia="Calibri"/>
                <w:color w:val="000000"/>
                <w:sz w:val="28"/>
                <w:szCs w:val="28"/>
                <w:lang w:val="ru-RU"/>
              </w:rPr>
            </w:pPr>
            <w:r w:rsidRPr="009F443C">
              <w:rPr>
                <w:rFonts w:eastAsia="Calibri"/>
                <w:color w:val="000000"/>
                <w:sz w:val="28"/>
                <w:szCs w:val="28"/>
              </w:rPr>
              <w:t>1</w:t>
            </w:r>
            <w:r w:rsidR="00D65A91">
              <w:rPr>
                <w:rFonts w:eastAsia="Calibri"/>
                <w:color w:val="000000"/>
                <w:sz w:val="28"/>
                <w:szCs w:val="28"/>
                <w:lang w:val="ru-RU"/>
              </w:rPr>
              <w:t>1</w:t>
            </w:r>
          </w:p>
        </w:tc>
      </w:tr>
      <w:tr w:rsidR="009F443C" w:rsidRPr="009F443C" w:rsidTr="009F443C">
        <w:tc>
          <w:tcPr>
            <w:tcW w:w="9725" w:type="dxa"/>
          </w:tcPr>
          <w:p w:rsidR="009F443C" w:rsidRPr="009F443C" w:rsidRDefault="009F443C" w:rsidP="009F443C">
            <w:pPr>
              <w:suppressAutoHyphens/>
              <w:spacing w:line="360" w:lineRule="auto"/>
              <w:jc w:val="both"/>
              <w:rPr>
                <w:rFonts w:eastAsia="Calibri"/>
                <w:color w:val="000000"/>
                <w:sz w:val="28"/>
                <w:szCs w:val="28"/>
              </w:rPr>
            </w:pPr>
            <w:r w:rsidRPr="009F443C">
              <w:rPr>
                <w:rFonts w:eastAsia="Calibri"/>
                <w:color w:val="000000"/>
                <w:sz w:val="28"/>
                <w:szCs w:val="28"/>
              </w:rPr>
              <w:t xml:space="preserve">2.2. Порівняльний аналіз фінансових рахунків </w:t>
            </w:r>
            <w:r w:rsidR="00D65A91" w:rsidRPr="00D65A91">
              <w:rPr>
                <w:rFonts w:eastAsia="Calibri"/>
                <w:color w:val="000000"/>
                <w:sz w:val="28"/>
                <w:szCs w:val="28"/>
              </w:rPr>
              <w:t>Польщі та Словаччини</w:t>
            </w:r>
            <w:r w:rsidR="00D65A91">
              <w:rPr>
                <w:rFonts w:eastAsia="Calibri"/>
                <w:color w:val="000000"/>
                <w:sz w:val="28"/>
                <w:szCs w:val="28"/>
                <w:lang w:val="ru-RU"/>
              </w:rPr>
              <w:t>………</w:t>
            </w:r>
            <w:r w:rsidRPr="009F443C">
              <w:rPr>
                <w:rFonts w:eastAsia="Calibri"/>
                <w:color w:val="000000"/>
                <w:sz w:val="28"/>
                <w:szCs w:val="28"/>
              </w:rPr>
              <w:t>…</w:t>
            </w:r>
          </w:p>
        </w:tc>
        <w:tc>
          <w:tcPr>
            <w:tcW w:w="496" w:type="dxa"/>
          </w:tcPr>
          <w:p w:rsidR="009F443C" w:rsidRPr="00D65A91" w:rsidRDefault="009F443C" w:rsidP="00D65A91">
            <w:pPr>
              <w:suppressAutoHyphens/>
              <w:spacing w:line="360" w:lineRule="auto"/>
              <w:jc w:val="both"/>
              <w:rPr>
                <w:rFonts w:eastAsia="Calibri"/>
                <w:color w:val="000000"/>
                <w:sz w:val="28"/>
                <w:szCs w:val="28"/>
                <w:lang w:val="ru-RU"/>
              </w:rPr>
            </w:pPr>
            <w:r w:rsidRPr="009F443C">
              <w:rPr>
                <w:rFonts w:eastAsia="Calibri"/>
                <w:color w:val="000000"/>
                <w:sz w:val="28"/>
                <w:szCs w:val="28"/>
                <w:lang w:val="en-US"/>
              </w:rPr>
              <w:t>1</w:t>
            </w:r>
            <w:r w:rsidR="00D65A91">
              <w:rPr>
                <w:rFonts w:eastAsia="Calibri"/>
                <w:color w:val="000000"/>
                <w:sz w:val="28"/>
                <w:szCs w:val="28"/>
                <w:lang w:val="ru-RU"/>
              </w:rPr>
              <w:t>8</w:t>
            </w:r>
          </w:p>
        </w:tc>
      </w:tr>
      <w:tr w:rsidR="009F443C" w:rsidRPr="009F443C" w:rsidTr="009F443C">
        <w:tc>
          <w:tcPr>
            <w:tcW w:w="9725" w:type="dxa"/>
          </w:tcPr>
          <w:p w:rsidR="009F443C" w:rsidRPr="009F443C" w:rsidRDefault="009F443C" w:rsidP="00D65A91">
            <w:pPr>
              <w:suppressAutoHyphens/>
              <w:spacing w:line="360" w:lineRule="auto"/>
              <w:jc w:val="both"/>
              <w:rPr>
                <w:rFonts w:eastAsia="Calibri"/>
                <w:color w:val="000000"/>
                <w:sz w:val="28"/>
                <w:szCs w:val="28"/>
              </w:rPr>
            </w:pPr>
            <w:r w:rsidRPr="009F443C">
              <w:rPr>
                <w:rFonts w:eastAsia="Calibri"/>
                <w:color w:val="000000"/>
                <w:sz w:val="28"/>
                <w:szCs w:val="28"/>
              </w:rPr>
              <w:t xml:space="preserve">2.3. </w:t>
            </w:r>
            <w:r w:rsidR="00D65A91" w:rsidRPr="00D65A91">
              <w:rPr>
                <w:rFonts w:eastAsia="Calibri"/>
                <w:color w:val="000000"/>
                <w:sz w:val="28"/>
                <w:szCs w:val="28"/>
              </w:rPr>
              <w:t xml:space="preserve">Модулювання та результат операцій «Carry Trade» з державними облігаціями Польщі та Словаччини </w:t>
            </w:r>
            <w:r w:rsidRPr="009F443C">
              <w:rPr>
                <w:rFonts w:eastAsia="Calibri"/>
                <w:color w:val="000000"/>
                <w:sz w:val="28"/>
                <w:szCs w:val="28"/>
              </w:rPr>
              <w:t>…</w:t>
            </w:r>
            <w:r w:rsidRPr="009F443C">
              <w:rPr>
                <w:rFonts w:eastAsia="Calibri"/>
                <w:color w:val="000000"/>
                <w:sz w:val="28"/>
                <w:szCs w:val="28"/>
                <w:lang w:val="en-US"/>
              </w:rPr>
              <w:t>…</w:t>
            </w:r>
            <w:r w:rsidRPr="009F443C">
              <w:rPr>
                <w:rFonts w:eastAsia="Calibri"/>
                <w:color w:val="000000"/>
                <w:sz w:val="28"/>
                <w:szCs w:val="28"/>
              </w:rPr>
              <w:t>……………………</w:t>
            </w:r>
            <w:r w:rsidR="00D65A91">
              <w:rPr>
                <w:rFonts w:eastAsia="Calibri"/>
                <w:color w:val="000000"/>
                <w:sz w:val="28"/>
                <w:szCs w:val="28"/>
                <w:lang w:val="ru-RU"/>
              </w:rPr>
              <w:t>…………………..</w:t>
            </w:r>
            <w:r w:rsidRPr="009F443C">
              <w:rPr>
                <w:rFonts w:eastAsia="Calibri"/>
                <w:color w:val="000000"/>
                <w:sz w:val="28"/>
                <w:szCs w:val="28"/>
              </w:rPr>
              <w:t>....</w:t>
            </w:r>
          </w:p>
        </w:tc>
        <w:tc>
          <w:tcPr>
            <w:tcW w:w="496" w:type="dxa"/>
          </w:tcPr>
          <w:p w:rsidR="009F443C" w:rsidRPr="00D65A91" w:rsidRDefault="009F443C" w:rsidP="00D65A91">
            <w:pPr>
              <w:suppressAutoHyphens/>
              <w:spacing w:line="360" w:lineRule="auto"/>
              <w:jc w:val="both"/>
              <w:rPr>
                <w:rFonts w:eastAsia="Calibri"/>
                <w:color w:val="000000"/>
                <w:sz w:val="28"/>
                <w:szCs w:val="28"/>
                <w:lang w:val="ru-RU"/>
              </w:rPr>
            </w:pPr>
            <w:r w:rsidRPr="009F443C">
              <w:rPr>
                <w:rFonts w:eastAsia="Calibri"/>
                <w:color w:val="000000"/>
                <w:sz w:val="28"/>
                <w:szCs w:val="28"/>
              </w:rPr>
              <w:t xml:space="preserve"> 2</w:t>
            </w:r>
            <w:r w:rsidR="00D65A91">
              <w:rPr>
                <w:rFonts w:eastAsia="Calibri"/>
                <w:color w:val="000000"/>
                <w:sz w:val="28"/>
                <w:szCs w:val="28"/>
                <w:lang w:val="ru-RU"/>
              </w:rPr>
              <w:t>5</w:t>
            </w:r>
          </w:p>
        </w:tc>
      </w:tr>
      <w:tr w:rsidR="009F443C" w:rsidRPr="009F443C" w:rsidTr="009F443C">
        <w:trPr>
          <w:trHeight w:val="1461"/>
        </w:trPr>
        <w:tc>
          <w:tcPr>
            <w:tcW w:w="9725" w:type="dxa"/>
          </w:tcPr>
          <w:p w:rsidR="009F443C" w:rsidRPr="009F443C" w:rsidRDefault="009F443C" w:rsidP="009F443C">
            <w:pPr>
              <w:suppressAutoHyphens/>
              <w:spacing w:line="360" w:lineRule="auto"/>
              <w:jc w:val="both"/>
              <w:rPr>
                <w:rFonts w:eastAsia="Calibri"/>
                <w:color w:val="000000"/>
                <w:sz w:val="28"/>
                <w:szCs w:val="28"/>
              </w:rPr>
            </w:pPr>
          </w:p>
          <w:p w:rsidR="009F443C" w:rsidRPr="009F443C" w:rsidRDefault="009F443C" w:rsidP="009F443C">
            <w:pPr>
              <w:spacing w:line="360" w:lineRule="auto"/>
              <w:jc w:val="both"/>
              <w:rPr>
                <w:rFonts w:eastAsia="Calibri"/>
                <w:sz w:val="28"/>
                <w:szCs w:val="28"/>
                <w:lang w:eastAsia="en-US"/>
              </w:rPr>
            </w:pPr>
            <w:r w:rsidRPr="009F443C">
              <w:rPr>
                <w:rFonts w:eastAsia="Calibri"/>
                <w:color w:val="000000"/>
                <w:sz w:val="28"/>
                <w:szCs w:val="28"/>
              </w:rPr>
              <w:t xml:space="preserve">РОЗДІЛ 3. </w:t>
            </w:r>
            <w:r w:rsidR="00D65A91" w:rsidRPr="00D65A91">
              <w:rPr>
                <w:rFonts w:eastAsia="Calibri"/>
                <w:sz w:val="28"/>
                <w:szCs w:val="28"/>
                <w:lang w:eastAsia="en-US"/>
              </w:rPr>
              <w:t>ОСОБЛИВОСТІ ЗОВНІШНЬОЕКОНОМІЧНИХ ОПЕРАЦІЙ ПОЛЬЩІ ТА СЛОВАЧЧИНИ З УКРАЇНОЮ</w:t>
            </w:r>
            <w:r w:rsidR="00D65A91">
              <w:rPr>
                <w:rFonts w:eastAsia="Calibri"/>
                <w:sz w:val="28"/>
                <w:szCs w:val="28"/>
                <w:lang w:val="ru-RU" w:eastAsia="en-US"/>
              </w:rPr>
              <w:t>…………</w:t>
            </w:r>
            <w:r w:rsidRPr="009F443C">
              <w:rPr>
                <w:rFonts w:eastAsia="Calibri"/>
                <w:sz w:val="28"/>
                <w:szCs w:val="28"/>
                <w:lang w:eastAsia="en-US"/>
              </w:rPr>
              <w:t>…</w:t>
            </w:r>
            <w:r w:rsidRPr="009F443C">
              <w:rPr>
                <w:rFonts w:eastAsia="Calibri"/>
                <w:sz w:val="28"/>
                <w:szCs w:val="28"/>
                <w:lang w:val="en-US" w:eastAsia="en-US"/>
              </w:rPr>
              <w:t>…………………..</w:t>
            </w:r>
            <w:r w:rsidRPr="009F443C">
              <w:rPr>
                <w:rFonts w:eastAsia="Calibri"/>
                <w:sz w:val="28"/>
                <w:szCs w:val="28"/>
                <w:lang w:eastAsia="en-US"/>
              </w:rPr>
              <w:t>……</w:t>
            </w:r>
          </w:p>
        </w:tc>
        <w:tc>
          <w:tcPr>
            <w:tcW w:w="496" w:type="dxa"/>
          </w:tcPr>
          <w:p w:rsidR="009F443C" w:rsidRPr="009F443C" w:rsidRDefault="009F443C" w:rsidP="009F443C">
            <w:pPr>
              <w:suppressAutoHyphens/>
              <w:spacing w:line="360" w:lineRule="auto"/>
              <w:jc w:val="both"/>
              <w:rPr>
                <w:rFonts w:eastAsia="Calibri"/>
                <w:color w:val="000000"/>
                <w:sz w:val="28"/>
                <w:szCs w:val="28"/>
              </w:rPr>
            </w:pPr>
            <w:r w:rsidRPr="009F443C">
              <w:rPr>
                <w:rFonts w:eastAsia="Calibri"/>
                <w:color w:val="000000"/>
                <w:sz w:val="28"/>
                <w:szCs w:val="28"/>
              </w:rPr>
              <w:t xml:space="preserve">     </w:t>
            </w:r>
          </w:p>
          <w:p w:rsidR="009F443C" w:rsidRPr="00D65A91" w:rsidRDefault="009F443C" w:rsidP="00D65A91">
            <w:pPr>
              <w:suppressAutoHyphens/>
              <w:spacing w:line="360" w:lineRule="auto"/>
              <w:jc w:val="both"/>
              <w:rPr>
                <w:rFonts w:eastAsia="Calibri"/>
                <w:color w:val="000000"/>
                <w:sz w:val="28"/>
                <w:szCs w:val="28"/>
                <w:lang w:val="ru-RU"/>
              </w:rPr>
            </w:pPr>
            <w:r w:rsidRPr="009F443C">
              <w:rPr>
                <w:rFonts w:eastAsia="Calibri"/>
                <w:color w:val="000000"/>
                <w:sz w:val="28"/>
                <w:szCs w:val="28"/>
              </w:rPr>
              <w:t xml:space="preserve"> </w:t>
            </w:r>
            <w:r w:rsidRPr="009F443C">
              <w:rPr>
                <w:rFonts w:eastAsia="Calibri"/>
                <w:color w:val="000000"/>
                <w:sz w:val="28"/>
                <w:szCs w:val="28"/>
                <w:lang w:val="en-US"/>
              </w:rPr>
              <w:t>3</w:t>
            </w:r>
            <w:r w:rsidR="00D65A91">
              <w:rPr>
                <w:rFonts w:eastAsia="Calibri"/>
                <w:color w:val="000000"/>
                <w:sz w:val="28"/>
                <w:szCs w:val="28"/>
                <w:lang w:val="ru-RU"/>
              </w:rPr>
              <w:t>1</w:t>
            </w:r>
          </w:p>
        </w:tc>
      </w:tr>
      <w:tr w:rsidR="009F443C" w:rsidRPr="009F443C" w:rsidTr="009F443C">
        <w:tc>
          <w:tcPr>
            <w:tcW w:w="9725" w:type="dxa"/>
          </w:tcPr>
          <w:p w:rsidR="009F443C" w:rsidRPr="009F443C" w:rsidRDefault="009F443C" w:rsidP="009F443C">
            <w:pPr>
              <w:suppressAutoHyphens/>
              <w:spacing w:line="360" w:lineRule="auto"/>
              <w:jc w:val="both"/>
              <w:rPr>
                <w:rFonts w:eastAsia="Calibri"/>
                <w:color w:val="000000"/>
                <w:sz w:val="28"/>
                <w:szCs w:val="28"/>
              </w:rPr>
            </w:pPr>
          </w:p>
          <w:p w:rsidR="009F443C" w:rsidRPr="009F443C" w:rsidRDefault="009F443C" w:rsidP="009F443C">
            <w:pPr>
              <w:suppressAutoHyphens/>
              <w:spacing w:line="360" w:lineRule="auto"/>
              <w:jc w:val="both"/>
              <w:rPr>
                <w:rFonts w:eastAsia="Calibri"/>
                <w:color w:val="000000"/>
                <w:sz w:val="28"/>
                <w:szCs w:val="28"/>
              </w:rPr>
            </w:pPr>
            <w:r w:rsidRPr="009F443C">
              <w:rPr>
                <w:rFonts w:eastAsia="Calibri"/>
                <w:color w:val="000000"/>
                <w:sz w:val="28"/>
                <w:szCs w:val="28"/>
              </w:rPr>
              <w:t>ВИСНОВКИ…………………………………………………………………………</w:t>
            </w:r>
          </w:p>
        </w:tc>
        <w:tc>
          <w:tcPr>
            <w:tcW w:w="496" w:type="dxa"/>
          </w:tcPr>
          <w:p w:rsidR="009F443C" w:rsidRPr="00D65A91" w:rsidRDefault="009F443C" w:rsidP="00D65A91">
            <w:pPr>
              <w:suppressAutoHyphens/>
              <w:spacing w:line="360" w:lineRule="auto"/>
              <w:jc w:val="both"/>
              <w:rPr>
                <w:rFonts w:eastAsia="Calibri"/>
                <w:color w:val="000000"/>
                <w:sz w:val="28"/>
                <w:szCs w:val="28"/>
                <w:lang w:val="ru-RU"/>
              </w:rPr>
            </w:pPr>
            <w:r w:rsidRPr="009F443C">
              <w:rPr>
                <w:rFonts w:eastAsia="Calibri"/>
                <w:color w:val="000000"/>
                <w:sz w:val="28"/>
                <w:szCs w:val="28"/>
              </w:rPr>
              <w:t xml:space="preserve">  3</w:t>
            </w:r>
            <w:r w:rsidR="00D65A91">
              <w:rPr>
                <w:rFonts w:eastAsia="Calibri"/>
                <w:color w:val="000000"/>
                <w:sz w:val="28"/>
                <w:szCs w:val="28"/>
                <w:lang w:val="ru-RU"/>
              </w:rPr>
              <w:t>5</w:t>
            </w:r>
          </w:p>
        </w:tc>
      </w:tr>
      <w:tr w:rsidR="009F443C" w:rsidRPr="009F443C" w:rsidTr="009F443C">
        <w:tc>
          <w:tcPr>
            <w:tcW w:w="9725" w:type="dxa"/>
          </w:tcPr>
          <w:p w:rsidR="009F443C" w:rsidRPr="009F443C" w:rsidRDefault="009F443C" w:rsidP="009F443C">
            <w:pPr>
              <w:suppressAutoHyphens/>
              <w:spacing w:line="360" w:lineRule="auto"/>
              <w:jc w:val="both"/>
              <w:rPr>
                <w:rFonts w:eastAsia="Calibri"/>
                <w:color w:val="000000"/>
                <w:sz w:val="28"/>
                <w:szCs w:val="28"/>
              </w:rPr>
            </w:pPr>
          </w:p>
          <w:p w:rsidR="009F443C" w:rsidRPr="009F443C" w:rsidRDefault="009F443C" w:rsidP="009F443C">
            <w:pPr>
              <w:suppressAutoHyphens/>
              <w:spacing w:line="360" w:lineRule="auto"/>
              <w:jc w:val="both"/>
              <w:rPr>
                <w:rFonts w:eastAsia="Calibri"/>
                <w:color w:val="000000"/>
                <w:sz w:val="28"/>
                <w:szCs w:val="28"/>
              </w:rPr>
            </w:pPr>
            <w:r w:rsidRPr="009F443C">
              <w:rPr>
                <w:rFonts w:eastAsia="Calibri"/>
                <w:color w:val="000000"/>
                <w:sz w:val="28"/>
                <w:szCs w:val="28"/>
              </w:rPr>
              <w:t>СПИСОК ВИКОРИСТАНИХ ДЖЕРЕЛ……………………………………...…...</w:t>
            </w:r>
          </w:p>
        </w:tc>
        <w:tc>
          <w:tcPr>
            <w:tcW w:w="496" w:type="dxa"/>
          </w:tcPr>
          <w:p w:rsidR="009F443C" w:rsidRPr="00D65A91" w:rsidRDefault="009F443C" w:rsidP="00D65A91">
            <w:pPr>
              <w:suppressAutoHyphens/>
              <w:spacing w:line="360" w:lineRule="auto"/>
              <w:jc w:val="both"/>
              <w:rPr>
                <w:rFonts w:eastAsia="Calibri"/>
                <w:color w:val="000000"/>
                <w:sz w:val="28"/>
                <w:szCs w:val="28"/>
                <w:lang w:val="ru-RU"/>
              </w:rPr>
            </w:pPr>
            <w:r w:rsidRPr="009F443C">
              <w:rPr>
                <w:rFonts w:eastAsia="Calibri"/>
                <w:color w:val="000000"/>
                <w:sz w:val="28"/>
                <w:szCs w:val="28"/>
              </w:rPr>
              <w:t xml:space="preserve"> </w:t>
            </w:r>
            <w:r w:rsidR="00D65A91">
              <w:rPr>
                <w:rFonts w:eastAsia="Calibri"/>
                <w:color w:val="000000"/>
                <w:sz w:val="28"/>
                <w:szCs w:val="28"/>
                <w:lang w:val="ru-RU"/>
              </w:rPr>
              <w:t>38</w:t>
            </w:r>
          </w:p>
        </w:tc>
      </w:tr>
      <w:tr w:rsidR="009F443C" w:rsidRPr="009F443C" w:rsidTr="009F443C">
        <w:tc>
          <w:tcPr>
            <w:tcW w:w="9725" w:type="dxa"/>
          </w:tcPr>
          <w:p w:rsidR="009F443C" w:rsidRPr="009F443C" w:rsidRDefault="009F443C" w:rsidP="009F443C">
            <w:pPr>
              <w:suppressAutoHyphens/>
              <w:spacing w:line="360" w:lineRule="auto"/>
              <w:jc w:val="both"/>
              <w:rPr>
                <w:rFonts w:eastAsia="Calibri"/>
                <w:color w:val="000000"/>
                <w:sz w:val="28"/>
                <w:szCs w:val="28"/>
              </w:rPr>
            </w:pPr>
          </w:p>
          <w:p w:rsidR="009F443C" w:rsidRPr="009F443C" w:rsidRDefault="009F443C" w:rsidP="009F443C">
            <w:pPr>
              <w:suppressAutoHyphens/>
              <w:spacing w:line="360" w:lineRule="auto"/>
              <w:jc w:val="both"/>
              <w:rPr>
                <w:rFonts w:eastAsia="Calibri"/>
                <w:color w:val="000000"/>
                <w:sz w:val="28"/>
                <w:szCs w:val="28"/>
              </w:rPr>
            </w:pPr>
            <w:r w:rsidRPr="009F443C">
              <w:rPr>
                <w:rFonts w:eastAsia="Calibri"/>
                <w:color w:val="000000"/>
                <w:sz w:val="28"/>
                <w:szCs w:val="28"/>
              </w:rPr>
              <w:t>ДОДАТКИ……………………………………...…………………………………....</w:t>
            </w:r>
          </w:p>
        </w:tc>
        <w:tc>
          <w:tcPr>
            <w:tcW w:w="496" w:type="dxa"/>
          </w:tcPr>
          <w:p w:rsidR="009F443C" w:rsidRPr="00D65A91" w:rsidRDefault="009F443C" w:rsidP="00D65A91">
            <w:pPr>
              <w:suppressAutoHyphens/>
              <w:spacing w:line="360" w:lineRule="auto"/>
              <w:jc w:val="both"/>
              <w:rPr>
                <w:rFonts w:eastAsia="Calibri"/>
                <w:color w:val="000000"/>
                <w:sz w:val="28"/>
                <w:szCs w:val="28"/>
                <w:lang w:val="ru-RU"/>
              </w:rPr>
            </w:pPr>
            <w:r w:rsidRPr="009F443C">
              <w:rPr>
                <w:rFonts w:eastAsia="Calibri"/>
                <w:color w:val="000000"/>
                <w:sz w:val="28"/>
                <w:szCs w:val="28"/>
              </w:rPr>
              <w:t xml:space="preserve"> 4</w:t>
            </w:r>
            <w:r w:rsidR="00D65A91">
              <w:rPr>
                <w:rFonts w:eastAsia="Calibri"/>
                <w:color w:val="000000"/>
                <w:sz w:val="28"/>
                <w:szCs w:val="28"/>
                <w:lang w:val="ru-RU"/>
              </w:rPr>
              <w:t>2</w:t>
            </w:r>
          </w:p>
        </w:tc>
      </w:tr>
    </w:tbl>
    <w:p w:rsidR="009F443C" w:rsidRPr="009F443C" w:rsidRDefault="009F443C" w:rsidP="009F443C">
      <w:pPr>
        <w:suppressAutoHyphens/>
        <w:spacing w:line="360" w:lineRule="auto"/>
        <w:jc w:val="center"/>
        <w:rPr>
          <w:b/>
          <w:sz w:val="28"/>
          <w:szCs w:val="28"/>
        </w:rPr>
      </w:pPr>
    </w:p>
    <w:p w:rsidR="009F443C" w:rsidRPr="009F443C" w:rsidRDefault="009F443C" w:rsidP="009F443C">
      <w:pPr>
        <w:suppressAutoHyphens/>
        <w:spacing w:line="360" w:lineRule="auto"/>
        <w:jc w:val="center"/>
        <w:rPr>
          <w:b/>
          <w:sz w:val="28"/>
          <w:szCs w:val="28"/>
        </w:rPr>
      </w:pPr>
    </w:p>
    <w:p w:rsidR="009F443C" w:rsidRPr="009F443C" w:rsidRDefault="009F443C" w:rsidP="009F443C">
      <w:pPr>
        <w:suppressAutoHyphens/>
        <w:spacing w:line="360" w:lineRule="auto"/>
        <w:jc w:val="center"/>
        <w:rPr>
          <w:b/>
          <w:sz w:val="28"/>
          <w:szCs w:val="28"/>
        </w:rPr>
      </w:pPr>
    </w:p>
    <w:p w:rsidR="009F443C" w:rsidRPr="009F443C" w:rsidRDefault="009F443C" w:rsidP="009F443C">
      <w:pPr>
        <w:suppressAutoHyphens/>
        <w:spacing w:line="360" w:lineRule="auto"/>
        <w:jc w:val="center"/>
        <w:rPr>
          <w:b/>
          <w:sz w:val="28"/>
          <w:szCs w:val="28"/>
        </w:rPr>
      </w:pPr>
    </w:p>
    <w:p w:rsidR="009F443C" w:rsidRPr="009F443C" w:rsidRDefault="009F443C" w:rsidP="009F443C">
      <w:pPr>
        <w:suppressAutoHyphens/>
        <w:spacing w:line="360" w:lineRule="auto"/>
        <w:jc w:val="center"/>
        <w:rPr>
          <w:b/>
          <w:sz w:val="28"/>
          <w:szCs w:val="28"/>
        </w:rPr>
      </w:pPr>
    </w:p>
    <w:p w:rsidR="009F443C" w:rsidRPr="009F443C" w:rsidRDefault="009F443C" w:rsidP="009F443C">
      <w:pPr>
        <w:suppressAutoHyphens/>
        <w:spacing w:line="360" w:lineRule="auto"/>
        <w:jc w:val="center"/>
        <w:rPr>
          <w:b/>
          <w:sz w:val="28"/>
          <w:szCs w:val="28"/>
        </w:rPr>
      </w:pPr>
    </w:p>
    <w:p w:rsidR="009F443C" w:rsidRPr="009F443C" w:rsidRDefault="009F443C" w:rsidP="009F443C">
      <w:pPr>
        <w:suppressAutoHyphens/>
        <w:spacing w:line="360" w:lineRule="auto"/>
        <w:jc w:val="center"/>
        <w:rPr>
          <w:b/>
          <w:sz w:val="28"/>
          <w:szCs w:val="28"/>
        </w:rPr>
      </w:pPr>
    </w:p>
    <w:p w:rsidR="00D65A91" w:rsidRDefault="00D65A91" w:rsidP="009F443C">
      <w:pPr>
        <w:suppressAutoHyphens/>
        <w:spacing w:line="360" w:lineRule="auto"/>
        <w:jc w:val="center"/>
        <w:rPr>
          <w:b/>
          <w:sz w:val="28"/>
          <w:szCs w:val="28"/>
          <w:lang w:val="ru-RU"/>
        </w:rPr>
      </w:pPr>
    </w:p>
    <w:p w:rsidR="009F443C" w:rsidRPr="009F443C" w:rsidRDefault="009F443C" w:rsidP="009F443C">
      <w:pPr>
        <w:suppressAutoHyphens/>
        <w:spacing w:line="360" w:lineRule="auto"/>
        <w:jc w:val="center"/>
        <w:rPr>
          <w:rFonts w:ascii="Calibri" w:hAnsi="Calibri"/>
          <w:sz w:val="22"/>
          <w:szCs w:val="22"/>
        </w:rPr>
      </w:pPr>
      <w:r w:rsidRPr="009F443C">
        <w:rPr>
          <w:b/>
          <w:sz w:val="28"/>
          <w:szCs w:val="28"/>
        </w:rPr>
        <w:t>ВСТУП</w:t>
      </w:r>
      <w:bookmarkStart w:id="1" w:name="_Hlk88239250"/>
      <w:bookmarkEnd w:id="1"/>
    </w:p>
    <w:p w:rsidR="009F443C" w:rsidRPr="009F443C" w:rsidRDefault="009F443C" w:rsidP="009F443C">
      <w:pPr>
        <w:suppressAutoHyphens/>
        <w:spacing w:line="360" w:lineRule="auto"/>
        <w:ind w:firstLine="720"/>
        <w:jc w:val="center"/>
        <w:rPr>
          <w:b/>
          <w:sz w:val="28"/>
          <w:szCs w:val="28"/>
        </w:rPr>
      </w:pPr>
    </w:p>
    <w:p w:rsidR="001E6680" w:rsidRDefault="009F443C" w:rsidP="009F443C">
      <w:pPr>
        <w:widowControl w:val="0"/>
        <w:autoSpaceDE w:val="0"/>
        <w:autoSpaceDN w:val="0"/>
        <w:spacing w:line="360" w:lineRule="auto"/>
        <w:ind w:firstLine="720"/>
        <w:jc w:val="both"/>
        <w:rPr>
          <w:sz w:val="28"/>
          <w:szCs w:val="28"/>
        </w:rPr>
      </w:pPr>
      <w:r w:rsidRPr="009F443C">
        <w:rPr>
          <w:b/>
          <w:sz w:val="28"/>
          <w:szCs w:val="28"/>
          <w:lang w:eastAsia="en-US"/>
        </w:rPr>
        <w:t xml:space="preserve">Актуальність теми дипломної роботи </w:t>
      </w:r>
      <w:r w:rsidRPr="009F443C">
        <w:rPr>
          <w:sz w:val="28"/>
          <w:szCs w:val="28"/>
          <w:lang w:eastAsia="en-US"/>
        </w:rPr>
        <w:t xml:space="preserve">полягає в тому що, у сучасних умовах розвитку </w:t>
      </w:r>
      <w:r w:rsidR="001E6680">
        <w:rPr>
          <w:sz w:val="28"/>
          <w:szCs w:val="28"/>
          <w:lang w:eastAsia="en-US"/>
        </w:rPr>
        <w:t>світового господарства</w:t>
      </w:r>
      <w:r w:rsidRPr="009F443C">
        <w:rPr>
          <w:sz w:val="28"/>
          <w:szCs w:val="28"/>
          <w:lang w:eastAsia="en-US"/>
        </w:rPr>
        <w:t xml:space="preserve"> саме </w:t>
      </w:r>
      <w:r w:rsidR="001E6680">
        <w:rPr>
          <w:sz w:val="28"/>
          <w:szCs w:val="28"/>
          <w:lang w:eastAsia="en-US"/>
        </w:rPr>
        <w:t>стан зовнішньоекономічних</w:t>
      </w:r>
      <w:r w:rsidRPr="009F443C">
        <w:rPr>
          <w:sz w:val="28"/>
          <w:szCs w:val="28"/>
          <w:lang w:eastAsia="en-US"/>
        </w:rPr>
        <w:t xml:space="preserve"> зв’язк</w:t>
      </w:r>
      <w:r w:rsidR="001E6680">
        <w:rPr>
          <w:sz w:val="28"/>
          <w:szCs w:val="28"/>
          <w:lang w:eastAsia="en-US"/>
        </w:rPr>
        <w:t>ів</w:t>
      </w:r>
      <w:r w:rsidRPr="009F443C">
        <w:rPr>
          <w:sz w:val="28"/>
          <w:szCs w:val="28"/>
          <w:lang w:eastAsia="en-US"/>
        </w:rPr>
        <w:t xml:space="preserve"> </w:t>
      </w:r>
      <w:r w:rsidR="001E6680">
        <w:rPr>
          <w:sz w:val="28"/>
          <w:szCs w:val="28"/>
          <w:lang w:eastAsia="en-US"/>
        </w:rPr>
        <w:t>свідчить про рівень</w:t>
      </w:r>
      <w:r w:rsidRPr="009F443C">
        <w:rPr>
          <w:sz w:val="28"/>
          <w:szCs w:val="28"/>
          <w:lang w:eastAsia="en-US"/>
        </w:rPr>
        <w:t xml:space="preserve"> міжнародної конкурентоспроможності країн. </w:t>
      </w:r>
      <w:r w:rsidR="001E6680">
        <w:rPr>
          <w:sz w:val="28"/>
          <w:szCs w:val="28"/>
        </w:rPr>
        <w:t xml:space="preserve">Словаччина та Польща </w:t>
      </w:r>
      <w:r w:rsidRPr="009F443C">
        <w:rPr>
          <w:sz w:val="28"/>
          <w:szCs w:val="28"/>
        </w:rPr>
        <w:t xml:space="preserve">є саме тим прикладом держав, котрі завдяки зовнішньоекономічним зв’язкам та </w:t>
      </w:r>
      <w:r w:rsidR="001E6680">
        <w:rPr>
          <w:sz w:val="28"/>
          <w:szCs w:val="28"/>
        </w:rPr>
        <w:t>європейській інтеграції зайняли провідні позиції у регіоні Центральної та Східної Європи.</w:t>
      </w:r>
    </w:p>
    <w:p w:rsidR="001E6680" w:rsidRDefault="001E6680" w:rsidP="001E6680">
      <w:pPr>
        <w:spacing w:line="360" w:lineRule="auto"/>
        <w:ind w:firstLine="709"/>
        <w:jc w:val="both"/>
        <w:rPr>
          <w:sz w:val="28"/>
        </w:rPr>
      </w:pPr>
      <w:r>
        <w:rPr>
          <w:sz w:val="28"/>
        </w:rPr>
        <w:t>Польща є одним із головних партнерів України на політичній арені. Республіка Польща була першою країною, яка визнала незалежність України у 1991 році. Ці дві держави протягом усіх 30 років незалежності України активно співпрацювали між собою на економічному та політичному рівнях. А останнім часом через війну ця співпраця перейшла і на військовий рівень. Польща є повноправним членом ЄС ще з 2004 року. Окрім цього вона також увійшла до складу великої кількості міжнародних організацій, як, наприклад, ООН, НАТО, СОТ, МВФ та ще багато інших.</w:t>
      </w:r>
      <w:r w:rsidRPr="0029345C">
        <w:rPr>
          <w:sz w:val="28"/>
        </w:rPr>
        <w:t xml:space="preserve"> </w:t>
      </w:r>
      <w:r>
        <w:rPr>
          <w:sz w:val="28"/>
        </w:rPr>
        <w:t>Польща є постіндустріальною країною, адже протягом останніх 10 років частка сфери послуг у ВВП Польщі перевищувала 55%.</w:t>
      </w:r>
      <w:r w:rsidRPr="00D225B7">
        <w:rPr>
          <w:sz w:val="28"/>
          <w:lang w:val="ru-RU"/>
        </w:rPr>
        <w:t xml:space="preserve"> </w:t>
      </w:r>
      <w:r>
        <w:rPr>
          <w:sz w:val="28"/>
        </w:rPr>
        <w:t>Основними галузями у сфері послуг Польщі є внутрішня та зовнішня торгівля, транспорт, будівництво. Також за роки членства в ЄС покращилась сфера банківських послуг та сфери кредитування. Також туризм доволі важливий для польської економіки, як і для багатьох країн Євросоюзу.</w:t>
      </w:r>
    </w:p>
    <w:p w:rsidR="00C721CB" w:rsidRDefault="001E6680" w:rsidP="00C721CB">
      <w:pPr>
        <w:spacing w:line="360" w:lineRule="auto"/>
        <w:ind w:firstLine="709"/>
        <w:jc w:val="both"/>
        <w:rPr>
          <w:sz w:val="28"/>
          <w:szCs w:val="28"/>
          <w:lang w:eastAsia="en-US"/>
        </w:rPr>
      </w:pPr>
      <w:r>
        <w:rPr>
          <w:sz w:val="28"/>
        </w:rPr>
        <w:t xml:space="preserve">Словаччина, у порівнянні з Польщею, менш активно співпрацює з Україною на світовій політичній та економічній арені. Але це через набагато менші розміри економіки та промисловості Словаччини. Не дивлячись на все це, Словаччина стала 8-м найбільшим імпортером українських товарів у 2022 році. Тому Словаччину теж разом з Польщею слід розглядати як економічного партнера України. Словаччина є членом великої кількості міжнародних організацій, але на відміну від Польщі вона ще входить до Єврозони і має валюту євро. Словаччина має постіндустріальний тип економіки, майже 60% її ВВП формується у секторі послуг. Основними видами послуг в економіці Словаччини є торгівля, будівництво, транспорт і телекомунікації. </w:t>
      </w:r>
      <w:r w:rsidR="009F443C" w:rsidRPr="009F443C">
        <w:rPr>
          <w:sz w:val="28"/>
          <w:szCs w:val="28"/>
          <w:lang w:eastAsia="en-US"/>
        </w:rPr>
        <w:t>Таким чином, тема дипломної роботи є актуальною для сучасних міжнародних економічних відносин та України</w:t>
      </w:r>
      <w:r w:rsidR="00C721CB">
        <w:rPr>
          <w:sz w:val="28"/>
          <w:szCs w:val="28"/>
          <w:lang w:eastAsia="en-US"/>
        </w:rPr>
        <w:t>.</w:t>
      </w:r>
    </w:p>
    <w:p w:rsidR="00C721CB" w:rsidRDefault="009F443C" w:rsidP="009F443C">
      <w:pPr>
        <w:spacing w:line="360" w:lineRule="auto"/>
        <w:ind w:firstLine="567"/>
        <w:jc w:val="both"/>
        <w:rPr>
          <w:sz w:val="28"/>
          <w:szCs w:val="28"/>
        </w:rPr>
      </w:pPr>
      <w:r w:rsidRPr="00C721CB">
        <w:rPr>
          <w:b/>
          <w:sz w:val="28"/>
          <w:szCs w:val="28"/>
        </w:rPr>
        <w:t>Метою дипломної роботи</w:t>
      </w:r>
      <w:r w:rsidRPr="00C721CB">
        <w:rPr>
          <w:sz w:val="28"/>
          <w:szCs w:val="28"/>
        </w:rPr>
        <w:t xml:space="preserve"> є аналіз сучасного стану зовнішньоекономічних зв’язків </w:t>
      </w:r>
      <w:r w:rsidR="00C721CB" w:rsidRPr="00C721CB">
        <w:rPr>
          <w:sz w:val="28"/>
          <w:szCs w:val="28"/>
        </w:rPr>
        <w:t>Словаччини та Польщ</w:t>
      </w:r>
      <w:r w:rsidR="00C721CB">
        <w:rPr>
          <w:sz w:val="28"/>
          <w:szCs w:val="28"/>
        </w:rPr>
        <w:t>і в умовах європейської інтеграції.</w:t>
      </w:r>
    </w:p>
    <w:p w:rsidR="009F443C" w:rsidRPr="009F443C" w:rsidRDefault="009F443C" w:rsidP="00C721CB">
      <w:pPr>
        <w:spacing w:line="360" w:lineRule="auto"/>
        <w:ind w:firstLine="567"/>
        <w:jc w:val="both"/>
        <w:rPr>
          <w:sz w:val="28"/>
          <w:szCs w:val="28"/>
        </w:rPr>
      </w:pPr>
      <w:r w:rsidRPr="009F443C">
        <w:rPr>
          <w:sz w:val="28"/>
          <w:szCs w:val="28"/>
        </w:rPr>
        <w:t xml:space="preserve">Досягнення поставленої мети передбачає вирішення у дипломній роботі наступних </w:t>
      </w:r>
      <w:r w:rsidRPr="009F443C">
        <w:rPr>
          <w:b/>
          <w:sz w:val="28"/>
          <w:szCs w:val="28"/>
        </w:rPr>
        <w:t>завдань</w:t>
      </w:r>
      <w:r w:rsidRPr="009F443C">
        <w:rPr>
          <w:sz w:val="28"/>
          <w:szCs w:val="28"/>
        </w:rPr>
        <w:t>:</w:t>
      </w:r>
      <w:r w:rsidR="00C721CB">
        <w:rPr>
          <w:sz w:val="28"/>
          <w:szCs w:val="28"/>
        </w:rPr>
        <w:t xml:space="preserve"> </w:t>
      </w:r>
      <w:r w:rsidRPr="009F443C">
        <w:rPr>
          <w:sz w:val="28"/>
          <w:szCs w:val="28"/>
        </w:rPr>
        <w:t xml:space="preserve">вивчити теоретичні основи аналізу зовнішньоекономічних зв’язків </w:t>
      </w:r>
      <w:r w:rsidR="00C721CB" w:rsidRPr="00C721CB">
        <w:rPr>
          <w:sz w:val="28"/>
          <w:szCs w:val="28"/>
        </w:rPr>
        <w:t>Словаччини та Польщі</w:t>
      </w:r>
      <w:r w:rsidR="00C721CB">
        <w:rPr>
          <w:sz w:val="28"/>
          <w:szCs w:val="28"/>
        </w:rPr>
        <w:t xml:space="preserve"> в умовах європейської інтеграції; </w:t>
      </w:r>
      <w:r w:rsidRPr="009F443C">
        <w:rPr>
          <w:sz w:val="28"/>
          <w:szCs w:val="28"/>
        </w:rPr>
        <w:t xml:space="preserve">визначити структуру та динаміку поточних операцій </w:t>
      </w:r>
      <w:r w:rsidR="00C721CB">
        <w:rPr>
          <w:sz w:val="28"/>
          <w:szCs w:val="28"/>
        </w:rPr>
        <w:t xml:space="preserve">і фінансового рахунку </w:t>
      </w:r>
      <w:r w:rsidR="00C721CB" w:rsidRPr="00C721CB">
        <w:rPr>
          <w:sz w:val="28"/>
          <w:szCs w:val="28"/>
        </w:rPr>
        <w:t>Словаччини та Польщі</w:t>
      </w:r>
      <w:r w:rsidR="00C721CB">
        <w:rPr>
          <w:sz w:val="28"/>
          <w:szCs w:val="28"/>
        </w:rPr>
        <w:t xml:space="preserve">; </w:t>
      </w:r>
      <w:r w:rsidRPr="009F443C">
        <w:rPr>
          <w:sz w:val="28"/>
          <w:szCs w:val="28"/>
        </w:rPr>
        <w:t xml:space="preserve">дослідити особливості зовнішньоекономічних </w:t>
      </w:r>
      <w:r w:rsidR="00C721CB">
        <w:rPr>
          <w:sz w:val="28"/>
          <w:szCs w:val="28"/>
        </w:rPr>
        <w:t xml:space="preserve">та інвестиційних </w:t>
      </w:r>
      <w:r w:rsidRPr="009F443C">
        <w:rPr>
          <w:sz w:val="28"/>
          <w:szCs w:val="28"/>
        </w:rPr>
        <w:t xml:space="preserve">операцій </w:t>
      </w:r>
      <w:r w:rsidR="00C721CB" w:rsidRPr="00C721CB">
        <w:rPr>
          <w:sz w:val="28"/>
          <w:szCs w:val="28"/>
        </w:rPr>
        <w:t>Словаччини та Польщі</w:t>
      </w:r>
      <w:r w:rsidRPr="009F443C">
        <w:rPr>
          <w:sz w:val="28"/>
          <w:szCs w:val="28"/>
        </w:rPr>
        <w:t xml:space="preserve"> з Україною.</w:t>
      </w:r>
    </w:p>
    <w:p w:rsidR="009F443C" w:rsidRPr="009F443C" w:rsidRDefault="009F443C" w:rsidP="009F443C">
      <w:pPr>
        <w:spacing w:line="360" w:lineRule="auto"/>
        <w:ind w:firstLine="567"/>
        <w:jc w:val="both"/>
        <w:rPr>
          <w:b/>
          <w:sz w:val="10"/>
          <w:szCs w:val="10"/>
        </w:rPr>
      </w:pPr>
    </w:p>
    <w:p w:rsidR="009F443C" w:rsidRPr="009F443C" w:rsidRDefault="009F443C" w:rsidP="009F443C">
      <w:pPr>
        <w:spacing w:line="360" w:lineRule="auto"/>
        <w:ind w:firstLine="709"/>
        <w:jc w:val="both"/>
        <w:rPr>
          <w:sz w:val="28"/>
          <w:szCs w:val="28"/>
        </w:rPr>
      </w:pPr>
      <w:r w:rsidRPr="009F443C">
        <w:rPr>
          <w:b/>
          <w:sz w:val="28"/>
          <w:szCs w:val="28"/>
        </w:rPr>
        <w:t>Об’єктом дослідження</w:t>
      </w:r>
      <w:r w:rsidRPr="009F443C">
        <w:rPr>
          <w:sz w:val="28"/>
          <w:szCs w:val="28"/>
        </w:rPr>
        <w:t xml:space="preserve"> –  є економіки </w:t>
      </w:r>
      <w:r w:rsidR="00C721CB" w:rsidRPr="00C721CB">
        <w:rPr>
          <w:sz w:val="28"/>
          <w:szCs w:val="28"/>
        </w:rPr>
        <w:t>Словаччини та Польщі</w:t>
      </w:r>
      <w:r w:rsidRPr="009F443C">
        <w:rPr>
          <w:sz w:val="28"/>
          <w:szCs w:val="28"/>
        </w:rPr>
        <w:t>.</w:t>
      </w:r>
    </w:p>
    <w:p w:rsidR="00C721CB" w:rsidRDefault="009F443C" w:rsidP="009F443C">
      <w:pPr>
        <w:spacing w:line="360" w:lineRule="auto"/>
        <w:ind w:firstLine="709"/>
        <w:jc w:val="both"/>
        <w:rPr>
          <w:sz w:val="28"/>
          <w:szCs w:val="28"/>
        </w:rPr>
      </w:pPr>
      <w:r w:rsidRPr="009F443C">
        <w:rPr>
          <w:b/>
          <w:sz w:val="28"/>
          <w:szCs w:val="28"/>
        </w:rPr>
        <w:t>Предметом дослідження</w:t>
      </w:r>
      <w:r w:rsidRPr="009F443C">
        <w:rPr>
          <w:sz w:val="28"/>
          <w:szCs w:val="28"/>
        </w:rPr>
        <w:t xml:space="preserve"> – є теоретичні основи та прикладні аспекти трансформації зовнішньоекономічних зв’язків </w:t>
      </w:r>
      <w:r w:rsidR="00C721CB" w:rsidRPr="00C721CB">
        <w:rPr>
          <w:sz w:val="28"/>
          <w:szCs w:val="28"/>
        </w:rPr>
        <w:t xml:space="preserve">Словаччини та Польщі </w:t>
      </w:r>
      <w:r w:rsidR="00C721CB">
        <w:rPr>
          <w:sz w:val="28"/>
          <w:szCs w:val="28"/>
        </w:rPr>
        <w:t xml:space="preserve">в </w:t>
      </w:r>
      <w:r w:rsidRPr="009F443C">
        <w:rPr>
          <w:sz w:val="28"/>
          <w:szCs w:val="28"/>
        </w:rPr>
        <w:t>умовах</w:t>
      </w:r>
      <w:r w:rsidR="00C721CB">
        <w:rPr>
          <w:sz w:val="28"/>
          <w:szCs w:val="28"/>
        </w:rPr>
        <w:t xml:space="preserve"> європейської інтеграції.</w:t>
      </w:r>
    </w:p>
    <w:p w:rsidR="00C721CB" w:rsidRDefault="00C721CB" w:rsidP="009F443C">
      <w:pPr>
        <w:spacing w:line="360" w:lineRule="auto"/>
        <w:ind w:firstLine="709"/>
        <w:jc w:val="both"/>
        <w:rPr>
          <w:sz w:val="28"/>
          <w:szCs w:val="28"/>
        </w:rPr>
      </w:pPr>
      <w:r>
        <w:rPr>
          <w:sz w:val="28"/>
          <w:szCs w:val="28"/>
        </w:rPr>
        <w:t>Кваліфікаційна</w:t>
      </w:r>
      <w:r w:rsidRPr="00C721CB">
        <w:rPr>
          <w:sz w:val="28"/>
          <w:szCs w:val="28"/>
        </w:rPr>
        <w:t xml:space="preserve"> робота складається з вступу, трьох розділів, висновків і списку використаних джерел.</w:t>
      </w:r>
    </w:p>
    <w:p w:rsidR="00C721CB" w:rsidRDefault="009F443C" w:rsidP="009F443C">
      <w:pPr>
        <w:spacing w:line="360" w:lineRule="auto"/>
        <w:jc w:val="both"/>
        <w:rPr>
          <w:sz w:val="28"/>
          <w:szCs w:val="28"/>
        </w:rPr>
      </w:pPr>
      <w:r w:rsidRPr="009F443C">
        <w:rPr>
          <w:sz w:val="28"/>
          <w:szCs w:val="28"/>
        </w:rPr>
        <w:t xml:space="preserve">         Теоретичною та методологічною основою дослідження є положення, сформульовані у працях вітчизняних і закордонних вчених, присвячених дослідженню </w:t>
      </w:r>
      <w:r w:rsidR="00C721CB">
        <w:rPr>
          <w:sz w:val="28"/>
          <w:szCs w:val="28"/>
        </w:rPr>
        <w:t>зовнішньоекономічних зв’язків країн</w:t>
      </w:r>
      <w:r w:rsidRPr="009F443C">
        <w:rPr>
          <w:sz w:val="28"/>
          <w:szCs w:val="28"/>
        </w:rPr>
        <w:t xml:space="preserve">, періодичні видання та статистичні дані офіційних сайтів </w:t>
      </w:r>
      <w:r w:rsidR="00C721CB">
        <w:rPr>
          <w:sz w:val="28"/>
          <w:szCs w:val="28"/>
        </w:rPr>
        <w:t xml:space="preserve">міжнародних організацій, зокрема </w:t>
      </w:r>
      <w:r w:rsidRPr="009F443C">
        <w:rPr>
          <w:sz w:val="28"/>
          <w:szCs w:val="28"/>
        </w:rPr>
        <w:t xml:space="preserve">МВФ, </w:t>
      </w:r>
    </w:p>
    <w:p w:rsidR="009F443C" w:rsidRPr="009F443C" w:rsidRDefault="009F443C" w:rsidP="00C721CB">
      <w:pPr>
        <w:spacing w:line="360" w:lineRule="auto"/>
        <w:ind w:firstLine="720"/>
        <w:jc w:val="both"/>
        <w:rPr>
          <w:rFonts w:eastAsia="Calibri"/>
          <w:sz w:val="28"/>
          <w:szCs w:val="28"/>
          <w:lang w:eastAsia="en-US"/>
        </w:rPr>
      </w:pPr>
      <w:r w:rsidRPr="009F443C">
        <w:rPr>
          <w:sz w:val="28"/>
          <w:szCs w:val="28"/>
        </w:rPr>
        <w:t xml:space="preserve">При написанні </w:t>
      </w:r>
      <w:r w:rsidR="00C721CB">
        <w:rPr>
          <w:sz w:val="28"/>
          <w:szCs w:val="28"/>
        </w:rPr>
        <w:t xml:space="preserve">кваліфікаційної </w:t>
      </w:r>
      <w:r w:rsidRPr="009F443C">
        <w:rPr>
          <w:sz w:val="28"/>
          <w:szCs w:val="28"/>
        </w:rPr>
        <w:t>роботи були використані порівняльний, статистичний, графічний методи, а також метод кореляційно-регресійного аналізу.</w:t>
      </w:r>
    </w:p>
    <w:p w:rsidR="002D234D" w:rsidRDefault="002D234D" w:rsidP="00D51BFE">
      <w:pPr>
        <w:spacing w:line="360" w:lineRule="auto"/>
        <w:ind w:firstLine="709"/>
        <w:jc w:val="both"/>
        <w:rPr>
          <w:sz w:val="28"/>
        </w:rPr>
      </w:pPr>
    </w:p>
    <w:p w:rsidR="00C721CB" w:rsidRDefault="00C721CB" w:rsidP="00D51BFE">
      <w:pPr>
        <w:spacing w:line="360" w:lineRule="auto"/>
        <w:ind w:firstLine="709"/>
        <w:jc w:val="both"/>
        <w:rPr>
          <w:sz w:val="28"/>
        </w:rPr>
      </w:pPr>
    </w:p>
    <w:p w:rsidR="002D234D" w:rsidRDefault="002D234D" w:rsidP="00D51BFE">
      <w:pPr>
        <w:spacing w:line="360" w:lineRule="auto"/>
        <w:ind w:firstLine="709"/>
        <w:jc w:val="both"/>
        <w:rPr>
          <w:sz w:val="28"/>
        </w:rPr>
      </w:pPr>
    </w:p>
    <w:p w:rsidR="002D234D" w:rsidRDefault="00C721CB" w:rsidP="00B90172">
      <w:pPr>
        <w:spacing w:line="360" w:lineRule="auto"/>
        <w:jc w:val="center"/>
        <w:rPr>
          <w:b/>
          <w:sz w:val="28"/>
        </w:rPr>
      </w:pPr>
      <w:r>
        <w:rPr>
          <w:b/>
          <w:sz w:val="28"/>
        </w:rPr>
        <w:t>РОЗДІЛ 1</w:t>
      </w:r>
    </w:p>
    <w:p w:rsidR="002D234D" w:rsidRDefault="00C721CB" w:rsidP="00B90172">
      <w:pPr>
        <w:spacing w:line="360" w:lineRule="auto"/>
        <w:jc w:val="center"/>
        <w:rPr>
          <w:b/>
          <w:sz w:val="28"/>
        </w:rPr>
      </w:pPr>
      <w:r>
        <w:rPr>
          <w:b/>
          <w:sz w:val="28"/>
        </w:rPr>
        <w:t xml:space="preserve">ТЕОРЕТИЧНІ ОСНОВИ АНАЛІЗУ </w:t>
      </w:r>
      <w:r w:rsidRPr="002D234D">
        <w:rPr>
          <w:b/>
          <w:sz w:val="28"/>
        </w:rPr>
        <w:t>ЗОВНІШНЬ</w:t>
      </w:r>
      <w:r>
        <w:rPr>
          <w:b/>
          <w:sz w:val="28"/>
        </w:rPr>
        <w:t xml:space="preserve">ОЕКОНОМІЧНИХ ОПЕРАЦІЙ ПОЛЬЩІ ТА </w:t>
      </w:r>
      <w:r w:rsidRPr="002D234D">
        <w:rPr>
          <w:b/>
          <w:sz w:val="28"/>
        </w:rPr>
        <w:t>СЛОВАЧЧИНИ</w:t>
      </w:r>
      <w:r>
        <w:rPr>
          <w:b/>
          <w:sz w:val="28"/>
        </w:rPr>
        <w:t xml:space="preserve"> В УМОВАХ ЄВРОПЕЙСЬКОЇ ІНТЕГРАЦІЇ</w:t>
      </w:r>
    </w:p>
    <w:p w:rsidR="00840298" w:rsidRDefault="00840298" w:rsidP="002D234D">
      <w:pPr>
        <w:spacing w:line="360" w:lineRule="auto"/>
        <w:ind w:firstLine="709"/>
        <w:jc w:val="center"/>
        <w:rPr>
          <w:b/>
          <w:sz w:val="28"/>
        </w:rPr>
      </w:pPr>
    </w:p>
    <w:p w:rsidR="00D70456" w:rsidRDefault="003028C1" w:rsidP="00D70456">
      <w:pPr>
        <w:spacing w:line="360" w:lineRule="auto"/>
        <w:ind w:firstLine="709"/>
        <w:jc w:val="both"/>
        <w:rPr>
          <w:sz w:val="28"/>
          <w:lang w:val="ru-RU"/>
        </w:rPr>
      </w:pPr>
      <w:r>
        <w:rPr>
          <w:sz w:val="28"/>
        </w:rPr>
        <w:t>Польща та Словаччина є країнами, які входять до Євросоюзу. По-перше, це означає, що між цими двома країнами, а також іншими країнами ЄС, бар’єри для руху товарів</w:t>
      </w:r>
      <w:r w:rsidR="004E2E01">
        <w:rPr>
          <w:sz w:val="28"/>
        </w:rPr>
        <w:t xml:space="preserve"> та послуг</w:t>
      </w:r>
      <w:r>
        <w:rPr>
          <w:sz w:val="28"/>
        </w:rPr>
        <w:t>, робочої сили, капіталу та технологій відсутні</w:t>
      </w:r>
      <w:r w:rsidR="00936101">
        <w:rPr>
          <w:sz w:val="28"/>
        </w:rPr>
        <w:t xml:space="preserve"> (статті 26 та 27 Договору про функціонування Європейського Союзу).</w:t>
      </w:r>
      <w:r>
        <w:rPr>
          <w:sz w:val="28"/>
        </w:rPr>
        <w:t xml:space="preserve"> Тобто, країни ЄС можуть вільно ввозити</w:t>
      </w:r>
      <w:r w:rsidR="003413AF">
        <w:rPr>
          <w:sz w:val="28"/>
        </w:rPr>
        <w:t xml:space="preserve"> в інші країни ЄС</w:t>
      </w:r>
      <w:r>
        <w:rPr>
          <w:sz w:val="28"/>
        </w:rPr>
        <w:t xml:space="preserve"> товари або обладнання без митних податків, резиденти цих країн можуть вільно пересуватись між іншими країнами ЄС</w:t>
      </w:r>
      <w:r w:rsidR="003413AF">
        <w:rPr>
          <w:sz w:val="28"/>
        </w:rPr>
        <w:t>, що допомагає активізувати та посилити економічну співпрацю між усіма членами Євросоюзу, в тому числі Польщею та Словаччиною. По-друге, усі країни-члени ЄС мають узгоджувати свої рішення та дії у різних сферах політики з іншими країнами ЄС та Європейською радою. Тому вони</w:t>
      </w:r>
      <w:r w:rsidR="004E2E01">
        <w:rPr>
          <w:sz w:val="28"/>
        </w:rPr>
        <w:t>, в тому числі,</w:t>
      </w:r>
      <w:r w:rsidR="003413AF">
        <w:rPr>
          <w:sz w:val="28"/>
        </w:rPr>
        <w:t xml:space="preserve"> проводять спільну монетарну та фіскальну політику, а також </w:t>
      </w:r>
      <w:r w:rsidR="00540657">
        <w:rPr>
          <w:sz w:val="28"/>
        </w:rPr>
        <w:t xml:space="preserve">встановлюють спільні економічні обмеження </w:t>
      </w:r>
      <w:r w:rsidR="003413AF">
        <w:rPr>
          <w:sz w:val="28"/>
        </w:rPr>
        <w:t>відносно держав, які не входять в ЄС (статті 4 і 5 Договору про функціонування Європейського Союзу).</w:t>
      </w:r>
      <w:r w:rsidR="004E2E01">
        <w:rPr>
          <w:sz w:val="28"/>
        </w:rPr>
        <w:t xml:space="preserve"> </w:t>
      </w:r>
      <w:r w:rsidR="00B45AA2">
        <w:rPr>
          <w:sz w:val="28"/>
        </w:rPr>
        <w:t>[3</w:t>
      </w:r>
      <w:r w:rsidR="004E2E01" w:rsidRPr="004E2E01">
        <w:rPr>
          <w:sz w:val="28"/>
        </w:rPr>
        <w:t>]</w:t>
      </w:r>
    </w:p>
    <w:p w:rsidR="00491A1F" w:rsidRPr="00300964" w:rsidRDefault="00942ABF" w:rsidP="001A5122">
      <w:pPr>
        <w:spacing w:line="360" w:lineRule="auto"/>
        <w:ind w:firstLine="709"/>
        <w:jc w:val="both"/>
        <w:rPr>
          <w:sz w:val="28"/>
        </w:rPr>
      </w:pPr>
      <w:r>
        <w:rPr>
          <w:sz w:val="28"/>
        </w:rPr>
        <w:t xml:space="preserve">Як </w:t>
      </w:r>
      <w:r w:rsidR="001702D4">
        <w:rPr>
          <w:sz w:val="28"/>
        </w:rPr>
        <w:t>Польща, так і Словаччина, проводя</w:t>
      </w:r>
      <w:r>
        <w:rPr>
          <w:sz w:val="28"/>
        </w:rPr>
        <w:t xml:space="preserve">ть доволі активну зовнішню політику і повністю інтегрувались у світове суспільство. Польща займає </w:t>
      </w:r>
      <w:r w:rsidR="002D1290">
        <w:rPr>
          <w:sz w:val="28"/>
        </w:rPr>
        <w:t>неоднозначну</w:t>
      </w:r>
      <w:r w:rsidR="00C71324">
        <w:rPr>
          <w:sz w:val="28"/>
        </w:rPr>
        <w:t xml:space="preserve"> роль у міжнародних відносинах. З одного боку, Польща є країною-донором, яка доволі активно підтримує інші країни, адже є членом Організації економічного співробітництва та розвитку.</w:t>
      </w:r>
      <w:r w:rsidR="00491A1F">
        <w:rPr>
          <w:sz w:val="28"/>
        </w:rPr>
        <w:t xml:space="preserve"> Також </w:t>
      </w:r>
      <w:r w:rsidR="001702D4">
        <w:rPr>
          <w:sz w:val="28"/>
        </w:rPr>
        <w:t xml:space="preserve">Польща допомагала іншим країнам боротись з </w:t>
      </w:r>
      <w:r w:rsidR="001702D4">
        <w:rPr>
          <w:sz w:val="28"/>
          <w:lang w:val="en-US"/>
        </w:rPr>
        <w:t>COVID</w:t>
      </w:r>
      <w:r w:rsidR="001702D4" w:rsidRPr="001702D4">
        <w:rPr>
          <w:sz w:val="28"/>
        </w:rPr>
        <w:t>-19</w:t>
      </w:r>
      <w:r w:rsidR="001702D4">
        <w:rPr>
          <w:sz w:val="28"/>
        </w:rPr>
        <w:t>. П</w:t>
      </w:r>
      <w:r w:rsidR="00491A1F">
        <w:rPr>
          <w:sz w:val="28"/>
        </w:rPr>
        <w:t>ід час пандемії Міністр іноземних справ Польщі відзвітував про фінансову допомогу іншим країнам у розмірі 90 млн євро, які мали піти на дослідження та виробництво ліків та вакцини.</w:t>
      </w:r>
      <w:r w:rsidR="00B45AA2">
        <w:rPr>
          <w:sz w:val="28"/>
        </w:rPr>
        <w:t>[4</w:t>
      </w:r>
      <w:r w:rsidR="00300964" w:rsidRPr="00300964">
        <w:rPr>
          <w:sz w:val="28"/>
        </w:rPr>
        <w:t>]</w:t>
      </w:r>
    </w:p>
    <w:p w:rsidR="00491A1F" w:rsidRDefault="00C71324" w:rsidP="00491A1F">
      <w:pPr>
        <w:spacing w:line="360" w:lineRule="auto"/>
        <w:ind w:firstLine="709"/>
        <w:jc w:val="both"/>
        <w:rPr>
          <w:sz w:val="28"/>
        </w:rPr>
      </w:pPr>
      <w:r>
        <w:rPr>
          <w:sz w:val="28"/>
        </w:rPr>
        <w:t xml:space="preserve">З іншого боку, Польща не тільки дає, але і отримує фінансування на різноманітні проекти. </w:t>
      </w:r>
      <w:r w:rsidR="00873085">
        <w:rPr>
          <w:sz w:val="28"/>
        </w:rPr>
        <w:t>Польща отримал</w:t>
      </w:r>
      <w:r w:rsidR="00491A1F">
        <w:rPr>
          <w:sz w:val="28"/>
        </w:rPr>
        <w:t>а найбільше</w:t>
      </w:r>
      <w:r w:rsidR="00873085">
        <w:rPr>
          <w:sz w:val="28"/>
        </w:rPr>
        <w:t xml:space="preserve"> коштів зі структурних фондів ЄС за 2014-2020 роки (приблизно 106 млрл євро)</w:t>
      </w:r>
      <w:r w:rsidR="007A7658">
        <w:rPr>
          <w:sz w:val="28"/>
        </w:rPr>
        <w:t xml:space="preserve">. </w:t>
      </w:r>
      <w:r w:rsidR="00873085">
        <w:rPr>
          <w:sz w:val="28"/>
        </w:rPr>
        <w:t xml:space="preserve">Але в цього є і певний мінус, адже уряд Польщі скоріш зацікавлений в фінансових трансфертах, а не в подальшій глибокій політичній інтеграції в ЄС. На це указує те, що Польща наклала вето на бюджет ЄС </w:t>
      </w:r>
      <w:r w:rsidR="00491A1F">
        <w:rPr>
          <w:sz w:val="28"/>
        </w:rPr>
        <w:t xml:space="preserve">у 2020 році </w:t>
      </w:r>
      <w:r w:rsidR="00873085">
        <w:rPr>
          <w:sz w:val="28"/>
        </w:rPr>
        <w:t xml:space="preserve">через те, що він </w:t>
      </w:r>
      <w:r w:rsidR="00491A1F">
        <w:rPr>
          <w:sz w:val="28"/>
        </w:rPr>
        <w:t xml:space="preserve">передбачав </w:t>
      </w:r>
      <w:r w:rsidR="00873085">
        <w:rPr>
          <w:sz w:val="28"/>
        </w:rPr>
        <w:t>верховенство права. Також Польща довго не може досягнути консенсусу з іншими кра</w:t>
      </w:r>
      <w:r w:rsidR="001702D4">
        <w:rPr>
          <w:sz w:val="28"/>
        </w:rPr>
        <w:t>їнами ЄС з питань енергетики та міграції</w:t>
      </w:r>
      <w:r w:rsidR="00873085">
        <w:rPr>
          <w:sz w:val="28"/>
        </w:rPr>
        <w:t>, через що</w:t>
      </w:r>
      <w:r w:rsidR="006B282D">
        <w:rPr>
          <w:sz w:val="28"/>
        </w:rPr>
        <w:t xml:space="preserve"> деякі країни ЄС вважають Польщу не найбільш надійним партнером</w:t>
      </w:r>
      <w:r w:rsidR="00491A1F">
        <w:rPr>
          <w:sz w:val="28"/>
        </w:rPr>
        <w:t>. Набагато кращі відносини Польща має з країнами Вишеградської групи, особливо з Угорщиною. Також уряд Польщі посилює диплома</w:t>
      </w:r>
      <w:r w:rsidR="00300964">
        <w:rPr>
          <w:sz w:val="28"/>
        </w:rPr>
        <w:t xml:space="preserve">тичну та економічну співпрацю з </w:t>
      </w:r>
      <w:r w:rsidR="00491A1F">
        <w:rPr>
          <w:sz w:val="28"/>
        </w:rPr>
        <w:t>країнами поза ЄС,</w:t>
      </w:r>
      <w:r w:rsidR="00974ED4">
        <w:rPr>
          <w:sz w:val="28"/>
        </w:rPr>
        <w:t xml:space="preserve"> такими як:</w:t>
      </w:r>
      <w:r w:rsidR="00491A1F">
        <w:rPr>
          <w:sz w:val="28"/>
        </w:rPr>
        <w:t xml:space="preserve"> США, Британія та Україна.</w:t>
      </w:r>
      <w:r w:rsidR="00B45AA2">
        <w:rPr>
          <w:sz w:val="28"/>
        </w:rPr>
        <w:t>[5</w:t>
      </w:r>
      <w:r w:rsidR="00300964" w:rsidRPr="00300964">
        <w:rPr>
          <w:sz w:val="28"/>
        </w:rPr>
        <w:t>]</w:t>
      </w:r>
    </w:p>
    <w:p w:rsidR="000E5A35" w:rsidRPr="00FD6A75" w:rsidRDefault="000E5A35" w:rsidP="00491A1F">
      <w:pPr>
        <w:spacing w:line="360" w:lineRule="auto"/>
        <w:ind w:firstLine="709"/>
        <w:jc w:val="both"/>
        <w:rPr>
          <w:sz w:val="28"/>
        </w:rPr>
      </w:pPr>
      <w:r>
        <w:rPr>
          <w:sz w:val="28"/>
        </w:rPr>
        <w:t xml:space="preserve">Словаччина також доволі вдало інтегрувалась у міжнародне суспільство та, зокрема, в Євросоюз. Але, на відміну від Польщі, Словаччина має більш однозначну міжнародну політику, адже використовує членство </w:t>
      </w:r>
      <w:r w:rsidR="00FD6A75">
        <w:rPr>
          <w:sz w:val="28"/>
        </w:rPr>
        <w:t xml:space="preserve">в різних організація </w:t>
      </w:r>
      <w:r>
        <w:rPr>
          <w:sz w:val="28"/>
        </w:rPr>
        <w:t>для досягнення</w:t>
      </w:r>
      <w:r w:rsidR="00FD6A75">
        <w:rPr>
          <w:sz w:val="28"/>
        </w:rPr>
        <w:t xml:space="preserve"> лише</w:t>
      </w:r>
      <w:r>
        <w:rPr>
          <w:sz w:val="28"/>
        </w:rPr>
        <w:t xml:space="preserve"> своїх цілей та пріоритетів. Словаччина є добровільною учасницею політичного форуму ООН зі Сталого розвитку і винесла свої пріоритети у покращенні міжнародної співпраці: покращення освіти, екологічно стійка та заснована на знаннях економіка, зниження рівня бідності, </w:t>
      </w:r>
      <w:r w:rsidR="00FD6A75">
        <w:rPr>
          <w:sz w:val="28"/>
        </w:rPr>
        <w:t xml:space="preserve">верховенство права, безпека, демократія та охорона здоров’я. </w:t>
      </w:r>
      <w:r w:rsidR="00B45AA2">
        <w:rPr>
          <w:sz w:val="28"/>
        </w:rPr>
        <w:t>[5</w:t>
      </w:r>
      <w:r w:rsidR="00FD6A75" w:rsidRPr="00FD6A75">
        <w:rPr>
          <w:sz w:val="28"/>
        </w:rPr>
        <w:t>]</w:t>
      </w:r>
    </w:p>
    <w:p w:rsidR="00FD6A75" w:rsidRPr="006A7353" w:rsidRDefault="00FD6A75" w:rsidP="00491A1F">
      <w:pPr>
        <w:spacing w:line="360" w:lineRule="auto"/>
        <w:ind w:firstLine="709"/>
        <w:jc w:val="both"/>
        <w:rPr>
          <w:sz w:val="28"/>
        </w:rPr>
      </w:pPr>
      <w:r>
        <w:rPr>
          <w:sz w:val="28"/>
        </w:rPr>
        <w:t xml:space="preserve">І слід зауважити, що Словаччина доволі ефективно досягає своїх цілей та в деяких сферах (зниження рівня бідності, покращення охорони здоров’я, рівня освіти тощо) </w:t>
      </w:r>
      <w:r w:rsidR="006A7353">
        <w:rPr>
          <w:sz w:val="28"/>
        </w:rPr>
        <w:t xml:space="preserve">має </w:t>
      </w:r>
      <w:r w:rsidR="003E34CF">
        <w:rPr>
          <w:sz w:val="28"/>
        </w:rPr>
        <w:t xml:space="preserve">навіть </w:t>
      </w:r>
      <w:r w:rsidR="006A7353">
        <w:rPr>
          <w:sz w:val="28"/>
        </w:rPr>
        <w:t>кращі</w:t>
      </w:r>
      <w:r>
        <w:rPr>
          <w:sz w:val="28"/>
        </w:rPr>
        <w:t xml:space="preserve"> результати порівняно з іншими країнами ЄС.</w:t>
      </w:r>
      <w:r w:rsidR="006A7353">
        <w:rPr>
          <w:sz w:val="28"/>
        </w:rPr>
        <w:t xml:space="preserve"> Але важливо те</w:t>
      </w:r>
      <w:r>
        <w:rPr>
          <w:sz w:val="28"/>
        </w:rPr>
        <w:t xml:space="preserve">, що </w:t>
      </w:r>
      <w:r w:rsidR="006A7353">
        <w:rPr>
          <w:sz w:val="28"/>
        </w:rPr>
        <w:t xml:space="preserve">досягнення розвитку </w:t>
      </w:r>
      <w:r>
        <w:rPr>
          <w:sz w:val="28"/>
        </w:rPr>
        <w:t>уряд Словаччини фінансує в основному за рахунок структурних фондів ЄС, і тому країна все більше залежить від цих фондів та не має альтернативних засобів розвитку.</w:t>
      </w:r>
      <w:r w:rsidR="00B45AA2">
        <w:rPr>
          <w:sz w:val="28"/>
        </w:rPr>
        <w:t>[5</w:t>
      </w:r>
      <w:r w:rsidRPr="006A7353">
        <w:rPr>
          <w:sz w:val="28"/>
        </w:rPr>
        <w:t>]</w:t>
      </w:r>
    </w:p>
    <w:p w:rsidR="00FD6A75" w:rsidRPr="00FB1BFF" w:rsidRDefault="00FB1BFF" w:rsidP="00491A1F">
      <w:pPr>
        <w:spacing w:line="360" w:lineRule="auto"/>
        <w:ind w:firstLine="709"/>
        <w:jc w:val="both"/>
        <w:rPr>
          <w:sz w:val="28"/>
          <w:lang w:val="ru-RU"/>
        </w:rPr>
      </w:pPr>
      <w:r>
        <w:rPr>
          <w:sz w:val="28"/>
        </w:rPr>
        <w:t>Зовнішня торгівля обох країн є абсолю</w:t>
      </w:r>
      <w:r w:rsidR="004A2E33">
        <w:rPr>
          <w:sz w:val="28"/>
        </w:rPr>
        <w:t>тно лібералізованою, з низькими, або навіть відсутніми (наприклад з країнами ЄС) імпортними тарифами та митними зборами</w:t>
      </w:r>
      <w:r>
        <w:rPr>
          <w:sz w:val="28"/>
        </w:rPr>
        <w:t>. Обидві країни є членами Світової організації торгівлі та Євросоюзу, тому резиденти обох країн проводять активну зовнішньоторговельну діяльність. Як для Польщі, так і для Словаччини, основними торговельними партнерами є країни ЄС, в основному це Німеччина</w:t>
      </w:r>
      <w:r w:rsidR="002C014C">
        <w:rPr>
          <w:sz w:val="28"/>
        </w:rPr>
        <w:t xml:space="preserve"> і </w:t>
      </w:r>
      <w:r w:rsidR="00772C26">
        <w:rPr>
          <w:sz w:val="28"/>
        </w:rPr>
        <w:t>країни Вишеградської групи.</w:t>
      </w:r>
      <w:r w:rsidR="00772C26" w:rsidRPr="00772C26">
        <w:rPr>
          <w:sz w:val="28"/>
          <w:lang w:val="ru-RU"/>
        </w:rPr>
        <w:t xml:space="preserve"> </w:t>
      </w:r>
      <w:r w:rsidR="00772C26">
        <w:rPr>
          <w:sz w:val="28"/>
        </w:rPr>
        <w:t>А ще доволі важливий факт, що економіка Словаччини є третьою в світі за відкритістю, адже частка зовнішньоторгового обороту у ВВП за даними Світового Банку у 2019 році становила 185%.</w:t>
      </w:r>
      <w:r w:rsidR="00772C26">
        <w:rPr>
          <w:sz w:val="28"/>
          <w:lang w:val="ru-RU"/>
        </w:rPr>
        <w:t xml:space="preserve"> </w:t>
      </w:r>
      <w:r w:rsidR="005D257A">
        <w:rPr>
          <w:sz w:val="28"/>
          <w:lang w:val="ru-RU"/>
        </w:rPr>
        <w:t>[</w:t>
      </w:r>
      <w:r w:rsidR="00B45AA2">
        <w:rPr>
          <w:sz w:val="28"/>
          <w:lang w:val="ru-RU"/>
        </w:rPr>
        <w:t>4</w:t>
      </w:r>
      <w:r w:rsidR="005D257A">
        <w:rPr>
          <w:sz w:val="28"/>
          <w:lang w:val="ru-RU"/>
        </w:rPr>
        <w:t>]</w:t>
      </w:r>
      <w:r w:rsidR="00B45AA2">
        <w:rPr>
          <w:sz w:val="28"/>
          <w:lang w:val="ru-RU"/>
        </w:rPr>
        <w:t>[5</w:t>
      </w:r>
      <w:r w:rsidRPr="00FB1BFF">
        <w:rPr>
          <w:sz w:val="28"/>
          <w:lang w:val="ru-RU"/>
        </w:rPr>
        <w:t>]</w:t>
      </w:r>
    </w:p>
    <w:p w:rsidR="00772C26" w:rsidRPr="008F5A63" w:rsidRDefault="00772C26" w:rsidP="00772C26">
      <w:pPr>
        <w:spacing w:line="360" w:lineRule="auto"/>
        <w:ind w:firstLine="709"/>
        <w:jc w:val="both"/>
        <w:rPr>
          <w:sz w:val="28"/>
        </w:rPr>
      </w:pPr>
      <w:r>
        <w:rPr>
          <w:sz w:val="28"/>
        </w:rPr>
        <w:t xml:space="preserve">Тепер щодо торгівлі поза межами ЄС. Як вже було згадано, членство Польщі та Словаччини у ЄС передбачає і спільну зовнішню політику, включаючи торгові відносини з країнами поза ЄС. Саме тому зовнішня торгівля Польщі та Словаччини залежить від торгових угод ЄС. Євросоюз розробив певну піраміду зовнішніх преференцій у торгівлі, яка регулюється торговими угодами ЄС. Дана піраміда наочно зображена у роботі професора Варшавської школи економіки Адама Амброзіака. </w:t>
      </w:r>
      <w:r w:rsidRPr="008F5A63">
        <w:rPr>
          <w:sz w:val="28"/>
        </w:rPr>
        <w:t>[</w:t>
      </w:r>
      <w:r w:rsidR="00B45AA2">
        <w:rPr>
          <w:sz w:val="28"/>
        </w:rPr>
        <w:t>6</w:t>
      </w:r>
      <w:r w:rsidRPr="008F5A63">
        <w:rPr>
          <w:sz w:val="28"/>
        </w:rPr>
        <w:t>]</w:t>
      </w:r>
    </w:p>
    <w:p w:rsidR="00772C26" w:rsidRPr="00B7149A" w:rsidRDefault="00772C26" w:rsidP="00772C26">
      <w:pPr>
        <w:spacing w:line="360" w:lineRule="auto"/>
        <w:ind w:firstLine="709"/>
        <w:jc w:val="both"/>
        <w:rPr>
          <w:sz w:val="28"/>
          <w:lang w:val="ru-RU"/>
        </w:rPr>
      </w:pPr>
      <w:r>
        <w:rPr>
          <w:sz w:val="28"/>
        </w:rPr>
        <w:t>Ця піраміда складається з 35 країн, з якими ЄС</w:t>
      </w:r>
      <w:r w:rsidR="008F5A63">
        <w:rPr>
          <w:sz w:val="28"/>
        </w:rPr>
        <w:t xml:space="preserve"> уклали</w:t>
      </w:r>
      <w:r>
        <w:rPr>
          <w:sz w:val="28"/>
        </w:rPr>
        <w:t xml:space="preserve"> певні торгові угоди. </w:t>
      </w:r>
      <w:r w:rsidR="008614BC">
        <w:rPr>
          <w:sz w:val="28"/>
        </w:rPr>
        <w:t>Найбільшим торговим партнером для країн ЄС є США</w:t>
      </w:r>
      <w:r w:rsidR="00B7149A">
        <w:rPr>
          <w:sz w:val="28"/>
        </w:rPr>
        <w:t>. Товари США складають приблизно 15% всього імпорту країн ЄС, а експортують країни ЄС до Штатів до 25% всього свого експорту станом на 2019 рік. Також важливими торговими партнерами для країн ЄС є Китай та Росія. Але в той же час, з цими двома країнами Євросоюз веде певну торгову війну, яка виражається у вигляді торгових та фінансових санкцій. Це, в свою чергу, погіршує показники торгівлі товарами між Євросоюзом та Росією і Китаєм</w:t>
      </w:r>
      <w:r w:rsidR="00B7149A" w:rsidRPr="00B7149A">
        <w:rPr>
          <w:sz w:val="28"/>
          <w:lang w:val="ru-RU"/>
        </w:rPr>
        <w:t xml:space="preserve"> </w:t>
      </w:r>
      <w:r w:rsidR="00B7149A">
        <w:rPr>
          <w:sz w:val="28"/>
        </w:rPr>
        <w:t>у середньо- та довгостроковій перспективі.</w:t>
      </w:r>
      <w:r w:rsidR="00B7149A" w:rsidRPr="00B7149A">
        <w:rPr>
          <w:sz w:val="28"/>
          <w:lang w:val="ru-RU"/>
        </w:rPr>
        <w:t>[</w:t>
      </w:r>
      <w:r w:rsidR="00B45AA2">
        <w:rPr>
          <w:sz w:val="28"/>
          <w:lang w:val="ru-RU"/>
        </w:rPr>
        <w:t>6</w:t>
      </w:r>
      <w:r w:rsidR="00B7149A" w:rsidRPr="00B7149A">
        <w:rPr>
          <w:sz w:val="28"/>
          <w:lang w:val="ru-RU"/>
        </w:rPr>
        <w:t>]</w:t>
      </w:r>
    </w:p>
    <w:p w:rsidR="00B7149A" w:rsidRPr="00266E1D" w:rsidRDefault="00B7149A" w:rsidP="00772C26">
      <w:pPr>
        <w:spacing w:line="360" w:lineRule="auto"/>
        <w:ind w:firstLine="709"/>
        <w:jc w:val="both"/>
        <w:rPr>
          <w:sz w:val="28"/>
          <w:lang w:val="ru-RU"/>
        </w:rPr>
      </w:pPr>
      <w:r>
        <w:rPr>
          <w:sz w:val="28"/>
        </w:rPr>
        <w:t xml:space="preserve">Є країни, з якими ЄС уклали угоди, які призвели або можуть призвести до створення </w:t>
      </w:r>
      <w:r w:rsidR="00F140CD">
        <w:rPr>
          <w:sz w:val="28"/>
        </w:rPr>
        <w:t>зон вільної торгівлі. Такими країнами є: Японія, Канада, Нова Зеландія, Австралія, країни Меркосур, В’єтнам і Сінгапур. Їх загальна частка в експорті ЄС склала 23,7%, а в імпорті – 21,2%</w:t>
      </w:r>
      <w:r w:rsidR="009F4232">
        <w:rPr>
          <w:sz w:val="28"/>
        </w:rPr>
        <w:t xml:space="preserve"> станом на 2019 рік.</w:t>
      </w:r>
      <w:r w:rsidR="00F140CD" w:rsidRPr="00F140CD">
        <w:rPr>
          <w:sz w:val="28"/>
          <w:lang w:val="ru-RU"/>
        </w:rPr>
        <w:t xml:space="preserve"> [</w:t>
      </w:r>
      <w:r w:rsidR="00B45AA2">
        <w:rPr>
          <w:sz w:val="28"/>
          <w:lang w:val="ru-RU"/>
        </w:rPr>
        <w:t>6</w:t>
      </w:r>
      <w:r w:rsidR="00F140CD" w:rsidRPr="00266E1D">
        <w:rPr>
          <w:sz w:val="28"/>
          <w:lang w:val="ru-RU"/>
        </w:rPr>
        <w:t>]</w:t>
      </w:r>
    </w:p>
    <w:p w:rsidR="00F140CD" w:rsidRPr="00266E1D" w:rsidRDefault="00F140CD" w:rsidP="00772C26">
      <w:pPr>
        <w:spacing w:line="360" w:lineRule="auto"/>
        <w:ind w:firstLine="709"/>
        <w:jc w:val="both"/>
        <w:rPr>
          <w:sz w:val="28"/>
        </w:rPr>
      </w:pPr>
      <w:r>
        <w:rPr>
          <w:sz w:val="28"/>
        </w:rPr>
        <w:t xml:space="preserve">Також не менш важливим торговим партнером для країн ЄС є Швейцарія. Ця країна не входить навіть в Європейську економічну зону, але уклала багато торгових угод з ЄС. Її частка в імпорті ЄС у 2019 році склала приблизно 6%, а у експорті – 8-9%. </w:t>
      </w:r>
      <w:r w:rsidR="00B45AA2">
        <w:rPr>
          <w:sz w:val="28"/>
        </w:rPr>
        <w:t>[6</w:t>
      </w:r>
      <w:r w:rsidRPr="00266E1D">
        <w:rPr>
          <w:sz w:val="28"/>
        </w:rPr>
        <w:t>]</w:t>
      </w:r>
    </w:p>
    <w:p w:rsidR="00491A1F" w:rsidRPr="00772C26" w:rsidRDefault="00F7396F" w:rsidP="00772C26">
      <w:pPr>
        <w:spacing w:line="360" w:lineRule="auto"/>
        <w:ind w:firstLine="709"/>
        <w:jc w:val="both"/>
        <w:rPr>
          <w:sz w:val="28"/>
        </w:rPr>
      </w:pPr>
      <w:r>
        <w:rPr>
          <w:sz w:val="28"/>
        </w:rPr>
        <w:t xml:space="preserve">Щодо інвестиційної діяльності, то слід розглянути дослідження українських економістів, яке було опубліковано у 2020 році. Стаття має назву «Довгострокові наслідки відтоку капіталу для країн з перехідною економікою». </w:t>
      </w:r>
      <w:r w:rsidR="00AC1699">
        <w:rPr>
          <w:sz w:val="28"/>
        </w:rPr>
        <w:t>Основними наслідками відтоку капіталу, згідно зі статтею, вважаються: політична нестабільність, високий рівень корупції, знецінення національної валюти, спекуляції на фінансовому ринку тощо. Але, судячи зі статистики, представленої в цій статті</w:t>
      </w:r>
      <w:r>
        <w:rPr>
          <w:sz w:val="28"/>
        </w:rPr>
        <w:t>,</w:t>
      </w:r>
      <w:r w:rsidR="00AC1699">
        <w:rPr>
          <w:sz w:val="28"/>
        </w:rPr>
        <w:t xml:space="preserve"> протягом 2014-2018 років у Польщі та Словаччини сильного відтоку капіталу не було. Лише у 2015-2016 роках </w:t>
      </w:r>
      <w:r w:rsidR="004E1650">
        <w:rPr>
          <w:sz w:val="28"/>
        </w:rPr>
        <w:t xml:space="preserve">відбулось збільшення відтоку капіталу з перехідних країн (в тому числі Польщі та Словаччини). </w:t>
      </w:r>
      <w:r w:rsidR="00AC1699">
        <w:rPr>
          <w:sz w:val="28"/>
        </w:rPr>
        <w:t>Але в інших роках такої проблеми не спостерігалось.</w:t>
      </w:r>
      <w:r w:rsidR="00B45AA2">
        <w:rPr>
          <w:sz w:val="28"/>
          <w:lang w:val="ru-RU"/>
        </w:rPr>
        <w:t>[7</w:t>
      </w:r>
      <w:r w:rsidR="00AC1699" w:rsidRPr="00D70456">
        <w:rPr>
          <w:sz w:val="28"/>
          <w:lang w:val="ru-RU"/>
        </w:rPr>
        <w:t>]</w:t>
      </w:r>
    </w:p>
    <w:p w:rsidR="00AC1699" w:rsidRPr="00C8294F" w:rsidRDefault="00AC1699" w:rsidP="00C8294F">
      <w:pPr>
        <w:spacing w:line="360" w:lineRule="auto"/>
        <w:ind w:firstLine="709"/>
        <w:jc w:val="both"/>
        <w:rPr>
          <w:sz w:val="28"/>
        </w:rPr>
      </w:pPr>
      <w:r>
        <w:rPr>
          <w:sz w:val="28"/>
        </w:rPr>
        <w:t>Також слід зауважити, що Польща та Словаччина у 2020 році займали 0,19% та 0,03% світового офшорного ринку. Це доволі невелика частка, порівняно з іншими країнами світу, і очевидно свідчить про доволі незначний вплив нелегального відтоку капіталу на економіки Польщі та Словаччини. Навіть якщо більш заглибитись у це питання, то можна</w:t>
      </w:r>
      <w:r w:rsidR="003D678C">
        <w:rPr>
          <w:sz w:val="28"/>
        </w:rPr>
        <w:t xml:space="preserve"> знайти статистику від </w:t>
      </w:r>
      <w:r w:rsidR="003D678C">
        <w:rPr>
          <w:sz w:val="28"/>
          <w:lang w:val="en-US"/>
        </w:rPr>
        <w:t>Tax</w:t>
      </w:r>
      <w:r w:rsidR="003D678C" w:rsidRPr="003D678C">
        <w:rPr>
          <w:sz w:val="28"/>
        </w:rPr>
        <w:t xml:space="preserve"> </w:t>
      </w:r>
      <w:r w:rsidR="003D678C">
        <w:rPr>
          <w:sz w:val="28"/>
          <w:lang w:val="en-US"/>
        </w:rPr>
        <w:t>Justice</w:t>
      </w:r>
      <w:r w:rsidR="003D678C" w:rsidRPr="003D678C">
        <w:rPr>
          <w:sz w:val="28"/>
        </w:rPr>
        <w:t xml:space="preserve"> </w:t>
      </w:r>
      <w:r w:rsidR="003D678C">
        <w:rPr>
          <w:sz w:val="28"/>
          <w:lang w:val="en-US"/>
        </w:rPr>
        <w:t>Network</w:t>
      </w:r>
      <w:r w:rsidR="003D678C" w:rsidRPr="003D678C">
        <w:rPr>
          <w:sz w:val="28"/>
        </w:rPr>
        <w:t>,</w:t>
      </w:r>
      <w:r w:rsidR="003D678C">
        <w:rPr>
          <w:sz w:val="28"/>
        </w:rPr>
        <w:t xml:space="preserve"> яка свідчить, що Польща від нелегального витоку капіталу втратила у 2021 році всього 2,6% свого податкового доходу, а Словаччина – 3,2%. Це навіть менше, ніж середнє значення податкових втрат серед країн Європи (4,1%).</w:t>
      </w:r>
      <w:r w:rsidR="00C8294F">
        <w:rPr>
          <w:sz w:val="28"/>
          <w:lang w:val="ru-RU"/>
        </w:rPr>
        <w:t xml:space="preserve"> </w:t>
      </w:r>
      <w:r w:rsidR="00C8294F" w:rsidRPr="005D257A">
        <w:rPr>
          <w:sz w:val="28"/>
        </w:rPr>
        <w:t>Тобт</w:t>
      </w:r>
      <w:r w:rsidR="00C8294F">
        <w:rPr>
          <w:sz w:val="28"/>
        </w:rPr>
        <w:t>о, можна зробити висновок, що відтік капіталу (як легальний, так і нелегальний) не становить загрозу для Польщі та Словаччини у довгостроковій перспективі.</w:t>
      </w:r>
      <w:r w:rsidR="00C8294F">
        <w:rPr>
          <w:sz w:val="28"/>
          <w:lang w:val="ru-RU"/>
        </w:rPr>
        <w:t xml:space="preserve"> </w:t>
      </w:r>
      <w:r w:rsidR="00B45AA2">
        <w:rPr>
          <w:sz w:val="28"/>
          <w:lang w:val="ru-RU"/>
        </w:rPr>
        <w:t>[7</w:t>
      </w:r>
      <w:r w:rsidR="003D678C" w:rsidRPr="003D678C">
        <w:rPr>
          <w:sz w:val="28"/>
          <w:lang w:val="ru-RU"/>
        </w:rPr>
        <w:t>][</w:t>
      </w:r>
      <w:r w:rsidR="00B45AA2">
        <w:rPr>
          <w:sz w:val="28"/>
          <w:lang w:val="ru-RU"/>
        </w:rPr>
        <w:t>8</w:t>
      </w:r>
      <w:r w:rsidR="003D678C" w:rsidRPr="003D678C">
        <w:rPr>
          <w:sz w:val="28"/>
          <w:lang w:val="ru-RU"/>
        </w:rPr>
        <w:t>]</w:t>
      </w:r>
      <w:r w:rsidR="00B45AA2">
        <w:rPr>
          <w:sz w:val="28"/>
          <w:lang w:val="ru-RU"/>
        </w:rPr>
        <w:t>[9</w:t>
      </w:r>
      <w:r w:rsidR="005D257A" w:rsidRPr="005D257A">
        <w:rPr>
          <w:sz w:val="28"/>
          <w:lang w:val="ru-RU"/>
        </w:rPr>
        <w:t>]</w:t>
      </w:r>
    </w:p>
    <w:p w:rsidR="00942ABF" w:rsidRDefault="00EF589B" w:rsidP="00840298">
      <w:pPr>
        <w:spacing w:line="360" w:lineRule="auto"/>
        <w:ind w:firstLine="709"/>
        <w:jc w:val="both"/>
        <w:rPr>
          <w:sz w:val="28"/>
        </w:rPr>
      </w:pPr>
      <w:r>
        <w:rPr>
          <w:sz w:val="28"/>
        </w:rPr>
        <w:t xml:space="preserve">Доволі вичерпне та велике дослідження провели економісти та науковці з Польщі, Латвії та Білорусі, які написали статтю «Прямі іноземні інвестиції як фактор торгового розвитку: приклади обраних країн». Для аналізу було обрано країни Вишеградської четвірки (Польща, Угорщина, Чехія та Словаччина). У цій статті доволі точно та ґрунтовно аналізується вплив ПІІ на розвиток зовнішньої торгівлі обраних країн. </w:t>
      </w:r>
    </w:p>
    <w:p w:rsidR="00942ABF" w:rsidRDefault="00EF589B" w:rsidP="00840298">
      <w:pPr>
        <w:spacing w:line="360" w:lineRule="auto"/>
        <w:ind w:firstLine="709"/>
        <w:jc w:val="both"/>
        <w:rPr>
          <w:sz w:val="28"/>
        </w:rPr>
      </w:pPr>
      <w:r>
        <w:rPr>
          <w:sz w:val="28"/>
        </w:rPr>
        <w:t>Автори запропонували наступні дві гіпотези:</w:t>
      </w:r>
    </w:p>
    <w:p w:rsidR="00EF589B" w:rsidRDefault="00EF589B" w:rsidP="00840298">
      <w:pPr>
        <w:spacing w:line="360" w:lineRule="auto"/>
        <w:ind w:firstLine="709"/>
        <w:jc w:val="both"/>
        <w:rPr>
          <w:sz w:val="28"/>
        </w:rPr>
      </w:pPr>
      <w:r>
        <w:rPr>
          <w:sz w:val="28"/>
        </w:rPr>
        <w:t>«Гіпотеза 1. Накопичення ПІІ є головним фактором розвитку експорту у країнах Вишеградської четвірки.»</w:t>
      </w:r>
    </w:p>
    <w:p w:rsidR="00EF589B" w:rsidRDefault="00EF589B" w:rsidP="00840298">
      <w:pPr>
        <w:spacing w:line="360" w:lineRule="auto"/>
        <w:ind w:firstLine="709"/>
        <w:jc w:val="both"/>
        <w:rPr>
          <w:sz w:val="28"/>
        </w:rPr>
      </w:pPr>
      <w:r>
        <w:rPr>
          <w:sz w:val="28"/>
        </w:rPr>
        <w:t>«Гіпотеза 2. Накопичення ПІІ допомагає балансувати зовнішню торгівлю країн Вишеградської четвірки.»</w:t>
      </w:r>
    </w:p>
    <w:p w:rsidR="00EF589B" w:rsidRDefault="00EF589B" w:rsidP="000304B7">
      <w:pPr>
        <w:spacing w:line="360" w:lineRule="auto"/>
        <w:ind w:firstLine="709"/>
        <w:jc w:val="both"/>
        <w:rPr>
          <w:sz w:val="28"/>
        </w:rPr>
      </w:pPr>
      <w:r>
        <w:rPr>
          <w:sz w:val="28"/>
        </w:rPr>
        <w:t xml:space="preserve">Для підтвердження або спростування цих гіпотез було </w:t>
      </w:r>
      <w:r w:rsidR="0082663D">
        <w:rPr>
          <w:sz w:val="28"/>
        </w:rPr>
        <w:t xml:space="preserve">проведено регресійний аналіз залежності експорту та імпорту від надходження ПІІ в країнах Вишеградської четвірки. </w:t>
      </w:r>
      <w:r>
        <w:rPr>
          <w:sz w:val="28"/>
        </w:rPr>
        <w:t>Проведений аналіз дав змогу зробити певні висновки.</w:t>
      </w:r>
    </w:p>
    <w:p w:rsidR="00EF589B" w:rsidRPr="00813B2B" w:rsidRDefault="00EF589B" w:rsidP="00EF589B">
      <w:pPr>
        <w:spacing w:line="360" w:lineRule="auto"/>
        <w:ind w:firstLine="709"/>
        <w:jc w:val="both"/>
        <w:rPr>
          <w:sz w:val="28"/>
        </w:rPr>
      </w:pPr>
      <w:r>
        <w:rPr>
          <w:sz w:val="28"/>
        </w:rPr>
        <w:t xml:space="preserve">По-перше, аналіз продемонстрував </w:t>
      </w:r>
      <w:r w:rsidR="000304B7">
        <w:rPr>
          <w:sz w:val="28"/>
        </w:rPr>
        <w:t xml:space="preserve">значний додатній коефіцієнт кореляції </w:t>
      </w:r>
      <w:r>
        <w:rPr>
          <w:sz w:val="28"/>
        </w:rPr>
        <w:t xml:space="preserve">експорту товарів </w:t>
      </w:r>
      <w:r w:rsidR="000304B7">
        <w:rPr>
          <w:sz w:val="28"/>
        </w:rPr>
        <w:t>та</w:t>
      </w:r>
      <w:r>
        <w:rPr>
          <w:sz w:val="28"/>
        </w:rPr>
        <w:t xml:space="preserve"> ПІІ у всіх обраних країнах</w:t>
      </w:r>
      <w:r w:rsidR="00813B2B">
        <w:rPr>
          <w:sz w:val="28"/>
        </w:rPr>
        <w:t xml:space="preserve">. Лише у Словаччини цей коефіцієнт характеризували як «помірний». </w:t>
      </w:r>
      <w:r w:rsidR="00B45AA2">
        <w:rPr>
          <w:sz w:val="28"/>
        </w:rPr>
        <w:t>[10</w:t>
      </w:r>
      <w:r w:rsidR="00813B2B" w:rsidRPr="00813B2B">
        <w:rPr>
          <w:sz w:val="28"/>
        </w:rPr>
        <w:t>]</w:t>
      </w:r>
    </w:p>
    <w:p w:rsidR="000304B7" w:rsidRPr="00820F81" w:rsidRDefault="000304B7" w:rsidP="00EF589B">
      <w:pPr>
        <w:spacing w:line="360" w:lineRule="auto"/>
        <w:ind w:firstLine="709"/>
        <w:jc w:val="both"/>
        <w:rPr>
          <w:sz w:val="28"/>
          <w:lang w:val="ru-RU"/>
        </w:rPr>
      </w:pPr>
      <w:r>
        <w:rPr>
          <w:sz w:val="28"/>
        </w:rPr>
        <w:t>По-друге, коефіцієнт детермінаці</w:t>
      </w:r>
      <w:r w:rsidR="00813B2B">
        <w:rPr>
          <w:sz w:val="28"/>
        </w:rPr>
        <w:t>ї набув доволі велике значення у</w:t>
      </w:r>
      <w:r>
        <w:rPr>
          <w:sz w:val="28"/>
        </w:rPr>
        <w:t xml:space="preserve"> всіх країн</w:t>
      </w:r>
      <w:r w:rsidR="00813B2B">
        <w:rPr>
          <w:sz w:val="28"/>
        </w:rPr>
        <w:t>ах</w:t>
      </w:r>
      <w:r>
        <w:rPr>
          <w:sz w:val="28"/>
        </w:rPr>
        <w:t>, окрім Словаччини. Для Польщі цей коефіцієнт має значення 0,429, а для Словаччини – 0,242.</w:t>
      </w:r>
      <w:r w:rsidR="00B45AA2">
        <w:rPr>
          <w:sz w:val="28"/>
          <w:lang w:val="ru-RU"/>
        </w:rPr>
        <w:t xml:space="preserve">  [10</w:t>
      </w:r>
      <w:r w:rsidR="00813B2B" w:rsidRPr="00820F81">
        <w:rPr>
          <w:sz w:val="28"/>
          <w:lang w:val="ru-RU"/>
        </w:rPr>
        <w:t>]</w:t>
      </w:r>
    </w:p>
    <w:p w:rsidR="000304B7" w:rsidRPr="00820F81" w:rsidRDefault="000304B7" w:rsidP="00EF589B">
      <w:pPr>
        <w:spacing w:line="360" w:lineRule="auto"/>
        <w:ind w:firstLine="709"/>
        <w:jc w:val="both"/>
        <w:rPr>
          <w:sz w:val="28"/>
        </w:rPr>
      </w:pPr>
      <w:r>
        <w:rPr>
          <w:sz w:val="28"/>
        </w:rPr>
        <w:t>По-третє, коефіцієнт еластичності у всіх чотирьох країнах</w:t>
      </w:r>
      <w:r w:rsidR="00112795">
        <w:rPr>
          <w:sz w:val="28"/>
        </w:rPr>
        <w:t xml:space="preserve"> майже дорівнює 1</w:t>
      </w:r>
      <w:r>
        <w:rPr>
          <w:sz w:val="28"/>
        </w:rPr>
        <w:t>. У Польщі коефіцієнт еластичності склав 0,949, тобто 1% зміни ПІІ призводить до зміни експорту на 0,949%. А у Словаччини цей коефіцієнт дорівнює 0,966.</w:t>
      </w:r>
      <w:r w:rsidR="00B45AA2">
        <w:rPr>
          <w:sz w:val="28"/>
        </w:rPr>
        <w:t>[10</w:t>
      </w:r>
      <w:r w:rsidRPr="00820F81">
        <w:rPr>
          <w:sz w:val="28"/>
        </w:rPr>
        <w:t>]</w:t>
      </w:r>
    </w:p>
    <w:p w:rsidR="000304B7" w:rsidRDefault="000304B7" w:rsidP="00EF589B">
      <w:pPr>
        <w:spacing w:line="360" w:lineRule="auto"/>
        <w:ind w:firstLine="709"/>
        <w:jc w:val="both"/>
        <w:rPr>
          <w:sz w:val="28"/>
        </w:rPr>
      </w:pPr>
      <w:r>
        <w:rPr>
          <w:sz w:val="28"/>
        </w:rPr>
        <w:t>Тому</w:t>
      </w:r>
      <w:r w:rsidRPr="00820F81">
        <w:rPr>
          <w:sz w:val="28"/>
        </w:rPr>
        <w:t xml:space="preserve"> </w:t>
      </w:r>
      <w:r>
        <w:rPr>
          <w:sz w:val="28"/>
        </w:rPr>
        <w:t xml:space="preserve">обидві гіпотези підтвердились </w:t>
      </w:r>
      <w:r w:rsidR="00F50092">
        <w:rPr>
          <w:sz w:val="28"/>
        </w:rPr>
        <w:t>у результаті регресійного аналізу, і, дійсно, накопичення прямих іноземних інвестицій має позитивний вплив на експорт товарів та зовнішню торгівлю країн Вишеградської четвірки.</w:t>
      </w:r>
      <w:r w:rsidR="00112795" w:rsidRPr="00112795">
        <w:rPr>
          <w:sz w:val="28"/>
        </w:rPr>
        <w:t xml:space="preserve"> </w:t>
      </w:r>
      <w:r w:rsidR="00B45AA2">
        <w:rPr>
          <w:sz w:val="28"/>
        </w:rPr>
        <w:t>[10</w:t>
      </w:r>
      <w:r w:rsidR="00112795" w:rsidRPr="00813B2B">
        <w:rPr>
          <w:sz w:val="28"/>
        </w:rPr>
        <w:t>]</w:t>
      </w:r>
    </w:p>
    <w:p w:rsidR="00112795" w:rsidRDefault="00112795" w:rsidP="00EF589B">
      <w:pPr>
        <w:spacing w:line="360" w:lineRule="auto"/>
        <w:ind w:firstLine="709"/>
        <w:jc w:val="both"/>
        <w:rPr>
          <w:sz w:val="28"/>
        </w:rPr>
      </w:pPr>
      <w:r>
        <w:rPr>
          <w:sz w:val="28"/>
        </w:rPr>
        <w:t>Також автори цієї статті більш детально описали кількісн</w:t>
      </w:r>
      <w:r w:rsidR="00813B2B">
        <w:rPr>
          <w:sz w:val="28"/>
        </w:rPr>
        <w:t>ий та якісний</w:t>
      </w:r>
      <w:r>
        <w:rPr>
          <w:sz w:val="28"/>
        </w:rPr>
        <w:t xml:space="preserve"> </w:t>
      </w:r>
      <w:r w:rsidR="00813B2B">
        <w:rPr>
          <w:sz w:val="28"/>
        </w:rPr>
        <w:t>вплив</w:t>
      </w:r>
      <w:r w:rsidR="00813B2B" w:rsidRPr="00813B2B">
        <w:rPr>
          <w:sz w:val="28"/>
        </w:rPr>
        <w:t xml:space="preserve"> </w:t>
      </w:r>
      <w:r w:rsidR="00813B2B">
        <w:rPr>
          <w:sz w:val="28"/>
        </w:rPr>
        <w:t xml:space="preserve">надходження ПІІ на експорт та імпорт </w:t>
      </w:r>
      <w:r>
        <w:rPr>
          <w:sz w:val="28"/>
        </w:rPr>
        <w:t>обраних країн.</w:t>
      </w:r>
    </w:p>
    <w:p w:rsidR="00112795" w:rsidRPr="00112795" w:rsidRDefault="00112795" w:rsidP="00EF589B">
      <w:pPr>
        <w:spacing w:line="360" w:lineRule="auto"/>
        <w:ind w:firstLine="709"/>
        <w:jc w:val="both"/>
        <w:rPr>
          <w:sz w:val="28"/>
        </w:rPr>
      </w:pPr>
      <w:r>
        <w:rPr>
          <w:sz w:val="28"/>
        </w:rPr>
        <w:t>Кількісна зміна полягає в тому, що збільшення надходжень ПІІ і інтеграція країн у світову мережу транснаціональних корпорацій призводить до кількісного збільшення експорту</w:t>
      </w:r>
      <w:r w:rsidR="00813B2B">
        <w:rPr>
          <w:sz w:val="28"/>
        </w:rPr>
        <w:t xml:space="preserve"> та імпорту</w:t>
      </w:r>
      <w:r>
        <w:rPr>
          <w:sz w:val="28"/>
        </w:rPr>
        <w:t xml:space="preserve"> товарів країн Вишеградської четвірки. Наприклад, в Польщі у 1995 експорт компаній з іноземним капіталом складав 245 млрд злотих (30% всього експорту країни), а у 2016 – 476 млрд злотих (57,5% всього експорту країни). </w:t>
      </w:r>
      <w:r w:rsidR="00073FB6">
        <w:rPr>
          <w:sz w:val="28"/>
        </w:rPr>
        <w:t>[</w:t>
      </w:r>
      <w:r w:rsidR="00B45AA2" w:rsidRPr="00FE6AC9">
        <w:rPr>
          <w:sz w:val="28"/>
        </w:rPr>
        <w:t>10</w:t>
      </w:r>
      <w:r w:rsidRPr="00112795">
        <w:rPr>
          <w:sz w:val="28"/>
        </w:rPr>
        <w:t>]</w:t>
      </w:r>
    </w:p>
    <w:p w:rsidR="000304B7" w:rsidRDefault="00112795" w:rsidP="00EF589B">
      <w:pPr>
        <w:spacing w:line="360" w:lineRule="auto"/>
        <w:ind w:firstLine="709"/>
        <w:jc w:val="both"/>
        <w:rPr>
          <w:sz w:val="28"/>
        </w:rPr>
      </w:pPr>
      <w:r>
        <w:rPr>
          <w:sz w:val="28"/>
        </w:rPr>
        <w:t>Також є різноманітні якісні зміни в експорті</w:t>
      </w:r>
      <w:r w:rsidR="005F67E8" w:rsidRPr="005F67E8">
        <w:rPr>
          <w:sz w:val="28"/>
        </w:rPr>
        <w:t xml:space="preserve"> </w:t>
      </w:r>
      <w:r w:rsidR="005F67E8">
        <w:rPr>
          <w:sz w:val="28"/>
        </w:rPr>
        <w:t>та імпорті товарів</w:t>
      </w:r>
      <w:r>
        <w:rPr>
          <w:sz w:val="28"/>
        </w:rPr>
        <w:t xml:space="preserve"> під впливом ПІІ. Наприклад, зміна в географічній направленості експорту</w:t>
      </w:r>
      <w:r w:rsidR="005F67E8">
        <w:rPr>
          <w:sz w:val="28"/>
        </w:rPr>
        <w:t xml:space="preserve"> та імпорту</w:t>
      </w:r>
      <w:r>
        <w:rPr>
          <w:sz w:val="28"/>
        </w:rPr>
        <w:t xml:space="preserve"> Вишеградської групи. </w:t>
      </w:r>
      <w:r w:rsidR="004D5FD8">
        <w:rPr>
          <w:sz w:val="28"/>
        </w:rPr>
        <w:t>Приєднання до ЄС та збільшення присутності ТНК</w:t>
      </w:r>
      <w:r w:rsidR="00813B2B">
        <w:rPr>
          <w:sz w:val="28"/>
        </w:rPr>
        <w:t xml:space="preserve"> в економіках</w:t>
      </w:r>
      <w:r w:rsidR="004D5FD8">
        <w:rPr>
          <w:sz w:val="28"/>
        </w:rPr>
        <w:t xml:space="preserve"> Вишеградської групи сприяло збільшенню </w:t>
      </w:r>
      <w:r w:rsidR="005F67E8">
        <w:rPr>
          <w:sz w:val="28"/>
        </w:rPr>
        <w:t xml:space="preserve">обсягів торгівлі з </w:t>
      </w:r>
      <w:r w:rsidR="004D5FD8">
        <w:rPr>
          <w:sz w:val="28"/>
        </w:rPr>
        <w:t>країн</w:t>
      </w:r>
      <w:r w:rsidR="005F67E8">
        <w:rPr>
          <w:sz w:val="28"/>
        </w:rPr>
        <w:t>ами</w:t>
      </w:r>
      <w:r w:rsidR="004D5FD8">
        <w:rPr>
          <w:sz w:val="28"/>
        </w:rPr>
        <w:t xml:space="preserve"> ЄС. Також відбулися зміни в структурі експорту</w:t>
      </w:r>
      <w:r w:rsidR="005F67E8">
        <w:rPr>
          <w:sz w:val="28"/>
        </w:rPr>
        <w:t xml:space="preserve"> товарів. </w:t>
      </w:r>
      <w:r w:rsidR="004D5FD8">
        <w:rPr>
          <w:sz w:val="28"/>
        </w:rPr>
        <w:t xml:space="preserve">Адже з приходом ТНК до таких країн, як Польща та Словаччина, прийшли і нові технології. Це дозволило збільшити виробництво та експорт високотехнологічних товарів в досліджуваних країнах. Також це призвело до збільшення витрат компаній на </w:t>
      </w:r>
      <w:r w:rsidR="004D5FD8">
        <w:rPr>
          <w:sz w:val="28"/>
          <w:lang w:val="en-US"/>
        </w:rPr>
        <w:t>R</w:t>
      </w:r>
      <w:r w:rsidR="004D5FD8" w:rsidRPr="004D5FD8">
        <w:rPr>
          <w:sz w:val="28"/>
          <w:lang w:val="ru-RU"/>
        </w:rPr>
        <w:t>&amp;</w:t>
      </w:r>
      <w:r w:rsidR="004D5FD8">
        <w:rPr>
          <w:sz w:val="28"/>
          <w:lang w:val="en-US"/>
        </w:rPr>
        <w:t>D</w:t>
      </w:r>
      <w:r w:rsidR="004D5FD8" w:rsidRPr="004D5FD8">
        <w:rPr>
          <w:sz w:val="28"/>
          <w:lang w:val="ru-RU"/>
        </w:rPr>
        <w:t>,</w:t>
      </w:r>
      <w:r w:rsidR="004D5FD8">
        <w:rPr>
          <w:sz w:val="28"/>
          <w:lang w:val="ru-RU"/>
        </w:rPr>
        <w:t xml:space="preserve"> </w:t>
      </w:r>
      <w:r w:rsidR="004D5FD8" w:rsidRPr="004D5FD8">
        <w:rPr>
          <w:sz w:val="28"/>
        </w:rPr>
        <w:t>а це, в свою чергу,</w:t>
      </w:r>
      <w:r w:rsidR="004D5FD8">
        <w:rPr>
          <w:sz w:val="28"/>
        </w:rPr>
        <w:t xml:space="preserve"> призвело до позитивної зміни стандартів якості товарів у Польщі та Словаччині. До речі, частка витрат компаній на </w:t>
      </w:r>
      <w:r w:rsidR="004D5FD8">
        <w:rPr>
          <w:sz w:val="28"/>
          <w:lang w:val="en-US"/>
        </w:rPr>
        <w:t>R</w:t>
      </w:r>
      <w:r w:rsidR="004D5FD8" w:rsidRPr="004D5FD8">
        <w:rPr>
          <w:sz w:val="28"/>
        </w:rPr>
        <w:t>&amp;</w:t>
      </w:r>
      <w:r w:rsidR="004D5FD8">
        <w:rPr>
          <w:sz w:val="28"/>
          <w:lang w:val="en-US"/>
        </w:rPr>
        <w:t>D</w:t>
      </w:r>
      <w:r w:rsidR="004D5FD8" w:rsidRPr="004D5FD8">
        <w:rPr>
          <w:sz w:val="28"/>
          <w:lang w:val="ru-RU"/>
        </w:rPr>
        <w:t xml:space="preserve"> </w:t>
      </w:r>
      <w:r w:rsidR="004D5FD8">
        <w:rPr>
          <w:sz w:val="28"/>
        </w:rPr>
        <w:t>в Словаччині найбільша серед усіх чотирьох країн і складає 78%.</w:t>
      </w:r>
      <w:r w:rsidR="00AF58B4">
        <w:rPr>
          <w:sz w:val="28"/>
        </w:rPr>
        <w:t xml:space="preserve"> </w:t>
      </w:r>
    </w:p>
    <w:p w:rsidR="00266E1D" w:rsidRDefault="00266E1D" w:rsidP="00EF589B">
      <w:pPr>
        <w:spacing w:line="360" w:lineRule="auto"/>
        <w:ind w:firstLine="709"/>
        <w:jc w:val="both"/>
        <w:rPr>
          <w:sz w:val="28"/>
        </w:rPr>
      </w:pPr>
    </w:p>
    <w:p w:rsidR="00266E1D" w:rsidRDefault="00266E1D">
      <w:pPr>
        <w:spacing w:after="160" w:line="259" w:lineRule="auto"/>
        <w:rPr>
          <w:sz w:val="28"/>
        </w:rPr>
      </w:pPr>
      <w:r>
        <w:rPr>
          <w:sz w:val="28"/>
        </w:rPr>
        <w:br w:type="page"/>
      </w:r>
    </w:p>
    <w:p w:rsidR="00266E1D" w:rsidRDefault="00266E1D" w:rsidP="00D65A91">
      <w:pPr>
        <w:spacing w:line="360" w:lineRule="auto"/>
        <w:jc w:val="center"/>
        <w:rPr>
          <w:b/>
          <w:sz w:val="28"/>
        </w:rPr>
      </w:pPr>
      <w:r>
        <w:rPr>
          <w:b/>
          <w:sz w:val="28"/>
        </w:rPr>
        <w:t>РОЗДІЛ 2</w:t>
      </w:r>
    </w:p>
    <w:p w:rsidR="00266E1D" w:rsidRDefault="00266E1D" w:rsidP="00D65A91">
      <w:pPr>
        <w:spacing w:line="360" w:lineRule="auto"/>
        <w:jc w:val="center"/>
        <w:rPr>
          <w:b/>
          <w:sz w:val="28"/>
        </w:rPr>
      </w:pPr>
      <w:r w:rsidRPr="00266E1D">
        <w:rPr>
          <w:b/>
          <w:sz w:val="28"/>
        </w:rPr>
        <w:t>ПОРІВНЯЛЬНИЙ АНАЛІЗ ОСНОВНИХ СКЛАДОВИХ ЗОВНІШНЬОЕКОНОМІЧНИХ ОПЕРАЦІЙ ПОЛЬЩІ ТА СЛОВАЧЧИНИ</w:t>
      </w:r>
    </w:p>
    <w:p w:rsidR="00266E1D" w:rsidRDefault="00266E1D" w:rsidP="00266E1D">
      <w:pPr>
        <w:spacing w:line="360" w:lineRule="auto"/>
        <w:ind w:firstLine="709"/>
        <w:jc w:val="center"/>
        <w:rPr>
          <w:b/>
          <w:sz w:val="28"/>
        </w:rPr>
      </w:pPr>
    </w:p>
    <w:p w:rsidR="00266E1D" w:rsidRDefault="00266E1D" w:rsidP="00266E1D">
      <w:pPr>
        <w:spacing w:line="360" w:lineRule="auto"/>
        <w:ind w:firstLine="709"/>
        <w:jc w:val="both"/>
        <w:rPr>
          <w:b/>
          <w:sz w:val="28"/>
        </w:rPr>
      </w:pPr>
      <w:r w:rsidRPr="00266E1D">
        <w:rPr>
          <w:b/>
          <w:sz w:val="28"/>
        </w:rPr>
        <w:t xml:space="preserve">2.1 </w:t>
      </w:r>
      <w:r w:rsidR="00B90172" w:rsidRPr="00B90172">
        <w:rPr>
          <w:b/>
          <w:sz w:val="28"/>
        </w:rPr>
        <w:t>Структура та динаміка поточних операцій</w:t>
      </w:r>
      <w:r w:rsidRPr="00266E1D">
        <w:rPr>
          <w:b/>
          <w:sz w:val="28"/>
        </w:rPr>
        <w:t xml:space="preserve"> Польщі та Словаччини</w:t>
      </w:r>
    </w:p>
    <w:p w:rsidR="00021142" w:rsidRDefault="00021142" w:rsidP="00266E1D">
      <w:pPr>
        <w:spacing w:line="360" w:lineRule="auto"/>
        <w:ind w:firstLine="709"/>
        <w:jc w:val="both"/>
        <w:rPr>
          <w:sz w:val="28"/>
        </w:rPr>
      </w:pPr>
      <w:r>
        <w:rPr>
          <w:sz w:val="28"/>
        </w:rPr>
        <w:t>В даному розділі слід проаналізувати та порівняти основні складові поточного рахунку та фінансового рахунку Польщі та Словаччини, і почати слід з поточного рахунку. В таблицях 2.1 та 2.2 представлена статистика усіх основних статей поточного рахунку обох країн з 2018 року до 2022 року.</w:t>
      </w:r>
      <w:r w:rsidR="00F50E5A">
        <w:rPr>
          <w:sz w:val="28"/>
        </w:rPr>
        <w:t xml:space="preserve"> Слід також уточнити, що данні за 2022 рік не повні, у Польщі є данні за 2 квартали, а у Словаччини – за 3.</w:t>
      </w:r>
    </w:p>
    <w:p w:rsidR="00B43DCD" w:rsidRPr="005F3527" w:rsidRDefault="005F3527" w:rsidP="005F3527">
      <w:pPr>
        <w:spacing w:line="360" w:lineRule="auto"/>
        <w:ind w:firstLine="709"/>
        <w:jc w:val="right"/>
        <w:rPr>
          <w:b/>
          <w:sz w:val="28"/>
        </w:rPr>
      </w:pPr>
      <w:r w:rsidRPr="005F3527">
        <w:rPr>
          <w:b/>
          <w:sz w:val="28"/>
        </w:rPr>
        <w:t>Таблиця 2.1</w:t>
      </w:r>
    </w:p>
    <w:p w:rsidR="005F3527" w:rsidRPr="005F3527" w:rsidRDefault="005F3527" w:rsidP="005F3527">
      <w:pPr>
        <w:spacing w:line="360" w:lineRule="auto"/>
        <w:ind w:firstLine="709"/>
        <w:jc w:val="center"/>
        <w:rPr>
          <w:b/>
          <w:sz w:val="28"/>
        </w:rPr>
      </w:pPr>
      <w:r w:rsidRPr="005F3527">
        <w:rPr>
          <w:b/>
          <w:sz w:val="28"/>
        </w:rPr>
        <w:t>Поточний рахунок Польщі у 2018-2022 роках, млн дол США</w:t>
      </w:r>
    </w:p>
    <w:tbl>
      <w:tblPr>
        <w:tblW w:w="9349" w:type="dxa"/>
        <w:tblLook w:val="04A0" w:firstRow="1" w:lastRow="0" w:firstColumn="1" w:lastColumn="0" w:noHBand="0" w:noVBand="1"/>
      </w:tblPr>
      <w:tblGrid>
        <w:gridCol w:w="3964"/>
        <w:gridCol w:w="1077"/>
        <w:gridCol w:w="1077"/>
        <w:gridCol w:w="1077"/>
        <w:gridCol w:w="1077"/>
        <w:gridCol w:w="1077"/>
      </w:tblGrid>
      <w:tr w:rsidR="004261E3" w:rsidRPr="004261E3" w:rsidTr="00B90172">
        <w:trPr>
          <w:trHeight w:val="300"/>
        </w:trPr>
        <w:tc>
          <w:tcPr>
            <w:tcW w:w="39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61E3" w:rsidRPr="00F50E5A" w:rsidRDefault="004261E3" w:rsidP="004261E3">
            <w:pPr>
              <w:rPr>
                <w:b/>
                <w:color w:val="000000"/>
                <w:sz w:val="24"/>
                <w:szCs w:val="24"/>
                <w:lang w:eastAsia="en-US"/>
              </w:rPr>
            </w:pPr>
            <w:r w:rsidRPr="00F50E5A">
              <w:rPr>
                <w:b/>
                <w:color w:val="000000"/>
                <w:sz w:val="24"/>
                <w:szCs w:val="24"/>
                <w:lang w:eastAsia="en-US"/>
              </w:rPr>
              <w:t> </w:t>
            </w:r>
          </w:p>
        </w:tc>
        <w:tc>
          <w:tcPr>
            <w:tcW w:w="1077" w:type="dxa"/>
            <w:tcBorders>
              <w:top w:val="single" w:sz="4" w:space="0" w:color="auto"/>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2018</w:t>
            </w:r>
          </w:p>
        </w:tc>
        <w:tc>
          <w:tcPr>
            <w:tcW w:w="1077" w:type="dxa"/>
            <w:tcBorders>
              <w:top w:val="single" w:sz="4" w:space="0" w:color="auto"/>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2019</w:t>
            </w:r>
          </w:p>
        </w:tc>
        <w:tc>
          <w:tcPr>
            <w:tcW w:w="1077" w:type="dxa"/>
            <w:tcBorders>
              <w:top w:val="single" w:sz="4" w:space="0" w:color="auto"/>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2020</w:t>
            </w:r>
          </w:p>
        </w:tc>
        <w:tc>
          <w:tcPr>
            <w:tcW w:w="1077" w:type="dxa"/>
            <w:tcBorders>
              <w:top w:val="single" w:sz="4" w:space="0" w:color="auto"/>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2021</w:t>
            </w:r>
          </w:p>
        </w:tc>
        <w:tc>
          <w:tcPr>
            <w:tcW w:w="1077" w:type="dxa"/>
            <w:tcBorders>
              <w:top w:val="single" w:sz="4" w:space="0" w:color="auto"/>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2022</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b/>
                <w:bCs/>
                <w:color w:val="000000"/>
                <w:sz w:val="24"/>
                <w:szCs w:val="24"/>
                <w:lang w:eastAsia="en-US"/>
              </w:rPr>
            </w:pPr>
            <w:r w:rsidRPr="004261E3">
              <w:rPr>
                <w:b/>
                <w:bCs/>
                <w:color w:val="000000"/>
                <w:sz w:val="24"/>
                <w:szCs w:val="24"/>
                <w:lang w:eastAsia="en-US"/>
              </w:rPr>
              <w:t>Поточний рахунок</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-11 352</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-1 445</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14 764</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-9 562</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4 629</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color w:val="000000"/>
                <w:sz w:val="24"/>
                <w:szCs w:val="24"/>
                <w:lang w:eastAsia="en-US"/>
              </w:rPr>
            </w:pPr>
            <w:r w:rsidRPr="004261E3">
              <w:rPr>
                <w:color w:val="000000"/>
                <w:sz w:val="24"/>
                <w:szCs w:val="24"/>
                <w:lang w:eastAsia="en-US"/>
              </w:rPr>
              <w:t>Експорт товарів</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242 228</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246 647</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252 355</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311 591</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168 763</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color w:val="000000"/>
                <w:sz w:val="24"/>
                <w:szCs w:val="24"/>
                <w:lang w:eastAsia="en-US"/>
              </w:rPr>
            </w:pPr>
            <w:r w:rsidRPr="004261E3">
              <w:rPr>
                <w:color w:val="000000"/>
                <w:sz w:val="24"/>
                <w:szCs w:val="24"/>
                <w:lang w:eastAsia="en-US"/>
              </w:rPr>
              <w:t>Імпорт товарів</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255 468</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251 525</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244 244</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320 318</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182 089</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b/>
                <w:bCs/>
                <w:color w:val="000000"/>
                <w:sz w:val="24"/>
                <w:szCs w:val="24"/>
                <w:lang w:eastAsia="en-US"/>
              </w:rPr>
            </w:pPr>
            <w:r w:rsidRPr="004261E3">
              <w:rPr>
                <w:b/>
                <w:bCs/>
                <w:color w:val="000000"/>
                <w:sz w:val="24"/>
                <w:szCs w:val="24"/>
                <w:lang w:eastAsia="en-US"/>
              </w:rPr>
              <w:t>Сальдо торгівлі товарами</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-13 240</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-4 878</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8 111</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-8 727</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-13 326</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color w:val="000000"/>
                <w:sz w:val="24"/>
                <w:szCs w:val="24"/>
                <w:lang w:eastAsia="en-US"/>
              </w:rPr>
            </w:pPr>
            <w:r w:rsidRPr="004261E3">
              <w:rPr>
                <w:color w:val="000000"/>
                <w:sz w:val="24"/>
                <w:szCs w:val="24"/>
                <w:lang w:eastAsia="en-US"/>
              </w:rPr>
              <w:t>Експорт послуг</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68 336</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70 435</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66 612</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81 124</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43 740</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color w:val="000000"/>
                <w:sz w:val="24"/>
                <w:szCs w:val="24"/>
                <w:lang w:eastAsia="en-US"/>
              </w:rPr>
            </w:pPr>
            <w:r w:rsidRPr="004261E3">
              <w:rPr>
                <w:color w:val="000000"/>
                <w:sz w:val="24"/>
                <w:szCs w:val="24"/>
                <w:lang w:eastAsia="en-US"/>
              </w:rPr>
              <w:t>Імпорт послуг</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42 996</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43 492</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40 404</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49 442</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25 619</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b/>
                <w:bCs/>
                <w:color w:val="000000"/>
                <w:sz w:val="24"/>
                <w:szCs w:val="24"/>
                <w:lang w:eastAsia="en-US"/>
              </w:rPr>
            </w:pPr>
            <w:r w:rsidRPr="004261E3">
              <w:rPr>
                <w:b/>
                <w:bCs/>
                <w:color w:val="000000"/>
                <w:sz w:val="24"/>
                <w:szCs w:val="24"/>
                <w:lang w:eastAsia="en-US"/>
              </w:rPr>
              <w:t>Сальдо торгівлі послугами</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25 340</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26 943</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26 208</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31 682</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18 121</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color w:val="000000"/>
                <w:sz w:val="24"/>
                <w:szCs w:val="24"/>
                <w:lang w:eastAsia="en-US"/>
              </w:rPr>
            </w:pPr>
            <w:r w:rsidRPr="004261E3">
              <w:rPr>
                <w:color w:val="000000"/>
                <w:sz w:val="24"/>
                <w:szCs w:val="24"/>
                <w:lang w:eastAsia="en-US"/>
              </w:rPr>
              <w:t>Оплата праці, надходження</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4 065</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3 550</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3 497</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3 790</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1 711</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color w:val="000000"/>
                <w:sz w:val="24"/>
                <w:szCs w:val="24"/>
                <w:lang w:eastAsia="en-US"/>
              </w:rPr>
            </w:pPr>
            <w:r w:rsidRPr="004261E3">
              <w:rPr>
                <w:color w:val="000000"/>
                <w:sz w:val="24"/>
                <w:szCs w:val="24"/>
                <w:lang w:eastAsia="en-US"/>
              </w:rPr>
              <w:t>Оплата праці, виплати</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7 046</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7 419</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7 166</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8 412</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4 485</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color w:val="000000"/>
                <w:sz w:val="24"/>
                <w:szCs w:val="24"/>
                <w:lang w:eastAsia="en-US"/>
              </w:rPr>
            </w:pPr>
            <w:r w:rsidRPr="004261E3">
              <w:rPr>
                <w:color w:val="000000"/>
                <w:sz w:val="24"/>
                <w:szCs w:val="24"/>
                <w:lang w:eastAsia="en-US"/>
              </w:rPr>
              <w:t>Інвестиційний дохід, надходження</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5 970</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6 323</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4 506</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6 562</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3 308</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color w:val="000000"/>
                <w:sz w:val="24"/>
                <w:szCs w:val="24"/>
                <w:lang w:eastAsia="en-US"/>
              </w:rPr>
            </w:pPr>
            <w:r w:rsidRPr="004261E3">
              <w:rPr>
                <w:color w:val="000000"/>
                <w:sz w:val="24"/>
                <w:szCs w:val="24"/>
                <w:lang w:eastAsia="en-US"/>
              </w:rPr>
              <w:t>Інвестиційний дохід, виплати</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31 306</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30 579</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27 228</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36 607</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18 157</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color w:val="000000"/>
                <w:sz w:val="24"/>
                <w:szCs w:val="24"/>
                <w:lang w:eastAsia="en-US"/>
              </w:rPr>
            </w:pPr>
            <w:r w:rsidRPr="004261E3">
              <w:rPr>
                <w:color w:val="000000"/>
                <w:sz w:val="24"/>
                <w:szCs w:val="24"/>
                <w:lang w:eastAsia="en-US"/>
              </w:rPr>
              <w:t>Інші первинні доходи, надходження</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4 546</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4 379</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4 724</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4 267</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1 364</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color w:val="000000"/>
                <w:sz w:val="24"/>
                <w:szCs w:val="24"/>
                <w:lang w:eastAsia="en-US"/>
              </w:rPr>
            </w:pPr>
            <w:r w:rsidRPr="004261E3">
              <w:rPr>
                <w:color w:val="000000"/>
                <w:sz w:val="24"/>
                <w:szCs w:val="24"/>
                <w:lang w:eastAsia="en-US"/>
              </w:rPr>
              <w:t>Інші первинні доходи, виплати</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1 082</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1 163</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1 130</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1 680</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884</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b/>
                <w:bCs/>
                <w:color w:val="000000"/>
                <w:sz w:val="24"/>
                <w:szCs w:val="24"/>
                <w:lang w:eastAsia="en-US"/>
              </w:rPr>
            </w:pPr>
            <w:r w:rsidRPr="004261E3">
              <w:rPr>
                <w:b/>
                <w:bCs/>
                <w:color w:val="000000"/>
                <w:sz w:val="24"/>
                <w:szCs w:val="24"/>
                <w:lang w:eastAsia="en-US"/>
              </w:rPr>
              <w:t>Сальдо первинних доходів</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-24 853</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-24 909</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-22 797</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-32 080</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9F79C5" w:rsidP="00B90172">
            <w:pPr>
              <w:jc w:val="center"/>
              <w:rPr>
                <w:b/>
                <w:color w:val="000000"/>
                <w:sz w:val="24"/>
                <w:szCs w:val="24"/>
                <w:lang w:eastAsia="en-US"/>
              </w:rPr>
            </w:pPr>
            <w:r>
              <w:rPr>
                <w:b/>
                <w:color w:val="000000"/>
                <w:sz w:val="24"/>
                <w:szCs w:val="24"/>
                <w:lang w:eastAsia="en-US"/>
              </w:rPr>
              <w:t>-17 143</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color w:val="000000"/>
                <w:sz w:val="24"/>
                <w:szCs w:val="24"/>
                <w:lang w:eastAsia="en-US"/>
              </w:rPr>
            </w:pPr>
            <w:r w:rsidRPr="004261E3">
              <w:rPr>
                <w:color w:val="000000"/>
                <w:sz w:val="24"/>
                <w:szCs w:val="24"/>
                <w:lang w:eastAsia="en-US"/>
              </w:rPr>
              <w:t>Вторинні доходи, надходження</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9 895</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10 100</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12 839</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11 327</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5 558</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color w:val="000000"/>
                <w:sz w:val="24"/>
                <w:szCs w:val="24"/>
                <w:lang w:eastAsia="en-US"/>
              </w:rPr>
            </w:pPr>
            <w:r w:rsidRPr="004261E3">
              <w:rPr>
                <w:color w:val="000000"/>
                <w:sz w:val="24"/>
                <w:szCs w:val="24"/>
                <w:lang w:eastAsia="en-US"/>
              </w:rPr>
              <w:t>Вторинні доходи, виплати</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8 494</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8 701</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9 597</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11 764</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4261E3" w:rsidRDefault="004261E3" w:rsidP="00B90172">
            <w:pPr>
              <w:jc w:val="center"/>
              <w:rPr>
                <w:color w:val="000000"/>
                <w:sz w:val="24"/>
                <w:szCs w:val="24"/>
                <w:lang w:eastAsia="en-US"/>
              </w:rPr>
            </w:pPr>
            <w:r w:rsidRPr="004261E3">
              <w:rPr>
                <w:color w:val="000000"/>
                <w:sz w:val="24"/>
                <w:szCs w:val="24"/>
                <w:lang w:eastAsia="en-US"/>
              </w:rPr>
              <w:t>6 551</w:t>
            </w:r>
          </w:p>
        </w:tc>
      </w:tr>
      <w:tr w:rsidR="004261E3" w:rsidRPr="004261E3"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4261E3" w:rsidRPr="004261E3" w:rsidRDefault="004261E3" w:rsidP="004261E3">
            <w:pPr>
              <w:rPr>
                <w:b/>
                <w:bCs/>
                <w:color w:val="000000"/>
                <w:sz w:val="24"/>
                <w:szCs w:val="24"/>
                <w:lang w:eastAsia="en-US"/>
              </w:rPr>
            </w:pPr>
            <w:r w:rsidRPr="004261E3">
              <w:rPr>
                <w:b/>
                <w:bCs/>
                <w:color w:val="000000"/>
                <w:sz w:val="24"/>
                <w:szCs w:val="24"/>
                <w:lang w:eastAsia="en-US"/>
              </w:rPr>
              <w:t>Сальдо вторинних доходів</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1 401</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1 399</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3 242</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-437</w:t>
            </w:r>
          </w:p>
        </w:tc>
        <w:tc>
          <w:tcPr>
            <w:tcW w:w="1077" w:type="dxa"/>
            <w:tcBorders>
              <w:top w:val="nil"/>
              <w:left w:val="nil"/>
              <w:bottom w:val="single" w:sz="4" w:space="0" w:color="auto"/>
              <w:right w:val="single" w:sz="4" w:space="0" w:color="auto"/>
            </w:tcBorders>
            <w:shd w:val="clear" w:color="auto" w:fill="auto"/>
            <w:noWrap/>
            <w:vAlign w:val="center"/>
            <w:hideMark/>
          </w:tcPr>
          <w:p w:rsidR="004261E3" w:rsidRPr="00F50E5A" w:rsidRDefault="004261E3" w:rsidP="00B90172">
            <w:pPr>
              <w:jc w:val="center"/>
              <w:rPr>
                <w:b/>
                <w:color w:val="000000"/>
                <w:sz w:val="24"/>
                <w:szCs w:val="24"/>
                <w:lang w:eastAsia="en-US"/>
              </w:rPr>
            </w:pPr>
            <w:r w:rsidRPr="00F50E5A">
              <w:rPr>
                <w:b/>
                <w:color w:val="000000"/>
                <w:sz w:val="24"/>
                <w:szCs w:val="24"/>
                <w:lang w:eastAsia="en-US"/>
              </w:rPr>
              <w:t>-993</w:t>
            </w:r>
          </w:p>
        </w:tc>
      </w:tr>
    </w:tbl>
    <w:p w:rsidR="005F3527" w:rsidRDefault="005F3527" w:rsidP="005F3527">
      <w:pPr>
        <w:spacing w:line="360" w:lineRule="auto"/>
        <w:jc w:val="both"/>
        <w:rPr>
          <w:sz w:val="28"/>
          <w:lang w:val="ru-RU"/>
        </w:rPr>
      </w:pPr>
      <w:r>
        <w:rPr>
          <w:sz w:val="28"/>
        </w:rPr>
        <w:t xml:space="preserve">Джерело: складено автором на основі даних </w:t>
      </w:r>
      <w:r w:rsidR="00294E85">
        <w:rPr>
          <w:sz w:val="28"/>
          <w:lang w:val="ru-RU"/>
        </w:rPr>
        <w:t>[1</w:t>
      </w:r>
      <w:r w:rsidR="00B45AA2" w:rsidRPr="00B45AA2">
        <w:rPr>
          <w:sz w:val="28"/>
          <w:lang w:val="ru-RU"/>
        </w:rPr>
        <w:t>2</w:t>
      </w:r>
      <w:r w:rsidRPr="005F3527">
        <w:rPr>
          <w:sz w:val="28"/>
          <w:lang w:val="ru-RU"/>
        </w:rPr>
        <w:t>]</w:t>
      </w:r>
    </w:p>
    <w:p w:rsidR="005F3527" w:rsidRDefault="005F3527" w:rsidP="005F3527">
      <w:pPr>
        <w:spacing w:line="360" w:lineRule="auto"/>
        <w:jc w:val="both"/>
        <w:rPr>
          <w:sz w:val="28"/>
        </w:rPr>
      </w:pPr>
      <w:r w:rsidRPr="005F3527">
        <w:rPr>
          <w:sz w:val="28"/>
        </w:rPr>
        <w:t>* - дані за два квартали 2022 року</w:t>
      </w:r>
    </w:p>
    <w:p w:rsidR="005F3527" w:rsidRDefault="005F3527" w:rsidP="003D3D70">
      <w:pPr>
        <w:spacing w:line="360" w:lineRule="auto"/>
        <w:jc w:val="both"/>
        <w:rPr>
          <w:b/>
          <w:sz w:val="28"/>
        </w:rPr>
      </w:pPr>
    </w:p>
    <w:p w:rsidR="005F3527" w:rsidRDefault="005F3527" w:rsidP="005F3527">
      <w:pPr>
        <w:spacing w:line="360" w:lineRule="auto"/>
        <w:ind w:firstLine="709"/>
        <w:jc w:val="right"/>
        <w:rPr>
          <w:b/>
          <w:sz w:val="28"/>
        </w:rPr>
      </w:pPr>
      <w:r>
        <w:rPr>
          <w:b/>
          <w:sz w:val="28"/>
        </w:rPr>
        <w:t>Таблиця 2.2</w:t>
      </w:r>
    </w:p>
    <w:p w:rsidR="005F3527" w:rsidRPr="005F3527" w:rsidRDefault="005F3527" w:rsidP="005F3527">
      <w:pPr>
        <w:spacing w:line="360" w:lineRule="auto"/>
        <w:ind w:firstLine="709"/>
        <w:jc w:val="center"/>
        <w:rPr>
          <w:b/>
          <w:sz w:val="28"/>
        </w:rPr>
      </w:pPr>
      <w:r>
        <w:rPr>
          <w:b/>
          <w:sz w:val="28"/>
        </w:rPr>
        <w:t>Поточний рахунок Словаччини у 2018-2022 роках, млн дол США</w:t>
      </w:r>
    </w:p>
    <w:tbl>
      <w:tblPr>
        <w:tblW w:w="9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1077"/>
        <w:gridCol w:w="1077"/>
        <w:gridCol w:w="1077"/>
        <w:gridCol w:w="1077"/>
        <w:gridCol w:w="1077"/>
      </w:tblGrid>
      <w:tr w:rsidR="004261E3" w:rsidRPr="004261E3" w:rsidTr="00B90172">
        <w:trPr>
          <w:trHeight w:val="300"/>
        </w:trPr>
        <w:tc>
          <w:tcPr>
            <w:tcW w:w="3964" w:type="dxa"/>
            <w:shd w:val="clear" w:color="auto" w:fill="auto"/>
            <w:noWrap/>
            <w:vAlign w:val="bottom"/>
            <w:hideMark/>
          </w:tcPr>
          <w:p w:rsidR="00F25AE1" w:rsidRPr="00F25AE1" w:rsidRDefault="00F25AE1" w:rsidP="00F25AE1">
            <w:pPr>
              <w:rPr>
                <w:color w:val="000000"/>
                <w:sz w:val="24"/>
                <w:szCs w:val="24"/>
                <w:lang w:eastAsia="en-US"/>
              </w:rPr>
            </w:pPr>
            <w:r w:rsidRPr="00F25AE1">
              <w:rPr>
                <w:color w:val="000000"/>
                <w:sz w:val="24"/>
                <w:szCs w:val="24"/>
                <w:lang w:eastAsia="en-US"/>
              </w:rPr>
              <w:t> </w:t>
            </w:r>
          </w:p>
        </w:tc>
        <w:tc>
          <w:tcPr>
            <w:tcW w:w="1077" w:type="dxa"/>
            <w:shd w:val="clear" w:color="auto" w:fill="auto"/>
            <w:noWrap/>
            <w:vAlign w:val="bottom"/>
            <w:hideMark/>
          </w:tcPr>
          <w:p w:rsidR="00F25AE1" w:rsidRPr="00080C7F" w:rsidRDefault="00F25AE1" w:rsidP="00F25AE1">
            <w:pPr>
              <w:jc w:val="right"/>
              <w:rPr>
                <w:b/>
                <w:color w:val="000000"/>
                <w:sz w:val="24"/>
                <w:szCs w:val="24"/>
                <w:lang w:eastAsia="en-US"/>
              </w:rPr>
            </w:pPr>
            <w:r w:rsidRPr="00080C7F">
              <w:rPr>
                <w:b/>
                <w:color w:val="000000"/>
                <w:sz w:val="24"/>
                <w:szCs w:val="24"/>
                <w:lang w:eastAsia="en-US"/>
              </w:rPr>
              <w:t>2018</w:t>
            </w:r>
          </w:p>
        </w:tc>
        <w:tc>
          <w:tcPr>
            <w:tcW w:w="1077" w:type="dxa"/>
            <w:shd w:val="clear" w:color="auto" w:fill="auto"/>
            <w:noWrap/>
            <w:vAlign w:val="bottom"/>
            <w:hideMark/>
          </w:tcPr>
          <w:p w:rsidR="00F25AE1" w:rsidRPr="00080C7F" w:rsidRDefault="00F25AE1" w:rsidP="00F25AE1">
            <w:pPr>
              <w:jc w:val="right"/>
              <w:rPr>
                <w:b/>
                <w:color w:val="000000"/>
                <w:sz w:val="24"/>
                <w:szCs w:val="24"/>
                <w:lang w:eastAsia="en-US"/>
              </w:rPr>
            </w:pPr>
            <w:r w:rsidRPr="00080C7F">
              <w:rPr>
                <w:b/>
                <w:color w:val="000000"/>
                <w:sz w:val="24"/>
                <w:szCs w:val="24"/>
                <w:lang w:eastAsia="en-US"/>
              </w:rPr>
              <w:t>2019</w:t>
            </w:r>
          </w:p>
        </w:tc>
        <w:tc>
          <w:tcPr>
            <w:tcW w:w="1077" w:type="dxa"/>
            <w:shd w:val="clear" w:color="auto" w:fill="auto"/>
            <w:noWrap/>
            <w:vAlign w:val="bottom"/>
            <w:hideMark/>
          </w:tcPr>
          <w:p w:rsidR="00F25AE1" w:rsidRPr="00080C7F" w:rsidRDefault="00F25AE1" w:rsidP="00F25AE1">
            <w:pPr>
              <w:jc w:val="right"/>
              <w:rPr>
                <w:b/>
                <w:color w:val="000000"/>
                <w:sz w:val="24"/>
                <w:szCs w:val="24"/>
                <w:lang w:eastAsia="en-US"/>
              </w:rPr>
            </w:pPr>
            <w:r w:rsidRPr="00080C7F">
              <w:rPr>
                <w:b/>
                <w:color w:val="000000"/>
                <w:sz w:val="24"/>
                <w:szCs w:val="24"/>
                <w:lang w:eastAsia="en-US"/>
              </w:rPr>
              <w:t>2020</w:t>
            </w:r>
          </w:p>
        </w:tc>
        <w:tc>
          <w:tcPr>
            <w:tcW w:w="1077" w:type="dxa"/>
            <w:shd w:val="clear" w:color="auto" w:fill="auto"/>
            <w:noWrap/>
            <w:vAlign w:val="bottom"/>
            <w:hideMark/>
          </w:tcPr>
          <w:p w:rsidR="00F25AE1" w:rsidRPr="00080C7F" w:rsidRDefault="00F25AE1" w:rsidP="00F25AE1">
            <w:pPr>
              <w:jc w:val="right"/>
              <w:rPr>
                <w:b/>
                <w:color w:val="000000"/>
                <w:sz w:val="24"/>
                <w:szCs w:val="24"/>
                <w:lang w:eastAsia="en-US"/>
              </w:rPr>
            </w:pPr>
            <w:r w:rsidRPr="00080C7F">
              <w:rPr>
                <w:b/>
                <w:color w:val="000000"/>
                <w:sz w:val="24"/>
                <w:szCs w:val="24"/>
                <w:lang w:eastAsia="en-US"/>
              </w:rPr>
              <w:t>2021</w:t>
            </w:r>
          </w:p>
        </w:tc>
        <w:tc>
          <w:tcPr>
            <w:tcW w:w="1077" w:type="dxa"/>
            <w:shd w:val="clear" w:color="auto" w:fill="auto"/>
            <w:noWrap/>
            <w:vAlign w:val="bottom"/>
            <w:hideMark/>
          </w:tcPr>
          <w:p w:rsidR="00F25AE1" w:rsidRPr="00080C7F" w:rsidRDefault="00F25AE1" w:rsidP="00F25AE1">
            <w:pPr>
              <w:jc w:val="right"/>
              <w:rPr>
                <w:b/>
                <w:color w:val="000000"/>
                <w:sz w:val="24"/>
                <w:szCs w:val="24"/>
                <w:lang w:eastAsia="en-US"/>
              </w:rPr>
            </w:pPr>
            <w:r w:rsidRPr="00080C7F">
              <w:rPr>
                <w:b/>
                <w:color w:val="000000"/>
                <w:sz w:val="24"/>
                <w:szCs w:val="24"/>
                <w:lang w:eastAsia="en-US"/>
              </w:rPr>
              <w:t>2022*</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b/>
                <w:bCs/>
                <w:color w:val="000000"/>
                <w:sz w:val="24"/>
                <w:szCs w:val="24"/>
                <w:lang w:eastAsia="en-US"/>
              </w:rPr>
            </w:pPr>
            <w:r w:rsidRPr="00F25AE1">
              <w:rPr>
                <w:b/>
                <w:bCs/>
                <w:color w:val="000000"/>
                <w:sz w:val="24"/>
                <w:szCs w:val="24"/>
                <w:lang w:eastAsia="en-US"/>
              </w:rPr>
              <w:t>Поточний рахунок</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-2 293</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-3 532</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672</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-2 875</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-3 838</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color w:val="000000"/>
                <w:sz w:val="24"/>
                <w:szCs w:val="24"/>
                <w:lang w:eastAsia="en-US"/>
              </w:rPr>
            </w:pPr>
            <w:r w:rsidRPr="00F25AE1">
              <w:rPr>
                <w:color w:val="000000"/>
                <w:sz w:val="24"/>
                <w:szCs w:val="24"/>
                <w:lang w:eastAsia="en-US"/>
              </w:rPr>
              <w:t>Експорт товарів</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88 704</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84 571</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80 208</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96 119</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74 338</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color w:val="000000"/>
                <w:sz w:val="24"/>
                <w:szCs w:val="24"/>
                <w:lang w:eastAsia="en-US"/>
              </w:rPr>
            </w:pPr>
            <w:r w:rsidRPr="00F25AE1">
              <w:rPr>
                <w:color w:val="000000"/>
                <w:sz w:val="24"/>
                <w:szCs w:val="24"/>
                <w:lang w:eastAsia="en-US"/>
              </w:rPr>
              <w:t>Імпорт товарів</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88 956</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85 832</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78 967</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96 693</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78 915</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b/>
                <w:bCs/>
                <w:color w:val="000000"/>
                <w:sz w:val="24"/>
                <w:szCs w:val="24"/>
                <w:lang w:eastAsia="en-US"/>
              </w:rPr>
            </w:pPr>
            <w:r w:rsidRPr="00F25AE1">
              <w:rPr>
                <w:b/>
                <w:bCs/>
                <w:color w:val="000000"/>
                <w:sz w:val="24"/>
                <w:szCs w:val="24"/>
                <w:lang w:eastAsia="en-US"/>
              </w:rPr>
              <w:t>Сальдо торгівлі товарами</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-252</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-1 261</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1 241</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-574</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-4 577</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color w:val="000000"/>
                <w:sz w:val="24"/>
                <w:szCs w:val="24"/>
                <w:lang w:eastAsia="en-US"/>
              </w:rPr>
            </w:pPr>
            <w:r w:rsidRPr="00F25AE1">
              <w:rPr>
                <w:color w:val="000000"/>
                <w:sz w:val="24"/>
                <w:szCs w:val="24"/>
                <w:lang w:eastAsia="en-US"/>
              </w:rPr>
              <w:t>Експорт послуг</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12 058</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12 288</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10 338</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11 311</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9 231</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color w:val="000000"/>
                <w:sz w:val="24"/>
                <w:szCs w:val="24"/>
                <w:lang w:eastAsia="en-US"/>
              </w:rPr>
            </w:pPr>
            <w:r w:rsidRPr="00F25AE1">
              <w:rPr>
                <w:color w:val="000000"/>
                <w:sz w:val="24"/>
                <w:szCs w:val="24"/>
                <w:lang w:eastAsia="en-US"/>
              </w:rPr>
              <w:t>Імпорт послуг</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10 959</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10 923</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9 247</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10 665</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9 015</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b/>
                <w:bCs/>
                <w:color w:val="000000"/>
                <w:sz w:val="24"/>
                <w:szCs w:val="24"/>
                <w:lang w:eastAsia="en-US"/>
              </w:rPr>
            </w:pPr>
            <w:r w:rsidRPr="00F25AE1">
              <w:rPr>
                <w:b/>
                <w:bCs/>
                <w:color w:val="000000"/>
                <w:sz w:val="24"/>
                <w:szCs w:val="24"/>
                <w:lang w:eastAsia="en-US"/>
              </w:rPr>
              <w:t>Сальдо торгівлі послугами</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1 099</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1 365</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1 091</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646</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216</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color w:val="000000"/>
                <w:sz w:val="24"/>
                <w:szCs w:val="24"/>
                <w:lang w:eastAsia="en-US"/>
              </w:rPr>
            </w:pPr>
            <w:r w:rsidRPr="00F25AE1">
              <w:rPr>
                <w:color w:val="000000"/>
                <w:sz w:val="24"/>
                <w:szCs w:val="24"/>
                <w:lang w:eastAsia="en-US"/>
              </w:rPr>
              <w:t>Оплата праці, надходження</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1 945</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2 239</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2 168</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2 137</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1 425</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color w:val="000000"/>
                <w:sz w:val="24"/>
                <w:szCs w:val="24"/>
                <w:lang w:eastAsia="en-US"/>
              </w:rPr>
            </w:pPr>
            <w:r w:rsidRPr="00F25AE1">
              <w:rPr>
                <w:color w:val="000000"/>
                <w:sz w:val="24"/>
                <w:szCs w:val="24"/>
                <w:lang w:eastAsia="en-US"/>
              </w:rPr>
              <w:t>Оплата праці, виплати</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268</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377</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302</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325</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292</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color w:val="000000"/>
                <w:sz w:val="24"/>
                <w:szCs w:val="24"/>
                <w:lang w:eastAsia="en-US"/>
              </w:rPr>
            </w:pPr>
            <w:r w:rsidRPr="00F25AE1">
              <w:rPr>
                <w:color w:val="000000"/>
                <w:sz w:val="24"/>
                <w:szCs w:val="24"/>
                <w:lang w:eastAsia="en-US"/>
              </w:rPr>
              <w:t>Інвестиційний дохід, надходження</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1 649</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1 529</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1 501</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1 522</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1 210</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color w:val="000000"/>
                <w:sz w:val="24"/>
                <w:szCs w:val="24"/>
                <w:lang w:eastAsia="en-US"/>
              </w:rPr>
            </w:pPr>
            <w:r w:rsidRPr="00F25AE1">
              <w:rPr>
                <w:color w:val="000000"/>
                <w:sz w:val="24"/>
                <w:szCs w:val="24"/>
                <w:lang w:eastAsia="en-US"/>
              </w:rPr>
              <w:t>Інвестиційний дохід, виплати</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5 854</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6 479</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4 886</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5 332</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4 161</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color w:val="000000"/>
                <w:sz w:val="24"/>
                <w:szCs w:val="24"/>
                <w:lang w:eastAsia="en-US"/>
              </w:rPr>
            </w:pPr>
            <w:r w:rsidRPr="00F25AE1">
              <w:rPr>
                <w:color w:val="000000"/>
                <w:sz w:val="24"/>
                <w:szCs w:val="24"/>
                <w:lang w:eastAsia="en-US"/>
              </w:rPr>
              <w:t>Інші первинні доходи, надходження</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776</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748</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728</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639</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658</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color w:val="000000"/>
                <w:sz w:val="24"/>
                <w:szCs w:val="24"/>
                <w:lang w:eastAsia="en-US"/>
              </w:rPr>
            </w:pPr>
            <w:r w:rsidRPr="00F25AE1">
              <w:rPr>
                <w:color w:val="000000"/>
                <w:sz w:val="24"/>
                <w:szCs w:val="24"/>
                <w:lang w:eastAsia="en-US"/>
              </w:rPr>
              <w:t>Інші первинні доходи, виплати</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127</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116</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91</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429</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87</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b/>
                <w:bCs/>
                <w:color w:val="000000"/>
                <w:sz w:val="24"/>
                <w:szCs w:val="24"/>
                <w:lang w:eastAsia="en-US"/>
              </w:rPr>
            </w:pPr>
            <w:r w:rsidRPr="00F25AE1">
              <w:rPr>
                <w:b/>
                <w:bCs/>
                <w:color w:val="000000"/>
                <w:sz w:val="24"/>
                <w:szCs w:val="24"/>
                <w:lang w:eastAsia="en-US"/>
              </w:rPr>
              <w:t>Сальдо первинних доходів</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-1 879</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-2 456</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-883</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-1 786</w:t>
            </w:r>
          </w:p>
        </w:tc>
        <w:tc>
          <w:tcPr>
            <w:tcW w:w="1077" w:type="dxa"/>
            <w:shd w:val="clear" w:color="auto" w:fill="auto"/>
            <w:noWrap/>
            <w:vAlign w:val="bottom"/>
            <w:hideMark/>
          </w:tcPr>
          <w:p w:rsidR="00F25AE1" w:rsidRPr="00F50E5A" w:rsidRDefault="009F79C5" w:rsidP="009F79C5">
            <w:pPr>
              <w:jc w:val="right"/>
              <w:rPr>
                <w:b/>
                <w:color w:val="000000"/>
                <w:sz w:val="24"/>
                <w:szCs w:val="24"/>
                <w:lang w:eastAsia="en-US"/>
              </w:rPr>
            </w:pPr>
            <w:r>
              <w:rPr>
                <w:b/>
                <w:color w:val="000000"/>
                <w:sz w:val="24"/>
                <w:szCs w:val="24"/>
                <w:lang w:eastAsia="en-US"/>
              </w:rPr>
              <w:t>-1 246</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color w:val="000000"/>
                <w:sz w:val="24"/>
                <w:szCs w:val="24"/>
                <w:lang w:eastAsia="en-US"/>
              </w:rPr>
            </w:pPr>
            <w:r w:rsidRPr="00F25AE1">
              <w:rPr>
                <w:color w:val="000000"/>
                <w:sz w:val="24"/>
                <w:szCs w:val="24"/>
                <w:lang w:eastAsia="en-US"/>
              </w:rPr>
              <w:t>Вторинні доходи, надходження</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1 186</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1 326</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1 467</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1 731</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977</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color w:val="000000"/>
                <w:sz w:val="24"/>
                <w:szCs w:val="24"/>
                <w:lang w:eastAsia="en-US"/>
              </w:rPr>
            </w:pPr>
            <w:r w:rsidRPr="00F25AE1">
              <w:rPr>
                <w:color w:val="000000"/>
                <w:sz w:val="24"/>
                <w:szCs w:val="24"/>
                <w:lang w:eastAsia="en-US"/>
              </w:rPr>
              <w:t>Вторинні доходи, виплати</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2 447</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2 506</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2 244</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2 891</w:t>
            </w:r>
          </w:p>
        </w:tc>
        <w:tc>
          <w:tcPr>
            <w:tcW w:w="1077" w:type="dxa"/>
            <w:shd w:val="clear" w:color="auto" w:fill="auto"/>
            <w:noWrap/>
            <w:vAlign w:val="bottom"/>
            <w:hideMark/>
          </w:tcPr>
          <w:p w:rsidR="00F25AE1" w:rsidRPr="00F25AE1" w:rsidRDefault="00F25AE1" w:rsidP="00F25AE1">
            <w:pPr>
              <w:jc w:val="right"/>
              <w:rPr>
                <w:color w:val="000000"/>
                <w:sz w:val="24"/>
                <w:szCs w:val="24"/>
                <w:lang w:eastAsia="en-US"/>
              </w:rPr>
            </w:pPr>
            <w:r w:rsidRPr="00F25AE1">
              <w:rPr>
                <w:color w:val="000000"/>
                <w:sz w:val="24"/>
                <w:szCs w:val="24"/>
                <w:lang w:eastAsia="en-US"/>
              </w:rPr>
              <w:t>1 791</w:t>
            </w:r>
          </w:p>
        </w:tc>
      </w:tr>
      <w:tr w:rsidR="00F25AE1" w:rsidRPr="00F25AE1" w:rsidTr="00B90172">
        <w:trPr>
          <w:trHeight w:val="300"/>
        </w:trPr>
        <w:tc>
          <w:tcPr>
            <w:tcW w:w="3964" w:type="dxa"/>
            <w:shd w:val="clear" w:color="auto" w:fill="auto"/>
            <w:noWrap/>
            <w:vAlign w:val="bottom"/>
            <w:hideMark/>
          </w:tcPr>
          <w:p w:rsidR="00F25AE1" w:rsidRPr="00F25AE1" w:rsidRDefault="00F25AE1" w:rsidP="00F25AE1">
            <w:pPr>
              <w:rPr>
                <w:b/>
                <w:bCs/>
                <w:color w:val="000000"/>
                <w:sz w:val="24"/>
                <w:szCs w:val="24"/>
                <w:lang w:eastAsia="en-US"/>
              </w:rPr>
            </w:pPr>
            <w:r w:rsidRPr="00F25AE1">
              <w:rPr>
                <w:b/>
                <w:bCs/>
                <w:color w:val="000000"/>
                <w:sz w:val="24"/>
                <w:szCs w:val="24"/>
                <w:lang w:eastAsia="en-US"/>
              </w:rPr>
              <w:t>Сальдо вторинних доходів</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-1 261</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-1 179</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-777</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-1 160</w:t>
            </w:r>
          </w:p>
        </w:tc>
        <w:tc>
          <w:tcPr>
            <w:tcW w:w="1077" w:type="dxa"/>
            <w:shd w:val="clear" w:color="auto" w:fill="auto"/>
            <w:noWrap/>
            <w:vAlign w:val="bottom"/>
            <w:hideMark/>
          </w:tcPr>
          <w:p w:rsidR="00F25AE1" w:rsidRPr="00F50E5A" w:rsidRDefault="00F25AE1" w:rsidP="00F25AE1">
            <w:pPr>
              <w:jc w:val="right"/>
              <w:rPr>
                <w:b/>
                <w:color w:val="000000"/>
                <w:sz w:val="24"/>
                <w:szCs w:val="24"/>
                <w:lang w:eastAsia="en-US"/>
              </w:rPr>
            </w:pPr>
            <w:r w:rsidRPr="00F50E5A">
              <w:rPr>
                <w:b/>
                <w:color w:val="000000"/>
                <w:sz w:val="24"/>
                <w:szCs w:val="24"/>
                <w:lang w:eastAsia="en-US"/>
              </w:rPr>
              <w:t>-814</w:t>
            </w:r>
          </w:p>
        </w:tc>
      </w:tr>
    </w:tbl>
    <w:p w:rsidR="00820F81" w:rsidRDefault="005F3527" w:rsidP="005F3527">
      <w:pPr>
        <w:spacing w:line="360" w:lineRule="auto"/>
        <w:jc w:val="both"/>
        <w:rPr>
          <w:sz w:val="28"/>
          <w:lang w:val="ru-RU"/>
        </w:rPr>
      </w:pPr>
      <w:r>
        <w:rPr>
          <w:sz w:val="28"/>
        </w:rPr>
        <w:t xml:space="preserve">Джерело: складено автором на основі даних </w:t>
      </w:r>
      <w:r w:rsidRPr="005F3527">
        <w:rPr>
          <w:sz w:val="28"/>
          <w:lang w:val="ru-RU"/>
        </w:rPr>
        <w:t>[</w:t>
      </w:r>
      <w:r w:rsidR="00B45AA2">
        <w:rPr>
          <w:sz w:val="28"/>
          <w:lang w:val="ru-RU"/>
        </w:rPr>
        <w:t>12</w:t>
      </w:r>
      <w:r w:rsidRPr="005F3527">
        <w:rPr>
          <w:sz w:val="28"/>
          <w:lang w:val="ru-RU"/>
        </w:rPr>
        <w:t>]</w:t>
      </w:r>
    </w:p>
    <w:p w:rsidR="005F3527" w:rsidRPr="005F3527" w:rsidRDefault="005F3527" w:rsidP="005F3527">
      <w:pPr>
        <w:spacing w:line="360" w:lineRule="auto"/>
        <w:jc w:val="both"/>
        <w:rPr>
          <w:sz w:val="28"/>
        </w:rPr>
      </w:pPr>
      <w:r w:rsidRPr="005F3527">
        <w:rPr>
          <w:sz w:val="28"/>
          <w:lang w:val="ru-RU"/>
        </w:rPr>
        <w:t>*</w:t>
      </w:r>
      <w:r>
        <w:rPr>
          <w:sz w:val="28"/>
        </w:rPr>
        <w:t xml:space="preserve"> </w:t>
      </w:r>
      <w:r w:rsidRPr="005F3527">
        <w:rPr>
          <w:sz w:val="28"/>
        </w:rPr>
        <w:t>-</w:t>
      </w:r>
      <w:r w:rsidR="003C4E60">
        <w:rPr>
          <w:sz w:val="28"/>
        </w:rPr>
        <w:t xml:space="preserve"> дані за три</w:t>
      </w:r>
      <w:r>
        <w:rPr>
          <w:sz w:val="28"/>
        </w:rPr>
        <w:t xml:space="preserve"> квартали 2022 року</w:t>
      </w:r>
    </w:p>
    <w:p w:rsidR="00820F81" w:rsidRDefault="00820F81" w:rsidP="00EF589B">
      <w:pPr>
        <w:spacing w:line="360" w:lineRule="auto"/>
        <w:ind w:firstLine="709"/>
        <w:jc w:val="both"/>
        <w:rPr>
          <w:sz w:val="28"/>
        </w:rPr>
      </w:pPr>
    </w:p>
    <w:p w:rsidR="003D3D70" w:rsidRDefault="003D3D70" w:rsidP="003D3D70">
      <w:pPr>
        <w:spacing w:line="360" w:lineRule="auto"/>
        <w:ind w:firstLine="709"/>
        <w:jc w:val="both"/>
        <w:rPr>
          <w:sz w:val="28"/>
        </w:rPr>
      </w:pPr>
      <w:r>
        <w:rPr>
          <w:sz w:val="28"/>
        </w:rPr>
        <w:t xml:space="preserve">Як видно з таблиць, обидві країни протягом майже усього розглянутого періоду мали від’ємне значення поточного рахунку, тобто загальний дефіцит надходжень коштів за поточними операціями. В Польщі баланс поточного рахунку був менш стабільним і від’ємне значення поступово зменшувалось з часом і у 2022 році поточний рахунок Польщі вже мав додатне значення. У Словаччини поточний рахунок був додатним лише у 2020 році через різке збільшення сальдо товарів. </w:t>
      </w:r>
      <w:r w:rsidR="00E15849">
        <w:rPr>
          <w:sz w:val="28"/>
        </w:rPr>
        <w:t>З</w:t>
      </w:r>
      <w:r>
        <w:rPr>
          <w:sz w:val="28"/>
        </w:rPr>
        <w:t>агалом, поточний рахунок Словаччини також був від’</w:t>
      </w:r>
      <w:r w:rsidR="00E15849">
        <w:rPr>
          <w:sz w:val="28"/>
        </w:rPr>
        <w:t>ємним. Щоб зробити повний аналіз статей поточного рахунку, слід розглянути графічну динаміку кожної статті, починаючи з торгівлі товарами.</w:t>
      </w:r>
    </w:p>
    <w:p w:rsidR="00E15849" w:rsidRDefault="00E15849" w:rsidP="003D3D70">
      <w:pPr>
        <w:spacing w:line="360" w:lineRule="auto"/>
        <w:ind w:firstLine="709"/>
        <w:jc w:val="both"/>
        <w:rPr>
          <w:b/>
          <w:sz w:val="28"/>
        </w:rPr>
      </w:pPr>
      <w:r>
        <w:rPr>
          <w:sz w:val="28"/>
        </w:rPr>
        <w:t xml:space="preserve">Але недостатньо лише порівняти сальдо кожної зі статей, треба також порівняти кредит та дебет. Тому на рисунку 2.1 можна більш наочно побачити динаміку експорту і імпорту </w:t>
      </w:r>
      <w:r w:rsidR="00E92A9A">
        <w:rPr>
          <w:sz w:val="28"/>
        </w:rPr>
        <w:t>товарів Польщі та Словаччини починаючи з першого кварталу 2018 року до 3 кварталу 2022 року.</w:t>
      </w:r>
      <w:r>
        <w:rPr>
          <w:sz w:val="28"/>
        </w:rPr>
        <w:t xml:space="preserve"> </w:t>
      </w:r>
    </w:p>
    <w:p w:rsidR="00F9547A" w:rsidRDefault="0079776B" w:rsidP="00950E29">
      <w:pPr>
        <w:spacing w:line="360" w:lineRule="auto"/>
        <w:jc w:val="both"/>
        <w:rPr>
          <w:sz w:val="28"/>
        </w:rPr>
      </w:pPr>
      <w:r>
        <w:rPr>
          <w:noProof/>
          <w:sz w:val="28"/>
          <w:lang w:val="ru-RU"/>
        </w:rPr>
        <w:drawing>
          <wp:anchor distT="0" distB="0" distL="114300" distR="114300" simplePos="0" relativeHeight="251619328" behindDoc="0" locked="0" layoutInCell="1" allowOverlap="1">
            <wp:simplePos x="0" y="0"/>
            <wp:positionH relativeFrom="column">
              <wp:posOffset>-3810</wp:posOffset>
            </wp:positionH>
            <wp:positionV relativeFrom="paragraph">
              <wp:posOffset>4445</wp:posOffset>
            </wp:positionV>
            <wp:extent cx="5934075" cy="2743200"/>
            <wp:effectExtent l="0" t="0" r="9525" b="0"/>
            <wp:wrapTopAndBottom/>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rPr>
          <w:noProof/>
          <w:sz w:val="28"/>
          <w:lang w:val="ru-RU"/>
        </w:rPr>
        <w:drawing>
          <wp:anchor distT="0" distB="0" distL="114300" distR="114300" simplePos="0" relativeHeight="251620352" behindDoc="0" locked="0" layoutInCell="1" allowOverlap="1">
            <wp:simplePos x="0" y="0"/>
            <wp:positionH relativeFrom="column">
              <wp:posOffset>-3810</wp:posOffset>
            </wp:positionH>
            <wp:positionV relativeFrom="paragraph">
              <wp:posOffset>2747645</wp:posOffset>
            </wp:positionV>
            <wp:extent cx="5934075" cy="2743200"/>
            <wp:effectExtent l="0" t="0" r="9525" b="0"/>
            <wp:wrapTopAndBottom/>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sidR="00950E29">
        <w:rPr>
          <w:sz w:val="28"/>
        </w:rPr>
        <w:t>Рис. 2.1 Динаміка експорту та імпорту товарів Польщі та Словаччини з 2018 до 2022 року, млн дол США</w:t>
      </w:r>
    </w:p>
    <w:p w:rsidR="00950E29" w:rsidRDefault="00950E29" w:rsidP="00950E29">
      <w:pPr>
        <w:spacing w:line="360" w:lineRule="auto"/>
        <w:jc w:val="both"/>
        <w:rPr>
          <w:sz w:val="28"/>
        </w:rPr>
      </w:pPr>
      <w:r>
        <w:rPr>
          <w:sz w:val="28"/>
        </w:rPr>
        <w:t xml:space="preserve">Джерело: складено автором на основі даних </w:t>
      </w:r>
      <w:r w:rsidRPr="00950E29">
        <w:rPr>
          <w:sz w:val="28"/>
          <w:lang w:val="ru-RU"/>
        </w:rPr>
        <w:t>[</w:t>
      </w:r>
      <w:r w:rsidR="00294E85">
        <w:rPr>
          <w:sz w:val="28"/>
          <w:lang w:val="ru-RU"/>
        </w:rPr>
        <w:t>1</w:t>
      </w:r>
      <w:r w:rsidR="00B45AA2" w:rsidRPr="00B45AA2">
        <w:rPr>
          <w:sz w:val="28"/>
          <w:lang w:val="ru-RU"/>
        </w:rPr>
        <w:t>2</w:t>
      </w:r>
      <w:r w:rsidRPr="00950E29">
        <w:rPr>
          <w:sz w:val="28"/>
          <w:lang w:val="ru-RU"/>
        </w:rPr>
        <w:t>]</w:t>
      </w:r>
    </w:p>
    <w:p w:rsidR="00950E29" w:rsidRDefault="00950E29" w:rsidP="00950E29">
      <w:pPr>
        <w:spacing w:line="360" w:lineRule="auto"/>
        <w:jc w:val="both"/>
        <w:rPr>
          <w:sz w:val="28"/>
        </w:rPr>
      </w:pPr>
    </w:p>
    <w:p w:rsidR="00AA37E0" w:rsidRDefault="00113052" w:rsidP="00834F8D">
      <w:pPr>
        <w:spacing w:line="360" w:lineRule="auto"/>
        <w:ind w:firstLine="709"/>
        <w:jc w:val="both"/>
        <w:rPr>
          <w:sz w:val="28"/>
        </w:rPr>
      </w:pPr>
      <w:r>
        <w:rPr>
          <w:sz w:val="28"/>
        </w:rPr>
        <w:t>Судячи зі статистичних даних, Польща та Словаччина мають доволі схож</w:t>
      </w:r>
      <w:r w:rsidR="00AA37E0">
        <w:rPr>
          <w:sz w:val="28"/>
        </w:rPr>
        <w:t xml:space="preserve">у динаміку сальдо товарів, </w:t>
      </w:r>
      <w:r w:rsidR="00B070F5">
        <w:rPr>
          <w:sz w:val="28"/>
        </w:rPr>
        <w:t>протягом цього 5-річного періоду</w:t>
      </w:r>
      <w:r>
        <w:rPr>
          <w:sz w:val="28"/>
        </w:rPr>
        <w:t xml:space="preserve"> і у Польщі, і у Словаччини, імпорт товарів був більшим за експорт. </w:t>
      </w:r>
      <w:r w:rsidR="00B070F5">
        <w:rPr>
          <w:sz w:val="28"/>
        </w:rPr>
        <w:t xml:space="preserve">Тобто сальдо товарів було у дефіциті. У 2020 році відбувся різкий спад в обох країнах. В Польщі експорт та імпорт скоротились приблизно на 20%, а у Словаччині – більш ніж на 30%. Можливо причиною стала економічна криза, спричинена пандемією </w:t>
      </w:r>
      <w:r w:rsidR="00B070F5">
        <w:rPr>
          <w:sz w:val="28"/>
          <w:lang w:val="en-US"/>
        </w:rPr>
        <w:t>COVID</w:t>
      </w:r>
      <w:r w:rsidR="00B070F5" w:rsidRPr="00B070F5">
        <w:rPr>
          <w:sz w:val="28"/>
        </w:rPr>
        <w:t xml:space="preserve">. </w:t>
      </w:r>
      <w:r w:rsidR="00AA37E0">
        <w:rPr>
          <w:sz w:val="28"/>
        </w:rPr>
        <w:t xml:space="preserve">Але вже у четвертому кварталі того ж року економіки Польщі та Словаччини швидко відновились та показники експорту і імпорту почали стрімко зростати. Це зростання у Словаччини продовжувалось до першого кварталу 2022 року, після чого відбувся незначний спад, а у Польщі експорт і імпорт все ще продовжують зростати. Як вже було сказано, у обох країн баланс торгівлі товарами від’ємний. </w:t>
      </w:r>
      <w:r>
        <w:rPr>
          <w:sz w:val="28"/>
        </w:rPr>
        <w:t>Але важливо зауважити, що ця від’ємна різниця між експортом та імпортом обох країн має доволі невелике числове значення</w:t>
      </w:r>
      <w:r w:rsidR="00AA37E0">
        <w:rPr>
          <w:sz w:val="28"/>
        </w:rPr>
        <w:t>, тобто імпорт і експорт майже наближені один до одного</w:t>
      </w:r>
      <w:r>
        <w:rPr>
          <w:sz w:val="28"/>
        </w:rPr>
        <w:t xml:space="preserve">. У Польщі дефіцит торгівлі товарами </w:t>
      </w:r>
      <w:r w:rsidR="00AA37E0">
        <w:rPr>
          <w:sz w:val="28"/>
        </w:rPr>
        <w:t>не перевищував 13,5 млрд доларів на рік</w:t>
      </w:r>
      <w:r>
        <w:rPr>
          <w:sz w:val="28"/>
        </w:rPr>
        <w:t xml:space="preserve">, а у Словаччині цей </w:t>
      </w:r>
      <w:r w:rsidR="00AA37E0">
        <w:rPr>
          <w:sz w:val="28"/>
        </w:rPr>
        <w:t xml:space="preserve">річний </w:t>
      </w:r>
      <w:r>
        <w:rPr>
          <w:sz w:val="28"/>
        </w:rPr>
        <w:t>дефіцит навіть</w:t>
      </w:r>
      <w:r w:rsidR="00F80B9C">
        <w:rPr>
          <w:sz w:val="28"/>
        </w:rPr>
        <w:t xml:space="preserve"> не досяг 5 млрд доларів</w:t>
      </w:r>
      <w:r>
        <w:rPr>
          <w:sz w:val="28"/>
        </w:rPr>
        <w:t xml:space="preserve">. </w:t>
      </w:r>
    </w:p>
    <w:p w:rsidR="00113052" w:rsidRPr="00F80B9C" w:rsidRDefault="00113052" w:rsidP="00834F8D">
      <w:pPr>
        <w:spacing w:line="360" w:lineRule="auto"/>
        <w:ind w:firstLine="709"/>
        <w:jc w:val="both"/>
        <w:rPr>
          <w:sz w:val="28"/>
        </w:rPr>
      </w:pPr>
      <w:r>
        <w:rPr>
          <w:sz w:val="28"/>
        </w:rPr>
        <w:t xml:space="preserve">Якщо судити окремо по експорту і імпорту, то обидві країни </w:t>
      </w:r>
      <w:r w:rsidR="00F80B9C">
        <w:rPr>
          <w:sz w:val="28"/>
        </w:rPr>
        <w:t xml:space="preserve">ведуть доволі активну зовнішньоторговельну діяльність. </w:t>
      </w:r>
      <w:r w:rsidR="00AA37E0">
        <w:rPr>
          <w:sz w:val="28"/>
        </w:rPr>
        <w:t>Проте все таки факт в тому</w:t>
      </w:r>
      <w:r>
        <w:rPr>
          <w:sz w:val="28"/>
        </w:rPr>
        <w:t xml:space="preserve">, що зовнішньоторговельний оборот Польщі набагато більший, ніж у Словаччини. </w:t>
      </w:r>
      <w:r w:rsidR="00F80B9C">
        <w:rPr>
          <w:sz w:val="28"/>
        </w:rPr>
        <w:t>Це пояснюється більшим рівнем економічного розвитку, більшою площею території та більшим населенням Польщі.</w:t>
      </w:r>
      <w:r w:rsidR="00CE45C4">
        <w:rPr>
          <w:sz w:val="28"/>
        </w:rPr>
        <w:t xml:space="preserve"> </w:t>
      </w:r>
    </w:p>
    <w:p w:rsidR="00CE45C4" w:rsidRPr="001A4546" w:rsidRDefault="0078101D" w:rsidP="00EF589B">
      <w:pPr>
        <w:spacing w:line="360" w:lineRule="auto"/>
        <w:ind w:firstLine="709"/>
        <w:jc w:val="both"/>
        <w:rPr>
          <w:sz w:val="28"/>
        </w:rPr>
      </w:pPr>
      <w:r>
        <w:rPr>
          <w:sz w:val="28"/>
        </w:rPr>
        <w:t xml:space="preserve">Щодо торгівлі послугами, тут ситуація </w:t>
      </w:r>
      <w:r w:rsidR="00D6795E">
        <w:rPr>
          <w:sz w:val="28"/>
        </w:rPr>
        <w:t>інша (див. рисунок 2.2).</w:t>
      </w:r>
      <w:r>
        <w:rPr>
          <w:sz w:val="28"/>
        </w:rPr>
        <w:t xml:space="preserve"> Як у Польщі, так і у Словаччини, сальдо послуг має додатне значення на всьому проміжку часу. І хоча це додатне сальдо поступово зменшується, сам експорт та імпорт послуг лише зростають. Особливо зростання зовнішньої торгівлі послугами в обох країнах прискорилось після економічної кризи 2020 року. Звісно, у тому році торгівля послугами постраждала у всьому світі, в тому числі і в Польщі та Словаччини. Найбільше постраждала сфера туристичних послуг. Проте обидві країни змогли дійсно швидко позбутись наслідків пандемії та відновити свій експорт та імпорт послуг за рахунок диверсифікованої економіки, тому інші види послуг змогли відновити загальні показники експорту та імпорту.</w:t>
      </w:r>
      <w:r w:rsidR="001A4546" w:rsidRPr="001A4546">
        <w:rPr>
          <w:sz w:val="28"/>
        </w:rPr>
        <w:t xml:space="preserve"> </w:t>
      </w:r>
      <w:r w:rsidR="001A4546">
        <w:rPr>
          <w:sz w:val="28"/>
        </w:rPr>
        <w:t>Після 2020 року торгівля послугами не лише відновилась,</w:t>
      </w:r>
      <w:r w:rsidR="00D6795E">
        <w:rPr>
          <w:sz w:val="28"/>
        </w:rPr>
        <w:t xml:space="preserve"> але і почала </w:t>
      </w:r>
      <w:r w:rsidR="001A4546">
        <w:rPr>
          <w:sz w:val="28"/>
        </w:rPr>
        <w:t xml:space="preserve">зростати. Незначний спад відбувся у першому кварталі 2021 року та в першому кварталі 2022 року. Але цей спад не вплинув на загальну тенденцію до росту торгівлі послугами в обох розглянутих країнах. В другому кварталі 2022 року експорт послуг Польщі досяг свого максимального значення у 24 млрд доларів США, а у Словаччини </w:t>
      </w:r>
      <w:r w:rsidR="00D6795E">
        <w:rPr>
          <w:sz w:val="28"/>
        </w:rPr>
        <w:t>–</w:t>
      </w:r>
      <w:r w:rsidR="001A4546">
        <w:rPr>
          <w:sz w:val="28"/>
        </w:rPr>
        <w:t xml:space="preserve"> </w:t>
      </w:r>
      <w:r w:rsidR="00D6795E">
        <w:rPr>
          <w:sz w:val="28"/>
        </w:rPr>
        <w:t>3,4 млрд доларів США у третьому кварталі того ж року.</w:t>
      </w:r>
    </w:p>
    <w:p w:rsidR="00B60BFD" w:rsidRDefault="0079776B" w:rsidP="00CE45C4">
      <w:pPr>
        <w:spacing w:line="360" w:lineRule="auto"/>
        <w:jc w:val="both"/>
        <w:rPr>
          <w:sz w:val="28"/>
        </w:rPr>
      </w:pPr>
      <w:r>
        <w:rPr>
          <w:noProof/>
          <w:sz w:val="28"/>
          <w:lang w:val="ru-RU"/>
        </w:rPr>
        <w:drawing>
          <wp:anchor distT="0" distB="0" distL="114300" distR="114300" simplePos="0" relativeHeight="251630592" behindDoc="0" locked="0" layoutInCell="1" allowOverlap="1">
            <wp:simplePos x="0" y="0"/>
            <wp:positionH relativeFrom="column">
              <wp:posOffset>-6247</wp:posOffset>
            </wp:positionH>
            <wp:positionV relativeFrom="paragraph">
              <wp:posOffset>1787</wp:posOffset>
            </wp:positionV>
            <wp:extent cx="5934075" cy="2543175"/>
            <wp:effectExtent l="0" t="0" r="9525" b="9525"/>
            <wp:wrapTopAndBottom/>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Pr>
          <w:noProof/>
          <w:sz w:val="28"/>
          <w:lang w:val="ru-RU"/>
        </w:rPr>
        <w:drawing>
          <wp:anchor distT="0" distB="0" distL="114300" distR="114300" simplePos="0" relativeHeight="251631616" behindDoc="0" locked="0" layoutInCell="1" allowOverlap="1">
            <wp:simplePos x="0" y="0"/>
            <wp:positionH relativeFrom="column">
              <wp:posOffset>-6247</wp:posOffset>
            </wp:positionH>
            <wp:positionV relativeFrom="paragraph">
              <wp:posOffset>2542968</wp:posOffset>
            </wp:positionV>
            <wp:extent cx="5934075" cy="2543175"/>
            <wp:effectExtent l="0" t="0" r="9525" b="9525"/>
            <wp:wrapTopAndBottom/>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sidR="00B60BFD">
        <w:rPr>
          <w:sz w:val="28"/>
        </w:rPr>
        <w:t>Рис. 2.2 Динаміка експорту та імпорту послуг Польщі та Словаччини з 2018 до 2022 року, млн дол США</w:t>
      </w:r>
    </w:p>
    <w:p w:rsidR="00B60BFD" w:rsidRDefault="00B60BFD" w:rsidP="00B60BFD">
      <w:pPr>
        <w:spacing w:line="360" w:lineRule="auto"/>
        <w:jc w:val="both"/>
        <w:rPr>
          <w:sz w:val="28"/>
        </w:rPr>
      </w:pPr>
      <w:r>
        <w:rPr>
          <w:sz w:val="28"/>
        </w:rPr>
        <w:t xml:space="preserve">Джерело: складено автором на основі даних </w:t>
      </w:r>
      <w:r w:rsidRPr="00950E29">
        <w:rPr>
          <w:sz w:val="28"/>
          <w:lang w:val="ru-RU"/>
        </w:rPr>
        <w:t>[</w:t>
      </w:r>
      <w:r w:rsidR="00B45AA2">
        <w:rPr>
          <w:sz w:val="28"/>
          <w:lang w:val="ru-RU"/>
        </w:rPr>
        <w:t>12</w:t>
      </w:r>
      <w:r w:rsidRPr="00950E29">
        <w:rPr>
          <w:sz w:val="28"/>
          <w:lang w:val="ru-RU"/>
        </w:rPr>
        <w:t>]</w:t>
      </w:r>
    </w:p>
    <w:p w:rsidR="00987593" w:rsidRDefault="00987593" w:rsidP="00B60BFD">
      <w:pPr>
        <w:spacing w:line="360" w:lineRule="auto"/>
        <w:jc w:val="both"/>
        <w:rPr>
          <w:sz w:val="28"/>
        </w:rPr>
      </w:pPr>
    </w:p>
    <w:p w:rsidR="00987593" w:rsidRDefault="00D07CEA" w:rsidP="00EF589B">
      <w:pPr>
        <w:spacing w:line="360" w:lineRule="auto"/>
        <w:ind w:firstLine="709"/>
        <w:jc w:val="both"/>
        <w:rPr>
          <w:sz w:val="28"/>
        </w:rPr>
      </w:pPr>
      <w:r>
        <w:rPr>
          <w:sz w:val="28"/>
        </w:rPr>
        <w:t xml:space="preserve">Наступний пункт – первинні доходи. </w:t>
      </w:r>
      <w:r w:rsidR="00914F14">
        <w:rPr>
          <w:sz w:val="28"/>
        </w:rPr>
        <w:t>Динаміка первинних доходів обох країн представлена на рисунку 2.3 на наступній сторінці. Судячи зі статистичних даних можна сказати, що обидві країни мають від’ємне сальдо первинних послуг, адже виплати (дебет) значно перевищують надходження (кредит). Причому, у Польщі це від’ємне сальдо набагато більше</w:t>
      </w:r>
      <w:r w:rsidR="00BF3D8C">
        <w:rPr>
          <w:sz w:val="28"/>
        </w:rPr>
        <w:t>.</w:t>
      </w:r>
      <w:r w:rsidR="00914F14">
        <w:rPr>
          <w:sz w:val="28"/>
        </w:rPr>
        <w:t xml:space="preserve"> Тобто у статті первинних доходів Польща протягом цих 5-и років зазнавала значного відтоку коштів, який у 2021 році мав максимальне значення у 32 млрд доларів США</w:t>
      </w:r>
      <w:r w:rsidR="00BF3D8C">
        <w:rPr>
          <w:sz w:val="28"/>
        </w:rPr>
        <w:t xml:space="preserve"> за рік</w:t>
      </w:r>
      <w:r w:rsidR="00914F14">
        <w:rPr>
          <w:sz w:val="28"/>
        </w:rPr>
        <w:t>. У С</w:t>
      </w:r>
      <w:r w:rsidR="00BF3D8C">
        <w:rPr>
          <w:sz w:val="28"/>
        </w:rPr>
        <w:t>ловаччини також є відтік коштів за первинними доходами</w:t>
      </w:r>
      <w:r w:rsidR="00914F14">
        <w:rPr>
          <w:sz w:val="28"/>
        </w:rPr>
        <w:t>,</w:t>
      </w:r>
      <w:r w:rsidR="00711153">
        <w:rPr>
          <w:sz w:val="28"/>
        </w:rPr>
        <w:t xml:space="preserve"> </w:t>
      </w:r>
      <w:r w:rsidR="00BF3D8C">
        <w:rPr>
          <w:sz w:val="28"/>
        </w:rPr>
        <w:t xml:space="preserve">але </w:t>
      </w:r>
      <w:r w:rsidR="00711153">
        <w:rPr>
          <w:sz w:val="28"/>
        </w:rPr>
        <w:t>зазвичай він не перевищує 2,5 млрд доларів США</w:t>
      </w:r>
      <w:r w:rsidR="00914F14">
        <w:rPr>
          <w:sz w:val="28"/>
        </w:rPr>
        <w:t xml:space="preserve">. </w:t>
      </w:r>
    </w:p>
    <w:p w:rsidR="003A43F5" w:rsidRDefault="0079776B" w:rsidP="00BF3D8C">
      <w:pPr>
        <w:spacing w:line="360" w:lineRule="auto"/>
        <w:jc w:val="both"/>
        <w:rPr>
          <w:sz w:val="28"/>
        </w:rPr>
      </w:pPr>
      <w:r>
        <w:rPr>
          <w:noProof/>
          <w:sz w:val="28"/>
          <w:lang w:val="ru-RU"/>
        </w:rPr>
        <w:drawing>
          <wp:anchor distT="0" distB="0" distL="114300" distR="114300" simplePos="0" relativeHeight="251644928" behindDoc="0" locked="0" layoutInCell="1" allowOverlap="1">
            <wp:simplePos x="0" y="0"/>
            <wp:positionH relativeFrom="column">
              <wp:posOffset>25651</wp:posOffset>
            </wp:positionH>
            <wp:positionV relativeFrom="paragraph">
              <wp:posOffset>1787</wp:posOffset>
            </wp:positionV>
            <wp:extent cx="5911215" cy="2743200"/>
            <wp:effectExtent l="0" t="0" r="13335" b="0"/>
            <wp:wrapTopAndBottom/>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noProof/>
          <w:sz w:val="28"/>
          <w:lang w:val="ru-RU"/>
        </w:rPr>
        <w:drawing>
          <wp:anchor distT="0" distB="0" distL="114300" distR="114300" simplePos="0" relativeHeight="251645952" behindDoc="0" locked="0" layoutInCell="1" allowOverlap="1">
            <wp:simplePos x="0" y="0"/>
            <wp:positionH relativeFrom="column">
              <wp:posOffset>15018</wp:posOffset>
            </wp:positionH>
            <wp:positionV relativeFrom="paragraph">
              <wp:posOffset>2744987</wp:posOffset>
            </wp:positionV>
            <wp:extent cx="5922010" cy="2743200"/>
            <wp:effectExtent l="0" t="0" r="2540" b="0"/>
            <wp:wrapTopAndBottom/>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sidR="003A43F5">
        <w:rPr>
          <w:sz w:val="28"/>
        </w:rPr>
        <w:t>Рис. 2.3 Динаміка первинних доходів Польщі та Словаччини з 2018 до 2022 року, млн дол США</w:t>
      </w:r>
    </w:p>
    <w:p w:rsidR="003A43F5" w:rsidRDefault="003A43F5" w:rsidP="003A43F5">
      <w:pPr>
        <w:spacing w:line="360" w:lineRule="auto"/>
        <w:jc w:val="both"/>
        <w:rPr>
          <w:sz w:val="28"/>
        </w:rPr>
      </w:pPr>
      <w:r>
        <w:rPr>
          <w:sz w:val="28"/>
        </w:rPr>
        <w:t xml:space="preserve">Джерело: складено автором на основі даних </w:t>
      </w:r>
      <w:r w:rsidRPr="00950E29">
        <w:rPr>
          <w:sz w:val="28"/>
          <w:lang w:val="ru-RU"/>
        </w:rPr>
        <w:t>[</w:t>
      </w:r>
      <w:r w:rsidR="00B45AA2">
        <w:rPr>
          <w:sz w:val="28"/>
          <w:lang w:val="ru-RU"/>
        </w:rPr>
        <w:t>12</w:t>
      </w:r>
      <w:r w:rsidRPr="00950E29">
        <w:rPr>
          <w:sz w:val="28"/>
          <w:lang w:val="ru-RU"/>
        </w:rPr>
        <w:t>]</w:t>
      </w:r>
    </w:p>
    <w:p w:rsidR="003A43F5" w:rsidRDefault="003A43F5" w:rsidP="003A43F5">
      <w:pPr>
        <w:spacing w:line="360" w:lineRule="auto"/>
        <w:jc w:val="both"/>
        <w:rPr>
          <w:sz w:val="28"/>
        </w:rPr>
      </w:pPr>
    </w:p>
    <w:p w:rsidR="00BF3D8C" w:rsidRDefault="00BF3D8C" w:rsidP="00BF3D8C">
      <w:pPr>
        <w:spacing w:line="360" w:lineRule="auto"/>
        <w:ind w:firstLine="709"/>
        <w:jc w:val="both"/>
        <w:rPr>
          <w:sz w:val="28"/>
        </w:rPr>
      </w:pPr>
      <w:r>
        <w:rPr>
          <w:sz w:val="28"/>
        </w:rPr>
        <w:t>Щодо окремих статей первинних доходів, то у обох країн більшу частину первинних доходів складають доходи від інвестицій</w:t>
      </w:r>
      <w:r w:rsidR="00751AD9">
        <w:rPr>
          <w:sz w:val="28"/>
        </w:rPr>
        <w:t xml:space="preserve"> (див. табл. 2.1 та 2.2). І до речі, як у Польщі, так і у Словаччини, виплати інвестиційних доходів перевищують їх надходження. А от у статті оплата праці ситуація різна. Польща щороку приймає дуже велику кількість біженців та «заробітчан» з країн Східної Європи, тому у Польщі переважають виплати заробітної плати, ніж надходження. А от у Словаччини, навпаки, надходження заробітної плати вище, що свідчить про те, що ринок праці Словаччини недостатньо привабливий для самих словаків, тому вони вимушені шукати роботу закордоном.</w:t>
      </w:r>
    </w:p>
    <w:p w:rsidR="003A43F5" w:rsidRDefault="0079776B" w:rsidP="00914F14">
      <w:pPr>
        <w:spacing w:line="360" w:lineRule="auto"/>
        <w:ind w:firstLine="709"/>
        <w:jc w:val="both"/>
        <w:rPr>
          <w:sz w:val="28"/>
        </w:rPr>
      </w:pPr>
      <w:r>
        <w:rPr>
          <w:noProof/>
          <w:sz w:val="28"/>
          <w:lang w:val="ru-RU"/>
        </w:rPr>
        <w:drawing>
          <wp:anchor distT="0" distB="0" distL="114300" distR="114300" simplePos="0" relativeHeight="251653120" behindDoc="0" locked="0" layoutInCell="1" allowOverlap="1">
            <wp:simplePos x="0" y="0"/>
            <wp:positionH relativeFrom="column">
              <wp:posOffset>-6247</wp:posOffset>
            </wp:positionH>
            <wp:positionV relativeFrom="paragraph">
              <wp:posOffset>1972723</wp:posOffset>
            </wp:positionV>
            <wp:extent cx="5932805" cy="2743200"/>
            <wp:effectExtent l="0" t="0" r="10795" b="0"/>
            <wp:wrapTopAndBottom/>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noProof/>
          <w:sz w:val="28"/>
          <w:lang w:val="ru-RU"/>
        </w:rPr>
        <w:drawing>
          <wp:anchor distT="0" distB="0" distL="114300" distR="114300" simplePos="0" relativeHeight="251654144" behindDoc="0" locked="0" layoutInCell="1" allowOverlap="1">
            <wp:simplePos x="0" y="0"/>
            <wp:positionH relativeFrom="column">
              <wp:posOffset>-6247</wp:posOffset>
            </wp:positionH>
            <wp:positionV relativeFrom="paragraph">
              <wp:posOffset>4715923</wp:posOffset>
            </wp:positionV>
            <wp:extent cx="5932170" cy="2743200"/>
            <wp:effectExtent l="0" t="0" r="11430" b="0"/>
            <wp:wrapTopAndBottom/>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sidR="00914F14">
        <w:rPr>
          <w:sz w:val="28"/>
        </w:rPr>
        <w:t xml:space="preserve">На графіку </w:t>
      </w:r>
      <w:r w:rsidR="00751AD9">
        <w:rPr>
          <w:sz w:val="28"/>
        </w:rPr>
        <w:t xml:space="preserve">2.3 </w:t>
      </w:r>
      <w:r w:rsidR="00914F14">
        <w:rPr>
          <w:sz w:val="28"/>
        </w:rPr>
        <w:t>видно,</w:t>
      </w:r>
      <w:r w:rsidR="00751AD9">
        <w:rPr>
          <w:sz w:val="28"/>
        </w:rPr>
        <w:t xml:space="preserve"> що</w:t>
      </w:r>
      <w:r w:rsidR="009F79C5">
        <w:rPr>
          <w:sz w:val="28"/>
        </w:rPr>
        <w:t xml:space="preserve"> у 2020 році знизились</w:t>
      </w:r>
      <w:r w:rsidR="00751AD9">
        <w:rPr>
          <w:sz w:val="28"/>
        </w:rPr>
        <w:t xml:space="preserve"> виплати первинних доходів</w:t>
      </w:r>
      <w:r w:rsidR="009F79C5">
        <w:rPr>
          <w:sz w:val="28"/>
        </w:rPr>
        <w:t xml:space="preserve"> як в Польщі, так і в Словаччині</w:t>
      </w:r>
      <w:r w:rsidR="00751AD9">
        <w:rPr>
          <w:sz w:val="28"/>
        </w:rPr>
        <w:t xml:space="preserve">. </w:t>
      </w:r>
      <w:r w:rsidR="009F79C5">
        <w:rPr>
          <w:sz w:val="28"/>
        </w:rPr>
        <w:t>Цей спад відбувся в першому та другому кварталах 2020 року, саме тоді відбулось і скорочення торгівлі товарами та послугами. Скоріш за все, увесь цей спад спричинений економічною кризою 2020 року. Але показники доволі швидко відновились, у тому числі і первинні доходи.</w:t>
      </w:r>
    </w:p>
    <w:p w:rsidR="00274309" w:rsidRDefault="00751AD9" w:rsidP="00274309">
      <w:pPr>
        <w:spacing w:line="360" w:lineRule="auto"/>
        <w:jc w:val="both"/>
        <w:rPr>
          <w:sz w:val="28"/>
        </w:rPr>
      </w:pPr>
      <w:r>
        <w:rPr>
          <w:noProof/>
          <w:sz w:val="28"/>
          <w:lang w:eastAsia="en-US"/>
        </w:rPr>
        <w:t>Р</w:t>
      </w:r>
      <w:r w:rsidR="00274309">
        <w:rPr>
          <w:noProof/>
          <w:sz w:val="28"/>
          <w:lang w:eastAsia="en-US"/>
        </w:rPr>
        <w:t xml:space="preserve">ис. 2.4 </w:t>
      </w:r>
      <w:r w:rsidR="00274309">
        <w:rPr>
          <w:sz w:val="28"/>
        </w:rPr>
        <w:t>Динаміка вторинних доходів Польщі та Словаччини з 2018 до 2022 року, млн дол США</w:t>
      </w:r>
    </w:p>
    <w:p w:rsidR="00274309" w:rsidRDefault="00274309" w:rsidP="00274309">
      <w:pPr>
        <w:spacing w:line="360" w:lineRule="auto"/>
        <w:jc w:val="both"/>
        <w:rPr>
          <w:sz w:val="28"/>
        </w:rPr>
      </w:pPr>
      <w:r>
        <w:rPr>
          <w:sz w:val="28"/>
        </w:rPr>
        <w:t xml:space="preserve">Джерело: складено автором на основі даних </w:t>
      </w:r>
      <w:r w:rsidRPr="00950E29">
        <w:rPr>
          <w:sz w:val="28"/>
          <w:lang w:val="ru-RU"/>
        </w:rPr>
        <w:t>[</w:t>
      </w:r>
      <w:r w:rsidR="00294E85">
        <w:rPr>
          <w:sz w:val="28"/>
          <w:lang w:val="ru-RU"/>
        </w:rPr>
        <w:t>1</w:t>
      </w:r>
      <w:r w:rsidR="00B45AA2" w:rsidRPr="00B45AA2">
        <w:rPr>
          <w:sz w:val="28"/>
          <w:lang w:val="ru-RU"/>
        </w:rPr>
        <w:t>2</w:t>
      </w:r>
      <w:r w:rsidRPr="00950E29">
        <w:rPr>
          <w:sz w:val="28"/>
          <w:lang w:val="ru-RU"/>
        </w:rPr>
        <w:t>]</w:t>
      </w:r>
    </w:p>
    <w:p w:rsidR="00987593" w:rsidRDefault="00867568" w:rsidP="00751AD9">
      <w:pPr>
        <w:spacing w:line="360" w:lineRule="auto"/>
        <w:ind w:firstLine="709"/>
        <w:jc w:val="both"/>
        <w:rPr>
          <w:sz w:val="28"/>
        </w:rPr>
      </w:pPr>
      <w:r>
        <w:rPr>
          <w:sz w:val="28"/>
        </w:rPr>
        <w:t>Динаміка вторинних доходів обох країн була доволі нестабільною. В Словаччини вторинні доходи були постійно в дефіциті. Але цей дефіцит доволі незначний і іноді навіть не перевищує мільярда доларів. У Польщі ситуація з трансфертами неоднозначна. З 2018 до 2020 року баланс вторинних доходів Польщі мав додатне сальдо, тобто резиденти отримували більше грошових переказів із-за кордону. Але у 2021 ситуація змінилась і баланс вторинних доходів вже отримав від’ємне значення, яке збільшилось у 2022 році. Скоріш за все це пов’язано зі збільшенням потоку біженців з України, і як результат, збільшенням соціальних виплат від польського уряду.</w:t>
      </w:r>
    </w:p>
    <w:p w:rsidR="006C6251" w:rsidRPr="00274309" w:rsidRDefault="006C6251" w:rsidP="00751AD9">
      <w:pPr>
        <w:spacing w:line="360" w:lineRule="auto"/>
        <w:ind w:firstLine="709"/>
        <w:jc w:val="both"/>
        <w:rPr>
          <w:sz w:val="28"/>
        </w:rPr>
      </w:pPr>
      <w:r>
        <w:rPr>
          <w:sz w:val="28"/>
        </w:rPr>
        <w:t xml:space="preserve">Загалом, можна зробити висновок, що всі статті поточного рахунку Польщі та Словаччини, окрім послуг, мають від’ємне значення, що призвело до від’ємного поточного рахунку. В обох країнах спостерігається відтік коштів та капіталу за кордон, а також збільшення заборгованостей за товари, виплати інвестиційних доходів, соціальних виплат, і ці витрати частково фінансуються за рахунок доходів від експорту послуг, а також, в теорії, повинні балансуватись фінансовим рахунком. </w:t>
      </w:r>
    </w:p>
    <w:p w:rsidR="00987593" w:rsidRDefault="00987593" w:rsidP="00EF589B">
      <w:pPr>
        <w:spacing w:line="360" w:lineRule="auto"/>
        <w:ind w:firstLine="709"/>
        <w:jc w:val="both"/>
        <w:rPr>
          <w:sz w:val="28"/>
        </w:rPr>
      </w:pPr>
    </w:p>
    <w:p w:rsidR="00987593" w:rsidRPr="00B81974" w:rsidRDefault="00B81974" w:rsidP="00EF589B">
      <w:pPr>
        <w:spacing w:line="360" w:lineRule="auto"/>
        <w:ind w:firstLine="709"/>
        <w:jc w:val="both"/>
        <w:rPr>
          <w:b/>
          <w:sz w:val="28"/>
        </w:rPr>
      </w:pPr>
      <w:r w:rsidRPr="00B81974">
        <w:rPr>
          <w:b/>
          <w:sz w:val="28"/>
        </w:rPr>
        <w:t>2.2. Порівняльний аналіз фінансових рахунків Польщі та Словаччини</w:t>
      </w:r>
    </w:p>
    <w:p w:rsidR="00B537D3" w:rsidRPr="00B81974" w:rsidRDefault="00EC3889" w:rsidP="00B537D3">
      <w:pPr>
        <w:spacing w:line="360" w:lineRule="auto"/>
        <w:ind w:firstLine="709"/>
        <w:jc w:val="both"/>
        <w:rPr>
          <w:sz w:val="28"/>
        </w:rPr>
      </w:pPr>
      <w:r>
        <w:rPr>
          <w:sz w:val="28"/>
        </w:rPr>
        <w:t>Фінансовий рахунок є ще однією частиною платіжного балансу, яку треба розглянути в даній роботі. Як вже було згадано, фінансовий рахунок складається з трьох статей: прямі, портфельні та інші інвестиції. У цьому розділі слід розглянути окремо кожну з цих статей. У таблиці 2.3 та 2.4 представлені статистичні дані фінансового рахунку Польщі та Словаччини з 2018 до 2022 року.</w:t>
      </w:r>
    </w:p>
    <w:p w:rsidR="0035130D" w:rsidRDefault="00BD20DF" w:rsidP="00EF589B">
      <w:pPr>
        <w:spacing w:line="360" w:lineRule="auto"/>
        <w:ind w:firstLine="709"/>
        <w:jc w:val="both"/>
        <w:rPr>
          <w:sz w:val="28"/>
        </w:rPr>
      </w:pPr>
      <w:r>
        <w:rPr>
          <w:sz w:val="28"/>
        </w:rPr>
        <w:t>Статистичні дані показують, що обидві досліджувані країни мають від’ємний фінансовий рахунок.</w:t>
      </w:r>
      <w:r w:rsidR="00B537D3" w:rsidRPr="00B537D3">
        <w:rPr>
          <w:sz w:val="28"/>
        </w:rPr>
        <w:t xml:space="preserve"> </w:t>
      </w:r>
      <w:r w:rsidR="00B537D3">
        <w:rPr>
          <w:sz w:val="28"/>
        </w:rPr>
        <w:t>З одного боку, це погано тим, що обидві країни є чистими боржниками для інших країн. З іншого боку, завдяки інвестиціям та позичкам, які надходять до Польщі та Словаччини, вони мають змогу фінансувати від’ємний рахунок поточних операцій. Таким чином, загальний платіжний баланс має додатне значення, тобто усього надходження коштів до Польщі та Словаччини більше, ніж витрати, а це має позитивно впливати на різні економічні показники, наприклад валютний курс, ВВП</w:t>
      </w:r>
      <w:r w:rsidR="007408A3">
        <w:rPr>
          <w:sz w:val="28"/>
        </w:rPr>
        <w:t>, стан та масштаби національного виробництва тощо.</w:t>
      </w:r>
    </w:p>
    <w:p w:rsidR="00080C7F" w:rsidRDefault="00080C7F" w:rsidP="00080C7F">
      <w:pPr>
        <w:spacing w:line="360" w:lineRule="auto"/>
        <w:ind w:firstLine="709"/>
        <w:jc w:val="right"/>
        <w:rPr>
          <w:b/>
          <w:sz w:val="28"/>
        </w:rPr>
      </w:pPr>
      <w:r>
        <w:rPr>
          <w:b/>
          <w:sz w:val="28"/>
        </w:rPr>
        <w:t>Таблиця 2.3</w:t>
      </w:r>
    </w:p>
    <w:p w:rsidR="00080C7F" w:rsidRPr="00080C7F" w:rsidRDefault="00080C7F" w:rsidP="00080C7F">
      <w:pPr>
        <w:spacing w:line="360" w:lineRule="auto"/>
        <w:ind w:firstLine="709"/>
        <w:jc w:val="center"/>
        <w:rPr>
          <w:b/>
          <w:sz w:val="28"/>
        </w:rPr>
      </w:pPr>
      <w:r>
        <w:rPr>
          <w:b/>
          <w:sz w:val="28"/>
        </w:rPr>
        <w:t>Фінансовий рахунок Польщі у 2018-2022 роках, млн дол США</w:t>
      </w:r>
    </w:p>
    <w:tbl>
      <w:tblPr>
        <w:tblW w:w="9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1077"/>
        <w:gridCol w:w="1077"/>
        <w:gridCol w:w="1077"/>
        <w:gridCol w:w="1077"/>
        <w:gridCol w:w="1077"/>
      </w:tblGrid>
      <w:tr w:rsidR="00080C7F" w:rsidRPr="00B537D3" w:rsidTr="00B90172">
        <w:trPr>
          <w:trHeight w:val="283"/>
        </w:trPr>
        <w:tc>
          <w:tcPr>
            <w:tcW w:w="3964" w:type="dxa"/>
            <w:shd w:val="clear" w:color="auto" w:fill="auto"/>
            <w:noWrap/>
            <w:vAlign w:val="bottom"/>
            <w:hideMark/>
          </w:tcPr>
          <w:p w:rsidR="00080C7F" w:rsidRPr="00080C7F" w:rsidRDefault="00080C7F" w:rsidP="00080C7F">
            <w:pPr>
              <w:jc w:val="center"/>
              <w:rPr>
                <w:b/>
                <w:color w:val="000000"/>
                <w:sz w:val="24"/>
                <w:szCs w:val="24"/>
                <w:lang w:eastAsia="en-US"/>
              </w:rPr>
            </w:pPr>
            <w:r w:rsidRPr="00080C7F">
              <w:rPr>
                <w:b/>
                <w:color w:val="000000"/>
                <w:sz w:val="24"/>
                <w:szCs w:val="24"/>
                <w:lang w:val="en-US" w:eastAsia="en-US"/>
              </w:rPr>
              <w:t> </w:t>
            </w:r>
          </w:p>
        </w:tc>
        <w:tc>
          <w:tcPr>
            <w:tcW w:w="1077" w:type="dxa"/>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2018</w:t>
            </w:r>
          </w:p>
        </w:tc>
        <w:tc>
          <w:tcPr>
            <w:tcW w:w="1077" w:type="dxa"/>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2019</w:t>
            </w:r>
          </w:p>
        </w:tc>
        <w:tc>
          <w:tcPr>
            <w:tcW w:w="1077" w:type="dxa"/>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2020</w:t>
            </w:r>
          </w:p>
        </w:tc>
        <w:tc>
          <w:tcPr>
            <w:tcW w:w="1077" w:type="dxa"/>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2021</w:t>
            </w:r>
          </w:p>
        </w:tc>
        <w:tc>
          <w:tcPr>
            <w:tcW w:w="1077" w:type="dxa"/>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2022*</w:t>
            </w:r>
          </w:p>
        </w:tc>
      </w:tr>
      <w:tr w:rsidR="00080C7F" w:rsidRPr="00080C7F" w:rsidTr="00B90172">
        <w:trPr>
          <w:trHeight w:val="283"/>
        </w:trPr>
        <w:tc>
          <w:tcPr>
            <w:tcW w:w="3964" w:type="dxa"/>
            <w:shd w:val="clear" w:color="auto" w:fill="auto"/>
            <w:noWrap/>
            <w:vAlign w:val="bottom"/>
            <w:hideMark/>
          </w:tcPr>
          <w:p w:rsidR="00080C7F" w:rsidRPr="00080C7F" w:rsidRDefault="00080C7F" w:rsidP="00080C7F">
            <w:pPr>
              <w:rPr>
                <w:b/>
                <w:color w:val="000000"/>
                <w:sz w:val="24"/>
                <w:szCs w:val="24"/>
                <w:lang w:eastAsia="en-US"/>
              </w:rPr>
            </w:pPr>
            <w:r w:rsidRPr="00080C7F">
              <w:rPr>
                <w:b/>
                <w:color w:val="000000"/>
                <w:sz w:val="24"/>
                <w:szCs w:val="24"/>
                <w:lang w:eastAsia="en-US"/>
              </w:rPr>
              <w:t>Фінансовий рахунок</w:t>
            </w:r>
          </w:p>
        </w:tc>
        <w:tc>
          <w:tcPr>
            <w:tcW w:w="1077" w:type="dxa"/>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-7 869</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eastAsia="en-US"/>
              </w:rPr>
              <w:t xml:space="preserve">-4 </w:t>
            </w:r>
            <w:r w:rsidRPr="00080C7F">
              <w:rPr>
                <w:b/>
                <w:color w:val="000000"/>
                <w:sz w:val="24"/>
                <w:szCs w:val="24"/>
                <w:lang w:val="en-US" w:eastAsia="en-US"/>
              </w:rPr>
              <w:t>372</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1 789</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-23 470</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-15 462</w:t>
            </w:r>
          </w:p>
        </w:tc>
      </w:tr>
      <w:tr w:rsidR="00080C7F" w:rsidRPr="00080C7F" w:rsidTr="00B90172">
        <w:trPr>
          <w:trHeight w:val="283"/>
        </w:trPr>
        <w:tc>
          <w:tcPr>
            <w:tcW w:w="3964" w:type="dxa"/>
            <w:shd w:val="clear" w:color="auto" w:fill="auto"/>
            <w:noWrap/>
            <w:vAlign w:val="bottom"/>
            <w:hideMark/>
          </w:tcPr>
          <w:p w:rsidR="00080C7F" w:rsidRPr="00080C7F" w:rsidRDefault="00080C7F" w:rsidP="00080C7F">
            <w:pPr>
              <w:rPr>
                <w:color w:val="000000"/>
                <w:sz w:val="24"/>
                <w:szCs w:val="24"/>
                <w:lang w:eastAsia="en-US"/>
              </w:rPr>
            </w:pPr>
            <w:r w:rsidRPr="00080C7F">
              <w:rPr>
                <w:color w:val="000000"/>
                <w:sz w:val="24"/>
                <w:szCs w:val="24"/>
                <w:lang w:eastAsia="en-US"/>
              </w:rPr>
              <w:t>Прямі інвестиції, активи</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2 379</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5 366</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5 007</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9 422</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2 981</w:t>
            </w:r>
          </w:p>
        </w:tc>
      </w:tr>
      <w:tr w:rsidR="00080C7F" w:rsidRPr="00080C7F" w:rsidTr="00B90172">
        <w:trPr>
          <w:trHeight w:val="283"/>
        </w:trPr>
        <w:tc>
          <w:tcPr>
            <w:tcW w:w="3964" w:type="dxa"/>
            <w:shd w:val="clear" w:color="auto" w:fill="auto"/>
            <w:noWrap/>
            <w:vAlign w:val="bottom"/>
            <w:hideMark/>
          </w:tcPr>
          <w:p w:rsidR="00080C7F" w:rsidRPr="00080C7F" w:rsidRDefault="00080C7F" w:rsidP="00080C7F">
            <w:pPr>
              <w:rPr>
                <w:color w:val="000000"/>
                <w:sz w:val="24"/>
                <w:szCs w:val="24"/>
                <w:lang w:eastAsia="en-US"/>
              </w:rPr>
            </w:pPr>
            <w:r w:rsidRPr="00080C7F">
              <w:rPr>
                <w:color w:val="000000"/>
                <w:sz w:val="24"/>
                <w:szCs w:val="24"/>
                <w:lang w:eastAsia="en-US"/>
              </w:rPr>
              <w:t>Прямі інвестиції, зобов</w:t>
            </w:r>
            <w:r>
              <w:rPr>
                <w:color w:val="000000"/>
                <w:sz w:val="24"/>
                <w:szCs w:val="24"/>
                <w:lang w:eastAsia="en-US"/>
              </w:rPr>
              <w:t>’</w:t>
            </w:r>
            <w:r w:rsidRPr="00080C7F">
              <w:rPr>
                <w:color w:val="000000"/>
                <w:sz w:val="24"/>
                <w:szCs w:val="24"/>
                <w:lang w:eastAsia="en-US"/>
              </w:rPr>
              <w:t>язання</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19 204</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17 619</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19 151</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37 113</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21 444</w:t>
            </w:r>
          </w:p>
        </w:tc>
      </w:tr>
      <w:tr w:rsidR="00080C7F" w:rsidRPr="00080C7F" w:rsidTr="00B90172">
        <w:trPr>
          <w:trHeight w:val="283"/>
        </w:trPr>
        <w:tc>
          <w:tcPr>
            <w:tcW w:w="3964" w:type="dxa"/>
            <w:shd w:val="clear" w:color="auto" w:fill="auto"/>
            <w:noWrap/>
            <w:vAlign w:val="bottom"/>
            <w:hideMark/>
          </w:tcPr>
          <w:p w:rsidR="00080C7F" w:rsidRPr="00080C7F" w:rsidRDefault="00080C7F" w:rsidP="00080C7F">
            <w:pPr>
              <w:rPr>
                <w:b/>
                <w:color w:val="000000"/>
                <w:sz w:val="24"/>
                <w:szCs w:val="24"/>
                <w:lang w:eastAsia="en-US"/>
              </w:rPr>
            </w:pPr>
            <w:r w:rsidRPr="00080C7F">
              <w:rPr>
                <w:b/>
                <w:color w:val="000000"/>
                <w:sz w:val="24"/>
                <w:szCs w:val="24"/>
                <w:lang w:eastAsia="en-US"/>
              </w:rPr>
              <w:t>Прямі інвестиції, баланс</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-16 825</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-12 253</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-14 144</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-27 691</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-18 463</w:t>
            </w:r>
          </w:p>
        </w:tc>
      </w:tr>
      <w:tr w:rsidR="00080C7F" w:rsidRPr="00080C7F" w:rsidTr="00B90172">
        <w:trPr>
          <w:trHeight w:val="283"/>
        </w:trPr>
        <w:tc>
          <w:tcPr>
            <w:tcW w:w="3964" w:type="dxa"/>
            <w:shd w:val="clear" w:color="auto" w:fill="auto"/>
            <w:noWrap/>
            <w:vAlign w:val="bottom"/>
            <w:hideMark/>
          </w:tcPr>
          <w:p w:rsidR="00080C7F" w:rsidRPr="00080C7F" w:rsidRDefault="00080C7F" w:rsidP="00080C7F">
            <w:pPr>
              <w:rPr>
                <w:color w:val="000000"/>
                <w:sz w:val="24"/>
                <w:szCs w:val="24"/>
                <w:lang w:eastAsia="en-US"/>
              </w:rPr>
            </w:pPr>
            <w:r w:rsidRPr="00080C7F">
              <w:rPr>
                <w:color w:val="000000"/>
                <w:sz w:val="24"/>
                <w:szCs w:val="24"/>
                <w:lang w:eastAsia="en-US"/>
              </w:rPr>
              <w:t>Портфельні інвестиції, активи</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630</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-283</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-4 275</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4 994</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-842</w:t>
            </w:r>
          </w:p>
        </w:tc>
      </w:tr>
      <w:tr w:rsidR="00080C7F" w:rsidRPr="00080C7F" w:rsidTr="00B90172">
        <w:trPr>
          <w:trHeight w:val="283"/>
        </w:trPr>
        <w:tc>
          <w:tcPr>
            <w:tcW w:w="3964" w:type="dxa"/>
            <w:shd w:val="clear" w:color="auto" w:fill="auto"/>
            <w:noWrap/>
            <w:vAlign w:val="bottom"/>
            <w:hideMark/>
          </w:tcPr>
          <w:p w:rsidR="00080C7F" w:rsidRPr="00080C7F" w:rsidRDefault="00080C7F" w:rsidP="00080C7F">
            <w:pPr>
              <w:rPr>
                <w:color w:val="000000"/>
                <w:sz w:val="24"/>
                <w:szCs w:val="24"/>
                <w:lang w:eastAsia="en-US"/>
              </w:rPr>
            </w:pPr>
            <w:r w:rsidRPr="00080C7F">
              <w:rPr>
                <w:color w:val="000000"/>
                <w:sz w:val="24"/>
                <w:szCs w:val="24"/>
                <w:lang w:eastAsia="en-US"/>
              </w:rPr>
              <w:t>Портфельні інвестиції, зобов</w:t>
            </w:r>
            <w:r>
              <w:rPr>
                <w:color w:val="000000"/>
                <w:sz w:val="24"/>
                <w:szCs w:val="24"/>
                <w:lang w:eastAsia="en-US"/>
              </w:rPr>
              <w:t>’</w:t>
            </w:r>
            <w:r w:rsidRPr="00080C7F">
              <w:rPr>
                <w:color w:val="000000"/>
                <w:sz w:val="24"/>
                <w:szCs w:val="24"/>
                <w:lang w:eastAsia="en-US"/>
              </w:rPr>
              <w:t>язання</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-3 792</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-12 381</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-11 086</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-6 475</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1 760</w:t>
            </w:r>
          </w:p>
        </w:tc>
      </w:tr>
      <w:tr w:rsidR="00080C7F" w:rsidRPr="00080C7F" w:rsidTr="00B90172">
        <w:trPr>
          <w:trHeight w:val="283"/>
        </w:trPr>
        <w:tc>
          <w:tcPr>
            <w:tcW w:w="3964" w:type="dxa"/>
            <w:shd w:val="clear" w:color="auto" w:fill="auto"/>
            <w:noWrap/>
            <w:vAlign w:val="bottom"/>
            <w:hideMark/>
          </w:tcPr>
          <w:p w:rsidR="00080C7F" w:rsidRPr="00080C7F" w:rsidRDefault="00080C7F" w:rsidP="00080C7F">
            <w:pPr>
              <w:rPr>
                <w:b/>
                <w:color w:val="000000"/>
                <w:sz w:val="24"/>
                <w:szCs w:val="24"/>
                <w:lang w:eastAsia="en-US"/>
              </w:rPr>
            </w:pPr>
            <w:r w:rsidRPr="00080C7F">
              <w:rPr>
                <w:b/>
                <w:color w:val="000000"/>
                <w:sz w:val="24"/>
                <w:szCs w:val="24"/>
                <w:lang w:eastAsia="en-US"/>
              </w:rPr>
              <w:t>Портфельні інвестиції, баланс</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4 422</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12 098</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6 811</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11 469</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-2 602</w:t>
            </w:r>
          </w:p>
        </w:tc>
      </w:tr>
      <w:tr w:rsidR="00080C7F" w:rsidRPr="00080C7F" w:rsidTr="00B90172">
        <w:trPr>
          <w:trHeight w:val="283"/>
        </w:trPr>
        <w:tc>
          <w:tcPr>
            <w:tcW w:w="3964" w:type="dxa"/>
            <w:shd w:val="clear" w:color="auto" w:fill="auto"/>
            <w:noWrap/>
            <w:vAlign w:val="bottom"/>
            <w:hideMark/>
          </w:tcPr>
          <w:p w:rsidR="00080C7F" w:rsidRPr="00080C7F" w:rsidRDefault="00080C7F" w:rsidP="00080C7F">
            <w:pPr>
              <w:rPr>
                <w:color w:val="000000"/>
                <w:sz w:val="24"/>
                <w:szCs w:val="24"/>
                <w:lang w:eastAsia="en-US"/>
              </w:rPr>
            </w:pPr>
            <w:r w:rsidRPr="00080C7F">
              <w:rPr>
                <w:color w:val="000000"/>
                <w:sz w:val="24"/>
                <w:szCs w:val="24"/>
                <w:lang w:eastAsia="en-US"/>
              </w:rPr>
              <w:t>Інші інвестиції, активи</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6 010</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1 441</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15 307</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12 289</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17 166</w:t>
            </w:r>
          </w:p>
        </w:tc>
      </w:tr>
      <w:tr w:rsidR="00080C7F" w:rsidRPr="00080C7F" w:rsidTr="00B90172">
        <w:trPr>
          <w:trHeight w:val="283"/>
        </w:trPr>
        <w:tc>
          <w:tcPr>
            <w:tcW w:w="3964" w:type="dxa"/>
            <w:shd w:val="clear" w:color="auto" w:fill="auto"/>
            <w:noWrap/>
            <w:vAlign w:val="bottom"/>
            <w:hideMark/>
          </w:tcPr>
          <w:p w:rsidR="00080C7F" w:rsidRPr="00080C7F" w:rsidRDefault="00080C7F" w:rsidP="00080C7F">
            <w:pPr>
              <w:rPr>
                <w:color w:val="000000"/>
                <w:sz w:val="24"/>
                <w:szCs w:val="24"/>
                <w:lang w:eastAsia="en-US"/>
              </w:rPr>
            </w:pPr>
            <w:r w:rsidRPr="00080C7F">
              <w:rPr>
                <w:color w:val="000000"/>
                <w:sz w:val="24"/>
                <w:szCs w:val="24"/>
                <w:lang w:eastAsia="en-US"/>
              </w:rPr>
              <w:t>Інші інвестиції, зобов</w:t>
            </w:r>
            <w:r>
              <w:rPr>
                <w:color w:val="000000"/>
                <w:sz w:val="24"/>
                <w:szCs w:val="24"/>
                <w:lang w:eastAsia="en-US"/>
              </w:rPr>
              <w:t>’</w:t>
            </w:r>
            <w:r w:rsidRPr="00080C7F">
              <w:rPr>
                <w:color w:val="000000"/>
                <w:sz w:val="24"/>
                <w:szCs w:val="24"/>
                <w:lang w:eastAsia="en-US"/>
              </w:rPr>
              <w:t>язання</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220</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4 261</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5 118</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16 015</w:t>
            </w:r>
          </w:p>
        </w:tc>
        <w:tc>
          <w:tcPr>
            <w:tcW w:w="1077" w:type="dxa"/>
            <w:shd w:val="clear" w:color="auto" w:fill="auto"/>
            <w:noWrap/>
            <w:vAlign w:val="bottom"/>
            <w:hideMark/>
          </w:tcPr>
          <w:p w:rsidR="00080C7F" w:rsidRPr="00080C7F" w:rsidRDefault="00080C7F" w:rsidP="00080C7F">
            <w:pPr>
              <w:jc w:val="right"/>
              <w:rPr>
                <w:color w:val="000000"/>
                <w:sz w:val="24"/>
                <w:szCs w:val="24"/>
                <w:lang w:val="en-US" w:eastAsia="en-US"/>
              </w:rPr>
            </w:pPr>
            <w:r w:rsidRPr="00080C7F">
              <w:rPr>
                <w:color w:val="000000"/>
                <w:sz w:val="24"/>
                <w:szCs w:val="24"/>
                <w:lang w:val="en-US" w:eastAsia="en-US"/>
              </w:rPr>
              <w:t>10 443</w:t>
            </w:r>
          </w:p>
        </w:tc>
      </w:tr>
      <w:tr w:rsidR="00080C7F" w:rsidRPr="00080C7F" w:rsidTr="00B90172">
        <w:trPr>
          <w:trHeight w:val="283"/>
        </w:trPr>
        <w:tc>
          <w:tcPr>
            <w:tcW w:w="3964" w:type="dxa"/>
            <w:shd w:val="clear" w:color="auto" w:fill="auto"/>
            <w:noWrap/>
            <w:vAlign w:val="bottom"/>
            <w:hideMark/>
          </w:tcPr>
          <w:p w:rsidR="00080C7F" w:rsidRPr="00080C7F" w:rsidRDefault="00080C7F" w:rsidP="00080C7F">
            <w:pPr>
              <w:rPr>
                <w:b/>
                <w:color w:val="000000"/>
                <w:sz w:val="24"/>
                <w:szCs w:val="24"/>
                <w:lang w:eastAsia="en-US"/>
              </w:rPr>
            </w:pPr>
            <w:r w:rsidRPr="00080C7F">
              <w:rPr>
                <w:b/>
                <w:color w:val="000000"/>
                <w:sz w:val="24"/>
                <w:szCs w:val="24"/>
                <w:lang w:eastAsia="en-US"/>
              </w:rPr>
              <w:t>Інші інвестиції, баланс</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5 790</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-2 820</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10 189</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-3 726</w:t>
            </w:r>
          </w:p>
        </w:tc>
        <w:tc>
          <w:tcPr>
            <w:tcW w:w="1077" w:type="dxa"/>
            <w:shd w:val="clear" w:color="auto" w:fill="auto"/>
            <w:noWrap/>
            <w:vAlign w:val="bottom"/>
            <w:hideMark/>
          </w:tcPr>
          <w:p w:rsidR="00080C7F" w:rsidRPr="00080C7F" w:rsidRDefault="00080C7F" w:rsidP="00080C7F">
            <w:pPr>
              <w:jc w:val="right"/>
              <w:rPr>
                <w:b/>
                <w:color w:val="000000"/>
                <w:sz w:val="24"/>
                <w:szCs w:val="24"/>
                <w:lang w:val="en-US" w:eastAsia="en-US"/>
              </w:rPr>
            </w:pPr>
            <w:r w:rsidRPr="00080C7F">
              <w:rPr>
                <w:b/>
                <w:color w:val="000000"/>
                <w:sz w:val="24"/>
                <w:szCs w:val="24"/>
                <w:lang w:val="en-US" w:eastAsia="en-US"/>
              </w:rPr>
              <w:t>6 723</w:t>
            </w:r>
          </w:p>
        </w:tc>
      </w:tr>
    </w:tbl>
    <w:p w:rsidR="00080C7F" w:rsidRPr="00080C7F" w:rsidRDefault="00080C7F" w:rsidP="00080C7F">
      <w:pPr>
        <w:spacing w:line="360" w:lineRule="auto"/>
        <w:jc w:val="both"/>
        <w:rPr>
          <w:sz w:val="28"/>
          <w:lang w:val="ru-RU"/>
        </w:rPr>
      </w:pPr>
      <w:r>
        <w:rPr>
          <w:sz w:val="28"/>
        </w:rPr>
        <w:t xml:space="preserve">Джерело: складено автором на основі даних </w:t>
      </w:r>
      <w:r w:rsidRPr="00080C7F">
        <w:rPr>
          <w:sz w:val="28"/>
          <w:lang w:val="ru-RU"/>
        </w:rPr>
        <w:t>[</w:t>
      </w:r>
      <w:r w:rsidR="00B45AA2">
        <w:rPr>
          <w:sz w:val="28"/>
          <w:lang w:val="ru-RU"/>
        </w:rPr>
        <w:t>12</w:t>
      </w:r>
      <w:r w:rsidRPr="00080C7F">
        <w:rPr>
          <w:sz w:val="28"/>
          <w:lang w:val="ru-RU"/>
        </w:rPr>
        <w:t>]</w:t>
      </w:r>
    </w:p>
    <w:p w:rsidR="00080C7F" w:rsidRPr="00080C7F" w:rsidRDefault="00080C7F" w:rsidP="00080C7F">
      <w:pPr>
        <w:spacing w:line="360" w:lineRule="auto"/>
        <w:jc w:val="both"/>
        <w:rPr>
          <w:sz w:val="28"/>
        </w:rPr>
      </w:pPr>
      <w:r w:rsidRPr="00BD20DF">
        <w:rPr>
          <w:sz w:val="28"/>
          <w:lang w:val="ru-RU"/>
        </w:rPr>
        <w:t xml:space="preserve">* – </w:t>
      </w:r>
      <w:r>
        <w:rPr>
          <w:sz w:val="28"/>
        </w:rPr>
        <w:t>дані за два квартали 2022 року</w:t>
      </w:r>
    </w:p>
    <w:p w:rsidR="00080C7F" w:rsidRDefault="00080C7F" w:rsidP="00080C7F">
      <w:pPr>
        <w:spacing w:line="360" w:lineRule="auto"/>
        <w:ind w:firstLine="709"/>
        <w:jc w:val="right"/>
        <w:rPr>
          <w:b/>
          <w:sz w:val="28"/>
        </w:rPr>
      </w:pPr>
      <w:r w:rsidRPr="00080C7F">
        <w:rPr>
          <w:b/>
          <w:sz w:val="28"/>
        </w:rPr>
        <w:t>Таблиця 2.4</w:t>
      </w:r>
    </w:p>
    <w:p w:rsidR="00080C7F" w:rsidRPr="00080C7F" w:rsidRDefault="00080C7F" w:rsidP="00080C7F">
      <w:pPr>
        <w:spacing w:line="360" w:lineRule="auto"/>
        <w:ind w:firstLine="709"/>
        <w:jc w:val="center"/>
        <w:rPr>
          <w:b/>
          <w:sz w:val="28"/>
        </w:rPr>
      </w:pPr>
      <w:r>
        <w:rPr>
          <w:b/>
          <w:sz w:val="28"/>
        </w:rPr>
        <w:t>Фінансовий рахунок Словаччини у 2018-2022 роках, млн дол США</w:t>
      </w:r>
    </w:p>
    <w:tbl>
      <w:tblPr>
        <w:tblW w:w="9349" w:type="dxa"/>
        <w:tblLook w:val="04A0" w:firstRow="1" w:lastRow="0" w:firstColumn="1" w:lastColumn="0" w:noHBand="0" w:noVBand="1"/>
      </w:tblPr>
      <w:tblGrid>
        <w:gridCol w:w="3964"/>
        <w:gridCol w:w="1077"/>
        <w:gridCol w:w="1077"/>
        <w:gridCol w:w="1077"/>
        <w:gridCol w:w="1077"/>
        <w:gridCol w:w="1077"/>
      </w:tblGrid>
      <w:tr w:rsidR="00080C7F" w:rsidRPr="00080C7F" w:rsidTr="00B90172">
        <w:trPr>
          <w:trHeight w:val="283"/>
        </w:trPr>
        <w:tc>
          <w:tcPr>
            <w:tcW w:w="39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0C7F" w:rsidRPr="00080C7F" w:rsidRDefault="00080C7F" w:rsidP="00080C7F">
            <w:pPr>
              <w:rPr>
                <w:b/>
                <w:color w:val="000000"/>
                <w:sz w:val="24"/>
                <w:szCs w:val="24"/>
                <w:lang w:eastAsia="en-US"/>
              </w:rPr>
            </w:pPr>
            <w:r w:rsidRPr="00080C7F">
              <w:rPr>
                <w:b/>
                <w:color w:val="000000"/>
                <w:sz w:val="24"/>
                <w:szCs w:val="24"/>
                <w:lang w:eastAsia="en-US"/>
              </w:rPr>
              <w:t> </w:t>
            </w:r>
          </w:p>
        </w:tc>
        <w:tc>
          <w:tcPr>
            <w:tcW w:w="1077" w:type="dxa"/>
            <w:tcBorders>
              <w:top w:val="single" w:sz="4" w:space="0" w:color="auto"/>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2018</w:t>
            </w:r>
          </w:p>
        </w:tc>
        <w:tc>
          <w:tcPr>
            <w:tcW w:w="1077" w:type="dxa"/>
            <w:tcBorders>
              <w:top w:val="single" w:sz="4" w:space="0" w:color="auto"/>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2019</w:t>
            </w:r>
          </w:p>
        </w:tc>
        <w:tc>
          <w:tcPr>
            <w:tcW w:w="1077" w:type="dxa"/>
            <w:tcBorders>
              <w:top w:val="single" w:sz="4" w:space="0" w:color="auto"/>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2020</w:t>
            </w:r>
          </w:p>
        </w:tc>
        <w:tc>
          <w:tcPr>
            <w:tcW w:w="1077" w:type="dxa"/>
            <w:tcBorders>
              <w:top w:val="single" w:sz="4" w:space="0" w:color="auto"/>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2021</w:t>
            </w:r>
          </w:p>
        </w:tc>
        <w:tc>
          <w:tcPr>
            <w:tcW w:w="1077" w:type="dxa"/>
            <w:tcBorders>
              <w:top w:val="single" w:sz="4" w:space="0" w:color="auto"/>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2022</w:t>
            </w:r>
            <w:r>
              <w:rPr>
                <w:b/>
                <w:color w:val="000000"/>
                <w:sz w:val="24"/>
                <w:szCs w:val="24"/>
                <w:lang w:eastAsia="en-US"/>
              </w:rPr>
              <w:t>*</w:t>
            </w:r>
          </w:p>
        </w:tc>
      </w:tr>
      <w:tr w:rsidR="00080C7F" w:rsidRPr="00080C7F" w:rsidTr="00B90172">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080C7F" w:rsidRPr="00080C7F" w:rsidRDefault="00080C7F" w:rsidP="00080C7F">
            <w:pPr>
              <w:rPr>
                <w:b/>
                <w:color w:val="000000"/>
                <w:sz w:val="24"/>
                <w:szCs w:val="24"/>
                <w:lang w:eastAsia="en-US"/>
              </w:rPr>
            </w:pPr>
            <w:r w:rsidRPr="00080C7F">
              <w:rPr>
                <w:b/>
                <w:color w:val="000000"/>
                <w:sz w:val="24"/>
                <w:szCs w:val="24"/>
                <w:lang w:eastAsia="en-US"/>
              </w:rPr>
              <w:t>Фінансовий рахунок</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-4 272</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-3 188</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371</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-2 239</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-6 362</w:t>
            </w:r>
          </w:p>
        </w:tc>
      </w:tr>
      <w:tr w:rsidR="00080C7F" w:rsidRPr="00080C7F" w:rsidTr="00B90172">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080C7F" w:rsidRPr="00080C7F" w:rsidRDefault="00080C7F" w:rsidP="00080C7F">
            <w:pPr>
              <w:rPr>
                <w:color w:val="000000"/>
                <w:sz w:val="24"/>
                <w:szCs w:val="24"/>
                <w:lang w:eastAsia="en-US"/>
              </w:rPr>
            </w:pPr>
            <w:r w:rsidRPr="00080C7F">
              <w:rPr>
                <w:color w:val="000000"/>
                <w:sz w:val="24"/>
                <w:szCs w:val="24"/>
                <w:lang w:eastAsia="en-US"/>
              </w:rPr>
              <w:t>Прямі інвестиції, активи</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958</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-171</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1 625</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1 304</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1 218</w:t>
            </w:r>
          </w:p>
        </w:tc>
      </w:tr>
      <w:tr w:rsidR="00080C7F" w:rsidRPr="00080C7F" w:rsidTr="00B90172">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080C7F" w:rsidRPr="00080C7F" w:rsidRDefault="00080C7F" w:rsidP="00080C7F">
            <w:pPr>
              <w:rPr>
                <w:color w:val="000000"/>
                <w:sz w:val="24"/>
                <w:szCs w:val="24"/>
                <w:lang w:eastAsia="en-US"/>
              </w:rPr>
            </w:pPr>
            <w:r w:rsidRPr="00080C7F">
              <w:rPr>
                <w:color w:val="000000"/>
                <w:sz w:val="24"/>
                <w:szCs w:val="24"/>
                <w:lang w:eastAsia="en-US"/>
              </w:rPr>
              <w:t>Прямі інвестиції, зобов'язання</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2 251</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2 280</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-1 142</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971</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3 259</w:t>
            </w:r>
          </w:p>
        </w:tc>
      </w:tr>
      <w:tr w:rsidR="00080C7F" w:rsidRPr="00080C7F" w:rsidTr="00B90172">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080C7F" w:rsidRPr="00080C7F" w:rsidRDefault="00080C7F" w:rsidP="00080C7F">
            <w:pPr>
              <w:rPr>
                <w:b/>
                <w:color w:val="000000"/>
                <w:sz w:val="24"/>
                <w:szCs w:val="24"/>
                <w:lang w:eastAsia="en-US"/>
              </w:rPr>
            </w:pPr>
            <w:r w:rsidRPr="00080C7F">
              <w:rPr>
                <w:b/>
                <w:color w:val="000000"/>
                <w:sz w:val="24"/>
                <w:szCs w:val="24"/>
                <w:lang w:eastAsia="en-US"/>
              </w:rPr>
              <w:t>Прямі інвестиції, баланс</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-1 293</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-2 451</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2 767</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334</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-2 041</w:t>
            </w:r>
          </w:p>
        </w:tc>
      </w:tr>
      <w:tr w:rsidR="00080C7F" w:rsidRPr="00080C7F" w:rsidTr="00B90172">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080C7F" w:rsidRPr="00080C7F" w:rsidRDefault="00080C7F" w:rsidP="00080C7F">
            <w:pPr>
              <w:rPr>
                <w:color w:val="000000"/>
                <w:sz w:val="24"/>
                <w:szCs w:val="24"/>
                <w:lang w:eastAsia="en-US"/>
              </w:rPr>
            </w:pPr>
            <w:r w:rsidRPr="00080C7F">
              <w:rPr>
                <w:color w:val="000000"/>
                <w:sz w:val="24"/>
                <w:szCs w:val="24"/>
                <w:lang w:eastAsia="en-US"/>
              </w:rPr>
              <w:t>Портфельні інвестиції, активи</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5 271</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2 337</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4 873</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7 428</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2 932</w:t>
            </w:r>
          </w:p>
        </w:tc>
      </w:tr>
      <w:tr w:rsidR="00080C7F" w:rsidRPr="00080C7F" w:rsidTr="00B90172">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080C7F" w:rsidRPr="00080C7F" w:rsidRDefault="00080C7F" w:rsidP="00080C7F">
            <w:pPr>
              <w:rPr>
                <w:color w:val="000000"/>
                <w:sz w:val="24"/>
                <w:szCs w:val="24"/>
                <w:lang w:eastAsia="en-US"/>
              </w:rPr>
            </w:pPr>
            <w:r w:rsidRPr="00080C7F">
              <w:rPr>
                <w:color w:val="000000"/>
                <w:sz w:val="24"/>
                <w:szCs w:val="24"/>
                <w:lang w:eastAsia="en-US"/>
              </w:rPr>
              <w:t>Портфельні інвестиції, зобов'язання</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867</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1 982</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1 623</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1 562</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-694</w:t>
            </w:r>
          </w:p>
        </w:tc>
      </w:tr>
      <w:tr w:rsidR="00080C7F" w:rsidRPr="00080C7F" w:rsidTr="00B90172">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080C7F" w:rsidRPr="00080C7F" w:rsidRDefault="00080C7F" w:rsidP="00080C7F">
            <w:pPr>
              <w:rPr>
                <w:b/>
                <w:color w:val="000000"/>
                <w:sz w:val="24"/>
                <w:szCs w:val="24"/>
                <w:lang w:eastAsia="en-US"/>
              </w:rPr>
            </w:pPr>
            <w:r w:rsidRPr="00080C7F">
              <w:rPr>
                <w:b/>
                <w:color w:val="000000"/>
                <w:sz w:val="24"/>
                <w:szCs w:val="24"/>
                <w:lang w:eastAsia="en-US"/>
              </w:rPr>
              <w:t>Портфельні інвестиції, баланс</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4 404</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356</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3 250</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5 866</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3 626</w:t>
            </w:r>
          </w:p>
        </w:tc>
      </w:tr>
      <w:tr w:rsidR="00080C7F" w:rsidRPr="00080C7F" w:rsidTr="00B90172">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080C7F" w:rsidRPr="00080C7F" w:rsidRDefault="00080C7F" w:rsidP="00080C7F">
            <w:pPr>
              <w:rPr>
                <w:color w:val="000000"/>
                <w:sz w:val="24"/>
                <w:szCs w:val="24"/>
                <w:lang w:eastAsia="en-US"/>
              </w:rPr>
            </w:pPr>
            <w:r w:rsidRPr="00080C7F">
              <w:rPr>
                <w:color w:val="000000"/>
                <w:sz w:val="24"/>
                <w:szCs w:val="24"/>
                <w:lang w:eastAsia="en-US"/>
              </w:rPr>
              <w:t>Інші інвестиції, активи</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2 650</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-711</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212</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18 442</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-18 500</w:t>
            </w:r>
          </w:p>
        </w:tc>
      </w:tr>
      <w:tr w:rsidR="00080C7F" w:rsidRPr="00080C7F" w:rsidTr="00B90172">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080C7F" w:rsidRPr="00080C7F" w:rsidRDefault="00080C7F" w:rsidP="00080C7F">
            <w:pPr>
              <w:rPr>
                <w:color w:val="000000"/>
                <w:sz w:val="24"/>
                <w:szCs w:val="24"/>
                <w:lang w:eastAsia="en-US"/>
              </w:rPr>
            </w:pPr>
            <w:r w:rsidRPr="00080C7F">
              <w:rPr>
                <w:color w:val="000000"/>
                <w:sz w:val="24"/>
                <w:szCs w:val="24"/>
                <w:lang w:eastAsia="en-US"/>
              </w:rPr>
              <w:t>Інші інвестиції, зобов'язання</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10 045</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488</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5 914</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26 765</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color w:val="000000"/>
                <w:sz w:val="24"/>
                <w:szCs w:val="24"/>
                <w:lang w:eastAsia="en-US"/>
              </w:rPr>
            </w:pPr>
            <w:r w:rsidRPr="00080C7F">
              <w:rPr>
                <w:color w:val="000000"/>
                <w:sz w:val="24"/>
                <w:szCs w:val="24"/>
                <w:lang w:eastAsia="en-US"/>
              </w:rPr>
              <w:t>-11 230</w:t>
            </w:r>
          </w:p>
        </w:tc>
      </w:tr>
      <w:tr w:rsidR="00080C7F" w:rsidRPr="00080C7F" w:rsidTr="00B90172">
        <w:trPr>
          <w:trHeight w:val="283"/>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080C7F" w:rsidRPr="00080C7F" w:rsidRDefault="00080C7F" w:rsidP="00080C7F">
            <w:pPr>
              <w:rPr>
                <w:b/>
                <w:color w:val="000000"/>
                <w:sz w:val="24"/>
                <w:szCs w:val="24"/>
                <w:lang w:eastAsia="en-US"/>
              </w:rPr>
            </w:pPr>
            <w:r w:rsidRPr="00080C7F">
              <w:rPr>
                <w:b/>
                <w:color w:val="000000"/>
                <w:sz w:val="24"/>
                <w:szCs w:val="24"/>
                <w:lang w:eastAsia="en-US"/>
              </w:rPr>
              <w:t>Інші інвестиції, баланс</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-7 395</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-1 198</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-5 703</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-8 322</w:t>
            </w:r>
          </w:p>
        </w:tc>
        <w:tc>
          <w:tcPr>
            <w:tcW w:w="1077" w:type="dxa"/>
            <w:tcBorders>
              <w:top w:val="nil"/>
              <w:left w:val="nil"/>
              <w:bottom w:val="single" w:sz="4" w:space="0" w:color="auto"/>
              <w:right w:val="single" w:sz="4" w:space="0" w:color="auto"/>
            </w:tcBorders>
            <w:shd w:val="clear" w:color="auto" w:fill="auto"/>
            <w:noWrap/>
            <w:vAlign w:val="bottom"/>
            <w:hideMark/>
          </w:tcPr>
          <w:p w:rsidR="00080C7F" w:rsidRPr="00080C7F" w:rsidRDefault="00080C7F" w:rsidP="00080C7F">
            <w:pPr>
              <w:jc w:val="right"/>
              <w:rPr>
                <w:b/>
                <w:color w:val="000000"/>
                <w:sz w:val="24"/>
                <w:szCs w:val="24"/>
                <w:lang w:eastAsia="en-US"/>
              </w:rPr>
            </w:pPr>
            <w:r w:rsidRPr="00080C7F">
              <w:rPr>
                <w:b/>
                <w:color w:val="000000"/>
                <w:sz w:val="24"/>
                <w:szCs w:val="24"/>
                <w:lang w:eastAsia="en-US"/>
              </w:rPr>
              <w:t>-7 270</w:t>
            </w:r>
          </w:p>
        </w:tc>
      </w:tr>
    </w:tbl>
    <w:p w:rsidR="00080C7F" w:rsidRPr="00080C7F" w:rsidRDefault="00080C7F" w:rsidP="00080C7F">
      <w:pPr>
        <w:spacing w:line="360" w:lineRule="auto"/>
        <w:jc w:val="both"/>
        <w:rPr>
          <w:sz w:val="28"/>
          <w:lang w:val="ru-RU"/>
        </w:rPr>
      </w:pPr>
      <w:r>
        <w:rPr>
          <w:sz w:val="28"/>
        </w:rPr>
        <w:t xml:space="preserve">Джерело: складено автором на основі даних </w:t>
      </w:r>
      <w:r w:rsidRPr="00080C7F">
        <w:rPr>
          <w:sz w:val="28"/>
          <w:lang w:val="ru-RU"/>
        </w:rPr>
        <w:t>[</w:t>
      </w:r>
      <w:r w:rsidR="00B45AA2">
        <w:rPr>
          <w:sz w:val="28"/>
          <w:lang w:val="ru-RU"/>
        </w:rPr>
        <w:t>12</w:t>
      </w:r>
      <w:r w:rsidRPr="00080C7F">
        <w:rPr>
          <w:sz w:val="28"/>
          <w:lang w:val="ru-RU"/>
        </w:rPr>
        <w:t>]</w:t>
      </w:r>
    </w:p>
    <w:p w:rsidR="00080C7F" w:rsidRPr="00080C7F" w:rsidRDefault="00080C7F" w:rsidP="00080C7F">
      <w:pPr>
        <w:spacing w:line="360" w:lineRule="auto"/>
        <w:jc w:val="both"/>
        <w:rPr>
          <w:sz w:val="28"/>
        </w:rPr>
      </w:pPr>
      <w:r w:rsidRPr="00080C7F">
        <w:rPr>
          <w:sz w:val="28"/>
          <w:lang w:val="ru-RU"/>
        </w:rPr>
        <w:t xml:space="preserve">* – </w:t>
      </w:r>
      <w:r>
        <w:rPr>
          <w:sz w:val="28"/>
        </w:rPr>
        <w:t>дані за три квартали 2022 року</w:t>
      </w:r>
    </w:p>
    <w:p w:rsidR="00080C7F" w:rsidRPr="007408A3" w:rsidRDefault="007408A3" w:rsidP="00EF589B">
      <w:pPr>
        <w:spacing w:line="360" w:lineRule="auto"/>
        <w:ind w:firstLine="709"/>
        <w:jc w:val="both"/>
        <w:rPr>
          <w:sz w:val="28"/>
        </w:rPr>
      </w:pPr>
      <w:r>
        <w:rPr>
          <w:sz w:val="28"/>
        </w:rPr>
        <w:t>Щодо окремих статей фінансового рахунку, то спочатку слід розглянути прямі іноземні інвестиції, які представляють собою</w:t>
      </w:r>
      <w:r w:rsidRPr="007408A3">
        <w:rPr>
          <w:sz w:val="28"/>
          <w:lang w:val="ru-RU"/>
        </w:rPr>
        <w:t xml:space="preserve"> </w:t>
      </w:r>
      <w:r>
        <w:rPr>
          <w:sz w:val="28"/>
        </w:rPr>
        <w:t>відкриття резидентами своїх філіалів та окремих підприємств за кордоном.</w:t>
      </w:r>
    </w:p>
    <w:p w:rsidR="00080C7F" w:rsidRDefault="0079776B" w:rsidP="00EF589B">
      <w:pPr>
        <w:spacing w:line="360" w:lineRule="auto"/>
        <w:ind w:firstLine="709"/>
        <w:jc w:val="both"/>
        <w:rPr>
          <w:sz w:val="28"/>
        </w:rPr>
      </w:pPr>
      <w:r>
        <w:rPr>
          <w:noProof/>
          <w:sz w:val="28"/>
          <w:lang w:val="ru-RU"/>
        </w:rPr>
        <w:drawing>
          <wp:anchor distT="0" distB="0" distL="114300" distR="114300" simplePos="0" relativeHeight="251661312" behindDoc="0" locked="0" layoutInCell="1" allowOverlap="1">
            <wp:simplePos x="0" y="0"/>
            <wp:positionH relativeFrom="column">
              <wp:posOffset>4386</wp:posOffset>
            </wp:positionH>
            <wp:positionV relativeFrom="paragraph">
              <wp:posOffset>1968810</wp:posOffset>
            </wp:positionV>
            <wp:extent cx="5932805" cy="2694940"/>
            <wp:effectExtent l="0" t="0" r="10795" b="10160"/>
            <wp:wrapTopAndBottom/>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noProof/>
          <w:sz w:val="28"/>
          <w:lang w:val="ru-RU"/>
        </w:rPr>
        <w:drawing>
          <wp:anchor distT="0" distB="0" distL="114300" distR="114300" simplePos="0" relativeHeight="251662336" behindDoc="0" locked="0" layoutInCell="1" allowOverlap="1">
            <wp:simplePos x="0" y="0"/>
            <wp:positionH relativeFrom="column">
              <wp:posOffset>4386</wp:posOffset>
            </wp:positionH>
            <wp:positionV relativeFrom="paragraph">
              <wp:posOffset>4658847</wp:posOffset>
            </wp:positionV>
            <wp:extent cx="5932170" cy="2694940"/>
            <wp:effectExtent l="0" t="0" r="11430" b="10160"/>
            <wp:wrapTopAndBottom/>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007408A3">
        <w:rPr>
          <w:sz w:val="28"/>
        </w:rPr>
        <w:t>Такий вид інвестицій є найбільш важливим для будь-якої країни, адже відкриття іноземних підприємств на її території дозволить збільшити кількість робочих місць, прискорити зростання ВВП, збільшити експорт, а також дає можливість країні отримати певні виробничі технології від іноземної фірми. Більш детальна та наочна динаміка прямих інвестицій Польщі та Словаччини представлена на рисунку 2.5.</w:t>
      </w:r>
    </w:p>
    <w:p w:rsidR="00C56A07" w:rsidRDefault="00C56A07" w:rsidP="00C56A07">
      <w:pPr>
        <w:spacing w:line="360" w:lineRule="auto"/>
        <w:jc w:val="both"/>
        <w:rPr>
          <w:sz w:val="28"/>
        </w:rPr>
      </w:pPr>
      <w:r>
        <w:rPr>
          <w:sz w:val="28"/>
        </w:rPr>
        <w:t>Рис. 2.5 Динаміка прямих інвестицій Польщі та Словаччини у 2018-2022 рр., млн дол США</w:t>
      </w:r>
    </w:p>
    <w:p w:rsidR="00C56A07" w:rsidRDefault="00C56A07" w:rsidP="00C56A07">
      <w:pPr>
        <w:spacing w:line="360" w:lineRule="auto"/>
        <w:jc w:val="both"/>
        <w:rPr>
          <w:sz w:val="28"/>
        </w:rPr>
      </w:pPr>
      <w:r>
        <w:rPr>
          <w:sz w:val="28"/>
        </w:rPr>
        <w:t xml:space="preserve">Джерело: складено автором на основі даних </w:t>
      </w:r>
      <w:r w:rsidRPr="00C56A07">
        <w:rPr>
          <w:sz w:val="28"/>
          <w:lang w:val="ru-RU"/>
        </w:rPr>
        <w:t>[</w:t>
      </w:r>
      <w:r w:rsidR="00B45AA2">
        <w:rPr>
          <w:sz w:val="28"/>
          <w:lang w:val="ru-RU"/>
        </w:rPr>
        <w:t>12</w:t>
      </w:r>
      <w:r w:rsidRPr="00C56A07">
        <w:rPr>
          <w:sz w:val="28"/>
          <w:lang w:val="ru-RU"/>
        </w:rPr>
        <w:t>]</w:t>
      </w:r>
    </w:p>
    <w:p w:rsidR="00C56A07" w:rsidRPr="00C56A07" w:rsidRDefault="00C56A07" w:rsidP="00C56A07">
      <w:pPr>
        <w:spacing w:line="360" w:lineRule="auto"/>
        <w:jc w:val="both"/>
        <w:rPr>
          <w:sz w:val="28"/>
        </w:rPr>
      </w:pPr>
    </w:p>
    <w:p w:rsidR="00BD1E3B" w:rsidRDefault="00C56A07" w:rsidP="00EF589B">
      <w:pPr>
        <w:spacing w:line="360" w:lineRule="auto"/>
        <w:ind w:firstLine="709"/>
        <w:jc w:val="both"/>
        <w:rPr>
          <w:sz w:val="28"/>
        </w:rPr>
      </w:pPr>
      <w:r>
        <w:rPr>
          <w:sz w:val="28"/>
        </w:rPr>
        <w:t>Як видно на графіках, прямі інвестиції мають доволі нестабільну динаміку прот</w:t>
      </w:r>
      <w:r w:rsidR="00BD1E3B">
        <w:rPr>
          <w:sz w:val="28"/>
        </w:rPr>
        <w:t xml:space="preserve">ягом всього зазначеного періоду як в Польщі, так і в Словаччині. </w:t>
      </w:r>
    </w:p>
    <w:p w:rsidR="008316AC" w:rsidRDefault="00BD1E3B" w:rsidP="00B90172">
      <w:pPr>
        <w:spacing w:line="360" w:lineRule="auto"/>
        <w:ind w:firstLine="709"/>
        <w:jc w:val="both"/>
        <w:rPr>
          <w:sz w:val="28"/>
        </w:rPr>
      </w:pPr>
      <w:r>
        <w:rPr>
          <w:sz w:val="28"/>
        </w:rPr>
        <w:t>Спочатку слід розглянути Польщу. Дана країна протягом всього періоду мала від’ємний баланс прямих інвестиції. Тобто, зобов’язання перед нерезидентами перевищували активи резидентів за кордоном. Власне кажучи, активи Польщі були на доволі низькому рівні, вони навіть не перевищували 4 млрд доларів за квартал, в той час як зобов’язання часто перевищували 10 мільярдів у одному кварталі. Тобто, в Польщі спостерігався дуже значний притік прямих іноземних інвестицій, що є доволі позитивним фактором для зростання економіки країни. Цей притік прямих інвестицій сильно коливався увесь час,</w:t>
      </w:r>
      <w:r w:rsidR="00062335">
        <w:rPr>
          <w:sz w:val="28"/>
        </w:rPr>
        <w:t xml:space="preserve"> але ці коливання мають циклічний характер з довжиною циклу в два квартали. Скоріш</w:t>
      </w:r>
      <w:r w:rsidR="00F21955">
        <w:rPr>
          <w:sz w:val="28"/>
        </w:rPr>
        <w:t xml:space="preserve"> за все</w:t>
      </w:r>
      <w:r w:rsidR="008316AC">
        <w:rPr>
          <w:sz w:val="28"/>
        </w:rPr>
        <w:t>, це пов’язано з тим, що в певні сектори економіки мають сезонний характер діяльності, тому в певні квартали інвестиційна діяльність в цих секторах активізується.</w:t>
      </w:r>
    </w:p>
    <w:p w:rsidR="008316AC" w:rsidRDefault="008316AC" w:rsidP="008316AC">
      <w:pPr>
        <w:spacing w:line="360" w:lineRule="auto"/>
        <w:ind w:firstLine="709"/>
        <w:jc w:val="both"/>
        <w:rPr>
          <w:sz w:val="28"/>
        </w:rPr>
      </w:pPr>
      <w:r>
        <w:rPr>
          <w:sz w:val="28"/>
        </w:rPr>
        <w:t>Щодо Словаччини, то в цій країні також більшу частину цього періоду пасиви перевищували активи. Але в 2020 та 2021 роках ситуація кардинально змінилась, адже відтік прямих інвестицій зі Словаччини почав різко зростати, а притік інвестицій, навпаки, зазнав значного спаду, особливо у 2020 році, коли нерезиденти повертали зі Словаччини раніше вкладені кошти, тобто закривали свої філіали та підприємства на території Словаччини через пандемію. Але надалі економіка Словаччини відновилась і</w:t>
      </w:r>
      <w:r w:rsidR="00EF001A">
        <w:rPr>
          <w:sz w:val="28"/>
          <w:lang w:val="ru-RU"/>
        </w:rPr>
        <w:t xml:space="preserve"> баланс </w:t>
      </w:r>
      <w:r w:rsidR="00EF001A">
        <w:rPr>
          <w:sz w:val="28"/>
        </w:rPr>
        <w:t>прямих інвестицій знову отримав від’ємне значення, як і у Польщі.</w:t>
      </w:r>
    </w:p>
    <w:p w:rsidR="00EF001A" w:rsidRPr="00EF001A" w:rsidRDefault="00EF001A" w:rsidP="008316AC">
      <w:pPr>
        <w:spacing w:line="360" w:lineRule="auto"/>
        <w:ind w:firstLine="709"/>
        <w:jc w:val="both"/>
        <w:rPr>
          <w:sz w:val="28"/>
        </w:rPr>
      </w:pPr>
      <w:r>
        <w:rPr>
          <w:sz w:val="28"/>
        </w:rPr>
        <w:t xml:space="preserve">Потрібно також зауважити певну відмінність фінансового рахунку Польщі та Словаччини. Для Польщі прямі іноземні інвестиції як за обсягом активів та пасивів, так і за сальдо, формують більшу частину фінансового рахунку. Тобто для економіки Польщі прямі інвестиції є найбільш важливою формою іноземних інвестицій. А у Словаччини прямі інвестиції не так сильно складають набагато меншу частку фінансового рахунку. У Словаччини більший внесок у фінансовий рахунок вносять обсяги інших інвестицій (кредитів та депозитів). </w:t>
      </w:r>
    </w:p>
    <w:p w:rsidR="00D9440D" w:rsidRDefault="00D9440D" w:rsidP="00D9440D">
      <w:pPr>
        <w:spacing w:line="360" w:lineRule="auto"/>
        <w:ind w:firstLine="709"/>
        <w:jc w:val="both"/>
        <w:rPr>
          <w:sz w:val="28"/>
          <w:lang w:val="ru-RU"/>
        </w:rPr>
      </w:pPr>
      <w:r>
        <w:rPr>
          <w:noProof/>
          <w:sz w:val="28"/>
          <w:lang w:val="ru-RU"/>
        </w:rPr>
        <w:drawing>
          <wp:anchor distT="0" distB="0" distL="114300" distR="114300" simplePos="0" relativeHeight="251666432" behindDoc="0" locked="0" layoutInCell="1" allowOverlap="1" wp14:anchorId="234C12F4" wp14:editId="387FE44C">
            <wp:simplePos x="0" y="0"/>
            <wp:positionH relativeFrom="column">
              <wp:posOffset>12700</wp:posOffset>
            </wp:positionH>
            <wp:positionV relativeFrom="paragraph">
              <wp:posOffset>2191385</wp:posOffset>
            </wp:positionV>
            <wp:extent cx="5555615" cy="2500630"/>
            <wp:effectExtent l="0" t="0" r="26035" b="13970"/>
            <wp:wrapTopAndBottom/>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r w:rsidR="00EF001A">
        <w:rPr>
          <w:sz w:val="28"/>
        </w:rPr>
        <w:t xml:space="preserve">Наступна стаття фінансового рахунку – портфельні інвестиції. Даний вид інвестицій передбачає придбання цінних паперів (акцій, облігацій, векселів тощо) без фактичного контролю діяльності того чи іншого підприємства. </w:t>
      </w:r>
      <w:r w:rsidR="002274E2">
        <w:rPr>
          <w:sz w:val="28"/>
        </w:rPr>
        <w:t>Загалом, це сугубо фінансові операції з покупки цінних</w:t>
      </w:r>
      <w:r w:rsidRPr="00D9440D">
        <w:rPr>
          <w:sz w:val="28"/>
        </w:rPr>
        <w:t xml:space="preserve"> паперів, які дають право отримувати дохід (дивіденди). На рисунку 2.6 представлена порівняльна динаміка портфельних інвестицій Польщі та Словаччини.</w:t>
      </w:r>
    </w:p>
    <w:p w:rsidR="00D9440D" w:rsidRPr="00D9440D" w:rsidRDefault="00D9440D" w:rsidP="00D9440D">
      <w:pPr>
        <w:spacing w:line="360" w:lineRule="auto"/>
        <w:ind w:firstLine="709"/>
        <w:jc w:val="both"/>
        <w:rPr>
          <w:sz w:val="28"/>
          <w:lang w:val="ru-RU"/>
        </w:rPr>
      </w:pPr>
      <w:r>
        <w:rPr>
          <w:noProof/>
          <w:sz w:val="28"/>
          <w:lang w:val="ru-RU"/>
        </w:rPr>
        <w:drawing>
          <wp:anchor distT="0" distB="0" distL="114300" distR="114300" simplePos="0" relativeHeight="251667456" behindDoc="0" locked="0" layoutInCell="1" allowOverlap="1" wp14:anchorId="1427492F" wp14:editId="422F4952">
            <wp:simplePos x="0" y="0"/>
            <wp:positionH relativeFrom="column">
              <wp:posOffset>55245</wp:posOffset>
            </wp:positionH>
            <wp:positionV relativeFrom="paragraph">
              <wp:posOffset>2774315</wp:posOffset>
            </wp:positionV>
            <wp:extent cx="5513705" cy="2514600"/>
            <wp:effectExtent l="0" t="0" r="10795" b="19050"/>
            <wp:wrapTopAndBottom/>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p w:rsidR="006C00FB" w:rsidRDefault="006C00FB" w:rsidP="006C00FB">
      <w:pPr>
        <w:spacing w:line="360" w:lineRule="auto"/>
        <w:jc w:val="both"/>
        <w:rPr>
          <w:sz w:val="28"/>
        </w:rPr>
      </w:pPr>
      <w:r>
        <w:rPr>
          <w:sz w:val="28"/>
        </w:rPr>
        <w:t>Рис. 2.6 Динаміка портфельних інвестицій Польщі та Словаччини у 2018-2022 рр., млн дол США</w:t>
      </w:r>
    </w:p>
    <w:p w:rsidR="006C00FB" w:rsidRDefault="006C00FB" w:rsidP="006C00FB">
      <w:pPr>
        <w:spacing w:line="360" w:lineRule="auto"/>
        <w:jc w:val="both"/>
        <w:rPr>
          <w:sz w:val="28"/>
        </w:rPr>
      </w:pPr>
      <w:r>
        <w:rPr>
          <w:sz w:val="28"/>
        </w:rPr>
        <w:t xml:space="preserve">Джерело: складено автором на основі даних </w:t>
      </w:r>
      <w:r w:rsidRPr="00C56A07">
        <w:rPr>
          <w:sz w:val="28"/>
          <w:lang w:val="ru-RU"/>
        </w:rPr>
        <w:t>[</w:t>
      </w:r>
      <w:r w:rsidR="00B45AA2">
        <w:rPr>
          <w:sz w:val="28"/>
          <w:lang w:val="ru-RU"/>
        </w:rPr>
        <w:t>12</w:t>
      </w:r>
      <w:r w:rsidRPr="00C56A07">
        <w:rPr>
          <w:sz w:val="28"/>
          <w:lang w:val="ru-RU"/>
        </w:rPr>
        <w:t>]</w:t>
      </w:r>
    </w:p>
    <w:p w:rsidR="00996D82" w:rsidRDefault="00274D5F" w:rsidP="00996D82">
      <w:pPr>
        <w:spacing w:line="360" w:lineRule="auto"/>
        <w:ind w:firstLine="709"/>
        <w:jc w:val="both"/>
        <w:rPr>
          <w:sz w:val="28"/>
        </w:rPr>
      </w:pPr>
      <w:r>
        <w:rPr>
          <w:sz w:val="28"/>
        </w:rPr>
        <w:t>Динаміка портфельних інвестицій Польщі більш нестабільна, ніж у Словаччини. Відразу помітно, що в Польщі як активи, так і зобов’язання, більшу частину періоду мали від’ємне значення. Це означає, що кожного року більшість інвесторів (як резидентів так і нерезидентів) забирали свої раніше інвестовані кошти. Особливо це було помітно у 2020 році під час економічної кризи. Але після 2020 року з’явилась тенденція до збільшення притоку портфельних інвестицій до Польщі від нерезидентів. У другому кварталі 2022 року цей притік дорівнював 5 млрд доларів США, що є абсолютним максимумом притоку портфельних інвестицій до Польщі. А активи, в свою чергу, майже увесь період були дуже наближеними до нуля.</w:t>
      </w:r>
      <w:r w:rsidR="00690C41">
        <w:rPr>
          <w:sz w:val="28"/>
        </w:rPr>
        <w:t xml:space="preserve"> </w:t>
      </w:r>
    </w:p>
    <w:p w:rsidR="00690C41" w:rsidRDefault="00690C41" w:rsidP="00996D82">
      <w:pPr>
        <w:spacing w:line="360" w:lineRule="auto"/>
        <w:ind w:firstLine="709"/>
        <w:jc w:val="both"/>
        <w:rPr>
          <w:sz w:val="28"/>
        </w:rPr>
      </w:pPr>
      <w:r>
        <w:rPr>
          <w:sz w:val="28"/>
        </w:rPr>
        <w:t>Щодо Словаччини, то тут портфельні інвестиції мають позитивний баланс та більш стабільну динаміку.</w:t>
      </w:r>
      <w:r w:rsidRPr="00690C41">
        <w:rPr>
          <w:sz w:val="28"/>
          <w:lang w:val="ru-RU"/>
        </w:rPr>
        <w:t xml:space="preserve"> </w:t>
      </w:r>
      <w:r>
        <w:rPr>
          <w:sz w:val="28"/>
        </w:rPr>
        <w:t xml:space="preserve">Активи Словаччини майже увесь час перевищували зобов’язання. </w:t>
      </w:r>
      <w:r w:rsidR="0075456E">
        <w:rPr>
          <w:sz w:val="28"/>
        </w:rPr>
        <w:t>У 2020 році у другому кварталі зобов’язання різко зросли майже до 5 млрд доларів США та перевищували активи в 2 рази. У тому році багато нерезидентів інвестували в словацькі державні облігації.</w:t>
      </w:r>
      <w:r w:rsidR="001448C9">
        <w:rPr>
          <w:sz w:val="28"/>
        </w:rPr>
        <w:t xml:space="preserve"> Скоріш за все, це була реакція країн Єврозони на економічну кризу. Щоб підтримати свою економіку та отримати достатньо коштів до свого бюджету, вони випускали більше державних облігацій. Приблизно така ж ситуація сталась і в другому кварталі 2021 року у Словаччині. Щодо активів Словаччини, то вони були відносно стабільні протягом всього періоду і різких змін чи коливань не спостерігалось.</w:t>
      </w:r>
    </w:p>
    <w:p w:rsidR="001448C9" w:rsidRDefault="001448C9" w:rsidP="00996D82">
      <w:pPr>
        <w:spacing w:line="360" w:lineRule="auto"/>
        <w:ind w:firstLine="709"/>
        <w:jc w:val="both"/>
        <w:rPr>
          <w:sz w:val="28"/>
        </w:rPr>
      </w:pPr>
      <w:r>
        <w:rPr>
          <w:sz w:val="28"/>
        </w:rPr>
        <w:t>Наступна стаття фінансового рахунку – інші інвестиції.</w:t>
      </w:r>
      <w:r w:rsidR="0055337D">
        <w:rPr>
          <w:sz w:val="28"/>
        </w:rPr>
        <w:t xml:space="preserve"> Інші інвестиції стосуються кредитних та депозитних операцій між резидентами та нерезидентами. На рисунку 2.7 більш детально зображена динаміка інших інвестицій Польщі та Словаччини.</w:t>
      </w:r>
    </w:p>
    <w:p w:rsidR="009D2899" w:rsidRDefault="009D2899" w:rsidP="009D2899">
      <w:pPr>
        <w:spacing w:line="360" w:lineRule="auto"/>
        <w:ind w:firstLine="709"/>
        <w:jc w:val="both"/>
        <w:rPr>
          <w:sz w:val="28"/>
        </w:rPr>
      </w:pPr>
      <w:r>
        <w:rPr>
          <w:sz w:val="28"/>
        </w:rPr>
        <w:t>Відразу помітно різницю між іншими інвестиціями Польщі та Словаччини, активи та зобов’язання Польщі нестабільні та сильно коливались протягом 5-річного періоду. Сальдо інших інвестицій Польщі також не мало постійного значення, сальдо постійно змінювалось з додатного на від’ємне і навпаки. Але максимальне значення активів все ж перевищує максимальне значення зобов’язань. У четвертому кварталі 2020 року активи Польщі максимально дорівнювали 12 млрд доларів за квартал, тоді як зобов’язання максимально дорівнювало 7 млрд доларів.</w:t>
      </w:r>
    </w:p>
    <w:p w:rsidR="0055337D" w:rsidRDefault="0079776B" w:rsidP="009D2899">
      <w:pPr>
        <w:spacing w:line="360" w:lineRule="auto"/>
        <w:jc w:val="both"/>
        <w:rPr>
          <w:sz w:val="28"/>
        </w:rPr>
      </w:pPr>
      <w:r>
        <w:rPr>
          <w:noProof/>
          <w:sz w:val="28"/>
          <w:lang w:val="ru-RU"/>
        </w:rPr>
        <w:drawing>
          <wp:anchor distT="0" distB="0" distL="114300" distR="114300" simplePos="0" relativeHeight="251674624" behindDoc="0" locked="0" layoutInCell="1" allowOverlap="1">
            <wp:simplePos x="0" y="0"/>
            <wp:positionH relativeFrom="column">
              <wp:posOffset>-6247</wp:posOffset>
            </wp:positionH>
            <wp:positionV relativeFrom="paragraph">
              <wp:posOffset>1787</wp:posOffset>
            </wp:positionV>
            <wp:extent cx="5932805" cy="2743200"/>
            <wp:effectExtent l="0" t="0" r="10795" b="0"/>
            <wp:wrapTopAndBottom/>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noProof/>
          <w:sz w:val="28"/>
          <w:lang w:val="ru-RU"/>
        </w:rPr>
        <w:drawing>
          <wp:anchor distT="0" distB="0" distL="114300" distR="114300" simplePos="0" relativeHeight="251675648" behindDoc="0" locked="0" layoutInCell="1" allowOverlap="1">
            <wp:simplePos x="0" y="0"/>
            <wp:positionH relativeFrom="column">
              <wp:posOffset>4386</wp:posOffset>
            </wp:positionH>
            <wp:positionV relativeFrom="paragraph">
              <wp:posOffset>2744987</wp:posOffset>
            </wp:positionV>
            <wp:extent cx="5922010" cy="2743200"/>
            <wp:effectExtent l="0" t="0" r="2540" b="0"/>
            <wp:wrapTopAndBottom/>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0055337D">
        <w:rPr>
          <w:sz w:val="28"/>
        </w:rPr>
        <w:t>Рис. 2.7 Динаміка портфельних інвестицій Польщі та Словаччини у 2018-2022 рр., млн дол США</w:t>
      </w:r>
    </w:p>
    <w:p w:rsidR="0055337D" w:rsidRDefault="0055337D" w:rsidP="0055337D">
      <w:pPr>
        <w:spacing w:line="360" w:lineRule="auto"/>
        <w:jc w:val="both"/>
        <w:rPr>
          <w:sz w:val="28"/>
        </w:rPr>
      </w:pPr>
      <w:r>
        <w:rPr>
          <w:sz w:val="28"/>
        </w:rPr>
        <w:t xml:space="preserve">Джерело: складено автором на основі даних </w:t>
      </w:r>
      <w:r w:rsidRPr="00C56A07">
        <w:rPr>
          <w:sz w:val="28"/>
          <w:lang w:val="ru-RU"/>
        </w:rPr>
        <w:t>[</w:t>
      </w:r>
      <w:r w:rsidR="00B45AA2">
        <w:rPr>
          <w:sz w:val="28"/>
          <w:lang w:val="ru-RU"/>
        </w:rPr>
        <w:t>12</w:t>
      </w:r>
      <w:r w:rsidRPr="00C56A07">
        <w:rPr>
          <w:sz w:val="28"/>
          <w:lang w:val="ru-RU"/>
        </w:rPr>
        <w:t>]</w:t>
      </w:r>
    </w:p>
    <w:p w:rsidR="00080C7F" w:rsidRDefault="00080C7F" w:rsidP="00E005C1">
      <w:pPr>
        <w:spacing w:line="360" w:lineRule="auto"/>
        <w:jc w:val="both"/>
        <w:rPr>
          <w:sz w:val="28"/>
        </w:rPr>
      </w:pPr>
    </w:p>
    <w:p w:rsidR="00080C7F" w:rsidRDefault="009D2899" w:rsidP="00EF589B">
      <w:pPr>
        <w:spacing w:line="360" w:lineRule="auto"/>
        <w:ind w:firstLine="709"/>
        <w:jc w:val="both"/>
        <w:rPr>
          <w:sz w:val="28"/>
        </w:rPr>
      </w:pPr>
      <w:r>
        <w:rPr>
          <w:sz w:val="28"/>
        </w:rPr>
        <w:t>Щодо Словаччини, в цій країні інші інвестиції мали стабільну динаміку, зобов’язання майже завжди перевищували активи, тобто сальдо від’ємне. Тобто резиденти Словаччини отримували більше кредитів за кордоном, ніж надавали кредитів нерезидентам. У четвертому кварталі 2021 року відбулось різке збільшення як активів, так і зобов’язань Словаччини.</w:t>
      </w:r>
      <w:r w:rsidR="00675DD5">
        <w:rPr>
          <w:sz w:val="28"/>
        </w:rPr>
        <w:t xml:space="preserve"> Збільшення обсягів кредитування збільшилось лише у Центрального Банку Словаччини.</w:t>
      </w:r>
      <w:r>
        <w:rPr>
          <w:sz w:val="28"/>
        </w:rPr>
        <w:t xml:space="preserve"> </w:t>
      </w:r>
      <w:r w:rsidR="00675DD5">
        <w:rPr>
          <w:sz w:val="28"/>
        </w:rPr>
        <w:t>Така ситуація спостерігалась і в інших країнах Єврозони, таких як Німеччина, Франція, Бельгія, Італія та інші. Скоріш за все, таким чином, надаючи більше кредитів та надаючи мораторій (відстрочку) на виплату цих кредитів, ЄЦБ намагався стимулювати економіку країн Єврозони та активізувати підприємницьку діяльність після ковід пандемії. А у 2022 році, оскільки мораторій вже був знятий, боржники почали масово повертати отримані раніше кредити. Тому у 2022 році і активи, і зобов’язання Словаччини у інших інвестиціях мають від’ємне значення.</w:t>
      </w:r>
    </w:p>
    <w:p w:rsidR="008427BF" w:rsidRPr="00684918" w:rsidRDefault="008427BF" w:rsidP="00EF589B">
      <w:pPr>
        <w:spacing w:line="360" w:lineRule="auto"/>
        <w:ind w:firstLine="709"/>
        <w:jc w:val="both"/>
        <w:rPr>
          <w:sz w:val="28"/>
          <w:lang w:val="ru-RU"/>
        </w:rPr>
      </w:pPr>
    </w:p>
    <w:p w:rsidR="00684918" w:rsidRPr="00684918" w:rsidRDefault="00684918" w:rsidP="00EF589B">
      <w:pPr>
        <w:spacing w:line="360" w:lineRule="auto"/>
        <w:ind w:firstLine="709"/>
        <w:jc w:val="both"/>
        <w:rPr>
          <w:b/>
          <w:sz w:val="28"/>
        </w:rPr>
      </w:pPr>
      <w:r w:rsidRPr="00684918">
        <w:rPr>
          <w:b/>
          <w:sz w:val="28"/>
        </w:rPr>
        <w:t xml:space="preserve">2.3 </w:t>
      </w:r>
      <w:r w:rsidR="00B90172">
        <w:rPr>
          <w:b/>
          <w:sz w:val="28"/>
        </w:rPr>
        <w:t>Модулювання та р</w:t>
      </w:r>
      <w:r w:rsidR="00B90172" w:rsidRPr="00B90172">
        <w:rPr>
          <w:b/>
          <w:sz w:val="28"/>
        </w:rPr>
        <w:t xml:space="preserve">езультат операцій «Carry Trade» з державними облігаціями </w:t>
      </w:r>
      <w:r w:rsidRPr="00684918">
        <w:rPr>
          <w:b/>
          <w:sz w:val="28"/>
        </w:rPr>
        <w:t>Польщі та Словаччини</w:t>
      </w:r>
    </w:p>
    <w:p w:rsidR="004B4CE5" w:rsidRDefault="00684918" w:rsidP="00EF589B">
      <w:pPr>
        <w:spacing w:line="360" w:lineRule="auto"/>
        <w:ind w:firstLine="709"/>
        <w:jc w:val="both"/>
        <w:rPr>
          <w:sz w:val="28"/>
        </w:rPr>
      </w:pPr>
      <w:r w:rsidRPr="00684918">
        <w:rPr>
          <w:sz w:val="28"/>
        </w:rPr>
        <w:t>Регресійний аналіз</w:t>
      </w:r>
      <w:r>
        <w:rPr>
          <w:sz w:val="28"/>
        </w:rPr>
        <w:t xml:space="preserve"> – один із математичних методів аналізу статистичних показників, який дає змогу оцінити зв’язок між однією залежною та декількома незалежними змінними. Але слід зауважити, що такий зв’язок не завжди означає залежність.</w:t>
      </w:r>
      <w:r w:rsidR="004B4CE5">
        <w:rPr>
          <w:sz w:val="28"/>
        </w:rPr>
        <w:t xml:space="preserve"> Навість якщо показники статистично мають певну кореляцію, в реальності вони можуть абсолютно не залежати один від одного. Тому найчастіше використовують не одну, а декілька незалежних змінних одночасно, щоб аналіз був більш наближений до істини.</w:t>
      </w:r>
    </w:p>
    <w:p w:rsidR="004B4CE5" w:rsidRDefault="004B4CE5" w:rsidP="00EF589B">
      <w:pPr>
        <w:spacing w:line="360" w:lineRule="auto"/>
        <w:ind w:firstLine="709"/>
        <w:jc w:val="both"/>
        <w:rPr>
          <w:sz w:val="28"/>
        </w:rPr>
      </w:pPr>
      <w:r>
        <w:rPr>
          <w:sz w:val="28"/>
        </w:rPr>
        <w:t xml:space="preserve">В даній роботі буде проаналізовано зв’язок між експортом товарів Польщі та Словаччини та </w:t>
      </w:r>
      <w:r w:rsidR="00A61E92">
        <w:rPr>
          <w:sz w:val="28"/>
        </w:rPr>
        <w:t>ч</w:t>
      </w:r>
      <w:r w:rsidR="00B538EE">
        <w:rPr>
          <w:sz w:val="28"/>
        </w:rPr>
        <w:t>отирма економічними показниками.</w:t>
      </w:r>
      <w:r w:rsidR="00A61E92">
        <w:rPr>
          <w:sz w:val="28"/>
        </w:rPr>
        <w:t xml:space="preserve"> </w:t>
      </w:r>
      <w:r w:rsidR="00B538EE">
        <w:rPr>
          <w:sz w:val="28"/>
        </w:rPr>
        <w:t>Статистичні дані, використані в регресії, представлені в додатках в таблиці А.1 та А.2.</w:t>
      </w:r>
      <w:r w:rsidR="009A6479">
        <w:rPr>
          <w:sz w:val="28"/>
        </w:rPr>
        <w:t xml:space="preserve"> </w:t>
      </w:r>
      <w:r w:rsidR="00431626">
        <w:rPr>
          <w:sz w:val="28"/>
        </w:rPr>
        <w:t>Оскільки для аналізу обрано ті самі змінні як для Польщі, так і для Словаччини, то первинне р</w:t>
      </w:r>
      <w:r w:rsidR="009A6479">
        <w:rPr>
          <w:sz w:val="28"/>
        </w:rPr>
        <w:t>егресійне рівняння для обох країн</w:t>
      </w:r>
      <w:r w:rsidR="00431626">
        <w:rPr>
          <w:sz w:val="28"/>
        </w:rPr>
        <w:t xml:space="preserve"> однакове і</w:t>
      </w:r>
      <w:r w:rsidR="009A6479">
        <w:rPr>
          <w:sz w:val="28"/>
        </w:rPr>
        <w:t xml:space="preserve"> виглядає наступним чином:</w:t>
      </w:r>
    </w:p>
    <w:p w:rsidR="009A6479" w:rsidRPr="00221759" w:rsidRDefault="00D02549" w:rsidP="00EF589B">
      <w:pPr>
        <w:spacing w:line="360" w:lineRule="auto"/>
        <w:ind w:firstLine="709"/>
        <w:jc w:val="both"/>
        <w:rPr>
          <w:i/>
          <w:sz w:val="28"/>
        </w:rPr>
      </w:pPr>
      <m:oMathPara>
        <m:oMath>
          <m:sSub>
            <m:sSubPr>
              <m:ctrlPr>
                <w:rPr>
                  <w:rFonts w:ascii="Cambria Math" w:hAnsi="Cambria Math"/>
                  <w:i/>
                  <w:sz w:val="28"/>
                </w:rPr>
              </m:ctrlPr>
            </m:sSubPr>
            <m:e>
              <m:r>
                <w:rPr>
                  <w:rFonts w:ascii="Cambria Math" w:hAnsi="Cambria Math"/>
                  <w:sz w:val="28"/>
                </w:rPr>
                <m:t>Ex</m:t>
              </m:r>
            </m:e>
            <m:sub>
              <m:r>
                <w:rPr>
                  <w:rFonts w:ascii="Cambria Math" w:hAnsi="Cambria Math"/>
                  <w:sz w:val="28"/>
                </w:rPr>
                <m:t>t</m:t>
              </m:r>
            </m:sub>
          </m:sSub>
          <m:r>
            <w:rPr>
              <w:rFonts w:ascii="Cambria Math" w:hAnsi="Cambria Math"/>
              <w:sz w:val="28"/>
            </w:rPr>
            <m:t>=α+</m:t>
          </m:r>
          <m:sSub>
            <m:sSubPr>
              <m:ctrlPr>
                <w:rPr>
                  <w:rFonts w:ascii="Cambria Math" w:hAnsi="Cambria Math"/>
                  <w:i/>
                  <w:sz w:val="28"/>
                </w:rPr>
              </m:ctrlPr>
            </m:sSubPr>
            <m:e>
              <m:r>
                <w:rPr>
                  <w:rFonts w:ascii="Cambria Math" w:hAnsi="Cambria Math"/>
                  <w:sz w:val="28"/>
                </w:rPr>
                <m:t>β</m:t>
              </m:r>
            </m:e>
            <m:sub>
              <m:r>
                <w:rPr>
                  <w:rFonts w:ascii="Cambria Math" w:hAnsi="Cambria Math"/>
                  <w:sz w:val="28"/>
                </w:rPr>
                <m:t>1</m:t>
              </m:r>
            </m:sub>
          </m:sSub>
          <m:sSub>
            <m:sSubPr>
              <m:ctrlPr>
                <w:rPr>
                  <w:rFonts w:ascii="Cambria Math" w:hAnsi="Cambria Math"/>
                  <w:i/>
                  <w:sz w:val="28"/>
                </w:rPr>
              </m:ctrlPr>
            </m:sSubPr>
            <m:e>
              <m:r>
                <w:rPr>
                  <w:rFonts w:ascii="Cambria Math" w:hAnsi="Cambria Math"/>
                  <w:sz w:val="28"/>
                </w:rPr>
                <m:t>Y</m:t>
              </m:r>
            </m:e>
            <m:sub>
              <m:r>
                <w:rPr>
                  <w:rFonts w:ascii="Cambria Math" w:hAnsi="Cambria Math"/>
                  <w:sz w:val="28"/>
                </w:rPr>
                <m:t>t</m:t>
              </m:r>
            </m:sub>
          </m:sSub>
          <m:r>
            <w:rPr>
              <w:rFonts w:ascii="Cambria Math" w:hAnsi="Cambria Math"/>
              <w:sz w:val="28"/>
            </w:rPr>
            <m:t>+</m:t>
          </m:r>
          <m:sSub>
            <m:sSubPr>
              <m:ctrlPr>
                <w:rPr>
                  <w:rFonts w:ascii="Cambria Math" w:hAnsi="Cambria Math"/>
                  <w:i/>
                  <w:sz w:val="28"/>
                </w:rPr>
              </m:ctrlPr>
            </m:sSubPr>
            <m:e>
              <m:r>
                <w:rPr>
                  <w:rFonts w:ascii="Cambria Math" w:hAnsi="Cambria Math"/>
                  <w:sz w:val="28"/>
                </w:rPr>
                <m:t>β</m:t>
              </m:r>
            </m:e>
            <m:sub>
              <m:r>
                <w:rPr>
                  <w:rFonts w:ascii="Cambria Math" w:hAnsi="Cambria Math"/>
                  <w:sz w:val="28"/>
                </w:rPr>
                <m:t>2</m:t>
              </m:r>
            </m:sub>
          </m:sSub>
          <m:sSub>
            <m:sSubPr>
              <m:ctrlPr>
                <w:rPr>
                  <w:rFonts w:ascii="Cambria Math" w:hAnsi="Cambria Math"/>
                  <w:i/>
                  <w:sz w:val="28"/>
                </w:rPr>
              </m:ctrlPr>
            </m:sSubPr>
            <m:e>
              <m:r>
                <w:rPr>
                  <w:rFonts w:ascii="Cambria Math" w:hAnsi="Cambria Math"/>
                  <w:sz w:val="28"/>
                </w:rPr>
                <m:t>I</m:t>
              </m:r>
            </m:e>
            <m:sub>
              <m:r>
                <w:rPr>
                  <w:rFonts w:ascii="Cambria Math" w:hAnsi="Cambria Math"/>
                  <w:sz w:val="28"/>
                </w:rPr>
                <m:t>t</m:t>
              </m:r>
            </m:sub>
          </m:sSub>
          <m:r>
            <w:rPr>
              <w:rFonts w:ascii="Cambria Math" w:hAnsi="Cambria Math"/>
              <w:sz w:val="28"/>
            </w:rPr>
            <m:t>+</m:t>
          </m:r>
          <m:sSub>
            <m:sSubPr>
              <m:ctrlPr>
                <w:rPr>
                  <w:rFonts w:ascii="Cambria Math" w:hAnsi="Cambria Math"/>
                  <w:i/>
                  <w:sz w:val="28"/>
                </w:rPr>
              </m:ctrlPr>
            </m:sSubPr>
            <m:e>
              <m:r>
                <w:rPr>
                  <w:rFonts w:ascii="Cambria Math" w:hAnsi="Cambria Math"/>
                  <w:sz w:val="28"/>
                </w:rPr>
                <m:t>β</m:t>
              </m:r>
            </m:e>
            <m:sub>
              <m:r>
                <w:rPr>
                  <w:rFonts w:ascii="Cambria Math" w:hAnsi="Cambria Math"/>
                  <w:sz w:val="28"/>
                </w:rPr>
                <m:t>3</m:t>
              </m:r>
            </m:sub>
          </m:sSub>
          <m:sSub>
            <m:sSubPr>
              <m:ctrlPr>
                <w:rPr>
                  <w:rFonts w:ascii="Cambria Math" w:hAnsi="Cambria Math"/>
                  <w:i/>
                  <w:sz w:val="28"/>
                </w:rPr>
              </m:ctrlPr>
            </m:sSubPr>
            <m:e>
              <m:r>
                <w:rPr>
                  <w:rFonts w:ascii="Cambria Math" w:hAnsi="Cambria Math"/>
                  <w:sz w:val="28"/>
                </w:rPr>
                <m:t>FDI</m:t>
              </m:r>
            </m:e>
            <m:sub>
              <m:r>
                <w:rPr>
                  <w:rFonts w:ascii="Cambria Math" w:hAnsi="Cambria Math"/>
                  <w:sz w:val="28"/>
                </w:rPr>
                <m:t>t</m:t>
              </m:r>
            </m:sub>
          </m:sSub>
          <m:r>
            <w:rPr>
              <w:rFonts w:ascii="Cambria Math" w:hAnsi="Cambria Math"/>
              <w:sz w:val="28"/>
            </w:rPr>
            <m:t>+</m:t>
          </m:r>
          <m:sSub>
            <m:sSubPr>
              <m:ctrlPr>
                <w:rPr>
                  <w:rFonts w:ascii="Cambria Math" w:hAnsi="Cambria Math"/>
                  <w:i/>
                  <w:sz w:val="28"/>
                </w:rPr>
              </m:ctrlPr>
            </m:sSubPr>
            <m:e>
              <m:r>
                <w:rPr>
                  <w:rFonts w:ascii="Cambria Math" w:hAnsi="Cambria Math"/>
                  <w:sz w:val="28"/>
                </w:rPr>
                <m:t>β</m:t>
              </m:r>
            </m:e>
            <m:sub>
              <m:r>
                <w:rPr>
                  <w:rFonts w:ascii="Cambria Math" w:hAnsi="Cambria Math"/>
                  <w:sz w:val="28"/>
                </w:rPr>
                <m:t>4</m:t>
              </m:r>
            </m:sub>
          </m:sSub>
          <m:sSub>
            <m:sSubPr>
              <m:ctrlPr>
                <w:rPr>
                  <w:rFonts w:ascii="Cambria Math" w:hAnsi="Cambria Math"/>
                  <w:i/>
                  <w:sz w:val="28"/>
                </w:rPr>
              </m:ctrlPr>
            </m:sSubPr>
            <m:e>
              <m:r>
                <w:rPr>
                  <w:rFonts w:ascii="Cambria Math" w:hAnsi="Cambria Math"/>
                  <w:sz w:val="28"/>
                </w:rPr>
                <m:t>Er</m:t>
              </m:r>
            </m:e>
            <m:sub>
              <m:r>
                <w:rPr>
                  <w:rFonts w:ascii="Cambria Math" w:hAnsi="Cambria Math"/>
                  <w:sz w:val="28"/>
                </w:rPr>
                <m:t>t</m:t>
              </m:r>
            </m:sub>
          </m:sSub>
          <m:r>
            <w:rPr>
              <w:rFonts w:ascii="Cambria Math" w:hAnsi="Cambria Math"/>
              <w:sz w:val="28"/>
            </w:rPr>
            <m:t>+</m:t>
          </m:r>
          <m:sSub>
            <m:sSubPr>
              <m:ctrlPr>
                <w:rPr>
                  <w:rFonts w:ascii="Cambria Math" w:hAnsi="Cambria Math"/>
                  <w:i/>
                  <w:sz w:val="28"/>
                </w:rPr>
              </m:ctrlPr>
            </m:sSubPr>
            <m:e>
              <m:r>
                <w:rPr>
                  <w:rFonts w:ascii="Cambria Math" w:hAnsi="Cambria Math"/>
                  <w:sz w:val="28"/>
                </w:rPr>
                <m:t>ε</m:t>
              </m:r>
            </m:e>
            <m:sub>
              <m:r>
                <w:rPr>
                  <w:rFonts w:ascii="Cambria Math" w:hAnsi="Cambria Math"/>
                  <w:sz w:val="28"/>
                </w:rPr>
                <m:t>t</m:t>
              </m:r>
            </m:sub>
          </m:sSub>
        </m:oMath>
      </m:oMathPara>
    </w:p>
    <w:p w:rsidR="00221759" w:rsidRPr="009A6479" w:rsidRDefault="00221759" w:rsidP="00EF589B">
      <w:pPr>
        <w:spacing w:line="360" w:lineRule="auto"/>
        <w:ind w:firstLine="709"/>
        <w:jc w:val="both"/>
        <w:rPr>
          <w:i/>
          <w:sz w:val="28"/>
        </w:rPr>
      </w:pPr>
    </w:p>
    <w:p w:rsidR="00A61E92" w:rsidRDefault="00221759" w:rsidP="00EF589B">
      <w:pPr>
        <w:spacing w:line="360" w:lineRule="auto"/>
        <w:ind w:firstLine="709"/>
        <w:jc w:val="both"/>
        <w:rPr>
          <w:sz w:val="28"/>
        </w:rPr>
      </w:pPr>
      <w:r>
        <w:rPr>
          <w:sz w:val="28"/>
        </w:rPr>
        <w:t xml:space="preserve">де, </w:t>
      </w:r>
      <w:r w:rsidRPr="00221759">
        <w:rPr>
          <w:sz w:val="28"/>
        </w:rPr>
        <w:t>Ex</w:t>
      </w:r>
      <w:r>
        <w:rPr>
          <w:sz w:val="28"/>
        </w:rPr>
        <w:t xml:space="preserve"> – експорт товарів, млрд дол США</w:t>
      </w:r>
    </w:p>
    <w:p w:rsidR="00221759" w:rsidRPr="009E691E" w:rsidRDefault="00221759" w:rsidP="00EF589B">
      <w:pPr>
        <w:spacing w:line="360" w:lineRule="auto"/>
        <w:ind w:firstLine="709"/>
        <w:jc w:val="both"/>
        <w:rPr>
          <w:sz w:val="28"/>
        </w:rPr>
      </w:pPr>
      <w:r w:rsidRPr="00221759">
        <w:rPr>
          <w:sz w:val="28"/>
          <w:lang w:val="ru-RU"/>
        </w:rPr>
        <w:t>Y</w:t>
      </w:r>
      <w:r w:rsidRPr="009E691E">
        <w:rPr>
          <w:sz w:val="28"/>
        </w:rPr>
        <w:t xml:space="preserve"> – ВВП, млрд дол США</w:t>
      </w:r>
    </w:p>
    <w:p w:rsidR="00221759" w:rsidRDefault="00221759" w:rsidP="00EF589B">
      <w:pPr>
        <w:spacing w:line="360" w:lineRule="auto"/>
        <w:ind w:firstLine="709"/>
        <w:jc w:val="both"/>
        <w:rPr>
          <w:sz w:val="28"/>
        </w:rPr>
      </w:pPr>
      <w:r w:rsidRPr="00221759">
        <w:rPr>
          <w:sz w:val="28"/>
          <w:lang w:val="ru-RU"/>
        </w:rPr>
        <w:t>I</w:t>
      </w:r>
      <w:r w:rsidRPr="009E691E">
        <w:rPr>
          <w:sz w:val="28"/>
        </w:rPr>
        <w:t xml:space="preserve"> – рівень інфляції, </w:t>
      </w:r>
      <w:r>
        <w:rPr>
          <w:sz w:val="28"/>
        </w:rPr>
        <w:t>%</w:t>
      </w:r>
    </w:p>
    <w:p w:rsidR="00221759" w:rsidRDefault="00221759" w:rsidP="00EF589B">
      <w:pPr>
        <w:spacing w:line="360" w:lineRule="auto"/>
        <w:ind w:firstLine="709"/>
        <w:jc w:val="both"/>
        <w:rPr>
          <w:sz w:val="28"/>
        </w:rPr>
      </w:pPr>
      <w:r w:rsidRPr="00221759">
        <w:rPr>
          <w:sz w:val="28"/>
        </w:rPr>
        <w:t>FDI</w:t>
      </w:r>
      <w:r>
        <w:rPr>
          <w:sz w:val="28"/>
        </w:rPr>
        <w:t xml:space="preserve"> – надходження прямих іноземних інвестицій, млрд дол США.</w:t>
      </w:r>
    </w:p>
    <w:p w:rsidR="00221759" w:rsidRDefault="008635EC" w:rsidP="00EF589B">
      <w:pPr>
        <w:spacing w:line="360" w:lineRule="auto"/>
        <w:ind w:firstLine="709"/>
        <w:jc w:val="both"/>
        <w:rPr>
          <w:sz w:val="28"/>
        </w:rPr>
      </w:pPr>
      <w:r w:rsidRPr="008635EC">
        <w:rPr>
          <w:sz w:val="28"/>
        </w:rPr>
        <w:t>Er</w:t>
      </w:r>
      <w:r>
        <w:rPr>
          <w:sz w:val="28"/>
        </w:rPr>
        <w:t xml:space="preserve"> – курс національної валюти, кількість нац. валюти за один долар</w:t>
      </w:r>
    </w:p>
    <w:p w:rsidR="00221759" w:rsidRDefault="008635EC" w:rsidP="00EF589B">
      <w:pPr>
        <w:spacing w:line="360" w:lineRule="auto"/>
        <w:ind w:firstLine="709"/>
        <w:jc w:val="both"/>
        <w:rPr>
          <w:sz w:val="28"/>
        </w:rPr>
      </w:pPr>
      <w:r>
        <w:rPr>
          <w:sz w:val="28"/>
        </w:rPr>
        <w:t>Теоретично, найбільш значимим фактором впливу на експорт товарів для обох країн має бути ВВП, тому можна висунути дві протилежні гіпотези.</w:t>
      </w:r>
    </w:p>
    <w:p w:rsidR="00A61E92" w:rsidRPr="009E691E" w:rsidRDefault="009E691E" w:rsidP="009E691E">
      <w:pPr>
        <w:spacing w:line="360" w:lineRule="auto"/>
        <w:ind w:firstLine="709"/>
        <w:jc w:val="right"/>
        <w:rPr>
          <w:b/>
          <w:sz w:val="28"/>
        </w:rPr>
      </w:pPr>
      <w:r w:rsidRPr="009E691E">
        <w:rPr>
          <w:b/>
          <w:sz w:val="28"/>
        </w:rPr>
        <w:t>Таблиця 2.5</w:t>
      </w:r>
    </w:p>
    <w:p w:rsidR="009E691E" w:rsidRPr="009E691E" w:rsidRDefault="009E691E" w:rsidP="009E691E">
      <w:pPr>
        <w:spacing w:line="360" w:lineRule="auto"/>
        <w:ind w:firstLine="709"/>
        <w:jc w:val="center"/>
        <w:rPr>
          <w:b/>
          <w:sz w:val="28"/>
        </w:rPr>
      </w:pPr>
      <w:r w:rsidRPr="009E691E">
        <w:rPr>
          <w:b/>
          <w:sz w:val="28"/>
        </w:rPr>
        <w:t>Результати регресійного аналізу факторів формування експорту товарів Польщі</w:t>
      </w:r>
    </w:p>
    <w:tbl>
      <w:tblPr>
        <w:tblW w:w="9414"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4"/>
        <w:gridCol w:w="1417"/>
        <w:gridCol w:w="1476"/>
        <w:gridCol w:w="1476"/>
        <w:gridCol w:w="2293"/>
        <w:gridCol w:w="1030"/>
        <w:gridCol w:w="1438"/>
      </w:tblGrid>
      <w:tr w:rsidR="00A61E92" w:rsidRPr="009E691E" w:rsidTr="009E691E">
        <w:trPr>
          <w:cantSplit/>
        </w:trPr>
        <w:tc>
          <w:tcPr>
            <w:tcW w:w="1701" w:type="dxa"/>
            <w:gridSpan w:val="2"/>
            <w:vMerge w:val="restart"/>
            <w:tcBorders>
              <w:top w:val="single" w:sz="16" w:space="0" w:color="000000"/>
              <w:left w:val="single" w:sz="16" w:space="0" w:color="000000"/>
              <w:bottom w:val="nil"/>
              <w:right w:val="nil"/>
            </w:tcBorders>
            <w:shd w:val="clear" w:color="auto" w:fill="FFFFFF"/>
            <w:vAlign w:val="bottom"/>
          </w:tcPr>
          <w:p w:rsidR="00A61E92" w:rsidRPr="009E691E" w:rsidRDefault="00A61E92" w:rsidP="00A61E92">
            <w:pPr>
              <w:autoSpaceDE w:val="0"/>
              <w:autoSpaceDN w:val="0"/>
              <w:adjustRightInd w:val="0"/>
              <w:spacing w:line="320" w:lineRule="atLeast"/>
              <w:ind w:left="60" w:right="60"/>
              <w:rPr>
                <w:rFonts w:eastAsiaTheme="minorHAnsi"/>
                <w:color w:val="000000"/>
                <w:sz w:val="24"/>
                <w:szCs w:val="24"/>
                <w:lang w:eastAsia="en-US"/>
              </w:rPr>
            </w:pPr>
            <w:r w:rsidRPr="009E691E">
              <w:rPr>
                <w:rFonts w:eastAsiaTheme="minorHAnsi"/>
                <w:color w:val="000000"/>
                <w:sz w:val="24"/>
                <w:szCs w:val="24"/>
                <w:lang w:eastAsia="en-US"/>
              </w:rPr>
              <w:t>Модель</w:t>
            </w:r>
          </w:p>
        </w:tc>
        <w:tc>
          <w:tcPr>
            <w:tcW w:w="2952" w:type="dxa"/>
            <w:gridSpan w:val="2"/>
            <w:tcBorders>
              <w:top w:val="single" w:sz="16" w:space="0" w:color="000000"/>
              <w:left w:val="single" w:sz="16" w:space="0" w:color="000000"/>
            </w:tcBorders>
            <w:shd w:val="clear" w:color="auto" w:fill="FFFFFF"/>
            <w:vAlign w:val="bottom"/>
          </w:tcPr>
          <w:p w:rsidR="00A61E92" w:rsidRPr="009E691E" w:rsidRDefault="009E691E" w:rsidP="00A61E92">
            <w:pPr>
              <w:autoSpaceDE w:val="0"/>
              <w:autoSpaceDN w:val="0"/>
              <w:adjustRightInd w:val="0"/>
              <w:spacing w:line="320" w:lineRule="atLeast"/>
              <w:ind w:left="60" w:right="60"/>
              <w:jc w:val="center"/>
              <w:rPr>
                <w:rFonts w:eastAsiaTheme="minorHAnsi"/>
                <w:color w:val="000000"/>
                <w:sz w:val="24"/>
                <w:szCs w:val="24"/>
                <w:lang w:eastAsia="en-US"/>
              </w:rPr>
            </w:pPr>
            <w:r w:rsidRPr="009E691E">
              <w:rPr>
                <w:rFonts w:eastAsiaTheme="minorHAnsi"/>
                <w:color w:val="000000"/>
                <w:sz w:val="24"/>
                <w:szCs w:val="24"/>
                <w:lang w:eastAsia="en-US"/>
              </w:rPr>
              <w:t>Нестандартизовані коефіцієнти</w:t>
            </w:r>
          </w:p>
        </w:tc>
        <w:tc>
          <w:tcPr>
            <w:tcW w:w="2293" w:type="dxa"/>
            <w:tcBorders>
              <w:top w:val="single" w:sz="16" w:space="0" w:color="000000"/>
            </w:tcBorders>
            <w:shd w:val="clear" w:color="auto" w:fill="FFFFFF"/>
            <w:vAlign w:val="bottom"/>
          </w:tcPr>
          <w:p w:rsidR="00A61E92" w:rsidRPr="009E691E" w:rsidRDefault="009E691E" w:rsidP="00A61E92">
            <w:pPr>
              <w:autoSpaceDE w:val="0"/>
              <w:autoSpaceDN w:val="0"/>
              <w:adjustRightInd w:val="0"/>
              <w:spacing w:line="320" w:lineRule="atLeast"/>
              <w:ind w:left="60" w:right="60"/>
              <w:jc w:val="center"/>
              <w:rPr>
                <w:rFonts w:eastAsiaTheme="minorHAnsi"/>
                <w:color w:val="000000"/>
                <w:sz w:val="24"/>
                <w:szCs w:val="24"/>
                <w:lang w:eastAsia="en-US"/>
              </w:rPr>
            </w:pPr>
            <w:r w:rsidRPr="009E691E">
              <w:rPr>
                <w:rFonts w:eastAsiaTheme="minorHAnsi"/>
                <w:color w:val="000000"/>
                <w:sz w:val="24"/>
                <w:szCs w:val="24"/>
                <w:lang w:eastAsia="en-US"/>
              </w:rPr>
              <w:t>Стандартизовані коефіцієнти</w:t>
            </w:r>
          </w:p>
        </w:tc>
        <w:tc>
          <w:tcPr>
            <w:tcW w:w="1030" w:type="dxa"/>
            <w:vMerge w:val="restart"/>
            <w:tcBorders>
              <w:top w:val="single" w:sz="16" w:space="0" w:color="000000"/>
            </w:tcBorders>
            <w:shd w:val="clear" w:color="auto" w:fill="FFFFFF"/>
            <w:vAlign w:val="bottom"/>
          </w:tcPr>
          <w:p w:rsidR="00A61E92" w:rsidRPr="009E691E" w:rsidRDefault="00A61E92" w:rsidP="00A61E92">
            <w:pPr>
              <w:autoSpaceDE w:val="0"/>
              <w:autoSpaceDN w:val="0"/>
              <w:adjustRightInd w:val="0"/>
              <w:spacing w:line="320" w:lineRule="atLeast"/>
              <w:ind w:left="60" w:right="60"/>
              <w:jc w:val="center"/>
              <w:rPr>
                <w:rFonts w:eastAsiaTheme="minorHAnsi"/>
                <w:color w:val="000000"/>
                <w:sz w:val="24"/>
                <w:szCs w:val="24"/>
                <w:lang w:eastAsia="en-US"/>
              </w:rPr>
            </w:pPr>
            <w:r w:rsidRPr="009E691E">
              <w:rPr>
                <w:rFonts w:eastAsiaTheme="minorHAnsi"/>
                <w:color w:val="000000"/>
                <w:sz w:val="24"/>
                <w:szCs w:val="24"/>
                <w:lang w:eastAsia="en-US"/>
              </w:rPr>
              <w:t>т</w:t>
            </w:r>
          </w:p>
        </w:tc>
        <w:tc>
          <w:tcPr>
            <w:tcW w:w="1438" w:type="dxa"/>
            <w:vMerge w:val="restart"/>
            <w:tcBorders>
              <w:top w:val="single" w:sz="16" w:space="0" w:color="000000"/>
              <w:right w:val="single" w:sz="16" w:space="0" w:color="000000"/>
            </w:tcBorders>
            <w:shd w:val="clear" w:color="auto" w:fill="FFFFFF"/>
            <w:vAlign w:val="bottom"/>
          </w:tcPr>
          <w:p w:rsidR="00A61E92" w:rsidRPr="009E691E" w:rsidRDefault="009E691E" w:rsidP="00A61E92">
            <w:pPr>
              <w:autoSpaceDE w:val="0"/>
              <w:autoSpaceDN w:val="0"/>
              <w:adjustRightInd w:val="0"/>
              <w:spacing w:line="320" w:lineRule="atLeast"/>
              <w:ind w:left="60" w:right="60"/>
              <w:jc w:val="center"/>
              <w:rPr>
                <w:rFonts w:eastAsiaTheme="minorHAnsi"/>
                <w:color w:val="000000"/>
                <w:sz w:val="24"/>
                <w:szCs w:val="24"/>
                <w:lang w:eastAsia="en-US"/>
              </w:rPr>
            </w:pPr>
            <w:r w:rsidRPr="009E691E">
              <w:rPr>
                <w:rFonts w:eastAsiaTheme="minorHAnsi"/>
                <w:color w:val="000000"/>
                <w:sz w:val="24"/>
                <w:szCs w:val="24"/>
                <w:lang w:eastAsia="en-US"/>
              </w:rPr>
              <w:t>Значимість</w:t>
            </w:r>
          </w:p>
        </w:tc>
      </w:tr>
      <w:tr w:rsidR="00A61E92" w:rsidRPr="009E691E" w:rsidTr="009E691E">
        <w:trPr>
          <w:cantSplit/>
        </w:trPr>
        <w:tc>
          <w:tcPr>
            <w:tcW w:w="1701" w:type="dxa"/>
            <w:gridSpan w:val="2"/>
            <w:vMerge/>
            <w:tcBorders>
              <w:top w:val="single" w:sz="16" w:space="0" w:color="000000"/>
              <w:left w:val="single" w:sz="16" w:space="0" w:color="000000"/>
              <w:bottom w:val="nil"/>
              <w:right w:val="nil"/>
            </w:tcBorders>
            <w:shd w:val="clear" w:color="auto" w:fill="FFFFFF"/>
            <w:vAlign w:val="bottom"/>
          </w:tcPr>
          <w:p w:rsidR="00A61E92" w:rsidRPr="009E691E" w:rsidRDefault="00A61E92" w:rsidP="00A61E92">
            <w:pPr>
              <w:autoSpaceDE w:val="0"/>
              <w:autoSpaceDN w:val="0"/>
              <w:adjustRightInd w:val="0"/>
              <w:rPr>
                <w:rFonts w:eastAsiaTheme="minorHAnsi"/>
                <w:color w:val="000000"/>
                <w:sz w:val="24"/>
                <w:szCs w:val="24"/>
                <w:lang w:eastAsia="en-US"/>
              </w:rPr>
            </w:pPr>
          </w:p>
        </w:tc>
        <w:tc>
          <w:tcPr>
            <w:tcW w:w="1476" w:type="dxa"/>
            <w:tcBorders>
              <w:left w:val="single" w:sz="16" w:space="0" w:color="000000"/>
              <w:bottom w:val="single" w:sz="16" w:space="0" w:color="000000"/>
            </w:tcBorders>
            <w:shd w:val="clear" w:color="auto" w:fill="FFFFFF"/>
            <w:vAlign w:val="bottom"/>
          </w:tcPr>
          <w:p w:rsidR="00A61E92" w:rsidRPr="009E691E" w:rsidRDefault="00A61E92" w:rsidP="00A61E92">
            <w:pPr>
              <w:autoSpaceDE w:val="0"/>
              <w:autoSpaceDN w:val="0"/>
              <w:adjustRightInd w:val="0"/>
              <w:spacing w:line="320" w:lineRule="atLeast"/>
              <w:ind w:left="60" w:right="60"/>
              <w:jc w:val="center"/>
              <w:rPr>
                <w:rFonts w:eastAsiaTheme="minorHAnsi"/>
                <w:color w:val="000000"/>
                <w:sz w:val="24"/>
                <w:szCs w:val="24"/>
                <w:lang w:eastAsia="en-US"/>
              </w:rPr>
            </w:pPr>
            <w:r w:rsidRPr="009E691E">
              <w:rPr>
                <w:rFonts w:eastAsiaTheme="minorHAnsi"/>
                <w:color w:val="000000"/>
                <w:sz w:val="24"/>
                <w:szCs w:val="24"/>
                <w:lang w:eastAsia="en-US"/>
              </w:rPr>
              <w:t>B</w:t>
            </w:r>
          </w:p>
        </w:tc>
        <w:tc>
          <w:tcPr>
            <w:tcW w:w="1476" w:type="dxa"/>
            <w:tcBorders>
              <w:bottom w:val="single" w:sz="16" w:space="0" w:color="000000"/>
            </w:tcBorders>
            <w:shd w:val="clear" w:color="auto" w:fill="FFFFFF"/>
            <w:vAlign w:val="bottom"/>
          </w:tcPr>
          <w:p w:rsidR="00A61E92" w:rsidRPr="009E691E" w:rsidRDefault="009E691E" w:rsidP="00A61E92">
            <w:pPr>
              <w:autoSpaceDE w:val="0"/>
              <w:autoSpaceDN w:val="0"/>
              <w:adjustRightInd w:val="0"/>
              <w:spacing w:line="320" w:lineRule="atLeast"/>
              <w:ind w:left="60" w:right="60"/>
              <w:jc w:val="center"/>
              <w:rPr>
                <w:rFonts w:eastAsiaTheme="minorHAnsi"/>
                <w:color w:val="000000"/>
                <w:sz w:val="24"/>
                <w:szCs w:val="24"/>
                <w:lang w:eastAsia="en-US"/>
              </w:rPr>
            </w:pPr>
            <w:r w:rsidRPr="009E691E">
              <w:rPr>
                <w:rFonts w:eastAsiaTheme="minorHAnsi"/>
                <w:color w:val="000000"/>
                <w:sz w:val="24"/>
                <w:szCs w:val="24"/>
                <w:lang w:eastAsia="en-US"/>
              </w:rPr>
              <w:t>Стандартна похибка</w:t>
            </w:r>
          </w:p>
        </w:tc>
        <w:tc>
          <w:tcPr>
            <w:tcW w:w="2293" w:type="dxa"/>
            <w:tcBorders>
              <w:bottom w:val="single" w:sz="16" w:space="0" w:color="000000"/>
            </w:tcBorders>
            <w:shd w:val="clear" w:color="auto" w:fill="FFFFFF"/>
            <w:vAlign w:val="bottom"/>
          </w:tcPr>
          <w:p w:rsidR="00A61E92" w:rsidRPr="009E691E" w:rsidRDefault="00A61E92" w:rsidP="00A61E92">
            <w:pPr>
              <w:autoSpaceDE w:val="0"/>
              <w:autoSpaceDN w:val="0"/>
              <w:adjustRightInd w:val="0"/>
              <w:spacing w:line="320" w:lineRule="atLeast"/>
              <w:ind w:left="60" w:right="60"/>
              <w:jc w:val="center"/>
              <w:rPr>
                <w:rFonts w:eastAsiaTheme="minorHAnsi"/>
                <w:color w:val="000000"/>
                <w:sz w:val="24"/>
                <w:szCs w:val="24"/>
                <w:lang w:eastAsia="en-US"/>
              </w:rPr>
            </w:pPr>
            <w:r w:rsidRPr="009E691E">
              <w:rPr>
                <w:rFonts w:eastAsiaTheme="minorHAnsi"/>
                <w:color w:val="000000"/>
                <w:sz w:val="24"/>
                <w:szCs w:val="24"/>
                <w:lang w:eastAsia="en-US"/>
              </w:rPr>
              <w:t>Бета</w:t>
            </w:r>
          </w:p>
        </w:tc>
        <w:tc>
          <w:tcPr>
            <w:tcW w:w="1030" w:type="dxa"/>
            <w:vMerge/>
            <w:tcBorders>
              <w:top w:val="single" w:sz="16" w:space="0" w:color="000000"/>
            </w:tcBorders>
            <w:shd w:val="clear" w:color="auto" w:fill="FFFFFF"/>
            <w:vAlign w:val="bottom"/>
          </w:tcPr>
          <w:p w:rsidR="00A61E92" w:rsidRPr="009E691E" w:rsidRDefault="00A61E92" w:rsidP="00A61E92">
            <w:pPr>
              <w:autoSpaceDE w:val="0"/>
              <w:autoSpaceDN w:val="0"/>
              <w:adjustRightInd w:val="0"/>
              <w:rPr>
                <w:rFonts w:eastAsiaTheme="minorHAnsi"/>
                <w:color w:val="000000"/>
                <w:sz w:val="24"/>
                <w:szCs w:val="24"/>
                <w:lang w:eastAsia="en-US"/>
              </w:rPr>
            </w:pPr>
          </w:p>
        </w:tc>
        <w:tc>
          <w:tcPr>
            <w:tcW w:w="1438" w:type="dxa"/>
            <w:vMerge/>
            <w:tcBorders>
              <w:top w:val="single" w:sz="16" w:space="0" w:color="000000"/>
              <w:right w:val="single" w:sz="16" w:space="0" w:color="000000"/>
            </w:tcBorders>
            <w:shd w:val="clear" w:color="auto" w:fill="FFFFFF"/>
            <w:vAlign w:val="bottom"/>
          </w:tcPr>
          <w:p w:rsidR="00A61E92" w:rsidRPr="009E691E" w:rsidRDefault="00A61E92" w:rsidP="00A61E92">
            <w:pPr>
              <w:autoSpaceDE w:val="0"/>
              <w:autoSpaceDN w:val="0"/>
              <w:adjustRightInd w:val="0"/>
              <w:rPr>
                <w:rFonts w:eastAsiaTheme="minorHAnsi"/>
                <w:color w:val="000000"/>
                <w:sz w:val="24"/>
                <w:szCs w:val="24"/>
                <w:lang w:eastAsia="en-US"/>
              </w:rPr>
            </w:pPr>
          </w:p>
        </w:tc>
      </w:tr>
      <w:tr w:rsidR="00A61E92" w:rsidRPr="009E691E" w:rsidTr="009E691E">
        <w:trPr>
          <w:cantSplit/>
        </w:trPr>
        <w:tc>
          <w:tcPr>
            <w:tcW w:w="284" w:type="dxa"/>
            <w:vMerge w:val="restart"/>
            <w:tcBorders>
              <w:top w:val="single" w:sz="16" w:space="0" w:color="000000"/>
              <w:left w:val="single" w:sz="16" w:space="0" w:color="000000"/>
              <w:bottom w:val="single" w:sz="16" w:space="0" w:color="000000"/>
              <w:right w:val="nil"/>
            </w:tcBorders>
            <w:shd w:val="clear" w:color="auto" w:fill="FFFFFF"/>
          </w:tcPr>
          <w:p w:rsidR="00A61E92" w:rsidRPr="009E691E" w:rsidRDefault="00A61E92" w:rsidP="00A61E92">
            <w:pPr>
              <w:autoSpaceDE w:val="0"/>
              <w:autoSpaceDN w:val="0"/>
              <w:adjustRightInd w:val="0"/>
              <w:spacing w:line="320" w:lineRule="atLeast"/>
              <w:ind w:left="60" w:right="60"/>
              <w:rPr>
                <w:rFonts w:eastAsiaTheme="minorHAnsi"/>
                <w:color w:val="000000"/>
                <w:sz w:val="24"/>
                <w:szCs w:val="24"/>
                <w:lang w:eastAsia="en-US"/>
              </w:rPr>
            </w:pPr>
            <w:r w:rsidRPr="009E691E">
              <w:rPr>
                <w:rFonts w:eastAsiaTheme="minorHAnsi"/>
                <w:color w:val="000000"/>
                <w:sz w:val="24"/>
                <w:szCs w:val="24"/>
                <w:lang w:eastAsia="en-US"/>
              </w:rPr>
              <w:t>1</w:t>
            </w:r>
          </w:p>
        </w:tc>
        <w:tc>
          <w:tcPr>
            <w:tcW w:w="1417" w:type="dxa"/>
            <w:tcBorders>
              <w:top w:val="single" w:sz="16" w:space="0" w:color="000000"/>
              <w:left w:val="nil"/>
              <w:bottom w:val="nil"/>
              <w:right w:val="single" w:sz="16" w:space="0" w:color="000000"/>
            </w:tcBorders>
            <w:shd w:val="clear" w:color="auto" w:fill="FFFFFF"/>
          </w:tcPr>
          <w:p w:rsidR="00A61E92" w:rsidRPr="009E691E" w:rsidRDefault="00A61E92" w:rsidP="00A61E92">
            <w:pPr>
              <w:autoSpaceDE w:val="0"/>
              <w:autoSpaceDN w:val="0"/>
              <w:adjustRightInd w:val="0"/>
              <w:spacing w:line="320" w:lineRule="atLeast"/>
              <w:ind w:left="60" w:right="60"/>
              <w:rPr>
                <w:rFonts w:eastAsiaTheme="minorHAnsi"/>
                <w:color w:val="000000"/>
                <w:sz w:val="24"/>
                <w:szCs w:val="24"/>
                <w:lang w:eastAsia="en-US"/>
              </w:rPr>
            </w:pPr>
            <w:r w:rsidRPr="009E691E">
              <w:rPr>
                <w:rFonts w:eastAsiaTheme="minorHAnsi"/>
                <w:color w:val="000000"/>
                <w:sz w:val="24"/>
                <w:szCs w:val="24"/>
                <w:lang w:eastAsia="en-US"/>
              </w:rPr>
              <w:t>(Константа)</w:t>
            </w:r>
          </w:p>
        </w:tc>
        <w:tc>
          <w:tcPr>
            <w:tcW w:w="1476" w:type="dxa"/>
            <w:tcBorders>
              <w:top w:val="single" w:sz="16" w:space="0" w:color="000000"/>
              <w:left w:val="single" w:sz="16" w:space="0" w:color="000000"/>
              <w:bottom w:val="nil"/>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-191,962</w:t>
            </w:r>
          </w:p>
        </w:tc>
        <w:tc>
          <w:tcPr>
            <w:tcW w:w="1476" w:type="dxa"/>
            <w:tcBorders>
              <w:top w:val="single" w:sz="16" w:space="0" w:color="000000"/>
              <w:bottom w:val="nil"/>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16,291</w:t>
            </w:r>
          </w:p>
        </w:tc>
        <w:tc>
          <w:tcPr>
            <w:tcW w:w="2293" w:type="dxa"/>
            <w:tcBorders>
              <w:top w:val="single" w:sz="16" w:space="0" w:color="000000"/>
              <w:bottom w:val="nil"/>
            </w:tcBorders>
            <w:shd w:val="clear" w:color="auto" w:fill="FFFFFF"/>
            <w:vAlign w:val="center"/>
          </w:tcPr>
          <w:p w:rsidR="00A61E92" w:rsidRPr="009E691E" w:rsidRDefault="00A61E92" w:rsidP="00A61E92">
            <w:pPr>
              <w:autoSpaceDE w:val="0"/>
              <w:autoSpaceDN w:val="0"/>
              <w:adjustRightInd w:val="0"/>
              <w:rPr>
                <w:rFonts w:eastAsiaTheme="minorHAnsi"/>
                <w:sz w:val="24"/>
                <w:szCs w:val="24"/>
                <w:lang w:eastAsia="en-US"/>
              </w:rPr>
            </w:pPr>
          </w:p>
        </w:tc>
        <w:tc>
          <w:tcPr>
            <w:tcW w:w="1030" w:type="dxa"/>
            <w:tcBorders>
              <w:top w:val="single" w:sz="16" w:space="0" w:color="000000"/>
              <w:bottom w:val="nil"/>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-11,783</w:t>
            </w:r>
          </w:p>
        </w:tc>
        <w:tc>
          <w:tcPr>
            <w:tcW w:w="1438" w:type="dxa"/>
            <w:tcBorders>
              <w:top w:val="single" w:sz="16" w:space="0" w:color="000000"/>
              <w:bottom w:val="nil"/>
              <w:right w:val="single" w:sz="16" w:space="0" w:color="000000"/>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,000</w:t>
            </w:r>
          </w:p>
        </w:tc>
      </w:tr>
      <w:tr w:rsidR="00A61E92" w:rsidRPr="009E691E" w:rsidTr="009E691E">
        <w:trPr>
          <w:cantSplit/>
        </w:trPr>
        <w:tc>
          <w:tcPr>
            <w:tcW w:w="284" w:type="dxa"/>
            <w:vMerge/>
            <w:tcBorders>
              <w:top w:val="single" w:sz="16" w:space="0" w:color="000000"/>
              <w:left w:val="single" w:sz="16" w:space="0" w:color="000000"/>
              <w:bottom w:val="single" w:sz="16" w:space="0" w:color="000000"/>
              <w:right w:val="nil"/>
            </w:tcBorders>
            <w:shd w:val="clear" w:color="auto" w:fill="FFFFFF"/>
          </w:tcPr>
          <w:p w:rsidR="00A61E92" w:rsidRPr="009E691E" w:rsidRDefault="00A61E92" w:rsidP="00A61E92">
            <w:pPr>
              <w:autoSpaceDE w:val="0"/>
              <w:autoSpaceDN w:val="0"/>
              <w:adjustRightInd w:val="0"/>
              <w:rPr>
                <w:rFonts w:eastAsiaTheme="minorHAnsi"/>
                <w:color w:val="000000"/>
                <w:sz w:val="24"/>
                <w:szCs w:val="24"/>
                <w:lang w:eastAsia="en-US"/>
              </w:rPr>
            </w:pPr>
          </w:p>
        </w:tc>
        <w:tc>
          <w:tcPr>
            <w:tcW w:w="1417" w:type="dxa"/>
            <w:tcBorders>
              <w:top w:val="nil"/>
              <w:left w:val="nil"/>
              <w:bottom w:val="nil"/>
              <w:right w:val="single" w:sz="16" w:space="0" w:color="000000"/>
            </w:tcBorders>
            <w:shd w:val="clear" w:color="auto" w:fill="FFFFFF"/>
          </w:tcPr>
          <w:p w:rsidR="00A61E92" w:rsidRPr="009E691E" w:rsidRDefault="00A61E92" w:rsidP="00A61E92">
            <w:pPr>
              <w:autoSpaceDE w:val="0"/>
              <w:autoSpaceDN w:val="0"/>
              <w:adjustRightInd w:val="0"/>
              <w:spacing w:line="320" w:lineRule="atLeast"/>
              <w:ind w:left="60" w:right="60"/>
              <w:rPr>
                <w:rFonts w:eastAsiaTheme="minorHAnsi"/>
                <w:color w:val="000000"/>
                <w:sz w:val="24"/>
                <w:szCs w:val="24"/>
                <w:lang w:eastAsia="en-US"/>
              </w:rPr>
            </w:pPr>
            <w:r w:rsidRPr="009E691E">
              <w:rPr>
                <w:rFonts w:eastAsiaTheme="minorHAnsi"/>
                <w:color w:val="000000"/>
                <w:sz w:val="24"/>
                <w:szCs w:val="24"/>
                <w:lang w:eastAsia="en-US"/>
              </w:rPr>
              <w:t>y</w:t>
            </w:r>
          </w:p>
        </w:tc>
        <w:tc>
          <w:tcPr>
            <w:tcW w:w="1476" w:type="dxa"/>
            <w:tcBorders>
              <w:top w:val="nil"/>
              <w:left w:val="single" w:sz="16" w:space="0" w:color="000000"/>
              <w:bottom w:val="nil"/>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,530</w:t>
            </w:r>
          </w:p>
        </w:tc>
        <w:tc>
          <w:tcPr>
            <w:tcW w:w="1476" w:type="dxa"/>
            <w:tcBorders>
              <w:top w:val="nil"/>
              <w:bottom w:val="nil"/>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,034</w:t>
            </w:r>
          </w:p>
        </w:tc>
        <w:tc>
          <w:tcPr>
            <w:tcW w:w="2293" w:type="dxa"/>
            <w:tcBorders>
              <w:top w:val="nil"/>
              <w:bottom w:val="nil"/>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,814</w:t>
            </w:r>
          </w:p>
        </w:tc>
        <w:tc>
          <w:tcPr>
            <w:tcW w:w="1030" w:type="dxa"/>
            <w:tcBorders>
              <w:top w:val="nil"/>
              <w:bottom w:val="nil"/>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15,685</w:t>
            </w:r>
          </w:p>
        </w:tc>
        <w:tc>
          <w:tcPr>
            <w:tcW w:w="1438" w:type="dxa"/>
            <w:tcBorders>
              <w:top w:val="nil"/>
              <w:bottom w:val="nil"/>
              <w:right w:val="single" w:sz="16" w:space="0" w:color="000000"/>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,000</w:t>
            </w:r>
          </w:p>
        </w:tc>
      </w:tr>
      <w:tr w:rsidR="00A61E92" w:rsidRPr="009E691E" w:rsidTr="009E691E">
        <w:trPr>
          <w:cantSplit/>
        </w:trPr>
        <w:tc>
          <w:tcPr>
            <w:tcW w:w="284" w:type="dxa"/>
            <w:vMerge/>
            <w:tcBorders>
              <w:top w:val="single" w:sz="16" w:space="0" w:color="000000"/>
              <w:left w:val="single" w:sz="16" w:space="0" w:color="000000"/>
              <w:bottom w:val="single" w:sz="16" w:space="0" w:color="000000"/>
              <w:right w:val="nil"/>
            </w:tcBorders>
            <w:shd w:val="clear" w:color="auto" w:fill="FFFFFF"/>
          </w:tcPr>
          <w:p w:rsidR="00A61E92" w:rsidRPr="009E691E" w:rsidRDefault="00A61E92" w:rsidP="00A61E92">
            <w:pPr>
              <w:autoSpaceDE w:val="0"/>
              <w:autoSpaceDN w:val="0"/>
              <w:adjustRightInd w:val="0"/>
              <w:rPr>
                <w:rFonts w:eastAsiaTheme="minorHAnsi"/>
                <w:color w:val="000000"/>
                <w:sz w:val="24"/>
                <w:szCs w:val="24"/>
                <w:lang w:eastAsia="en-US"/>
              </w:rPr>
            </w:pPr>
          </w:p>
        </w:tc>
        <w:tc>
          <w:tcPr>
            <w:tcW w:w="1417" w:type="dxa"/>
            <w:tcBorders>
              <w:top w:val="nil"/>
              <w:left w:val="nil"/>
              <w:bottom w:val="nil"/>
              <w:right w:val="single" w:sz="16" w:space="0" w:color="000000"/>
            </w:tcBorders>
            <w:shd w:val="clear" w:color="auto" w:fill="FFFFFF"/>
          </w:tcPr>
          <w:p w:rsidR="00A61E92" w:rsidRPr="009E691E" w:rsidRDefault="00221759" w:rsidP="00A61E92">
            <w:pPr>
              <w:autoSpaceDE w:val="0"/>
              <w:autoSpaceDN w:val="0"/>
              <w:adjustRightInd w:val="0"/>
              <w:spacing w:line="320" w:lineRule="atLeast"/>
              <w:ind w:left="60" w:right="60"/>
              <w:rPr>
                <w:rFonts w:eastAsiaTheme="minorHAnsi"/>
                <w:color w:val="000000"/>
                <w:sz w:val="24"/>
                <w:szCs w:val="24"/>
                <w:lang w:eastAsia="en-US"/>
              </w:rPr>
            </w:pPr>
            <w:r w:rsidRPr="009E691E">
              <w:rPr>
                <w:rFonts w:eastAsiaTheme="minorHAnsi"/>
                <w:color w:val="000000"/>
                <w:sz w:val="24"/>
                <w:szCs w:val="24"/>
                <w:lang w:eastAsia="en-US"/>
              </w:rPr>
              <w:t>i</w:t>
            </w:r>
          </w:p>
        </w:tc>
        <w:tc>
          <w:tcPr>
            <w:tcW w:w="1476" w:type="dxa"/>
            <w:tcBorders>
              <w:top w:val="nil"/>
              <w:left w:val="single" w:sz="16" w:space="0" w:color="000000"/>
              <w:bottom w:val="nil"/>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-,723</w:t>
            </w:r>
          </w:p>
        </w:tc>
        <w:tc>
          <w:tcPr>
            <w:tcW w:w="1476" w:type="dxa"/>
            <w:tcBorders>
              <w:top w:val="nil"/>
              <w:bottom w:val="nil"/>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1,454</w:t>
            </w:r>
          </w:p>
        </w:tc>
        <w:tc>
          <w:tcPr>
            <w:tcW w:w="2293" w:type="dxa"/>
            <w:tcBorders>
              <w:top w:val="nil"/>
              <w:bottom w:val="nil"/>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-,025</w:t>
            </w:r>
          </w:p>
        </w:tc>
        <w:tc>
          <w:tcPr>
            <w:tcW w:w="1030" w:type="dxa"/>
            <w:tcBorders>
              <w:top w:val="nil"/>
              <w:bottom w:val="nil"/>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-,497</w:t>
            </w:r>
          </w:p>
        </w:tc>
        <w:tc>
          <w:tcPr>
            <w:tcW w:w="1438" w:type="dxa"/>
            <w:tcBorders>
              <w:top w:val="nil"/>
              <w:bottom w:val="nil"/>
              <w:right w:val="single" w:sz="16" w:space="0" w:color="000000"/>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,629</w:t>
            </w:r>
          </w:p>
        </w:tc>
      </w:tr>
      <w:tr w:rsidR="00A61E92" w:rsidRPr="009E691E" w:rsidTr="009E691E">
        <w:trPr>
          <w:cantSplit/>
        </w:trPr>
        <w:tc>
          <w:tcPr>
            <w:tcW w:w="284" w:type="dxa"/>
            <w:vMerge/>
            <w:tcBorders>
              <w:top w:val="single" w:sz="16" w:space="0" w:color="000000"/>
              <w:left w:val="single" w:sz="16" w:space="0" w:color="000000"/>
              <w:bottom w:val="single" w:sz="16" w:space="0" w:color="000000"/>
              <w:right w:val="nil"/>
            </w:tcBorders>
            <w:shd w:val="clear" w:color="auto" w:fill="FFFFFF"/>
          </w:tcPr>
          <w:p w:rsidR="00A61E92" w:rsidRPr="009E691E" w:rsidRDefault="00A61E92" w:rsidP="00A61E92">
            <w:pPr>
              <w:autoSpaceDE w:val="0"/>
              <w:autoSpaceDN w:val="0"/>
              <w:adjustRightInd w:val="0"/>
              <w:rPr>
                <w:rFonts w:eastAsiaTheme="minorHAnsi"/>
                <w:color w:val="000000"/>
                <w:sz w:val="24"/>
                <w:szCs w:val="24"/>
                <w:lang w:eastAsia="en-US"/>
              </w:rPr>
            </w:pPr>
          </w:p>
        </w:tc>
        <w:tc>
          <w:tcPr>
            <w:tcW w:w="1417" w:type="dxa"/>
            <w:tcBorders>
              <w:top w:val="nil"/>
              <w:left w:val="nil"/>
              <w:bottom w:val="nil"/>
              <w:right w:val="single" w:sz="16" w:space="0" w:color="000000"/>
            </w:tcBorders>
            <w:shd w:val="clear" w:color="auto" w:fill="FFFFFF"/>
          </w:tcPr>
          <w:p w:rsidR="00A61E92" w:rsidRPr="009E691E" w:rsidRDefault="00221759" w:rsidP="00A61E92">
            <w:pPr>
              <w:autoSpaceDE w:val="0"/>
              <w:autoSpaceDN w:val="0"/>
              <w:adjustRightInd w:val="0"/>
              <w:spacing w:line="320" w:lineRule="atLeast"/>
              <w:ind w:left="60" w:right="60"/>
              <w:rPr>
                <w:rFonts w:eastAsiaTheme="minorHAnsi"/>
                <w:color w:val="000000"/>
                <w:sz w:val="24"/>
                <w:szCs w:val="24"/>
                <w:lang w:eastAsia="en-US"/>
              </w:rPr>
            </w:pPr>
            <w:r w:rsidRPr="009E691E">
              <w:rPr>
                <w:rFonts w:eastAsiaTheme="minorHAnsi"/>
                <w:color w:val="000000"/>
                <w:sz w:val="24"/>
                <w:szCs w:val="24"/>
                <w:lang w:eastAsia="en-US"/>
              </w:rPr>
              <w:t>fdi</w:t>
            </w:r>
          </w:p>
        </w:tc>
        <w:tc>
          <w:tcPr>
            <w:tcW w:w="1476" w:type="dxa"/>
            <w:tcBorders>
              <w:top w:val="nil"/>
              <w:left w:val="single" w:sz="16" w:space="0" w:color="000000"/>
              <w:bottom w:val="nil"/>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,426</w:t>
            </w:r>
          </w:p>
        </w:tc>
        <w:tc>
          <w:tcPr>
            <w:tcW w:w="1476" w:type="dxa"/>
            <w:tcBorders>
              <w:top w:val="nil"/>
              <w:bottom w:val="nil"/>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,271</w:t>
            </w:r>
          </w:p>
        </w:tc>
        <w:tc>
          <w:tcPr>
            <w:tcW w:w="2293" w:type="dxa"/>
            <w:tcBorders>
              <w:top w:val="nil"/>
              <w:bottom w:val="nil"/>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,064</w:t>
            </w:r>
          </w:p>
        </w:tc>
        <w:tc>
          <w:tcPr>
            <w:tcW w:w="1030" w:type="dxa"/>
            <w:tcBorders>
              <w:top w:val="nil"/>
              <w:bottom w:val="nil"/>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1,572</w:t>
            </w:r>
          </w:p>
        </w:tc>
        <w:tc>
          <w:tcPr>
            <w:tcW w:w="1438" w:type="dxa"/>
            <w:tcBorders>
              <w:top w:val="nil"/>
              <w:bottom w:val="nil"/>
              <w:right w:val="single" w:sz="16" w:space="0" w:color="000000"/>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,144</w:t>
            </w:r>
          </w:p>
        </w:tc>
      </w:tr>
      <w:tr w:rsidR="00A61E92" w:rsidRPr="009E691E" w:rsidTr="009E691E">
        <w:trPr>
          <w:cantSplit/>
        </w:trPr>
        <w:tc>
          <w:tcPr>
            <w:tcW w:w="284" w:type="dxa"/>
            <w:vMerge/>
            <w:tcBorders>
              <w:top w:val="single" w:sz="16" w:space="0" w:color="000000"/>
              <w:left w:val="single" w:sz="16" w:space="0" w:color="000000"/>
              <w:bottom w:val="single" w:sz="16" w:space="0" w:color="000000"/>
              <w:right w:val="nil"/>
            </w:tcBorders>
            <w:shd w:val="clear" w:color="auto" w:fill="FFFFFF"/>
          </w:tcPr>
          <w:p w:rsidR="00A61E92" w:rsidRPr="009E691E" w:rsidRDefault="00A61E92" w:rsidP="00A61E92">
            <w:pPr>
              <w:autoSpaceDE w:val="0"/>
              <w:autoSpaceDN w:val="0"/>
              <w:adjustRightInd w:val="0"/>
              <w:rPr>
                <w:rFonts w:eastAsiaTheme="minorHAnsi"/>
                <w:color w:val="000000"/>
                <w:sz w:val="24"/>
                <w:szCs w:val="24"/>
                <w:lang w:eastAsia="en-US"/>
              </w:rPr>
            </w:pPr>
          </w:p>
        </w:tc>
        <w:tc>
          <w:tcPr>
            <w:tcW w:w="1417" w:type="dxa"/>
            <w:tcBorders>
              <w:top w:val="nil"/>
              <w:left w:val="nil"/>
              <w:bottom w:val="single" w:sz="16" w:space="0" w:color="000000"/>
              <w:right w:val="single" w:sz="16" w:space="0" w:color="000000"/>
            </w:tcBorders>
            <w:shd w:val="clear" w:color="auto" w:fill="FFFFFF"/>
          </w:tcPr>
          <w:p w:rsidR="00A61E92" w:rsidRPr="009E691E" w:rsidRDefault="00A61E92" w:rsidP="00A61E92">
            <w:pPr>
              <w:autoSpaceDE w:val="0"/>
              <w:autoSpaceDN w:val="0"/>
              <w:adjustRightInd w:val="0"/>
              <w:spacing w:line="320" w:lineRule="atLeast"/>
              <w:ind w:left="60" w:right="60"/>
              <w:rPr>
                <w:rFonts w:eastAsiaTheme="minorHAnsi"/>
                <w:color w:val="000000"/>
                <w:sz w:val="24"/>
                <w:szCs w:val="24"/>
                <w:lang w:eastAsia="en-US"/>
              </w:rPr>
            </w:pPr>
            <w:r w:rsidRPr="009E691E">
              <w:rPr>
                <w:rFonts w:eastAsiaTheme="minorHAnsi"/>
                <w:color w:val="000000"/>
                <w:sz w:val="24"/>
                <w:szCs w:val="24"/>
                <w:lang w:eastAsia="en-US"/>
              </w:rPr>
              <w:t>er</w:t>
            </w:r>
          </w:p>
        </w:tc>
        <w:tc>
          <w:tcPr>
            <w:tcW w:w="1476" w:type="dxa"/>
            <w:tcBorders>
              <w:top w:val="nil"/>
              <w:left w:val="single" w:sz="16" w:space="0" w:color="000000"/>
              <w:bottom w:val="single" w:sz="16" w:space="0" w:color="000000"/>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31,932</w:t>
            </w:r>
          </w:p>
        </w:tc>
        <w:tc>
          <w:tcPr>
            <w:tcW w:w="1476" w:type="dxa"/>
            <w:tcBorders>
              <w:top w:val="nil"/>
              <w:bottom w:val="single" w:sz="16" w:space="0" w:color="000000"/>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5,678</w:t>
            </w:r>
          </w:p>
        </w:tc>
        <w:tc>
          <w:tcPr>
            <w:tcW w:w="2293" w:type="dxa"/>
            <w:tcBorders>
              <w:top w:val="nil"/>
              <w:bottom w:val="single" w:sz="16" w:space="0" w:color="000000"/>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,288</w:t>
            </w:r>
          </w:p>
        </w:tc>
        <w:tc>
          <w:tcPr>
            <w:tcW w:w="1030" w:type="dxa"/>
            <w:tcBorders>
              <w:top w:val="nil"/>
              <w:bottom w:val="single" w:sz="16" w:space="0" w:color="000000"/>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5,624</w:t>
            </w:r>
          </w:p>
        </w:tc>
        <w:tc>
          <w:tcPr>
            <w:tcW w:w="1438" w:type="dxa"/>
            <w:tcBorders>
              <w:top w:val="nil"/>
              <w:bottom w:val="single" w:sz="16" w:space="0" w:color="000000"/>
              <w:right w:val="single" w:sz="16" w:space="0" w:color="000000"/>
            </w:tcBorders>
            <w:shd w:val="clear" w:color="auto" w:fill="FFFFFF"/>
            <w:vAlign w:val="center"/>
          </w:tcPr>
          <w:p w:rsidR="00A61E92" w:rsidRPr="009E691E"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9E691E">
              <w:rPr>
                <w:rFonts w:eastAsiaTheme="minorHAnsi"/>
                <w:color w:val="000000"/>
                <w:sz w:val="24"/>
                <w:szCs w:val="24"/>
                <w:lang w:eastAsia="en-US"/>
              </w:rPr>
              <w:t>,000</w:t>
            </w:r>
          </w:p>
        </w:tc>
      </w:tr>
    </w:tbl>
    <w:p w:rsidR="00A61E92" w:rsidRDefault="009E691E" w:rsidP="009E691E">
      <w:pPr>
        <w:spacing w:line="360" w:lineRule="auto"/>
        <w:jc w:val="both"/>
        <w:rPr>
          <w:sz w:val="28"/>
          <w:lang w:val="ru-RU"/>
        </w:rPr>
      </w:pPr>
      <w:r>
        <w:rPr>
          <w:sz w:val="28"/>
        </w:rPr>
        <w:t xml:space="preserve">Джерело: складено автором на основі даних </w:t>
      </w:r>
      <w:r w:rsidRPr="009E691E">
        <w:rPr>
          <w:sz w:val="28"/>
          <w:lang w:val="ru-RU"/>
        </w:rPr>
        <w:t>[</w:t>
      </w:r>
      <w:r w:rsidR="00B45AA2">
        <w:rPr>
          <w:sz w:val="28"/>
          <w:lang w:val="ru-RU"/>
        </w:rPr>
        <w:t>12</w:t>
      </w:r>
      <w:r w:rsidRPr="009E691E">
        <w:rPr>
          <w:sz w:val="28"/>
          <w:lang w:val="ru-RU"/>
        </w:rPr>
        <w:t>]</w:t>
      </w:r>
      <w:r w:rsidR="00D67A0E">
        <w:rPr>
          <w:sz w:val="28"/>
          <w:lang w:val="ru-RU"/>
        </w:rPr>
        <w:t xml:space="preserve"> і </w:t>
      </w:r>
      <w:r w:rsidR="00D67A0E" w:rsidRPr="009E691E">
        <w:rPr>
          <w:sz w:val="28"/>
          <w:lang w:val="ru-RU"/>
        </w:rPr>
        <w:t>[</w:t>
      </w:r>
      <w:r w:rsidR="00B45AA2">
        <w:rPr>
          <w:sz w:val="28"/>
          <w:lang w:val="ru-RU"/>
        </w:rPr>
        <w:t>13</w:t>
      </w:r>
      <w:r w:rsidR="00D67A0E" w:rsidRPr="009E691E">
        <w:rPr>
          <w:sz w:val="28"/>
          <w:lang w:val="ru-RU"/>
        </w:rPr>
        <w:t>]</w:t>
      </w:r>
    </w:p>
    <w:p w:rsidR="00C32C1D" w:rsidRPr="00C32C1D" w:rsidRDefault="00C32C1D" w:rsidP="00C32C1D">
      <w:pPr>
        <w:spacing w:line="360" w:lineRule="auto"/>
        <w:ind w:firstLine="709"/>
        <w:jc w:val="right"/>
        <w:rPr>
          <w:b/>
          <w:sz w:val="28"/>
          <w:lang w:val="ru-RU"/>
        </w:rPr>
      </w:pPr>
      <w:r w:rsidRPr="00C32C1D">
        <w:rPr>
          <w:b/>
          <w:sz w:val="28"/>
          <w:lang w:val="ru-RU"/>
        </w:rPr>
        <w:t>Таблиця 2.6</w:t>
      </w:r>
    </w:p>
    <w:p w:rsidR="00C32C1D" w:rsidRPr="009E691E" w:rsidRDefault="00C32C1D" w:rsidP="00C32C1D">
      <w:pPr>
        <w:spacing w:line="360" w:lineRule="auto"/>
        <w:ind w:firstLine="709"/>
        <w:jc w:val="center"/>
        <w:rPr>
          <w:b/>
          <w:sz w:val="28"/>
        </w:rPr>
      </w:pPr>
      <w:r w:rsidRPr="009E691E">
        <w:rPr>
          <w:b/>
          <w:sz w:val="28"/>
        </w:rPr>
        <w:t xml:space="preserve">Результати регресійного аналізу факторів формування експорту товарів </w:t>
      </w:r>
      <w:r>
        <w:rPr>
          <w:b/>
          <w:sz w:val="28"/>
        </w:rPr>
        <w:t>Словаччини</w:t>
      </w:r>
    </w:p>
    <w:tbl>
      <w:tblPr>
        <w:tblW w:w="9356"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4"/>
        <w:gridCol w:w="1417"/>
        <w:gridCol w:w="1476"/>
        <w:gridCol w:w="1476"/>
        <w:gridCol w:w="2293"/>
        <w:gridCol w:w="1030"/>
        <w:gridCol w:w="1380"/>
      </w:tblGrid>
      <w:tr w:rsidR="00A61E92" w:rsidRPr="00C32C1D" w:rsidTr="00C32C1D">
        <w:trPr>
          <w:cantSplit/>
        </w:trPr>
        <w:tc>
          <w:tcPr>
            <w:tcW w:w="1701" w:type="dxa"/>
            <w:gridSpan w:val="2"/>
            <w:vMerge w:val="restart"/>
            <w:tcBorders>
              <w:top w:val="single" w:sz="16" w:space="0" w:color="000000"/>
              <w:left w:val="single" w:sz="16" w:space="0" w:color="000000"/>
              <w:bottom w:val="nil"/>
              <w:right w:val="nil"/>
            </w:tcBorders>
            <w:shd w:val="clear" w:color="auto" w:fill="FFFFFF"/>
            <w:vAlign w:val="bottom"/>
          </w:tcPr>
          <w:p w:rsidR="00A61E92" w:rsidRPr="00C32C1D" w:rsidRDefault="00A61E92" w:rsidP="00A61E92">
            <w:pPr>
              <w:autoSpaceDE w:val="0"/>
              <w:autoSpaceDN w:val="0"/>
              <w:adjustRightInd w:val="0"/>
              <w:spacing w:line="320" w:lineRule="atLeast"/>
              <w:ind w:left="60" w:right="60"/>
              <w:rPr>
                <w:rFonts w:eastAsiaTheme="minorHAnsi"/>
                <w:color w:val="000000"/>
                <w:sz w:val="24"/>
                <w:szCs w:val="24"/>
                <w:lang w:eastAsia="en-US"/>
              </w:rPr>
            </w:pPr>
            <w:r w:rsidRPr="00C32C1D">
              <w:rPr>
                <w:rFonts w:eastAsiaTheme="minorHAnsi"/>
                <w:color w:val="000000"/>
                <w:sz w:val="24"/>
                <w:szCs w:val="24"/>
                <w:lang w:eastAsia="en-US"/>
              </w:rPr>
              <w:t>Модель</w:t>
            </w:r>
          </w:p>
        </w:tc>
        <w:tc>
          <w:tcPr>
            <w:tcW w:w="2952" w:type="dxa"/>
            <w:gridSpan w:val="2"/>
            <w:tcBorders>
              <w:top w:val="single" w:sz="16" w:space="0" w:color="000000"/>
              <w:left w:val="single" w:sz="16" w:space="0" w:color="000000"/>
            </w:tcBorders>
            <w:shd w:val="clear" w:color="auto" w:fill="FFFFFF"/>
            <w:vAlign w:val="bottom"/>
          </w:tcPr>
          <w:p w:rsidR="00A61E92" w:rsidRPr="00C32C1D" w:rsidRDefault="00C32C1D" w:rsidP="00A61E92">
            <w:pPr>
              <w:autoSpaceDE w:val="0"/>
              <w:autoSpaceDN w:val="0"/>
              <w:adjustRightInd w:val="0"/>
              <w:spacing w:line="320" w:lineRule="atLeast"/>
              <w:ind w:left="60" w:right="60"/>
              <w:jc w:val="center"/>
              <w:rPr>
                <w:rFonts w:eastAsiaTheme="minorHAnsi"/>
                <w:color w:val="000000"/>
                <w:sz w:val="24"/>
                <w:szCs w:val="24"/>
                <w:lang w:eastAsia="en-US"/>
              </w:rPr>
            </w:pPr>
            <w:r w:rsidRPr="00C32C1D">
              <w:rPr>
                <w:rFonts w:eastAsiaTheme="minorHAnsi"/>
                <w:color w:val="000000"/>
                <w:sz w:val="24"/>
                <w:szCs w:val="24"/>
                <w:lang w:eastAsia="en-US"/>
              </w:rPr>
              <w:t>Нестандартизовані коефіцієнти</w:t>
            </w:r>
          </w:p>
        </w:tc>
        <w:tc>
          <w:tcPr>
            <w:tcW w:w="2293" w:type="dxa"/>
            <w:tcBorders>
              <w:top w:val="single" w:sz="16" w:space="0" w:color="000000"/>
            </w:tcBorders>
            <w:shd w:val="clear" w:color="auto" w:fill="FFFFFF"/>
            <w:vAlign w:val="bottom"/>
          </w:tcPr>
          <w:p w:rsidR="00A61E92" w:rsidRPr="00C32C1D" w:rsidRDefault="00C32C1D" w:rsidP="00A61E92">
            <w:pPr>
              <w:autoSpaceDE w:val="0"/>
              <w:autoSpaceDN w:val="0"/>
              <w:adjustRightInd w:val="0"/>
              <w:spacing w:line="320" w:lineRule="atLeast"/>
              <w:ind w:left="60" w:right="60"/>
              <w:jc w:val="center"/>
              <w:rPr>
                <w:rFonts w:eastAsiaTheme="minorHAnsi"/>
                <w:color w:val="000000"/>
                <w:sz w:val="24"/>
                <w:szCs w:val="24"/>
                <w:lang w:eastAsia="en-US"/>
              </w:rPr>
            </w:pPr>
            <w:r w:rsidRPr="00C32C1D">
              <w:rPr>
                <w:rFonts w:eastAsiaTheme="minorHAnsi"/>
                <w:color w:val="000000"/>
                <w:sz w:val="24"/>
                <w:szCs w:val="24"/>
                <w:lang w:eastAsia="en-US"/>
              </w:rPr>
              <w:t>Стандартизовані коефіцієнти</w:t>
            </w:r>
          </w:p>
        </w:tc>
        <w:tc>
          <w:tcPr>
            <w:tcW w:w="1030" w:type="dxa"/>
            <w:vMerge w:val="restart"/>
            <w:tcBorders>
              <w:top w:val="single" w:sz="16" w:space="0" w:color="000000"/>
            </w:tcBorders>
            <w:shd w:val="clear" w:color="auto" w:fill="FFFFFF"/>
            <w:vAlign w:val="bottom"/>
          </w:tcPr>
          <w:p w:rsidR="00A61E92" w:rsidRPr="00C32C1D" w:rsidRDefault="00A61E92" w:rsidP="00A61E92">
            <w:pPr>
              <w:autoSpaceDE w:val="0"/>
              <w:autoSpaceDN w:val="0"/>
              <w:adjustRightInd w:val="0"/>
              <w:spacing w:line="320" w:lineRule="atLeast"/>
              <w:ind w:left="60" w:right="60"/>
              <w:jc w:val="center"/>
              <w:rPr>
                <w:rFonts w:eastAsiaTheme="minorHAnsi"/>
                <w:color w:val="000000"/>
                <w:sz w:val="24"/>
                <w:szCs w:val="24"/>
                <w:lang w:eastAsia="en-US"/>
              </w:rPr>
            </w:pPr>
            <w:r w:rsidRPr="00C32C1D">
              <w:rPr>
                <w:rFonts w:eastAsiaTheme="minorHAnsi"/>
                <w:color w:val="000000"/>
                <w:sz w:val="24"/>
                <w:szCs w:val="24"/>
                <w:lang w:eastAsia="en-US"/>
              </w:rPr>
              <w:t>т</w:t>
            </w:r>
          </w:p>
        </w:tc>
        <w:tc>
          <w:tcPr>
            <w:tcW w:w="1380" w:type="dxa"/>
            <w:vMerge w:val="restart"/>
            <w:tcBorders>
              <w:top w:val="single" w:sz="16" w:space="0" w:color="000000"/>
              <w:right w:val="single" w:sz="16" w:space="0" w:color="000000"/>
            </w:tcBorders>
            <w:shd w:val="clear" w:color="auto" w:fill="FFFFFF"/>
            <w:vAlign w:val="bottom"/>
          </w:tcPr>
          <w:p w:rsidR="00A61E92" w:rsidRPr="00C32C1D" w:rsidRDefault="00C32C1D" w:rsidP="00A61E92">
            <w:pPr>
              <w:autoSpaceDE w:val="0"/>
              <w:autoSpaceDN w:val="0"/>
              <w:adjustRightInd w:val="0"/>
              <w:spacing w:line="320" w:lineRule="atLeast"/>
              <w:ind w:left="60" w:right="60"/>
              <w:jc w:val="center"/>
              <w:rPr>
                <w:rFonts w:eastAsiaTheme="minorHAnsi"/>
                <w:color w:val="000000"/>
                <w:sz w:val="24"/>
                <w:szCs w:val="24"/>
                <w:lang w:eastAsia="en-US"/>
              </w:rPr>
            </w:pPr>
            <w:r w:rsidRPr="00C32C1D">
              <w:rPr>
                <w:rFonts w:eastAsiaTheme="minorHAnsi"/>
                <w:color w:val="000000"/>
                <w:sz w:val="24"/>
                <w:szCs w:val="24"/>
                <w:lang w:eastAsia="en-US"/>
              </w:rPr>
              <w:t>Значимість</w:t>
            </w:r>
          </w:p>
        </w:tc>
      </w:tr>
      <w:tr w:rsidR="00A61E92" w:rsidRPr="00C32C1D" w:rsidTr="00C32C1D">
        <w:trPr>
          <w:cantSplit/>
        </w:trPr>
        <w:tc>
          <w:tcPr>
            <w:tcW w:w="1701" w:type="dxa"/>
            <w:gridSpan w:val="2"/>
            <w:vMerge/>
            <w:tcBorders>
              <w:top w:val="single" w:sz="16" w:space="0" w:color="000000"/>
              <w:left w:val="single" w:sz="16" w:space="0" w:color="000000"/>
              <w:bottom w:val="nil"/>
              <w:right w:val="nil"/>
            </w:tcBorders>
            <w:shd w:val="clear" w:color="auto" w:fill="FFFFFF"/>
            <w:vAlign w:val="bottom"/>
          </w:tcPr>
          <w:p w:rsidR="00A61E92" w:rsidRPr="00C32C1D" w:rsidRDefault="00A61E92" w:rsidP="00A61E92">
            <w:pPr>
              <w:autoSpaceDE w:val="0"/>
              <w:autoSpaceDN w:val="0"/>
              <w:adjustRightInd w:val="0"/>
              <w:rPr>
                <w:rFonts w:eastAsiaTheme="minorHAnsi"/>
                <w:color w:val="000000"/>
                <w:sz w:val="24"/>
                <w:szCs w:val="24"/>
                <w:lang w:eastAsia="en-US"/>
              </w:rPr>
            </w:pPr>
          </w:p>
        </w:tc>
        <w:tc>
          <w:tcPr>
            <w:tcW w:w="1476" w:type="dxa"/>
            <w:tcBorders>
              <w:left w:val="single" w:sz="16" w:space="0" w:color="000000"/>
              <w:bottom w:val="single" w:sz="16" w:space="0" w:color="000000"/>
            </w:tcBorders>
            <w:shd w:val="clear" w:color="auto" w:fill="FFFFFF"/>
            <w:vAlign w:val="bottom"/>
          </w:tcPr>
          <w:p w:rsidR="00A61E92" w:rsidRPr="00C32C1D" w:rsidRDefault="00A61E92" w:rsidP="00A61E92">
            <w:pPr>
              <w:autoSpaceDE w:val="0"/>
              <w:autoSpaceDN w:val="0"/>
              <w:adjustRightInd w:val="0"/>
              <w:spacing w:line="320" w:lineRule="atLeast"/>
              <w:ind w:left="60" w:right="60"/>
              <w:jc w:val="center"/>
              <w:rPr>
                <w:rFonts w:eastAsiaTheme="minorHAnsi"/>
                <w:color w:val="000000"/>
                <w:sz w:val="24"/>
                <w:szCs w:val="24"/>
                <w:lang w:eastAsia="en-US"/>
              </w:rPr>
            </w:pPr>
            <w:r w:rsidRPr="00C32C1D">
              <w:rPr>
                <w:rFonts w:eastAsiaTheme="minorHAnsi"/>
                <w:color w:val="000000"/>
                <w:sz w:val="24"/>
                <w:szCs w:val="24"/>
                <w:lang w:eastAsia="en-US"/>
              </w:rPr>
              <w:t>B</w:t>
            </w:r>
          </w:p>
        </w:tc>
        <w:tc>
          <w:tcPr>
            <w:tcW w:w="1476" w:type="dxa"/>
            <w:tcBorders>
              <w:bottom w:val="single" w:sz="16" w:space="0" w:color="000000"/>
            </w:tcBorders>
            <w:shd w:val="clear" w:color="auto" w:fill="FFFFFF"/>
            <w:vAlign w:val="bottom"/>
          </w:tcPr>
          <w:p w:rsidR="00A61E92" w:rsidRPr="00C32C1D" w:rsidRDefault="00C32C1D" w:rsidP="00A61E92">
            <w:pPr>
              <w:autoSpaceDE w:val="0"/>
              <w:autoSpaceDN w:val="0"/>
              <w:adjustRightInd w:val="0"/>
              <w:spacing w:line="320" w:lineRule="atLeast"/>
              <w:ind w:left="60" w:right="60"/>
              <w:jc w:val="center"/>
              <w:rPr>
                <w:rFonts w:eastAsiaTheme="minorHAnsi"/>
                <w:color w:val="000000"/>
                <w:sz w:val="24"/>
                <w:szCs w:val="24"/>
                <w:lang w:eastAsia="en-US"/>
              </w:rPr>
            </w:pPr>
            <w:r w:rsidRPr="00C32C1D">
              <w:rPr>
                <w:rFonts w:eastAsiaTheme="minorHAnsi"/>
                <w:color w:val="000000"/>
                <w:sz w:val="24"/>
                <w:szCs w:val="24"/>
                <w:lang w:eastAsia="en-US"/>
              </w:rPr>
              <w:t>Стандартна похибка</w:t>
            </w:r>
          </w:p>
        </w:tc>
        <w:tc>
          <w:tcPr>
            <w:tcW w:w="2293" w:type="dxa"/>
            <w:tcBorders>
              <w:bottom w:val="single" w:sz="16" w:space="0" w:color="000000"/>
            </w:tcBorders>
            <w:shd w:val="clear" w:color="auto" w:fill="FFFFFF"/>
            <w:vAlign w:val="bottom"/>
          </w:tcPr>
          <w:p w:rsidR="00A61E92" w:rsidRPr="00C32C1D" w:rsidRDefault="00A61E92" w:rsidP="00A61E92">
            <w:pPr>
              <w:autoSpaceDE w:val="0"/>
              <w:autoSpaceDN w:val="0"/>
              <w:adjustRightInd w:val="0"/>
              <w:spacing w:line="320" w:lineRule="atLeast"/>
              <w:ind w:left="60" w:right="60"/>
              <w:jc w:val="center"/>
              <w:rPr>
                <w:rFonts w:eastAsiaTheme="minorHAnsi"/>
                <w:color w:val="000000"/>
                <w:sz w:val="24"/>
                <w:szCs w:val="24"/>
                <w:lang w:eastAsia="en-US"/>
              </w:rPr>
            </w:pPr>
            <w:r w:rsidRPr="00C32C1D">
              <w:rPr>
                <w:rFonts w:eastAsiaTheme="minorHAnsi"/>
                <w:color w:val="000000"/>
                <w:sz w:val="24"/>
                <w:szCs w:val="24"/>
                <w:lang w:eastAsia="en-US"/>
              </w:rPr>
              <w:t>Бета</w:t>
            </w:r>
          </w:p>
        </w:tc>
        <w:tc>
          <w:tcPr>
            <w:tcW w:w="1030" w:type="dxa"/>
            <w:vMerge/>
            <w:tcBorders>
              <w:top w:val="single" w:sz="16" w:space="0" w:color="000000"/>
            </w:tcBorders>
            <w:shd w:val="clear" w:color="auto" w:fill="FFFFFF"/>
            <w:vAlign w:val="bottom"/>
          </w:tcPr>
          <w:p w:rsidR="00A61E92" w:rsidRPr="00C32C1D" w:rsidRDefault="00A61E92" w:rsidP="00A61E92">
            <w:pPr>
              <w:autoSpaceDE w:val="0"/>
              <w:autoSpaceDN w:val="0"/>
              <w:adjustRightInd w:val="0"/>
              <w:rPr>
                <w:rFonts w:eastAsiaTheme="minorHAnsi"/>
                <w:color w:val="000000"/>
                <w:sz w:val="24"/>
                <w:szCs w:val="24"/>
                <w:lang w:eastAsia="en-US"/>
              </w:rPr>
            </w:pPr>
          </w:p>
        </w:tc>
        <w:tc>
          <w:tcPr>
            <w:tcW w:w="1380" w:type="dxa"/>
            <w:vMerge/>
            <w:tcBorders>
              <w:top w:val="single" w:sz="16" w:space="0" w:color="000000"/>
              <w:right w:val="single" w:sz="16" w:space="0" w:color="000000"/>
            </w:tcBorders>
            <w:shd w:val="clear" w:color="auto" w:fill="FFFFFF"/>
            <w:vAlign w:val="bottom"/>
          </w:tcPr>
          <w:p w:rsidR="00A61E92" w:rsidRPr="00C32C1D" w:rsidRDefault="00A61E92" w:rsidP="00A61E92">
            <w:pPr>
              <w:autoSpaceDE w:val="0"/>
              <w:autoSpaceDN w:val="0"/>
              <w:adjustRightInd w:val="0"/>
              <w:rPr>
                <w:rFonts w:eastAsiaTheme="minorHAnsi"/>
                <w:color w:val="000000"/>
                <w:sz w:val="24"/>
                <w:szCs w:val="24"/>
                <w:lang w:eastAsia="en-US"/>
              </w:rPr>
            </w:pPr>
          </w:p>
        </w:tc>
      </w:tr>
      <w:tr w:rsidR="00A61E92" w:rsidRPr="00C32C1D" w:rsidTr="00C32C1D">
        <w:trPr>
          <w:cantSplit/>
        </w:trPr>
        <w:tc>
          <w:tcPr>
            <w:tcW w:w="284" w:type="dxa"/>
            <w:vMerge w:val="restart"/>
            <w:tcBorders>
              <w:top w:val="single" w:sz="16" w:space="0" w:color="000000"/>
              <w:left w:val="single" w:sz="16" w:space="0" w:color="000000"/>
              <w:bottom w:val="single" w:sz="16" w:space="0" w:color="000000"/>
              <w:right w:val="nil"/>
            </w:tcBorders>
            <w:shd w:val="clear" w:color="auto" w:fill="FFFFFF"/>
          </w:tcPr>
          <w:p w:rsidR="00A61E92" w:rsidRPr="00C32C1D" w:rsidRDefault="00A61E92" w:rsidP="00A61E92">
            <w:pPr>
              <w:autoSpaceDE w:val="0"/>
              <w:autoSpaceDN w:val="0"/>
              <w:adjustRightInd w:val="0"/>
              <w:spacing w:line="320" w:lineRule="atLeast"/>
              <w:ind w:left="60" w:right="60"/>
              <w:rPr>
                <w:rFonts w:eastAsiaTheme="minorHAnsi"/>
                <w:color w:val="000000"/>
                <w:sz w:val="24"/>
                <w:szCs w:val="24"/>
                <w:lang w:eastAsia="en-US"/>
              </w:rPr>
            </w:pPr>
            <w:r w:rsidRPr="00C32C1D">
              <w:rPr>
                <w:rFonts w:eastAsiaTheme="minorHAnsi"/>
                <w:color w:val="000000"/>
                <w:sz w:val="24"/>
                <w:szCs w:val="24"/>
                <w:lang w:eastAsia="en-US"/>
              </w:rPr>
              <w:t>1</w:t>
            </w:r>
          </w:p>
        </w:tc>
        <w:tc>
          <w:tcPr>
            <w:tcW w:w="1417" w:type="dxa"/>
            <w:tcBorders>
              <w:top w:val="single" w:sz="16" w:space="0" w:color="000000"/>
              <w:left w:val="nil"/>
              <w:bottom w:val="nil"/>
              <w:right w:val="single" w:sz="16" w:space="0" w:color="000000"/>
            </w:tcBorders>
            <w:shd w:val="clear" w:color="auto" w:fill="FFFFFF"/>
          </w:tcPr>
          <w:p w:rsidR="00A61E92" w:rsidRPr="00C32C1D" w:rsidRDefault="00A61E92" w:rsidP="00A61E92">
            <w:pPr>
              <w:autoSpaceDE w:val="0"/>
              <w:autoSpaceDN w:val="0"/>
              <w:adjustRightInd w:val="0"/>
              <w:spacing w:line="320" w:lineRule="atLeast"/>
              <w:ind w:left="60" w:right="60"/>
              <w:rPr>
                <w:rFonts w:eastAsiaTheme="minorHAnsi"/>
                <w:color w:val="000000"/>
                <w:sz w:val="24"/>
                <w:szCs w:val="24"/>
                <w:lang w:eastAsia="en-US"/>
              </w:rPr>
            </w:pPr>
            <w:r w:rsidRPr="00C32C1D">
              <w:rPr>
                <w:rFonts w:eastAsiaTheme="minorHAnsi"/>
                <w:color w:val="000000"/>
                <w:sz w:val="24"/>
                <w:szCs w:val="24"/>
                <w:lang w:eastAsia="en-US"/>
              </w:rPr>
              <w:t>(Константа)</w:t>
            </w:r>
          </w:p>
        </w:tc>
        <w:tc>
          <w:tcPr>
            <w:tcW w:w="1476" w:type="dxa"/>
            <w:tcBorders>
              <w:top w:val="single" w:sz="16" w:space="0" w:color="000000"/>
              <w:left w:val="single" w:sz="16" w:space="0" w:color="000000"/>
              <w:bottom w:val="nil"/>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-32,807</w:t>
            </w:r>
          </w:p>
        </w:tc>
        <w:tc>
          <w:tcPr>
            <w:tcW w:w="1476" w:type="dxa"/>
            <w:tcBorders>
              <w:top w:val="single" w:sz="16" w:space="0" w:color="000000"/>
              <w:bottom w:val="nil"/>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23,188</w:t>
            </w:r>
          </w:p>
        </w:tc>
        <w:tc>
          <w:tcPr>
            <w:tcW w:w="2293" w:type="dxa"/>
            <w:tcBorders>
              <w:top w:val="single" w:sz="16" w:space="0" w:color="000000"/>
              <w:bottom w:val="nil"/>
            </w:tcBorders>
            <w:shd w:val="clear" w:color="auto" w:fill="FFFFFF"/>
            <w:vAlign w:val="center"/>
          </w:tcPr>
          <w:p w:rsidR="00A61E92" w:rsidRPr="00C32C1D" w:rsidRDefault="00A61E92" w:rsidP="00A61E92">
            <w:pPr>
              <w:autoSpaceDE w:val="0"/>
              <w:autoSpaceDN w:val="0"/>
              <w:adjustRightInd w:val="0"/>
              <w:rPr>
                <w:rFonts w:eastAsiaTheme="minorHAnsi"/>
                <w:sz w:val="24"/>
                <w:szCs w:val="24"/>
                <w:lang w:eastAsia="en-US"/>
              </w:rPr>
            </w:pPr>
          </w:p>
        </w:tc>
        <w:tc>
          <w:tcPr>
            <w:tcW w:w="1030" w:type="dxa"/>
            <w:tcBorders>
              <w:top w:val="single" w:sz="16" w:space="0" w:color="000000"/>
              <w:bottom w:val="nil"/>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-1,415</w:t>
            </w:r>
          </w:p>
        </w:tc>
        <w:tc>
          <w:tcPr>
            <w:tcW w:w="1380" w:type="dxa"/>
            <w:tcBorders>
              <w:top w:val="single" w:sz="16" w:space="0" w:color="000000"/>
              <w:bottom w:val="nil"/>
              <w:right w:val="single" w:sz="16" w:space="0" w:color="000000"/>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,185</w:t>
            </w:r>
          </w:p>
        </w:tc>
      </w:tr>
      <w:tr w:rsidR="00A61E92" w:rsidRPr="00C32C1D" w:rsidTr="00C32C1D">
        <w:trPr>
          <w:cantSplit/>
        </w:trPr>
        <w:tc>
          <w:tcPr>
            <w:tcW w:w="284" w:type="dxa"/>
            <w:vMerge/>
            <w:tcBorders>
              <w:top w:val="single" w:sz="16" w:space="0" w:color="000000"/>
              <w:left w:val="single" w:sz="16" w:space="0" w:color="000000"/>
              <w:bottom w:val="single" w:sz="16" w:space="0" w:color="000000"/>
              <w:right w:val="nil"/>
            </w:tcBorders>
            <w:shd w:val="clear" w:color="auto" w:fill="FFFFFF"/>
          </w:tcPr>
          <w:p w:rsidR="00A61E92" w:rsidRPr="00C32C1D" w:rsidRDefault="00A61E92" w:rsidP="00A61E92">
            <w:pPr>
              <w:autoSpaceDE w:val="0"/>
              <w:autoSpaceDN w:val="0"/>
              <w:adjustRightInd w:val="0"/>
              <w:rPr>
                <w:rFonts w:eastAsiaTheme="minorHAnsi"/>
                <w:color w:val="000000"/>
                <w:sz w:val="24"/>
                <w:szCs w:val="24"/>
                <w:lang w:eastAsia="en-US"/>
              </w:rPr>
            </w:pPr>
          </w:p>
        </w:tc>
        <w:tc>
          <w:tcPr>
            <w:tcW w:w="1417" w:type="dxa"/>
            <w:tcBorders>
              <w:top w:val="nil"/>
              <w:left w:val="nil"/>
              <w:bottom w:val="nil"/>
              <w:right w:val="single" w:sz="16" w:space="0" w:color="000000"/>
            </w:tcBorders>
            <w:shd w:val="clear" w:color="auto" w:fill="FFFFFF"/>
          </w:tcPr>
          <w:p w:rsidR="00A61E92" w:rsidRPr="00C32C1D" w:rsidRDefault="00A61E92" w:rsidP="00A61E92">
            <w:pPr>
              <w:autoSpaceDE w:val="0"/>
              <w:autoSpaceDN w:val="0"/>
              <w:adjustRightInd w:val="0"/>
              <w:spacing w:line="320" w:lineRule="atLeast"/>
              <w:ind w:left="60" w:right="60"/>
              <w:rPr>
                <w:rFonts w:eastAsiaTheme="minorHAnsi"/>
                <w:color w:val="000000"/>
                <w:sz w:val="24"/>
                <w:szCs w:val="24"/>
                <w:lang w:eastAsia="en-US"/>
              </w:rPr>
            </w:pPr>
            <w:r w:rsidRPr="00C32C1D">
              <w:rPr>
                <w:rFonts w:eastAsiaTheme="minorHAnsi"/>
                <w:color w:val="000000"/>
                <w:sz w:val="24"/>
                <w:szCs w:val="24"/>
                <w:lang w:eastAsia="en-US"/>
              </w:rPr>
              <w:t>y</w:t>
            </w:r>
          </w:p>
        </w:tc>
        <w:tc>
          <w:tcPr>
            <w:tcW w:w="1476" w:type="dxa"/>
            <w:tcBorders>
              <w:top w:val="nil"/>
              <w:left w:val="single" w:sz="16" w:space="0" w:color="000000"/>
              <w:bottom w:val="nil"/>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1,121</w:t>
            </w:r>
          </w:p>
        </w:tc>
        <w:tc>
          <w:tcPr>
            <w:tcW w:w="1476" w:type="dxa"/>
            <w:tcBorders>
              <w:top w:val="nil"/>
              <w:bottom w:val="nil"/>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,235</w:t>
            </w:r>
          </w:p>
        </w:tc>
        <w:tc>
          <w:tcPr>
            <w:tcW w:w="2293" w:type="dxa"/>
            <w:tcBorders>
              <w:top w:val="nil"/>
              <w:bottom w:val="nil"/>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,954</w:t>
            </w:r>
          </w:p>
        </w:tc>
        <w:tc>
          <w:tcPr>
            <w:tcW w:w="1030" w:type="dxa"/>
            <w:tcBorders>
              <w:top w:val="nil"/>
              <w:bottom w:val="nil"/>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4,760</w:t>
            </w:r>
          </w:p>
        </w:tc>
        <w:tc>
          <w:tcPr>
            <w:tcW w:w="1380" w:type="dxa"/>
            <w:tcBorders>
              <w:top w:val="nil"/>
              <w:bottom w:val="nil"/>
              <w:right w:val="single" w:sz="16" w:space="0" w:color="000000"/>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,001</w:t>
            </w:r>
          </w:p>
        </w:tc>
      </w:tr>
      <w:tr w:rsidR="00A61E92" w:rsidRPr="00C32C1D" w:rsidTr="00C32C1D">
        <w:trPr>
          <w:cantSplit/>
        </w:trPr>
        <w:tc>
          <w:tcPr>
            <w:tcW w:w="284" w:type="dxa"/>
            <w:vMerge/>
            <w:tcBorders>
              <w:top w:val="single" w:sz="16" w:space="0" w:color="000000"/>
              <w:left w:val="single" w:sz="16" w:space="0" w:color="000000"/>
              <w:bottom w:val="single" w:sz="16" w:space="0" w:color="000000"/>
              <w:right w:val="nil"/>
            </w:tcBorders>
            <w:shd w:val="clear" w:color="auto" w:fill="FFFFFF"/>
          </w:tcPr>
          <w:p w:rsidR="00A61E92" w:rsidRPr="00C32C1D" w:rsidRDefault="00A61E92" w:rsidP="00A61E92">
            <w:pPr>
              <w:autoSpaceDE w:val="0"/>
              <w:autoSpaceDN w:val="0"/>
              <w:adjustRightInd w:val="0"/>
              <w:rPr>
                <w:rFonts w:eastAsiaTheme="minorHAnsi"/>
                <w:color w:val="000000"/>
                <w:sz w:val="24"/>
                <w:szCs w:val="24"/>
                <w:lang w:eastAsia="en-US"/>
              </w:rPr>
            </w:pPr>
          </w:p>
        </w:tc>
        <w:tc>
          <w:tcPr>
            <w:tcW w:w="1417" w:type="dxa"/>
            <w:tcBorders>
              <w:top w:val="nil"/>
              <w:left w:val="nil"/>
              <w:bottom w:val="nil"/>
              <w:right w:val="single" w:sz="16" w:space="0" w:color="000000"/>
            </w:tcBorders>
            <w:shd w:val="clear" w:color="auto" w:fill="FFFFFF"/>
          </w:tcPr>
          <w:p w:rsidR="00A61E92" w:rsidRPr="00C32C1D" w:rsidRDefault="00221759" w:rsidP="00A61E92">
            <w:pPr>
              <w:autoSpaceDE w:val="0"/>
              <w:autoSpaceDN w:val="0"/>
              <w:adjustRightInd w:val="0"/>
              <w:spacing w:line="320" w:lineRule="atLeast"/>
              <w:ind w:left="60" w:right="60"/>
              <w:rPr>
                <w:rFonts w:eastAsiaTheme="minorHAnsi"/>
                <w:color w:val="000000"/>
                <w:sz w:val="24"/>
                <w:szCs w:val="24"/>
                <w:lang w:eastAsia="en-US"/>
              </w:rPr>
            </w:pPr>
            <w:r w:rsidRPr="00C32C1D">
              <w:rPr>
                <w:rFonts w:eastAsiaTheme="minorHAnsi"/>
                <w:color w:val="000000"/>
                <w:sz w:val="24"/>
                <w:szCs w:val="24"/>
                <w:lang w:eastAsia="en-US"/>
              </w:rPr>
              <w:t>i</w:t>
            </w:r>
          </w:p>
        </w:tc>
        <w:tc>
          <w:tcPr>
            <w:tcW w:w="1476" w:type="dxa"/>
            <w:tcBorders>
              <w:top w:val="nil"/>
              <w:left w:val="single" w:sz="16" w:space="0" w:color="000000"/>
              <w:bottom w:val="nil"/>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-1,324</w:t>
            </w:r>
          </w:p>
        </w:tc>
        <w:tc>
          <w:tcPr>
            <w:tcW w:w="1476" w:type="dxa"/>
            <w:tcBorders>
              <w:top w:val="nil"/>
              <w:bottom w:val="nil"/>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1,471</w:t>
            </w:r>
          </w:p>
        </w:tc>
        <w:tc>
          <w:tcPr>
            <w:tcW w:w="2293" w:type="dxa"/>
            <w:tcBorders>
              <w:top w:val="nil"/>
              <w:bottom w:val="nil"/>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-,173</w:t>
            </w:r>
          </w:p>
        </w:tc>
        <w:tc>
          <w:tcPr>
            <w:tcW w:w="1030" w:type="dxa"/>
            <w:tcBorders>
              <w:top w:val="nil"/>
              <w:bottom w:val="nil"/>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-,900</w:t>
            </w:r>
          </w:p>
        </w:tc>
        <w:tc>
          <w:tcPr>
            <w:tcW w:w="1380" w:type="dxa"/>
            <w:tcBorders>
              <w:top w:val="nil"/>
              <w:bottom w:val="nil"/>
              <w:right w:val="single" w:sz="16" w:space="0" w:color="000000"/>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,387</w:t>
            </w:r>
          </w:p>
        </w:tc>
      </w:tr>
      <w:tr w:rsidR="00A61E92" w:rsidRPr="00C32C1D" w:rsidTr="00C32C1D">
        <w:trPr>
          <w:cantSplit/>
        </w:trPr>
        <w:tc>
          <w:tcPr>
            <w:tcW w:w="284" w:type="dxa"/>
            <w:vMerge/>
            <w:tcBorders>
              <w:top w:val="single" w:sz="16" w:space="0" w:color="000000"/>
              <w:left w:val="single" w:sz="16" w:space="0" w:color="000000"/>
              <w:bottom w:val="single" w:sz="16" w:space="0" w:color="000000"/>
              <w:right w:val="nil"/>
            </w:tcBorders>
            <w:shd w:val="clear" w:color="auto" w:fill="FFFFFF"/>
          </w:tcPr>
          <w:p w:rsidR="00A61E92" w:rsidRPr="00C32C1D" w:rsidRDefault="00A61E92" w:rsidP="00A61E92">
            <w:pPr>
              <w:autoSpaceDE w:val="0"/>
              <w:autoSpaceDN w:val="0"/>
              <w:adjustRightInd w:val="0"/>
              <w:rPr>
                <w:rFonts w:eastAsiaTheme="minorHAnsi"/>
                <w:color w:val="000000"/>
                <w:sz w:val="24"/>
                <w:szCs w:val="24"/>
                <w:lang w:eastAsia="en-US"/>
              </w:rPr>
            </w:pPr>
          </w:p>
        </w:tc>
        <w:tc>
          <w:tcPr>
            <w:tcW w:w="1417" w:type="dxa"/>
            <w:tcBorders>
              <w:top w:val="nil"/>
              <w:left w:val="nil"/>
              <w:bottom w:val="nil"/>
              <w:right w:val="single" w:sz="16" w:space="0" w:color="000000"/>
            </w:tcBorders>
            <w:shd w:val="clear" w:color="auto" w:fill="FFFFFF"/>
          </w:tcPr>
          <w:p w:rsidR="00A61E92" w:rsidRPr="00C32C1D" w:rsidRDefault="00221759" w:rsidP="00A61E92">
            <w:pPr>
              <w:autoSpaceDE w:val="0"/>
              <w:autoSpaceDN w:val="0"/>
              <w:adjustRightInd w:val="0"/>
              <w:spacing w:line="320" w:lineRule="atLeast"/>
              <w:ind w:left="60" w:right="60"/>
              <w:rPr>
                <w:rFonts w:eastAsiaTheme="minorHAnsi"/>
                <w:color w:val="000000"/>
                <w:sz w:val="24"/>
                <w:szCs w:val="24"/>
                <w:lang w:eastAsia="en-US"/>
              </w:rPr>
            </w:pPr>
            <w:r w:rsidRPr="00C32C1D">
              <w:rPr>
                <w:rFonts w:eastAsiaTheme="minorHAnsi"/>
                <w:color w:val="000000"/>
                <w:sz w:val="24"/>
                <w:szCs w:val="24"/>
                <w:lang w:eastAsia="en-US"/>
              </w:rPr>
              <w:t>fdi</w:t>
            </w:r>
          </w:p>
        </w:tc>
        <w:tc>
          <w:tcPr>
            <w:tcW w:w="1476" w:type="dxa"/>
            <w:tcBorders>
              <w:top w:val="nil"/>
              <w:left w:val="single" w:sz="16" w:space="0" w:color="000000"/>
              <w:bottom w:val="nil"/>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,873</w:t>
            </w:r>
          </w:p>
        </w:tc>
        <w:tc>
          <w:tcPr>
            <w:tcW w:w="1476" w:type="dxa"/>
            <w:tcBorders>
              <w:top w:val="nil"/>
              <w:bottom w:val="nil"/>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1,082</w:t>
            </w:r>
          </w:p>
        </w:tc>
        <w:tc>
          <w:tcPr>
            <w:tcW w:w="2293" w:type="dxa"/>
            <w:tcBorders>
              <w:top w:val="nil"/>
              <w:bottom w:val="nil"/>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,147</w:t>
            </w:r>
          </w:p>
        </w:tc>
        <w:tc>
          <w:tcPr>
            <w:tcW w:w="1030" w:type="dxa"/>
            <w:tcBorders>
              <w:top w:val="nil"/>
              <w:bottom w:val="nil"/>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,807</w:t>
            </w:r>
          </w:p>
        </w:tc>
        <w:tc>
          <w:tcPr>
            <w:tcW w:w="1380" w:type="dxa"/>
            <w:tcBorders>
              <w:top w:val="nil"/>
              <w:bottom w:val="nil"/>
              <w:right w:val="single" w:sz="16" w:space="0" w:color="000000"/>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,437</w:t>
            </w:r>
          </w:p>
        </w:tc>
      </w:tr>
      <w:tr w:rsidR="00A61E92" w:rsidRPr="00C32C1D" w:rsidTr="00C32C1D">
        <w:trPr>
          <w:cantSplit/>
        </w:trPr>
        <w:tc>
          <w:tcPr>
            <w:tcW w:w="284" w:type="dxa"/>
            <w:vMerge/>
            <w:tcBorders>
              <w:top w:val="single" w:sz="16" w:space="0" w:color="000000"/>
              <w:left w:val="single" w:sz="16" w:space="0" w:color="000000"/>
              <w:bottom w:val="single" w:sz="16" w:space="0" w:color="000000"/>
              <w:right w:val="nil"/>
            </w:tcBorders>
            <w:shd w:val="clear" w:color="auto" w:fill="FFFFFF"/>
          </w:tcPr>
          <w:p w:rsidR="00A61E92" w:rsidRPr="00C32C1D" w:rsidRDefault="00A61E92" w:rsidP="00A61E92">
            <w:pPr>
              <w:autoSpaceDE w:val="0"/>
              <w:autoSpaceDN w:val="0"/>
              <w:adjustRightInd w:val="0"/>
              <w:rPr>
                <w:rFonts w:eastAsiaTheme="minorHAnsi"/>
                <w:color w:val="000000"/>
                <w:sz w:val="24"/>
                <w:szCs w:val="24"/>
                <w:lang w:eastAsia="en-US"/>
              </w:rPr>
            </w:pPr>
          </w:p>
        </w:tc>
        <w:tc>
          <w:tcPr>
            <w:tcW w:w="1417" w:type="dxa"/>
            <w:tcBorders>
              <w:top w:val="nil"/>
              <w:left w:val="nil"/>
              <w:bottom w:val="single" w:sz="16" w:space="0" w:color="000000"/>
              <w:right w:val="single" w:sz="16" w:space="0" w:color="000000"/>
            </w:tcBorders>
            <w:shd w:val="clear" w:color="auto" w:fill="FFFFFF"/>
          </w:tcPr>
          <w:p w:rsidR="00A61E92" w:rsidRPr="00C32C1D" w:rsidRDefault="00A61E92" w:rsidP="00A61E92">
            <w:pPr>
              <w:autoSpaceDE w:val="0"/>
              <w:autoSpaceDN w:val="0"/>
              <w:adjustRightInd w:val="0"/>
              <w:spacing w:line="320" w:lineRule="atLeast"/>
              <w:ind w:left="60" w:right="60"/>
              <w:rPr>
                <w:rFonts w:eastAsiaTheme="minorHAnsi"/>
                <w:color w:val="000000"/>
                <w:sz w:val="24"/>
                <w:szCs w:val="24"/>
                <w:lang w:eastAsia="en-US"/>
              </w:rPr>
            </w:pPr>
            <w:r w:rsidRPr="00C32C1D">
              <w:rPr>
                <w:rFonts w:eastAsiaTheme="minorHAnsi"/>
                <w:color w:val="000000"/>
                <w:sz w:val="24"/>
                <w:szCs w:val="24"/>
                <w:lang w:eastAsia="en-US"/>
              </w:rPr>
              <w:t>er</w:t>
            </w:r>
          </w:p>
        </w:tc>
        <w:tc>
          <w:tcPr>
            <w:tcW w:w="1476" w:type="dxa"/>
            <w:tcBorders>
              <w:top w:val="nil"/>
              <w:left w:val="single" w:sz="16" w:space="0" w:color="000000"/>
              <w:bottom w:val="single" w:sz="16" w:space="0" w:color="000000"/>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-,027</w:t>
            </w:r>
          </w:p>
        </w:tc>
        <w:tc>
          <w:tcPr>
            <w:tcW w:w="1476" w:type="dxa"/>
            <w:tcBorders>
              <w:top w:val="nil"/>
              <w:bottom w:val="single" w:sz="16" w:space="0" w:color="000000"/>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,278</w:t>
            </w:r>
          </w:p>
        </w:tc>
        <w:tc>
          <w:tcPr>
            <w:tcW w:w="2293" w:type="dxa"/>
            <w:tcBorders>
              <w:top w:val="nil"/>
              <w:bottom w:val="single" w:sz="16" w:space="0" w:color="000000"/>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-,022</w:t>
            </w:r>
          </w:p>
        </w:tc>
        <w:tc>
          <w:tcPr>
            <w:tcW w:w="1030" w:type="dxa"/>
            <w:tcBorders>
              <w:top w:val="nil"/>
              <w:bottom w:val="single" w:sz="16" w:space="0" w:color="000000"/>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-,097</w:t>
            </w:r>
          </w:p>
        </w:tc>
        <w:tc>
          <w:tcPr>
            <w:tcW w:w="1380" w:type="dxa"/>
            <w:tcBorders>
              <w:top w:val="nil"/>
              <w:bottom w:val="single" w:sz="16" w:space="0" w:color="000000"/>
              <w:right w:val="single" w:sz="16" w:space="0" w:color="000000"/>
            </w:tcBorders>
            <w:shd w:val="clear" w:color="auto" w:fill="FFFFFF"/>
            <w:vAlign w:val="center"/>
          </w:tcPr>
          <w:p w:rsidR="00A61E92" w:rsidRPr="00C32C1D" w:rsidRDefault="00A61E92" w:rsidP="00A61E92">
            <w:pPr>
              <w:autoSpaceDE w:val="0"/>
              <w:autoSpaceDN w:val="0"/>
              <w:adjustRightInd w:val="0"/>
              <w:spacing w:line="320" w:lineRule="atLeast"/>
              <w:ind w:left="60" w:right="60"/>
              <w:jc w:val="right"/>
              <w:rPr>
                <w:rFonts w:eastAsiaTheme="minorHAnsi"/>
                <w:color w:val="000000"/>
                <w:sz w:val="24"/>
                <w:szCs w:val="24"/>
                <w:lang w:eastAsia="en-US"/>
              </w:rPr>
            </w:pPr>
            <w:r w:rsidRPr="00C32C1D">
              <w:rPr>
                <w:rFonts w:eastAsiaTheme="minorHAnsi"/>
                <w:color w:val="000000"/>
                <w:sz w:val="24"/>
                <w:szCs w:val="24"/>
                <w:lang w:eastAsia="en-US"/>
              </w:rPr>
              <w:t>,924</w:t>
            </w:r>
          </w:p>
        </w:tc>
      </w:tr>
    </w:tbl>
    <w:p w:rsidR="00A61E92" w:rsidRPr="00C32C1D" w:rsidRDefault="00C32C1D" w:rsidP="00C32C1D">
      <w:pPr>
        <w:spacing w:line="360" w:lineRule="auto"/>
        <w:jc w:val="both"/>
        <w:rPr>
          <w:sz w:val="28"/>
          <w:lang w:val="ru-RU"/>
        </w:rPr>
      </w:pPr>
      <w:r>
        <w:rPr>
          <w:sz w:val="28"/>
        </w:rPr>
        <w:t xml:space="preserve">Джерело: складено автором на основі даних </w:t>
      </w:r>
      <w:r w:rsidR="00D67A0E" w:rsidRPr="009E691E">
        <w:rPr>
          <w:sz w:val="28"/>
          <w:lang w:val="ru-RU"/>
        </w:rPr>
        <w:t>[</w:t>
      </w:r>
      <w:r w:rsidR="00B45AA2">
        <w:rPr>
          <w:sz w:val="28"/>
          <w:lang w:val="ru-RU"/>
        </w:rPr>
        <w:t>12</w:t>
      </w:r>
      <w:r w:rsidR="00D67A0E" w:rsidRPr="009E691E">
        <w:rPr>
          <w:sz w:val="28"/>
          <w:lang w:val="ru-RU"/>
        </w:rPr>
        <w:t>]</w:t>
      </w:r>
      <w:r w:rsidR="00D67A0E">
        <w:rPr>
          <w:sz w:val="28"/>
          <w:lang w:val="ru-RU"/>
        </w:rPr>
        <w:t xml:space="preserve"> і </w:t>
      </w:r>
      <w:r w:rsidR="00D67A0E" w:rsidRPr="009E691E">
        <w:rPr>
          <w:sz w:val="28"/>
          <w:lang w:val="ru-RU"/>
        </w:rPr>
        <w:t>[</w:t>
      </w:r>
      <w:r w:rsidR="00B45AA2">
        <w:rPr>
          <w:sz w:val="28"/>
          <w:lang w:val="ru-RU"/>
        </w:rPr>
        <w:t>13</w:t>
      </w:r>
      <w:r w:rsidR="00D67A0E" w:rsidRPr="009E691E">
        <w:rPr>
          <w:sz w:val="28"/>
          <w:lang w:val="ru-RU"/>
        </w:rPr>
        <w:t xml:space="preserve">] </w:t>
      </w:r>
    </w:p>
    <w:p w:rsidR="00A61E92" w:rsidRPr="00A61E92" w:rsidRDefault="00A61E92" w:rsidP="00A61E92">
      <w:pPr>
        <w:spacing w:line="360" w:lineRule="auto"/>
        <w:ind w:firstLine="709"/>
        <w:jc w:val="both"/>
        <w:rPr>
          <w:sz w:val="28"/>
          <w:lang w:val="ru-RU"/>
        </w:rPr>
      </w:pPr>
    </w:p>
    <w:p w:rsidR="00D9440D" w:rsidRDefault="00D9440D" w:rsidP="00D9440D">
      <w:pPr>
        <w:spacing w:line="360" w:lineRule="auto"/>
        <w:ind w:firstLine="709"/>
        <w:jc w:val="both"/>
        <w:rPr>
          <w:sz w:val="28"/>
        </w:rPr>
      </w:pPr>
      <w:r>
        <w:rPr>
          <w:sz w:val="28"/>
        </w:rPr>
        <w:t>Гіпотеза 1. Валовий внутрішній продукт є найбільш важливим фактором формування експорту товарів.</w:t>
      </w:r>
    </w:p>
    <w:p w:rsidR="00D9440D" w:rsidRDefault="00D9440D" w:rsidP="00D9440D">
      <w:pPr>
        <w:spacing w:line="360" w:lineRule="auto"/>
        <w:ind w:firstLine="709"/>
        <w:jc w:val="both"/>
        <w:rPr>
          <w:sz w:val="28"/>
        </w:rPr>
      </w:pPr>
      <w:r>
        <w:rPr>
          <w:sz w:val="28"/>
        </w:rPr>
        <w:t>Гіпотеза 2. Валовий внутрішній продукт не є найбільш важливим фактором формування експорту товарів.</w:t>
      </w:r>
    </w:p>
    <w:p w:rsidR="00D9440D" w:rsidRPr="009E691E" w:rsidRDefault="00D9440D" w:rsidP="00D9440D">
      <w:pPr>
        <w:spacing w:line="360" w:lineRule="auto"/>
        <w:ind w:firstLine="709"/>
        <w:jc w:val="both"/>
        <w:rPr>
          <w:sz w:val="28"/>
        </w:rPr>
      </w:pPr>
      <w:r>
        <w:rPr>
          <w:sz w:val="28"/>
        </w:rPr>
        <w:t xml:space="preserve">Отже, результати математичних розрахунків, проведених у програмі </w:t>
      </w:r>
      <w:r>
        <w:rPr>
          <w:sz w:val="28"/>
          <w:lang w:val="en-US"/>
        </w:rPr>
        <w:t>SPSS</w:t>
      </w:r>
      <w:r>
        <w:rPr>
          <w:sz w:val="28"/>
        </w:rPr>
        <w:t>, представлені у таблиці 2.5 та 2.6.</w:t>
      </w:r>
    </w:p>
    <w:p w:rsidR="00A61E92" w:rsidRDefault="00C32C1D" w:rsidP="00A61E92">
      <w:pPr>
        <w:spacing w:line="360" w:lineRule="auto"/>
        <w:ind w:firstLine="709"/>
        <w:jc w:val="both"/>
        <w:rPr>
          <w:sz w:val="28"/>
        </w:rPr>
      </w:pPr>
      <w:r w:rsidRPr="00C32C1D">
        <w:rPr>
          <w:sz w:val="28"/>
        </w:rPr>
        <w:t>Виходячи з цих р</w:t>
      </w:r>
      <w:r>
        <w:rPr>
          <w:sz w:val="28"/>
        </w:rPr>
        <w:t>езультатів, можна підставити отримані величини у вищезазначену формулу і отримати кінцеве рівняння експорту товарів для Польщі та Словаччини.</w:t>
      </w:r>
    </w:p>
    <w:p w:rsidR="00C32C1D" w:rsidRDefault="00C32C1D" w:rsidP="00A61E92">
      <w:pPr>
        <w:spacing w:line="360" w:lineRule="auto"/>
        <w:ind w:firstLine="709"/>
        <w:jc w:val="both"/>
        <w:rPr>
          <w:sz w:val="28"/>
        </w:rPr>
      </w:pPr>
      <w:r>
        <w:rPr>
          <w:sz w:val="28"/>
        </w:rPr>
        <w:t>Для Польщі рівняння виглядає наступним чином:</w:t>
      </w:r>
    </w:p>
    <w:p w:rsidR="00C32C1D" w:rsidRDefault="00C32C1D" w:rsidP="00A61E92">
      <w:pPr>
        <w:spacing w:line="360" w:lineRule="auto"/>
        <w:ind w:firstLine="709"/>
        <w:jc w:val="both"/>
        <w:rPr>
          <w:sz w:val="28"/>
        </w:rPr>
      </w:pPr>
    </w:p>
    <w:p w:rsidR="00C32C1D" w:rsidRPr="00C32C1D" w:rsidRDefault="00D02549" w:rsidP="00A61E92">
      <w:pPr>
        <w:spacing w:line="360" w:lineRule="auto"/>
        <w:ind w:firstLine="709"/>
        <w:jc w:val="both"/>
        <w:rPr>
          <w:sz w:val="28"/>
        </w:rPr>
      </w:pPr>
      <m:oMathPara>
        <m:oMath>
          <m:sSub>
            <m:sSubPr>
              <m:ctrlPr>
                <w:rPr>
                  <w:rFonts w:ascii="Cambria Math" w:hAnsi="Cambria Math"/>
                  <w:i/>
                  <w:sz w:val="28"/>
                </w:rPr>
              </m:ctrlPr>
            </m:sSubPr>
            <m:e>
              <m:r>
                <w:rPr>
                  <w:rFonts w:ascii="Cambria Math" w:hAnsi="Cambria Math"/>
                  <w:sz w:val="28"/>
                </w:rPr>
                <m:t>Ex</m:t>
              </m:r>
            </m:e>
            <m:sub>
              <m:r>
                <w:rPr>
                  <w:rFonts w:ascii="Cambria Math" w:hAnsi="Cambria Math"/>
                  <w:sz w:val="28"/>
                </w:rPr>
                <m:t>t</m:t>
              </m:r>
            </m:sub>
          </m:sSub>
          <m:r>
            <w:rPr>
              <w:rFonts w:ascii="Cambria Math" w:hAnsi="Cambria Math"/>
              <w:sz w:val="28"/>
            </w:rPr>
            <m:t>=0,814</m:t>
          </m:r>
          <m:sSub>
            <m:sSubPr>
              <m:ctrlPr>
                <w:rPr>
                  <w:rFonts w:ascii="Cambria Math" w:hAnsi="Cambria Math"/>
                  <w:i/>
                  <w:sz w:val="28"/>
                </w:rPr>
              </m:ctrlPr>
            </m:sSubPr>
            <m:e>
              <m:r>
                <w:rPr>
                  <w:rFonts w:ascii="Cambria Math" w:hAnsi="Cambria Math"/>
                  <w:sz w:val="28"/>
                </w:rPr>
                <m:t>Y</m:t>
              </m:r>
            </m:e>
            <m:sub>
              <m:r>
                <w:rPr>
                  <w:rFonts w:ascii="Cambria Math" w:hAnsi="Cambria Math"/>
                  <w:sz w:val="28"/>
                </w:rPr>
                <m:t>t</m:t>
              </m:r>
            </m:sub>
          </m:sSub>
          <m:r>
            <w:rPr>
              <w:rFonts w:ascii="Cambria Math" w:hAnsi="Cambria Math"/>
              <w:sz w:val="28"/>
            </w:rPr>
            <m:t>-0,025</m:t>
          </m:r>
          <m:sSub>
            <m:sSubPr>
              <m:ctrlPr>
                <w:rPr>
                  <w:rFonts w:ascii="Cambria Math" w:hAnsi="Cambria Math"/>
                  <w:i/>
                  <w:sz w:val="28"/>
                </w:rPr>
              </m:ctrlPr>
            </m:sSubPr>
            <m:e>
              <m:r>
                <w:rPr>
                  <w:rFonts w:ascii="Cambria Math" w:hAnsi="Cambria Math"/>
                  <w:sz w:val="28"/>
                </w:rPr>
                <m:t>I</m:t>
              </m:r>
            </m:e>
            <m:sub>
              <m:r>
                <w:rPr>
                  <w:rFonts w:ascii="Cambria Math" w:hAnsi="Cambria Math"/>
                  <w:sz w:val="28"/>
                </w:rPr>
                <m:t>t</m:t>
              </m:r>
            </m:sub>
          </m:sSub>
          <m:r>
            <w:rPr>
              <w:rFonts w:ascii="Cambria Math" w:hAnsi="Cambria Math"/>
              <w:sz w:val="28"/>
            </w:rPr>
            <m:t>+0,064</m:t>
          </m:r>
          <m:sSub>
            <m:sSubPr>
              <m:ctrlPr>
                <w:rPr>
                  <w:rFonts w:ascii="Cambria Math" w:hAnsi="Cambria Math"/>
                  <w:i/>
                  <w:sz w:val="28"/>
                </w:rPr>
              </m:ctrlPr>
            </m:sSubPr>
            <m:e>
              <m:r>
                <w:rPr>
                  <w:rFonts w:ascii="Cambria Math" w:hAnsi="Cambria Math"/>
                  <w:sz w:val="28"/>
                </w:rPr>
                <m:t>FDI</m:t>
              </m:r>
            </m:e>
            <m:sub>
              <m:r>
                <w:rPr>
                  <w:rFonts w:ascii="Cambria Math" w:hAnsi="Cambria Math"/>
                  <w:sz w:val="28"/>
                </w:rPr>
                <m:t>t</m:t>
              </m:r>
            </m:sub>
          </m:sSub>
          <m:r>
            <w:rPr>
              <w:rFonts w:ascii="Cambria Math" w:hAnsi="Cambria Math"/>
              <w:sz w:val="28"/>
            </w:rPr>
            <m:t>+0,288</m:t>
          </m:r>
          <m:sSub>
            <m:sSubPr>
              <m:ctrlPr>
                <w:rPr>
                  <w:rFonts w:ascii="Cambria Math" w:hAnsi="Cambria Math"/>
                  <w:i/>
                  <w:sz w:val="28"/>
                </w:rPr>
              </m:ctrlPr>
            </m:sSubPr>
            <m:e>
              <m:r>
                <w:rPr>
                  <w:rFonts w:ascii="Cambria Math" w:hAnsi="Cambria Math"/>
                  <w:sz w:val="28"/>
                </w:rPr>
                <m:t>Er</m:t>
              </m:r>
            </m:e>
            <m:sub>
              <m:r>
                <w:rPr>
                  <w:rFonts w:ascii="Cambria Math" w:hAnsi="Cambria Math"/>
                  <w:sz w:val="28"/>
                </w:rPr>
                <m:t>t</m:t>
              </m:r>
            </m:sub>
          </m:sSub>
        </m:oMath>
      </m:oMathPara>
    </w:p>
    <w:p w:rsidR="00C32C1D" w:rsidRDefault="00C32C1D" w:rsidP="00C32C1D">
      <w:pPr>
        <w:spacing w:line="360" w:lineRule="auto"/>
        <w:ind w:firstLine="709"/>
        <w:jc w:val="center"/>
        <w:rPr>
          <w:sz w:val="28"/>
          <w:lang w:val="ru-RU"/>
        </w:rPr>
      </w:pPr>
      <w:r>
        <w:rPr>
          <w:sz w:val="28"/>
          <w:lang w:val="ru-RU"/>
        </w:rPr>
        <w:t>(15,685</w:t>
      </w:r>
      <w:r w:rsidRPr="00C32C1D">
        <w:rPr>
          <w:noProof/>
          <w:sz w:val="28"/>
        </w:rPr>
        <w:t>***)   (-</w:t>
      </w:r>
      <w:r>
        <w:rPr>
          <w:sz w:val="28"/>
          <w:lang w:val="ru-RU"/>
        </w:rPr>
        <w:t>0</w:t>
      </w:r>
      <w:r w:rsidRPr="00C32C1D">
        <w:rPr>
          <w:sz w:val="28"/>
          <w:lang w:val="ru-RU"/>
        </w:rPr>
        <w:t>,497</w:t>
      </w:r>
      <w:r w:rsidRPr="00C32C1D">
        <w:rPr>
          <w:noProof/>
          <w:sz w:val="28"/>
        </w:rPr>
        <w:t>)     (1,572)      (5,624***)</w:t>
      </w:r>
    </w:p>
    <w:p w:rsidR="00C32C1D" w:rsidRDefault="00C32C1D" w:rsidP="00C32C1D">
      <w:pPr>
        <w:spacing w:line="360" w:lineRule="auto"/>
        <w:ind w:firstLine="709"/>
        <w:jc w:val="center"/>
        <w:rPr>
          <w:sz w:val="28"/>
        </w:rPr>
      </w:pPr>
      <w:r>
        <w:rPr>
          <w:sz w:val="28"/>
          <w:lang w:val="en-US"/>
        </w:rPr>
        <w:t>R</w:t>
      </w:r>
      <w:r w:rsidRPr="00C32C1D">
        <w:rPr>
          <w:sz w:val="28"/>
          <w:vertAlign w:val="superscript"/>
          <w:lang w:val="ru-RU"/>
        </w:rPr>
        <w:t>2</w:t>
      </w:r>
      <w:r w:rsidRPr="00C32C1D">
        <w:rPr>
          <w:sz w:val="28"/>
          <w:lang w:val="ru-RU"/>
        </w:rPr>
        <w:t xml:space="preserve"> = 0</w:t>
      </w:r>
      <w:r>
        <w:rPr>
          <w:sz w:val="28"/>
        </w:rPr>
        <w:t>,984</w:t>
      </w:r>
    </w:p>
    <w:p w:rsidR="00C32C1D" w:rsidRDefault="00C32C1D" w:rsidP="00C32C1D">
      <w:pPr>
        <w:spacing w:line="360" w:lineRule="auto"/>
        <w:ind w:firstLine="709"/>
        <w:jc w:val="both"/>
        <w:rPr>
          <w:sz w:val="28"/>
        </w:rPr>
      </w:pPr>
    </w:p>
    <w:p w:rsidR="00C32C1D" w:rsidRDefault="00C32C1D" w:rsidP="00C32C1D">
      <w:pPr>
        <w:spacing w:line="360" w:lineRule="auto"/>
        <w:ind w:firstLine="709"/>
        <w:jc w:val="both"/>
        <w:rPr>
          <w:sz w:val="28"/>
        </w:rPr>
      </w:pPr>
      <w:r>
        <w:rPr>
          <w:sz w:val="28"/>
        </w:rPr>
        <w:t>Для Словаччини рівняння виглядає наступним чином:</w:t>
      </w:r>
    </w:p>
    <w:p w:rsidR="00C32C1D" w:rsidRDefault="00C32C1D" w:rsidP="00C32C1D">
      <w:pPr>
        <w:spacing w:line="360" w:lineRule="auto"/>
        <w:ind w:firstLine="709"/>
        <w:jc w:val="both"/>
        <w:rPr>
          <w:sz w:val="28"/>
        </w:rPr>
      </w:pPr>
    </w:p>
    <w:p w:rsidR="00C32C1D" w:rsidRPr="00C32C1D" w:rsidRDefault="00D02549" w:rsidP="00C32C1D">
      <w:pPr>
        <w:spacing w:line="360" w:lineRule="auto"/>
        <w:ind w:firstLine="709"/>
        <w:jc w:val="both"/>
        <w:rPr>
          <w:sz w:val="28"/>
        </w:rPr>
      </w:pPr>
      <m:oMathPara>
        <m:oMath>
          <m:sSub>
            <m:sSubPr>
              <m:ctrlPr>
                <w:rPr>
                  <w:rFonts w:ascii="Cambria Math" w:hAnsi="Cambria Math"/>
                  <w:i/>
                  <w:sz w:val="28"/>
                </w:rPr>
              </m:ctrlPr>
            </m:sSubPr>
            <m:e>
              <m:r>
                <w:rPr>
                  <w:rFonts w:ascii="Cambria Math" w:hAnsi="Cambria Math"/>
                  <w:sz w:val="28"/>
                </w:rPr>
                <m:t>Ex</m:t>
              </m:r>
            </m:e>
            <m:sub>
              <m:r>
                <w:rPr>
                  <w:rFonts w:ascii="Cambria Math" w:hAnsi="Cambria Math"/>
                  <w:sz w:val="28"/>
                </w:rPr>
                <m:t>t</m:t>
              </m:r>
            </m:sub>
          </m:sSub>
          <m:r>
            <w:rPr>
              <w:rFonts w:ascii="Cambria Math" w:hAnsi="Cambria Math"/>
              <w:sz w:val="28"/>
            </w:rPr>
            <m:t>=0,954</m:t>
          </m:r>
          <m:sSub>
            <m:sSubPr>
              <m:ctrlPr>
                <w:rPr>
                  <w:rFonts w:ascii="Cambria Math" w:hAnsi="Cambria Math"/>
                  <w:i/>
                  <w:sz w:val="28"/>
                </w:rPr>
              </m:ctrlPr>
            </m:sSubPr>
            <m:e>
              <m:r>
                <w:rPr>
                  <w:rFonts w:ascii="Cambria Math" w:hAnsi="Cambria Math"/>
                  <w:sz w:val="28"/>
                </w:rPr>
                <m:t>Y</m:t>
              </m:r>
            </m:e>
            <m:sub>
              <m:r>
                <w:rPr>
                  <w:rFonts w:ascii="Cambria Math" w:hAnsi="Cambria Math"/>
                  <w:sz w:val="28"/>
                </w:rPr>
                <m:t>t</m:t>
              </m:r>
            </m:sub>
          </m:sSub>
          <m:sSub>
            <m:sSubPr>
              <m:ctrlPr>
                <w:rPr>
                  <w:rFonts w:ascii="Cambria Math" w:hAnsi="Cambria Math"/>
                  <w:i/>
                  <w:sz w:val="28"/>
                </w:rPr>
              </m:ctrlPr>
            </m:sSubPr>
            <m:e>
              <m:r>
                <w:rPr>
                  <w:rFonts w:ascii="Cambria Math" w:hAnsi="Cambria Math"/>
                  <w:sz w:val="28"/>
                </w:rPr>
                <m:t>-0,173I</m:t>
              </m:r>
            </m:e>
            <m:sub>
              <m:r>
                <w:rPr>
                  <w:rFonts w:ascii="Cambria Math" w:hAnsi="Cambria Math"/>
                  <w:sz w:val="28"/>
                </w:rPr>
                <m:t>t</m:t>
              </m:r>
            </m:sub>
          </m:sSub>
          <m:r>
            <w:rPr>
              <w:rFonts w:ascii="Cambria Math" w:hAnsi="Cambria Math"/>
              <w:sz w:val="28"/>
            </w:rPr>
            <m:t>+0,147</m:t>
          </m:r>
          <m:sSub>
            <m:sSubPr>
              <m:ctrlPr>
                <w:rPr>
                  <w:rFonts w:ascii="Cambria Math" w:hAnsi="Cambria Math"/>
                  <w:i/>
                  <w:sz w:val="28"/>
                </w:rPr>
              </m:ctrlPr>
            </m:sSubPr>
            <m:e>
              <m:r>
                <w:rPr>
                  <w:rFonts w:ascii="Cambria Math" w:hAnsi="Cambria Math"/>
                  <w:sz w:val="28"/>
                </w:rPr>
                <m:t>FDI</m:t>
              </m:r>
            </m:e>
            <m:sub>
              <m:r>
                <w:rPr>
                  <w:rFonts w:ascii="Cambria Math" w:hAnsi="Cambria Math"/>
                  <w:sz w:val="28"/>
                </w:rPr>
                <m:t>t</m:t>
              </m:r>
            </m:sub>
          </m:sSub>
          <m:r>
            <w:rPr>
              <w:rFonts w:ascii="Cambria Math" w:hAnsi="Cambria Math"/>
              <w:sz w:val="28"/>
            </w:rPr>
            <m:t>-0,022</m:t>
          </m:r>
          <m:sSub>
            <m:sSubPr>
              <m:ctrlPr>
                <w:rPr>
                  <w:rFonts w:ascii="Cambria Math" w:hAnsi="Cambria Math"/>
                  <w:i/>
                  <w:sz w:val="28"/>
                </w:rPr>
              </m:ctrlPr>
            </m:sSubPr>
            <m:e>
              <m:r>
                <w:rPr>
                  <w:rFonts w:ascii="Cambria Math" w:hAnsi="Cambria Math"/>
                  <w:sz w:val="28"/>
                </w:rPr>
                <m:t>Er</m:t>
              </m:r>
            </m:e>
            <m:sub>
              <m:r>
                <w:rPr>
                  <w:rFonts w:ascii="Cambria Math" w:hAnsi="Cambria Math"/>
                  <w:sz w:val="28"/>
                </w:rPr>
                <m:t>t</m:t>
              </m:r>
            </m:sub>
          </m:sSub>
        </m:oMath>
      </m:oMathPara>
    </w:p>
    <w:p w:rsidR="00C32C1D" w:rsidRPr="00153FA4" w:rsidRDefault="00153FA4" w:rsidP="00153FA4">
      <w:pPr>
        <w:spacing w:line="360" w:lineRule="auto"/>
        <w:ind w:firstLine="709"/>
        <w:jc w:val="center"/>
        <w:rPr>
          <w:sz w:val="28"/>
        </w:rPr>
      </w:pPr>
      <w:r w:rsidRPr="00153FA4">
        <w:rPr>
          <w:sz w:val="28"/>
        </w:rPr>
        <w:t xml:space="preserve">(4,76***)     (-0,9)       (0,807)        (-0,097) </w:t>
      </w:r>
    </w:p>
    <w:p w:rsidR="00153FA4" w:rsidRDefault="00153FA4" w:rsidP="00153FA4">
      <w:pPr>
        <w:spacing w:line="360" w:lineRule="auto"/>
        <w:ind w:firstLine="709"/>
        <w:jc w:val="center"/>
        <w:rPr>
          <w:sz w:val="28"/>
          <w:lang w:val="ru-RU"/>
        </w:rPr>
      </w:pPr>
      <w:r>
        <w:rPr>
          <w:sz w:val="28"/>
          <w:lang w:val="en-US"/>
        </w:rPr>
        <w:t>R</w:t>
      </w:r>
      <w:r w:rsidRPr="00C32C1D">
        <w:rPr>
          <w:sz w:val="28"/>
          <w:vertAlign w:val="superscript"/>
          <w:lang w:val="ru-RU"/>
        </w:rPr>
        <w:t>2</w:t>
      </w:r>
      <w:r w:rsidRPr="00C32C1D">
        <w:rPr>
          <w:sz w:val="28"/>
          <w:lang w:val="ru-RU"/>
        </w:rPr>
        <w:t xml:space="preserve"> =</w:t>
      </w:r>
      <w:r>
        <w:rPr>
          <w:sz w:val="28"/>
          <w:lang w:val="ru-RU"/>
        </w:rPr>
        <w:t xml:space="preserve"> 0,806</w:t>
      </w:r>
    </w:p>
    <w:p w:rsidR="00153FA4" w:rsidRDefault="00153FA4" w:rsidP="008A4E89">
      <w:pPr>
        <w:spacing w:line="360" w:lineRule="auto"/>
        <w:ind w:firstLine="709"/>
        <w:jc w:val="both"/>
        <w:rPr>
          <w:sz w:val="28"/>
        </w:rPr>
      </w:pPr>
      <w:r>
        <w:rPr>
          <w:sz w:val="28"/>
        </w:rPr>
        <w:t>Тож, судячи з отриманих результатів, можна зробити певні висновки. Обидві регресійні моделі мають високий показник детермінації (</w:t>
      </w:r>
      <w:r>
        <w:rPr>
          <w:sz w:val="28"/>
          <w:lang w:val="en-US"/>
        </w:rPr>
        <w:t>R</w:t>
      </w:r>
      <w:r w:rsidRPr="00C32C1D">
        <w:rPr>
          <w:sz w:val="28"/>
          <w:vertAlign w:val="superscript"/>
          <w:lang w:val="ru-RU"/>
        </w:rPr>
        <w:t>2</w:t>
      </w:r>
      <w:r>
        <w:rPr>
          <w:sz w:val="28"/>
        </w:rPr>
        <w:t>). У Польщі він склав 0,984, а у Словаччини – 0,806. Такі цифри свідчать про те, що обидві регресії мають результати, які майже наближені до істини. Регресійний аналіз показав, що в Польщі основними факторами, які впливають на експорт товарів, є ВВП</w:t>
      </w:r>
      <w:r w:rsidR="008A4E89">
        <w:rPr>
          <w:sz w:val="28"/>
        </w:rPr>
        <w:t xml:space="preserve"> та курс польських злотих, а у Словаччини лише ВВП впливає на обсяги експорту товарів. Такі висновки можна зробити з рівня значимості. Якщо рівень значимості не перевищує 1% (це позначено ***), тоді показник дійсно можна вважати значущим.</w:t>
      </w:r>
      <w:r>
        <w:rPr>
          <w:sz w:val="28"/>
        </w:rPr>
        <w:t xml:space="preserve"> </w:t>
      </w:r>
      <w:r w:rsidR="008A4E89">
        <w:rPr>
          <w:sz w:val="28"/>
        </w:rPr>
        <w:t xml:space="preserve">Щодо коефіцієнтів бета, то в Польщі ВВП має коефіцієнт бета 0,814, тобто з кожним збільшенням ВВП на 1 млрд доларів, то експорт товарів збільшується на 0,814 млрд доларів. Щодо Словаччини, то тут ВВП має навіть більший коефіцієнт бета, який дорівнює 0,954. Тобто, з кожним збільшенням ВВП на 1 млрд дол США, експорт товарів Словаччини збільшується на 0,954 млрд. </w:t>
      </w:r>
    </w:p>
    <w:p w:rsidR="008A4E89" w:rsidRPr="00153FA4" w:rsidRDefault="008A4E89" w:rsidP="008A4E89">
      <w:pPr>
        <w:spacing w:line="360" w:lineRule="auto"/>
        <w:ind w:firstLine="709"/>
        <w:jc w:val="both"/>
        <w:rPr>
          <w:sz w:val="28"/>
        </w:rPr>
      </w:pPr>
      <w:r>
        <w:rPr>
          <w:sz w:val="28"/>
        </w:rPr>
        <w:t xml:space="preserve">Отже, </w:t>
      </w:r>
      <w:r w:rsidR="00110181">
        <w:rPr>
          <w:sz w:val="28"/>
        </w:rPr>
        <w:t>провівши регресійний аналіз, можна підтвердити першу гіпотезу для обох країн, та спростувати другу гіпотезу, тобто ВВП є найбільш важливим фактором, який впливає на експорт товарів Польщі та Словаччини.</w:t>
      </w:r>
    </w:p>
    <w:p w:rsidR="00610159" w:rsidRPr="00610159" w:rsidRDefault="00610159" w:rsidP="00610159">
      <w:pPr>
        <w:spacing w:line="360" w:lineRule="auto"/>
        <w:ind w:firstLine="709"/>
        <w:jc w:val="both"/>
        <w:rPr>
          <w:sz w:val="28"/>
        </w:rPr>
      </w:pPr>
      <w:r>
        <w:rPr>
          <w:sz w:val="28"/>
        </w:rPr>
        <w:t xml:space="preserve">Операція </w:t>
      </w:r>
      <w:r>
        <w:rPr>
          <w:sz w:val="28"/>
          <w:lang w:val="en-US"/>
        </w:rPr>
        <w:t>Carry</w:t>
      </w:r>
      <w:r w:rsidRPr="00610159">
        <w:rPr>
          <w:sz w:val="28"/>
        </w:rPr>
        <w:t xml:space="preserve"> </w:t>
      </w:r>
      <w:r>
        <w:rPr>
          <w:sz w:val="28"/>
          <w:lang w:val="en-US"/>
        </w:rPr>
        <w:t>Trade</w:t>
      </w:r>
      <w:r w:rsidRPr="00610159">
        <w:rPr>
          <w:sz w:val="28"/>
        </w:rPr>
        <w:t xml:space="preserve"> </w:t>
      </w:r>
      <w:r>
        <w:rPr>
          <w:sz w:val="28"/>
        </w:rPr>
        <w:t xml:space="preserve">– це торгова стратегія, яка передбачає отримання кредиту за мінімальною відсотковою ставкою та інвестування цих коштів в цінні папери з якомога вищою дохідністю. Така операція націлена на отримання прибутку від різниці відсоткових ставок цінних паперів та позички. Операція </w:t>
      </w:r>
      <w:r>
        <w:rPr>
          <w:sz w:val="28"/>
          <w:lang w:val="en-US"/>
        </w:rPr>
        <w:t>Carry</w:t>
      </w:r>
      <w:r w:rsidRPr="00610159">
        <w:rPr>
          <w:sz w:val="28"/>
        </w:rPr>
        <w:t xml:space="preserve"> </w:t>
      </w:r>
      <w:r>
        <w:rPr>
          <w:sz w:val="28"/>
          <w:lang w:val="en-US"/>
        </w:rPr>
        <w:t>Trade</w:t>
      </w:r>
      <w:r>
        <w:rPr>
          <w:sz w:val="28"/>
        </w:rPr>
        <w:t xml:space="preserve"> найчастіше включає в себе валютні операції, тобто кредит береться у валюті країни з найнижчою відсотковою ставкою кредитування, потім ця сума конвертується в валюту країни, в якій ми купуємо цінні папери з максимально високою дохідністю. Одним із видів цінних паперів, з якими проводять цю операцію, є державні облігації різних країн.</w:t>
      </w:r>
    </w:p>
    <w:p w:rsidR="008427BF" w:rsidRPr="002B48A8" w:rsidRDefault="008427BF" w:rsidP="00EF589B">
      <w:pPr>
        <w:spacing w:line="360" w:lineRule="auto"/>
        <w:ind w:firstLine="709"/>
        <w:jc w:val="both"/>
        <w:rPr>
          <w:sz w:val="28"/>
        </w:rPr>
      </w:pPr>
      <w:r>
        <w:rPr>
          <w:sz w:val="28"/>
        </w:rPr>
        <w:t>Для того, щоб проаналізувати та порівняти державні облігації Польщі та Словаччини з облігаціями України, слід провести певні розрахунки. У якості валюти фондування беремо ту валюту, яка має найнижчу ставку кредитування станом на квітень 2023 року – сейшельську рупію (</w:t>
      </w:r>
      <w:r>
        <w:rPr>
          <w:sz w:val="28"/>
          <w:lang w:val="en-US"/>
        </w:rPr>
        <w:t>SCR</w:t>
      </w:r>
      <w:r w:rsidRPr="00610159">
        <w:rPr>
          <w:sz w:val="28"/>
        </w:rPr>
        <w:t>)</w:t>
      </w:r>
      <w:r>
        <w:rPr>
          <w:sz w:val="28"/>
        </w:rPr>
        <w:t xml:space="preserve"> зі ставкою 2% на рік.</w:t>
      </w:r>
      <w:r w:rsidR="002B48A8">
        <w:rPr>
          <w:sz w:val="28"/>
        </w:rPr>
        <w:t xml:space="preserve"> Потрібно відразу уточнити, що ми припускаємо, що через рік валютні курси країн умовно збільшаться на 1%.</w:t>
      </w:r>
    </w:p>
    <w:p w:rsidR="00580CAC" w:rsidRDefault="00764916" w:rsidP="00EF589B">
      <w:pPr>
        <w:spacing w:line="360" w:lineRule="auto"/>
        <w:ind w:firstLine="709"/>
        <w:jc w:val="both"/>
        <w:rPr>
          <w:sz w:val="28"/>
        </w:rPr>
      </w:pPr>
      <w:r>
        <w:rPr>
          <w:sz w:val="28"/>
        </w:rPr>
        <w:t>Станом н</w:t>
      </w:r>
      <w:r w:rsidR="008427BF">
        <w:rPr>
          <w:sz w:val="28"/>
        </w:rPr>
        <w:t>а 11 квітня 2023 року 1 сейшельська рупія –</w:t>
      </w:r>
      <w:r w:rsidR="002B48A8">
        <w:rPr>
          <w:sz w:val="28"/>
        </w:rPr>
        <w:t xml:space="preserve"> 0,318</w:t>
      </w:r>
      <w:r w:rsidR="008427BF">
        <w:rPr>
          <w:sz w:val="28"/>
        </w:rPr>
        <w:t xml:space="preserve"> польських злотих </w:t>
      </w:r>
      <w:r w:rsidR="008427BF" w:rsidRPr="008427BF">
        <w:rPr>
          <w:sz w:val="28"/>
          <w:lang w:val="ru-RU"/>
        </w:rPr>
        <w:t>(</w:t>
      </w:r>
      <w:r w:rsidR="008427BF">
        <w:rPr>
          <w:sz w:val="28"/>
          <w:lang w:val="en-US"/>
        </w:rPr>
        <w:t>PLN</w:t>
      </w:r>
      <w:r w:rsidR="002B48A8">
        <w:rPr>
          <w:sz w:val="28"/>
          <w:lang w:val="ru-RU"/>
        </w:rPr>
        <w:t>)</w:t>
      </w:r>
      <w:r w:rsidR="002B48A8">
        <w:rPr>
          <w:sz w:val="28"/>
        </w:rPr>
        <w:t>;</w:t>
      </w:r>
    </w:p>
    <w:p w:rsidR="002B48A8" w:rsidRDefault="002B48A8" w:rsidP="002B48A8">
      <w:pPr>
        <w:spacing w:line="360" w:lineRule="auto"/>
        <w:ind w:firstLine="709"/>
        <w:jc w:val="both"/>
        <w:rPr>
          <w:sz w:val="28"/>
          <w:lang w:val="ru-RU"/>
        </w:rPr>
      </w:pPr>
      <w:r>
        <w:rPr>
          <w:sz w:val="28"/>
        </w:rPr>
        <w:t xml:space="preserve">на 11 квітня 2024 року 1 сейшельська рупія – </w:t>
      </w:r>
      <w:r>
        <w:rPr>
          <w:sz w:val="28"/>
          <w:lang w:val="ru-RU"/>
        </w:rPr>
        <w:t>0</w:t>
      </w:r>
      <w:r>
        <w:rPr>
          <w:sz w:val="28"/>
        </w:rPr>
        <w:t xml:space="preserve">,32 польських злотих </w:t>
      </w:r>
      <w:r w:rsidRPr="008427BF">
        <w:rPr>
          <w:sz w:val="28"/>
          <w:lang w:val="ru-RU"/>
        </w:rPr>
        <w:t>(</w:t>
      </w:r>
      <w:r>
        <w:rPr>
          <w:sz w:val="28"/>
          <w:lang w:val="en-US"/>
        </w:rPr>
        <w:t>PLN</w:t>
      </w:r>
      <w:r>
        <w:rPr>
          <w:sz w:val="28"/>
          <w:lang w:val="ru-RU"/>
        </w:rPr>
        <w:t>).</w:t>
      </w:r>
    </w:p>
    <w:p w:rsidR="002B48A8" w:rsidRDefault="002B48A8" w:rsidP="002B48A8">
      <w:pPr>
        <w:spacing w:line="360" w:lineRule="auto"/>
        <w:ind w:firstLine="709"/>
        <w:jc w:val="both"/>
        <w:rPr>
          <w:sz w:val="28"/>
        </w:rPr>
      </w:pPr>
      <w:r>
        <w:rPr>
          <w:sz w:val="28"/>
        </w:rPr>
        <w:t>Дохідність облігацій внутрішньої державної позики в Польщі на 11.04.2023 –</w:t>
      </w:r>
      <w:r w:rsidR="007D1AD3">
        <w:rPr>
          <w:sz w:val="28"/>
        </w:rPr>
        <w:t xml:space="preserve"> 5,67</w:t>
      </w:r>
      <w:r>
        <w:rPr>
          <w:sz w:val="28"/>
        </w:rPr>
        <w:t>%.</w:t>
      </w:r>
    </w:p>
    <w:p w:rsidR="002B48A8" w:rsidRDefault="007D1AD3" w:rsidP="00EF589B">
      <w:pPr>
        <w:spacing w:line="360" w:lineRule="auto"/>
        <w:ind w:firstLine="709"/>
        <w:jc w:val="both"/>
        <w:rPr>
          <w:sz w:val="28"/>
        </w:rPr>
      </w:pPr>
      <w:r>
        <w:rPr>
          <w:sz w:val="28"/>
        </w:rPr>
        <w:t>Реалізація стратегії для Польщі: беремо на рік 1 млн сейшельських рупій під відсоткову ставку 2% на рік. Обмінюємо 1 млн сейшельських рупій на польський злотий за курсом 0,318 і отримуємо 318000 польських злотих. Купуємо на них польські облігації з дохідністю 5,67% річних. Через рік інвестор отримає дохід або збиток, який розраховується:</w:t>
      </w:r>
    </w:p>
    <w:p w:rsidR="007D1AD3" w:rsidRPr="007D1AD3" w:rsidRDefault="007D1AD3" w:rsidP="00EF589B">
      <w:pPr>
        <w:spacing w:line="360" w:lineRule="auto"/>
        <w:ind w:firstLine="709"/>
        <w:jc w:val="both"/>
        <w:rPr>
          <w:sz w:val="28"/>
        </w:rPr>
      </w:pPr>
      <w:r>
        <w:rPr>
          <w:sz w:val="28"/>
        </w:rPr>
        <w:t>318000</w:t>
      </w:r>
      <w:r w:rsidRPr="007D1AD3">
        <w:rPr>
          <w:sz w:val="28"/>
        </w:rPr>
        <w:t xml:space="preserve"> </w:t>
      </w:r>
      <w:r>
        <w:rPr>
          <w:sz w:val="28"/>
          <w:lang w:val="en-US"/>
        </w:rPr>
        <w:t>PLN</w:t>
      </w:r>
      <w:r>
        <w:rPr>
          <w:sz w:val="28"/>
        </w:rPr>
        <w:t xml:space="preserve"> + 0,0567 * 318000 </w:t>
      </w:r>
      <w:r>
        <w:rPr>
          <w:sz w:val="28"/>
          <w:lang w:val="en-US"/>
        </w:rPr>
        <w:t>PLN</w:t>
      </w:r>
      <w:r>
        <w:rPr>
          <w:sz w:val="28"/>
        </w:rPr>
        <w:t xml:space="preserve"> = 336030,6 </w:t>
      </w:r>
      <w:r>
        <w:rPr>
          <w:sz w:val="28"/>
          <w:lang w:val="en-US"/>
        </w:rPr>
        <w:t>PLN</w:t>
      </w:r>
    </w:p>
    <w:p w:rsidR="007D1AD3" w:rsidRDefault="007D1AD3" w:rsidP="007D1AD3">
      <w:pPr>
        <w:spacing w:line="360" w:lineRule="auto"/>
        <w:ind w:firstLine="709"/>
        <w:jc w:val="both"/>
        <w:rPr>
          <w:sz w:val="28"/>
        </w:rPr>
      </w:pPr>
      <w:r>
        <w:rPr>
          <w:sz w:val="28"/>
        </w:rPr>
        <w:t xml:space="preserve">Обмінюємо цю суму на сейшельські рупії, тобто 336030,6 </w:t>
      </w:r>
      <w:r>
        <w:rPr>
          <w:sz w:val="28"/>
          <w:lang w:val="en-US"/>
        </w:rPr>
        <w:t>PLN</w:t>
      </w:r>
      <w:r>
        <w:rPr>
          <w:sz w:val="28"/>
        </w:rPr>
        <w:t xml:space="preserve"> ділимо на </w:t>
      </w:r>
      <w:r w:rsidRPr="007D1AD3">
        <w:rPr>
          <w:sz w:val="28"/>
        </w:rPr>
        <w:t>0</w:t>
      </w:r>
      <w:r>
        <w:rPr>
          <w:sz w:val="28"/>
        </w:rPr>
        <w:t xml:space="preserve">,32, і тоді отримуємо 1050095,62 </w:t>
      </w:r>
      <w:r>
        <w:rPr>
          <w:sz w:val="28"/>
          <w:lang w:val="en-US"/>
        </w:rPr>
        <w:t>SCR</w:t>
      </w:r>
      <w:r>
        <w:rPr>
          <w:sz w:val="28"/>
        </w:rPr>
        <w:t>.</w:t>
      </w:r>
    </w:p>
    <w:p w:rsidR="007D1AD3" w:rsidRDefault="007D1AD3" w:rsidP="007D1AD3">
      <w:pPr>
        <w:spacing w:line="360" w:lineRule="auto"/>
        <w:ind w:firstLine="709"/>
        <w:jc w:val="both"/>
        <w:rPr>
          <w:sz w:val="28"/>
        </w:rPr>
      </w:pPr>
      <w:r>
        <w:rPr>
          <w:sz w:val="28"/>
        </w:rPr>
        <w:t xml:space="preserve">Віддаємо кредит з відсотком 2%: 1050095,62 </w:t>
      </w:r>
      <w:r>
        <w:rPr>
          <w:sz w:val="28"/>
          <w:lang w:val="en-US"/>
        </w:rPr>
        <w:t>SCR</w:t>
      </w:r>
      <w:r>
        <w:rPr>
          <w:sz w:val="28"/>
        </w:rPr>
        <w:t xml:space="preserve"> – 1000000 </w:t>
      </w:r>
      <w:r>
        <w:rPr>
          <w:sz w:val="28"/>
          <w:lang w:val="en-US"/>
        </w:rPr>
        <w:t>SCR</w:t>
      </w:r>
      <w:r>
        <w:rPr>
          <w:sz w:val="28"/>
        </w:rPr>
        <w:t xml:space="preserve"> – (0,02*1000000 </w:t>
      </w:r>
      <w:r>
        <w:rPr>
          <w:sz w:val="28"/>
          <w:lang w:val="en-US"/>
        </w:rPr>
        <w:t>SCR</w:t>
      </w:r>
      <w:r>
        <w:rPr>
          <w:sz w:val="28"/>
        </w:rPr>
        <w:t>) = 30 095,62</w:t>
      </w:r>
      <w:r w:rsidR="0053362C">
        <w:rPr>
          <w:sz w:val="28"/>
        </w:rPr>
        <w:t xml:space="preserve"> </w:t>
      </w:r>
      <w:r w:rsidR="0053362C">
        <w:rPr>
          <w:sz w:val="28"/>
          <w:lang w:val="en-US"/>
        </w:rPr>
        <w:t>SCR</w:t>
      </w:r>
      <w:r w:rsidR="0053362C">
        <w:rPr>
          <w:sz w:val="28"/>
        </w:rPr>
        <w:t xml:space="preserve"> – чистий дохід.</w:t>
      </w:r>
    </w:p>
    <w:p w:rsidR="0053362C" w:rsidRDefault="0053362C" w:rsidP="007D1AD3">
      <w:pPr>
        <w:spacing w:line="360" w:lineRule="auto"/>
        <w:ind w:firstLine="709"/>
        <w:jc w:val="both"/>
        <w:rPr>
          <w:sz w:val="28"/>
        </w:rPr>
      </w:pPr>
      <w:r>
        <w:rPr>
          <w:sz w:val="28"/>
        </w:rPr>
        <w:t>Дохідність операції під час використання позикових ресурсів у випадку з Польщею склала 3%.</w:t>
      </w:r>
    </w:p>
    <w:p w:rsidR="00580CAC" w:rsidRDefault="0053362C" w:rsidP="00EF589B">
      <w:pPr>
        <w:spacing w:line="360" w:lineRule="auto"/>
        <w:ind w:firstLine="709"/>
        <w:jc w:val="both"/>
        <w:rPr>
          <w:sz w:val="28"/>
        </w:rPr>
      </w:pPr>
      <w:r>
        <w:rPr>
          <w:sz w:val="28"/>
        </w:rPr>
        <w:t xml:space="preserve">Тепер перейдемо до Словаччини. </w:t>
      </w:r>
      <w:r w:rsidR="002B48A8">
        <w:rPr>
          <w:sz w:val="28"/>
          <w:lang w:val="ru-RU"/>
        </w:rPr>
        <w:t xml:space="preserve">Станом на 11 </w:t>
      </w:r>
      <w:r w:rsidR="002B48A8" w:rsidRPr="002B48A8">
        <w:rPr>
          <w:sz w:val="28"/>
        </w:rPr>
        <w:t>квітня</w:t>
      </w:r>
      <w:r w:rsidR="002B48A8">
        <w:rPr>
          <w:sz w:val="28"/>
          <w:lang w:val="ru-RU"/>
        </w:rPr>
        <w:t xml:space="preserve"> </w:t>
      </w:r>
      <w:r w:rsidR="002B48A8">
        <w:rPr>
          <w:sz w:val="28"/>
        </w:rPr>
        <w:t>2023 року 1 сейшельська рупія – 0,</w:t>
      </w:r>
      <w:r>
        <w:rPr>
          <w:sz w:val="28"/>
        </w:rPr>
        <w:t>07</w:t>
      </w:r>
      <w:r w:rsidR="002B48A8">
        <w:rPr>
          <w:sz w:val="28"/>
        </w:rPr>
        <w:t xml:space="preserve"> євро (</w:t>
      </w:r>
      <w:r w:rsidR="002B48A8">
        <w:rPr>
          <w:sz w:val="28"/>
          <w:lang w:val="en-US"/>
        </w:rPr>
        <w:t>EUR</w:t>
      </w:r>
      <w:r w:rsidR="002B48A8">
        <w:rPr>
          <w:sz w:val="28"/>
        </w:rPr>
        <w:t>).</w:t>
      </w:r>
    </w:p>
    <w:p w:rsidR="0053362C" w:rsidRDefault="0053362C" w:rsidP="00EF589B">
      <w:pPr>
        <w:spacing w:line="360" w:lineRule="auto"/>
        <w:ind w:firstLine="709"/>
        <w:jc w:val="both"/>
        <w:rPr>
          <w:sz w:val="28"/>
        </w:rPr>
      </w:pPr>
      <w:r>
        <w:rPr>
          <w:sz w:val="28"/>
        </w:rPr>
        <w:t>Станом на 11 квітня 2023 року 1 сейшельська рупія – 0,07 євро (</w:t>
      </w:r>
      <w:r>
        <w:rPr>
          <w:sz w:val="28"/>
          <w:lang w:val="en-US"/>
        </w:rPr>
        <w:t>EUR</w:t>
      </w:r>
      <w:r>
        <w:rPr>
          <w:sz w:val="28"/>
        </w:rPr>
        <w:t>).</w:t>
      </w:r>
    </w:p>
    <w:p w:rsidR="002B48A8" w:rsidRPr="002B48A8" w:rsidRDefault="002B48A8" w:rsidP="002B48A8">
      <w:pPr>
        <w:spacing w:line="360" w:lineRule="auto"/>
        <w:ind w:firstLine="709"/>
        <w:jc w:val="both"/>
        <w:rPr>
          <w:sz w:val="28"/>
        </w:rPr>
      </w:pPr>
      <w:r>
        <w:rPr>
          <w:sz w:val="28"/>
        </w:rPr>
        <w:t>Дохідність облігацій внутрішньої державної позики в Словаччині на 11.04.2023 – 3,18%.</w:t>
      </w:r>
    </w:p>
    <w:p w:rsidR="002B48A8" w:rsidRDefault="0053362C" w:rsidP="00EF589B">
      <w:pPr>
        <w:spacing w:line="360" w:lineRule="auto"/>
        <w:ind w:firstLine="709"/>
        <w:jc w:val="both"/>
        <w:rPr>
          <w:sz w:val="28"/>
        </w:rPr>
      </w:pPr>
      <w:r>
        <w:rPr>
          <w:sz w:val="28"/>
        </w:rPr>
        <w:t>Реалізація стратегії для Словаччини: беремо на рік 1 млн сейшельських рупій під відсоткову ставку 2% на рік.</w:t>
      </w:r>
      <w:r w:rsidRPr="0053362C">
        <w:rPr>
          <w:sz w:val="28"/>
        </w:rPr>
        <w:t xml:space="preserve"> </w:t>
      </w:r>
      <w:r>
        <w:rPr>
          <w:sz w:val="28"/>
        </w:rPr>
        <w:t>Обмінюємо 1 млн сейшельських рупій на євро</w:t>
      </w:r>
      <w:r w:rsidR="006D595B">
        <w:rPr>
          <w:sz w:val="28"/>
        </w:rPr>
        <w:t xml:space="preserve"> за курсом 0,07</w:t>
      </w:r>
      <w:r>
        <w:rPr>
          <w:sz w:val="28"/>
        </w:rPr>
        <w:t xml:space="preserve"> і отримуємо 70000 євро. Купуємо на них словацькі облігації з дохідністю 3,18% річних. Через рік інвестор</w:t>
      </w:r>
      <w:r w:rsidR="00862D6D">
        <w:rPr>
          <w:sz w:val="28"/>
        </w:rPr>
        <w:t xml:space="preserve"> отримає дохід або збитки, які розраховуються так:</w:t>
      </w:r>
    </w:p>
    <w:p w:rsidR="00862D6D" w:rsidRPr="00862D6D" w:rsidRDefault="00862D6D" w:rsidP="00862D6D">
      <w:pPr>
        <w:spacing w:line="360" w:lineRule="auto"/>
        <w:ind w:firstLine="709"/>
        <w:jc w:val="both"/>
        <w:rPr>
          <w:sz w:val="28"/>
        </w:rPr>
      </w:pPr>
      <w:r>
        <w:rPr>
          <w:sz w:val="28"/>
        </w:rPr>
        <w:t>70000</w:t>
      </w:r>
      <w:r w:rsidRPr="00862D6D">
        <w:rPr>
          <w:sz w:val="28"/>
        </w:rPr>
        <w:t xml:space="preserve"> </w:t>
      </w:r>
      <w:r>
        <w:rPr>
          <w:sz w:val="28"/>
          <w:lang w:val="en-US"/>
        </w:rPr>
        <w:t>EUR</w:t>
      </w:r>
      <w:r>
        <w:rPr>
          <w:sz w:val="28"/>
        </w:rPr>
        <w:t xml:space="preserve"> + 0,0318 * 70000</w:t>
      </w:r>
      <w:r w:rsidRPr="00862D6D">
        <w:rPr>
          <w:sz w:val="28"/>
        </w:rPr>
        <w:t xml:space="preserve"> </w:t>
      </w:r>
      <w:r>
        <w:rPr>
          <w:sz w:val="28"/>
          <w:lang w:val="en-US"/>
        </w:rPr>
        <w:t>EUR</w:t>
      </w:r>
      <w:r>
        <w:rPr>
          <w:sz w:val="28"/>
        </w:rPr>
        <w:t xml:space="preserve"> = 72226 </w:t>
      </w:r>
      <w:r>
        <w:rPr>
          <w:sz w:val="28"/>
          <w:lang w:val="en-US"/>
        </w:rPr>
        <w:t>EUR</w:t>
      </w:r>
    </w:p>
    <w:p w:rsidR="002B48A8" w:rsidRDefault="00862D6D" w:rsidP="00EF589B">
      <w:pPr>
        <w:spacing w:line="360" w:lineRule="auto"/>
        <w:ind w:firstLine="709"/>
        <w:jc w:val="both"/>
        <w:rPr>
          <w:sz w:val="28"/>
        </w:rPr>
      </w:pPr>
      <w:r>
        <w:rPr>
          <w:sz w:val="28"/>
        </w:rPr>
        <w:t xml:space="preserve">Обмінюємо цю суму на сейшельські рупії, тобто 72226 </w:t>
      </w:r>
      <w:r>
        <w:rPr>
          <w:sz w:val="28"/>
          <w:lang w:val="en-US"/>
        </w:rPr>
        <w:t>EUR</w:t>
      </w:r>
      <w:r>
        <w:rPr>
          <w:sz w:val="28"/>
        </w:rPr>
        <w:t xml:space="preserve"> ділимо на 0,07 і отримуємо 1031800</w:t>
      </w:r>
      <w:r w:rsidRPr="00862D6D">
        <w:rPr>
          <w:sz w:val="28"/>
        </w:rPr>
        <w:t xml:space="preserve"> </w:t>
      </w:r>
      <w:r>
        <w:rPr>
          <w:sz w:val="28"/>
          <w:lang w:val="en-US"/>
        </w:rPr>
        <w:t>SCR</w:t>
      </w:r>
      <w:r>
        <w:rPr>
          <w:sz w:val="28"/>
        </w:rPr>
        <w:t>.</w:t>
      </w:r>
    </w:p>
    <w:p w:rsidR="00862D6D" w:rsidRDefault="00862D6D" w:rsidP="00862D6D">
      <w:pPr>
        <w:spacing w:line="360" w:lineRule="auto"/>
        <w:ind w:firstLine="709"/>
        <w:jc w:val="both"/>
        <w:rPr>
          <w:sz w:val="28"/>
        </w:rPr>
      </w:pPr>
      <w:r>
        <w:rPr>
          <w:sz w:val="28"/>
        </w:rPr>
        <w:t>Віддаємо кредит з відсотком 2%: 1031800</w:t>
      </w:r>
      <w:r w:rsidRPr="00862D6D">
        <w:rPr>
          <w:sz w:val="28"/>
        </w:rPr>
        <w:t xml:space="preserve"> </w:t>
      </w:r>
      <w:r>
        <w:rPr>
          <w:sz w:val="28"/>
          <w:lang w:val="en-US"/>
        </w:rPr>
        <w:t>SCR</w:t>
      </w:r>
      <w:r>
        <w:rPr>
          <w:sz w:val="28"/>
        </w:rPr>
        <w:t xml:space="preserve"> – 1000000 </w:t>
      </w:r>
      <w:r>
        <w:rPr>
          <w:sz w:val="28"/>
          <w:lang w:val="en-US"/>
        </w:rPr>
        <w:t>SCR</w:t>
      </w:r>
      <w:r>
        <w:rPr>
          <w:sz w:val="28"/>
        </w:rPr>
        <w:t xml:space="preserve"> – (0,02*1000000 </w:t>
      </w:r>
      <w:r>
        <w:rPr>
          <w:sz w:val="28"/>
          <w:lang w:val="en-US"/>
        </w:rPr>
        <w:t>SCR</w:t>
      </w:r>
      <w:r>
        <w:rPr>
          <w:sz w:val="28"/>
        </w:rPr>
        <w:t xml:space="preserve">) = 11800 </w:t>
      </w:r>
      <w:r>
        <w:rPr>
          <w:sz w:val="28"/>
          <w:lang w:val="en-US"/>
        </w:rPr>
        <w:t>SCR</w:t>
      </w:r>
      <w:r>
        <w:rPr>
          <w:sz w:val="28"/>
        </w:rPr>
        <w:t xml:space="preserve"> – чистий дохід.</w:t>
      </w:r>
    </w:p>
    <w:p w:rsidR="00862D6D" w:rsidRDefault="00862D6D" w:rsidP="00862D6D">
      <w:pPr>
        <w:spacing w:line="360" w:lineRule="auto"/>
        <w:ind w:firstLine="709"/>
        <w:jc w:val="both"/>
        <w:rPr>
          <w:sz w:val="28"/>
        </w:rPr>
      </w:pPr>
      <w:r>
        <w:rPr>
          <w:sz w:val="28"/>
        </w:rPr>
        <w:t>Дохідність операції під час використання позикових ресурсів у випадку зі Словаччиною склала 1,18%.</w:t>
      </w:r>
    </w:p>
    <w:p w:rsidR="00862D6D" w:rsidRDefault="00862D6D" w:rsidP="00862D6D">
      <w:pPr>
        <w:spacing w:line="360" w:lineRule="auto"/>
        <w:ind w:firstLine="709"/>
        <w:jc w:val="both"/>
        <w:rPr>
          <w:sz w:val="28"/>
        </w:rPr>
      </w:pPr>
      <w:r>
        <w:rPr>
          <w:sz w:val="28"/>
        </w:rPr>
        <w:t>Тепер розглянемо таку ж ситуацію з українськими облігаціями.</w:t>
      </w:r>
    </w:p>
    <w:p w:rsidR="00862D6D" w:rsidRDefault="00862D6D" w:rsidP="00862D6D">
      <w:pPr>
        <w:spacing w:line="360" w:lineRule="auto"/>
        <w:ind w:firstLine="709"/>
        <w:rPr>
          <w:sz w:val="28"/>
          <w:lang w:val="ru-RU"/>
        </w:rPr>
      </w:pPr>
      <w:r>
        <w:rPr>
          <w:sz w:val="28"/>
        </w:rPr>
        <w:t xml:space="preserve">Станом на 11 квітня 2023 року 1 сейшельська рупія – </w:t>
      </w:r>
      <w:r w:rsidRPr="00862D6D">
        <w:rPr>
          <w:sz w:val="28"/>
          <w:lang w:val="ru-RU"/>
        </w:rPr>
        <w:t>2</w:t>
      </w:r>
      <w:r>
        <w:rPr>
          <w:sz w:val="28"/>
        </w:rPr>
        <w:t xml:space="preserve">,75 українських гривень </w:t>
      </w:r>
      <w:r w:rsidRPr="00862D6D">
        <w:rPr>
          <w:sz w:val="28"/>
          <w:lang w:val="ru-RU"/>
        </w:rPr>
        <w:t>(</w:t>
      </w:r>
      <w:r>
        <w:rPr>
          <w:sz w:val="28"/>
          <w:lang w:val="en-US"/>
        </w:rPr>
        <w:t>UAH</w:t>
      </w:r>
      <w:r w:rsidRPr="00862D6D">
        <w:rPr>
          <w:sz w:val="28"/>
          <w:lang w:val="ru-RU"/>
        </w:rPr>
        <w:t>).</w:t>
      </w:r>
    </w:p>
    <w:p w:rsidR="006D595B" w:rsidRDefault="00862D6D" w:rsidP="006D595B">
      <w:pPr>
        <w:spacing w:line="360" w:lineRule="auto"/>
        <w:ind w:firstLine="709"/>
        <w:rPr>
          <w:sz w:val="28"/>
          <w:lang w:val="ru-RU"/>
        </w:rPr>
      </w:pPr>
      <w:r>
        <w:rPr>
          <w:sz w:val="28"/>
          <w:lang w:val="ru-RU"/>
        </w:rPr>
        <w:t xml:space="preserve">Станом на 11 </w:t>
      </w:r>
      <w:r w:rsidRPr="006D595B">
        <w:rPr>
          <w:sz w:val="28"/>
        </w:rPr>
        <w:t>квітня</w:t>
      </w:r>
      <w:r>
        <w:rPr>
          <w:sz w:val="28"/>
          <w:lang w:val="ru-RU"/>
        </w:rPr>
        <w:t xml:space="preserve"> 2024 року </w:t>
      </w:r>
      <w:r w:rsidR="006D595B">
        <w:rPr>
          <w:sz w:val="28"/>
        </w:rPr>
        <w:t xml:space="preserve">1 сейшельська рупія – 2,77 українських гривень </w:t>
      </w:r>
      <w:r w:rsidR="006D595B" w:rsidRPr="00862D6D">
        <w:rPr>
          <w:sz w:val="28"/>
          <w:lang w:val="ru-RU"/>
        </w:rPr>
        <w:t>(</w:t>
      </w:r>
      <w:r w:rsidR="006D595B">
        <w:rPr>
          <w:sz w:val="28"/>
          <w:lang w:val="en-US"/>
        </w:rPr>
        <w:t>UAH</w:t>
      </w:r>
      <w:r w:rsidR="006D595B" w:rsidRPr="00862D6D">
        <w:rPr>
          <w:sz w:val="28"/>
          <w:lang w:val="ru-RU"/>
        </w:rPr>
        <w:t>).</w:t>
      </w:r>
    </w:p>
    <w:p w:rsidR="006D595B" w:rsidRDefault="006D595B" w:rsidP="006D595B">
      <w:pPr>
        <w:spacing w:line="360" w:lineRule="auto"/>
        <w:ind w:firstLine="709"/>
        <w:jc w:val="both"/>
        <w:rPr>
          <w:sz w:val="28"/>
        </w:rPr>
      </w:pPr>
      <w:r>
        <w:rPr>
          <w:sz w:val="28"/>
        </w:rPr>
        <w:t>Дохідність облігацій внутрішньої державної позики в Україні на 11.04.2023 – 68,5%.</w:t>
      </w:r>
    </w:p>
    <w:p w:rsidR="006D595B" w:rsidRDefault="006D595B" w:rsidP="006D595B">
      <w:pPr>
        <w:spacing w:line="360" w:lineRule="auto"/>
        <w:ind w:firstLine="709"/>
        <w:jc w:val="both"/>
        <w:rPr>
          <w:sz w:val="28"/>
        </w:rPr>
      </w:pPr>
      <w:r>
        <w:rPr>
          <w:sz w:val="28"/>
        </w:rPr>
        <w:t>Реалізація стратегії для України: беремо на рік 1 млн сейшельських рупій під відсоткову ставку 2% на рік.</w:t>
      </w:r>
      <w:r w:rsidRPr="0053362C">
        <w:rPr>
          <w:sz w:val="28"/>
        </w:rPr>
        <w:t xml:space="preserve"> </w:t>
      </w:r>
      <w:r>
        <w:rPr>
          <w:sz w:val="28"/>
        </w:rPr>
        <w:t>Обмінюємо 1 млн сейшельських рупій на гривні за курсом 2,75 та отримуємо 2750000 українських гривень. Купуємо на них українські облігації з дохідністю 68,5% річних. Через рік інвестор отримує дохід або збитки, які розраховуються так:</w:t>
      </w:r>
    </w:p>
    <w:p w:rsidR="006D595B" w:rsidRPr="00610159" w:rsidRDefault="006D595B" w:rsidP="006D595B">
      <w:pPr>
        <w:spacing w:line="360" w:lineRule="auto"/>
        <w:ind w:firstLine="709"/>
        <w:jc w:val="both"/>
        <w:rPr>
          <w:sz w:val="28"/>
        </w:rPr>
      </w:pPr>
      <w:r>
        <w:rPr>
          <w:sz w:val="28"/>
        </w:rPr>
        <w:t>2750000</w:t>
      </w:r>
      <w:r w:rsidRPr="00610159">
        <w:rPr>
          <w:sz w:val="28"/>
        </w:rPr>
        <w:t xml:space="preserve"> </w:t>
      </w:r>
      <w:r>
        <w:rPr>
          <w:sz w:val="28"/>
          <w:lang w:val="en-US"/>
        </w:rPr>
        <w:t>UAH</w:t>
      </w:r>
      <w:r>
        <w:rPr>
          <w:sz w:val="28"/>
        </w:rPr>
        <w:t xml:space="preserve"> + 0,685 * 2750000</w:t>
      </w:r>
      <w:r w:rsidRPr="00610159">
        <w:rPr>
          <w:sz w:val="28"/>
        </w:rPr>
        <w:t xml:space="preserve"> </w:t>
      </w:r>
      <w:r>
        <w:rPr>
          <w:sz w:val="28"/>
          <w:lang w:val="en-US"/>
        </w:rPr>
        <w:t>UAH</w:t>
      </w:r>
      <w:r>
        <w:rPr>
          <w:sz w:val="28"/>
        </w:rPr>
        <w:t xml:space="preserve"> = 4633750 </w:t>
      </w:r>
      <w:r>
        <w:rPr>
          <w:sz w:val="28"/>
          <w:lang w:val="en-US"/>
        </w:rPr>
        <w:t>UAH</w:t>
      </w:r>
    </w:p>
    <w:p w:rsidR="006D595B" w:rsidRDefault="006D595B" w:rsidP="006D595B">
      <w:pPr>
        <w:spacing w:line="360" w:lineRule="auto"/>
        <w:ind w:firstLine="709"/>
        <w:jc w:val="both"/>
        <w:rPr>
          <w:sz w:val="28"/>
        </w:rPr>
      </w:pPr>
      <w:r>
        <w:rPr>
          <w:sz w:val="28"/>
        </w:rPr>
        <w:t xml:space="preserve">Обмінюємо цю суму на сейшельські рупії, тобто 4633750 </w:t>
      </w:r>
      <w:r>
        <w:rPr>
          <w:sz w:val="28"/>
          <w:lang w:val="en-US"/>
        </w:rPr>
        <w:t>UAH</w:t>
      </w:r>
      <w:r>
        <w:rPr>
          <w:sz w:val="28"/>
        </w:rPr>
        <w:t xml:space="preserve"> ділимо на 2,77 і отримуємо 1672833,93 </w:t>
      </w:r>
      <w:r>
        <w:rPr>
          <w:sz w:val="28"/>
          <w:lang w:val="en-US"/>
        </w:rPr>
        <w:t>SCR</w:t>
      </w:r>
      <w:r>
        <w:rPr>
          <w:sz w:val="28"/>
        </w:rPr>
        <w:t>.</w:t>
      </w:r>
    </w:p>
    <w:p w:rsidR="006D595B" w:rsidRDefault="006D595B" w:rsidP="006D595B">
      <w:pPr>
        <w:spacing w:line="360" w:lineRule="auto"/>
        <w:ind w:firstLine="709"/>
        <w:jc w:val="both"/>
        <w:rPr>
          <w:sz w:val="28"/>
        </w:rPr>
      </w:pPr>
      <w:r>
        <w:rPr>
          <w:sz w:val="28"/>
        </w:rPr>
        <w:t xml:space="preserve">Віддаємо кредит з відсотком 2%: 1672833,93 </w:t>
      </w:r>
      <w:r>
        <w:rPr>
          <w:sz w:val="28"/>
          <w:lang w:val="en-US"/>
        </w:rPr>
        <w:t>SCR</w:t>
      </w:r>
      <w:r>
        <w:rPr>
          <w:sz w:val="28"/>
        </w:rPr>
        <w:t xml:space="preserve"> – 1000000 </w:t>
      </w:r>
      <w:r>
        <w:rPr>
          <w:sz w:val="28"/>
          <w:lang w:val="en-US"/>
        </w:rPr>
        <w:t>SCR</w:t>
      </w:r>
      <w:r>
        <w:rPr>
          <w:sz w:val="28"/>
        </w:rPr>
        <w:t xml:space="preserve"> – (0,02*1000000 </w:t>
      </w:r>
      <w:r>
        <w:rPr>
          <w:sz w:val="28"/>
          <w:lang w:val="en-US"/>
        </w:rPr>
        <w:t>SCR</w:t>
      </w:r>
      <w:r>
        <w:rPr>
          <w:sz w:val="28"/>
        </w:rPr>
        <w:t xml:space="preserve">) = 652833,93 </w:t>
      </w:r>
      <w:r>
        <w:rPr>
          <w:sz w:val="28"/>
          <w:lang w:val="en-US"/>
        </w:rPr>
        <w:t>SCR</w:t>
      </w:r>
      <w:r>
        <w:rPr>
          <w:sz w:val="28"/>
        </w:rPr>
        <w:t>.</w:t>
      </w:r>
    </w:p>
    <w:p w:rsidR="006D595B" w:rsidRDefault="006D595B" w:rsidP="006D595B">
      <w:pPr>
        <w:spacing w:line="360" w:lineRule="auto"/>
        <w:ind w:firstLine="709"/>
        <w:jc w:val="both"/>
        <w:rPr>
          <w:sz w:val="28"/>
        </w:rPr>
      </w:pPr>
      <w:r>
        <w:rPr>
          <w:sz w:val="28"/>
        </w:rPr>
        <w:t xml:space="preserve">Дохідність операції під час використання позикових ресурсів у випадку з Україною склала </w:t>
      </w:r>
      <w:r w:rsidR="004A7654">
        <w:rPr>
          <w:sz w:val="28"/>
        </w:rPr>
        <w:t>65,28%.</w:t>
      </w:r>
    </w:p>
    <w:p w:rsidR="004A7654" w:rsidRPr="004A7654" w:rsidRDefault="004A7654" w:rsidP="006D595B">
      <w:pPr>
        <w:spacing w:line="360" w:lineRule="auto"/>
        <w:ind w:firstLine="709"/>
        <w:jc w:val="both"/>
        <w:rPr>
          <w:sz w:val="28"/>
        </w:rPr>
      </w:pPr>
      <w:r>
        <w:rPr>
          <w:sz w:val="28"/>
        </w:rPr>
        <w:t xml:space="preserve">Тож можна зробити висновок про те, що українські цінні папери мають найвищу дохідність під час проведення операцій </w:t>
      </w:r>
      <w:r>
        <w:rPr>
          <w:sz w:val="28"/>
          <w:lang w:val="en-US"/>
        </w:rPr>
        <w:t>carry</w:t>
      </w:r>
      <w:r w:rsidRPr="004A7654">
        <w:rPr>
          <w:sz w:val="28"/>
        </w:rPr>
        <w:t xml:space="preserve"> </w:t>
      </w:r>
      <w:r>
        <w:rPr>
          <w:sz w:val="28"/>
          <w:lang w:val="en-US"/>
        </w:rPr>
        <w:t>trade</w:t>
      </w:r>
      <w:r w:rsidRPr="004A7654">
        <w:rPr>
          <w:sz w:val="28"/>
        </w:rPr>
        <w:t>.</w:t>
      </w:r>
      <w:r>
        <w:rPr>
          <w:sz w:val="28"/>
        </w:rPr>
        <w:t xml:space="preserve"> На це вплинуло на сам перед те, що українські облігації мають дуже високу дохідність внутрішньої державної позики, яка на момент 11 квітня 2023 року становила 68,5%. Щодо Польщі та Словаччини, то їх державні облігації мають набагато меншу доходність в операціях </w:t>
      </w:r>
      <w:r>
        <w:rPr>
          <w:sz w:val="28"/>
          <w:lang w:val="en-US"/>
        </w:rPr>
        <w:t>carry</w:t>
      </w:r>
      <w:r w:rsidRPr="004A7654">
        <w:rPr>
          <w:sz w:val="28"/>
        </w:rPr>
        <w:t xml:space="preserve"> </w:t>
      </w:r>
      <w:r>
        <w:rPr>
          <w:sz w:val="28"/>
          <w:lang w:val="en-US"/>
        </w:rPr>
        <w:t>trade</w:t>
      </w:r>
      <w:r>
        <w:rPr>
          <w:sz w:val="28"/>
        </w:rPr>
        <w:t>. Такі розрахунки свідчать про більшу привабливість українських облігацій для іноземних інвесторів. Тобто, інвестувавши в українські державні облігації, іноземні інвестори через рік, теоретично,</w:t>
      </w:r>
      <w:r w:rsidR="005F4AE0">
        <w:rPr>
          <w:sz w:val="28"/>
        </w:rPr>
        <w:t xml:space="preserve"> змогли б отримати на 65,28% більше грошей, ніж інвестували.</w:t>
      </w:r>
      <w:r>
        <w:rPr>
          <w:sz w:val="28"/>
        </w:rPr>
        <w:t xml:space="preserve"> </w:t>
      </w:r>
    </w:p>
    <w:p w:rsidR="006D595B" w:rsidRPr="006D595B" w:rsidRDefault="006D595B" w:rsidP="006D595B">
      <w:pPr>
        <w:spacing w:line="360" w:lineRule="auto"/>
        <w:ind w:firstLine="709"/>
        <w:jc w:val="both"/>
        <w:rPr>
          <w:sz w:val="28"/>
        </w:rPr>
      </w:pPr>
    </w:p>
    <w:p w:rsidR="00862D6D" w:rsidRPr="006D595B" w:rsidRDefault="00862D6D" w:rsidP="006D595B">
      <w:pPr>
        <w:spacing w:line="360" w:lineRule="auto"/>
        <w:ind w:firstLine="709"/>
        <w:rPr>
          <w:sz w:val="28"/>
        </w:rPr>
      </w:pPr>
    </w:p>
    <w:p w:rsidR="00580CAC" w:rsidRDefault="00580CAC" w:rsidP="00862D6D">
      <w:pPr>
        <w:spacing w:line="360" w:lineRule="auto"/>
        <w:ind w:firstLine="709"/>
        <w:rPr>
          <w:sz w:val="28"/>
        </w:rPr>
      </w:pPr>
      <w:r>
        <w:rPr>
          <w:sz w:val="28"/>
        </w:rPr>
        <w:br w:type="page"/>
      </w:r>
    </w:p>
    <w:p w:rsidR="00580CAC" w:rsidRPr="00580CAC" w:rsidRDefault="00580CAC" w:rsidP="00B90172">
      <w:pPr>
        <w:spacing w:line="360" w:lineRule="auto"/>
        <w:jc w:val="center"/>
        <w:rPr>
          <w:b/>
          <w:sz w:val="28"/>
        </w:rPr>
      </w:pPr>
      <w:r w:rsidRPr="00580CAC">
        <w:rPr>
          <w:b/>
          <w:sz w:val="28"/>
        </w:rPr>
        <w:t xml:space="preserve">РОЗДІЛ 3 </w:t>
      </w:r>
    </w:p>
    <w:p w:rsidR="00580CAC" w:rsidRDefault="00580CAC" w:rsidP="00B90172">
      <w:pPr>
        <w:spacing w:line="360" w:lineRule="auto"/>
        <w:jc w:val="center"/>
        <w:rPr>
          <w:b/>
          <w:sz w:val="28"/>
        </w:rPr>
      </w:pPr>
      <w:r w:rsidRPr="00580CAC">
        <w:rPr>
          <w:b/>
          <w:sz w:val="28"/>
        </w:rPr>
        <w:t>ОСОБЛИВОСТІ ЗОВНІШНЬОЕКОНОМІЧНИХ ОПЕРАЦІЙ ПОЛЬЩІ ТА СЛОВАЧЧИНИ З УКРАЇНОЮ</w:t>
      </w:r>
    </w:p>
    <w:p w:rsidR="00360CB4" w:rsidRDefault="00360CB4" w:rsidP="00580CAC">
      <w:pPr>
        <w:spacing w:line="360" w:lineRule="auto"/>
        <w:ind w:firstLine="709"/>
        <w:jc w:val="both"/>
        <w:rPr>
          <w:sz w:val="28"/>
        </w:rPr>
      </w:pPr>
    </w:p>
    <w:p w:rsidR="004046B4" w:rsidRDefault="004046B4" w:rsidP="00580CAC">
      <w:pPr>
        <w:spacing w:line="360" w:lineRule="auto"/>
        <w:ind w:firstLine="709"/>
        <w:jc w:val="both"/>
        <w:rPr>
          <w:sz w:val="28"/>
        </w:rPr>
      </w:pPr>
      <w:r>
        <w:rPr>
          <w:sz w:val="28"/>
        </w:rPr>
        <w:t>Польща та Словаччина географічно є сусідами та економічними партнерами України. Резиденти України ведуть активну економічну співпрацю з резидентами Польщі та Словаччини. Щоб визначити, чи є дане твердження правдою, потрібно проаналізувати статистичні дані, отримані на офіційних сайтах Державної служби статистики України та Національного банку України. Першим важливим елементом економічних відносин України та двох розглянутих країн є торгівля товарами. Дані щ</w:t>
      </w:r>
      <w:r w:rsidR="00A2338E">
        <w:rPr>
          <w:sz w:val="28"/>
        </w:rPr>
        <w:t xml:space="preserve">одо зовнішньої торгівлі </w:t>
      </w:r>
      <w:r>
        <w:rPr>
          <w:sz w:val="28"/>
        </w:rPr>
        <w:t xml:space="preserve">представлені у таблиці 3.1 та на рисунку 3.1. </w:t>
      </w:r>
    </w:p>
    <w:p w:rsidR="00B227D2" w:rsidRDefault="00B227D2" w:rsidP="00580CAC">
      <w:pPr>
        <w:spacing w:line="360" w:lineRule="auto"/>
        <w:ind w:firstLine="709"/>
        <w:jc w:val="both"/>
        <w:rPr>
          <w:sz w:val="28"/>
        </w:rPr>
      </w:pPr>
    </w:p>
    <w:p w:rsidR="00B227D2" w:rsidRPr="00B227D2" w:rsidRDefault="00B227D2" w:rsidP="00B227D2">
      <w:pPr>
        <w:spacing w:line="360" w:lineRule="auto"/>
        <w:ind w:firstLine="709"/>
        <w:jc w:val="right"/>
        <w:rPr>
          <w:b/>
          <w:sz w:val="28"/>
        </w:rPr>
      </w:pPr>
      <w:r w:rsidRPr="00B227D2">
        <w:rPr>
          <w:b/>
          <w:sz w:val="28"/>
        </w:rPr>
        <w:t>Таблиця 3.1</w:t>
      </w:r>
    </w:p>
    <w:p w:rsidR="00B227D2" w:rsidRPr="00B227D2" w:rsidRDefault="00B227D2" w:rsidP="00A2338E">
      <w:pPr>
        <w:spacing w:line="360" w:lineRule="auto"/>
        <w:jc w:val="center"/>
        <w:rPr>
          <w:b/>
          <w:sz w:val="28"/>
        </w:rPr>
      </w:pPr>
      <w:r w:rsidRPr="00B227D2">
        <w:rPr>
          <w:b/>
          <w:sz w:val="28"/>
        </w:rPr>
        <w:t xml:space="preserve">Статистика торгівлі товарами </w:t>
      </w:r>
      <w:r w:rsidR="00A2338E">
        <w:rPr>
          <w:b/>
          <w:sz w:val="28"/>
        </w:rPr>
        <w:t xml:space="preserve">та послугами </w:t>
      </w:r>
      <w:r w:rsidRPr="00B227D2">
        <w:rPr>
          <w:b/>
          <w:sz w:val="28"/>
        </w:rPr>
        <w:t>України з Польщею та Словаччиною, млн дол США</w:t>
      </w:r>
    </w:p>
    <w:tbl>
      <w:tblPr>
        <w:tblW w:w="9349" w:type="dxa"/>
        <w:tblLook w:val="04A0" w:firstRow="1" w:lastRow="0" w:firstColumn="1" w:lastColumn="0" w:noHBand="0" w:noVBand="1"/>
      </w:tblPr>
      <w:tblGrid>
        <w:gridCol w:w="3964"/>
        <w:gridCol w:w="1077"/>
        <w:gridCol w:w="1077"/>
        <w:gridCol w:w="1077"/>
        <w:gridCol w:w="1077"/>
        <w:gridCol w:w="1077"/>
      </w:tblGrid>
      <w:tr w:rsidR="00A2338E" w:rsidRPr="00B227D2" w:rsidTr="00B90172">
        <w:trPr>
          <w:trHeight w:val="300"/>
        </w:trPr>
        <w:tc>
          <w:tcPr>
            <w:tcW w:w="9349"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rsidR="00A2338E" w:rsidRPr="00A2338E" w:rsidRDefault="00A2338E" w:rsidP="00A2338E">
            <w:pPr>
              <w:jc w:val="center"/>
              <w:rPr>
                <w:b/>
                <w:color w:val="000000"/>
                <w:sz w:val="24"/>
                <w:szCs w:val="22"/>
                <w:lang w:eastAsia="en-US"/>
              </w:rPr>
            </w:pPr>
            <w:r>
              <w:rPr>
                <w:b/>
                <w:color w:val="000000"/>
                <w:sz w:val="24"/>
                <w:szCs w:val="22"/>
                <w:lang w:eastAsia="en-US"/>
              </w:rPr>
              <w:t>Товари</w:t>
            </w:r>
          </w:p>
        </w:tc>
      </w:tr>
      <w:tr w:rsidR="00AF7383" w:rsidRPr="00B227D2" w:rsidTr="00B90172">
        <w:trPr>
          <w:trHeight w:val="300"/>
        </w:trPr>
        <w:tc>
          <w:tcPr>
            <w:tcW w:w="39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7383" w:rsidRPr="00AF7383" w:rsidRDefault="00AF7383" w:rsidP="00AF7383">
            <w:pPr>
              <w:rPr>
                <w:color w:val="000000"/>
                <w:sz w:val="24"/>
                <w:szCs w:val="22"/>
                <w:lang w:val="en-US" w:eastAsia="en-US"/>
              </w:rPr>
            </w:pPr>
            <w:r w:rsidRPr="00AF7383">
              <w:rPr>
                <w:color w:val="000000"/>
                <w:sz w:val="24"/>
                <w:szCs w:val="22"/>
              </w:rPr>
              <w:t> </w:t>
            </w:r>
          </w:p>
        </w:tc>
        <w:tc>
          <w:tcPr>
            <w:tcW w:w="1077" w:type="dxa"/>
            <w:tcBorders>
              <w:top w:val="single" w:sz="4" w:space="0" w:color="auto"/>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b/>
                <w:color w:val="000000"/>
                <w:sz w:val="24"/>
                <w:szCs w:val="22"/>
              </w:rPr>
            </w:pPr>
            <w:r w:rsidRPr="00AF7383">
              <w:rPr>
                <w:b/>
                <w:color w:val="000000"/>
                <w:sz w:val="24"/>
                <w:szCs w:val="22"/>
              </w:rPr>
              <w:t>2018</w:t>
            </w:r>
          </w:p>
        </w:tc>
        <w:tc>
          <w:tcPr>
            <w:tcW w:w="1077" w:type="dxa"/>
            <w:tcBorders>
              <w:top w:val="single" w:sz="4" w:space="0" w:color="auto"/>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b/>
                <w:color w:val="000000"/>
                <w:sz w:val="24"/>
                <w:szCs w:val="22"/>
              </w:rPr>
            </w:pPr>
            <w:r w:rsidRPr="00AF7383">
              <w:rPr>
                <w:b/>
                <w:color w:val="000000"/>
                <w:sz w:val="24"/>
                <w:szCs w:val="22"/>
              </w:rPr>
              <w:t>2019</w:t>
            </w:r>
          </w:p>
        </w:tc>
        <w:tc>
          <w:tcPr>
            <w:tcW w:w="1077" w:type="dxa"/>
            <w:tcBorders>
              <w:top w:val="single" w:sz="4" w:space="0" w:color="auto"/>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b/>
                <w:color w:val="000000"/>
                <w:sz w:val="24"/>
                <w:szCs w:val="22"/>
              </w:rPr>
            </w:pPr>
            <w:r w:rsidRPr="00AF7383">
              <w:rPr>
                <w:b/>
                <w:color w:val="000000"/>
                <w:sz w:val="24"/>
                <w:szCs w:val="22"/>
              </w:rPr>
              <w:t>2020</w:t>
            </w:r>
          </w:p>
        </w:tc>
        <w:tc>
          <w:tcPr>
            <w:tcW w:w="1077" w:type="dxa"/>
            <w:tcBorders>
              <w:top w:val="single" w:sz="4" w:space="0" w:color="auto"/>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b/>
                <w:color w:val="000000"/>
                <w:sz w:val="24"/>
                <w:szCs w:val="22"/>
              </w:rPr>
            </w:pPr>
            <w:r w:rsidRPr="00AF7383">
              <w:rPr>
                <w:b/>
                <w:color w:val="000000"/>
                <w:sz w:val="24"/>
                <w:szCs w:val="22"/>
              </w:rPr>
              <w:t>2021</w:t>
            </w:r>
          </w:p>
        </w:tc>
        <w:tc>
          <w:tcPr>
            <w:tcW w:w="1077" w:type="dxa"/>
            <w:tcBorders>
              <w:top w:val="single" w:sz="4" w:space="0" w:color="auto"/>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b/>
                <w:color w:val="000000"/>
                <w:sz w:val="24"/>
                <w:szCs w:val="22"/>
              </w:rPr>
            </w:pPr>
            <w:r w:rsidRPr="00AF7383">
              <w:rPr>
                <w:b/>
                <w:color w:val="000000"/>
                <w:sz w:val="24"/>
                <w:szCs w:val="22"/>
              </w:rPr>
              <w:t>2022</w:t>
            </w:r>
          </w:p>
        </w:tc>
      </w:tr>
      <w:tr w:rsidR="00AF7383" w:rsidRPr="00B227D2"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AF7383" w:rsidRPr="00AF7383" w:rsidRDefault="00AF7383" w:rsidP="00AF7383">
            <w:pPr>
              <w:rPr>
                <w:color w:val="000000"/>
                <w:sz w:val="24"/>
                <w:szCs w:val="22"/>
              </w:rPr>
            </w:pPr>
            <w:r w:rsidRPr="00AF7383">
              <w:rPr>
                <w:color w:val="000000"/>
                <w:sz w:val="24"/>
                <w:szCs w:val="22"/>
              </w:rPr>
              <w:t>Експорт до Польщі</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3 257</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3 296</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3 273</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5 227</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5 985</w:t>
            </w:r>
          </w:p>
        </w:tc>
      </w:tr>
      <w:tr w:rsidR="00AF7383" w:rsidRPr="00B227D2"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AF7383" w:rsidRPr="00AF7383" w:rsidRDefault="00AF7383" w:rsidP="00AF7383">
            <w:pPr>
              <w:rPr>
                <w:color w:val="000000"/>
                <w:sz w:val="24"/>
                <w:szCs w:val="22"/>
              </w:rPr>
            </w:pPr>
            <w:r w:rsidRPr="00AF7383">
              <w:rPr>
                <w:color w:val="000000"/>
                <w:sz w:val="24"/>
                <w:szCs w:val="22"/>
              </w:rPr>
              <w:t>Експорт до Словаччини</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864</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710</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447</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999</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1 434</w:t>
            </w:r>
          </w:p>
        </w:tc>
      </w:tr>
      <w:tr w:rsidR="00AF7383" w:rsidRPr="00B227D2"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AF7383" w:rsidRPr="00AF7383" w:rsidRDefault="00AF7383" w:rsidP="00AF7383">
            <w:pPr>
              <w:rPr>
                <w:color w:val="000000"/>
                <w:sz w:val="24"/>
                <w:szCs w:val="22"/>
              </w:rPr>
            </w:pPr>
            <w:r w:rsidRPr="00AF7383">
              <w:rPr>
                <w:color w:val="000000"/>
                <w:sz w:val="24"/>
                <w:szCs w:val="22"/>
              </w:rPr>
              <w:t>Імпорт з Польщі</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3 642</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4 109</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4 141</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4 963</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5 230</w:t>
            </w:r>
          </w:p>
        </w:tc>
      </w:tr>
      <w:tr w:rsidR="00AF7383" w:rsidRPr="00B227D2"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AF7383" w:rsidRPr="00AF7383" w:rsidRDefault="00AF7383" w:rsidP="00AF7383">
            <w:pPr>
              <w:rPr>
                <w:color w:val="000000"/>
                <w:sz w:val="24"/>
                <w:szCs w:val="22"/>
              </w:rPr>
            </w:pPr>
            <w:r w:rsidRPr="00AF7383">
              <w:rPr>
                <w:color w:val="000000"/>
                <w:sz w:val="24"/>
                <w:szCs w:val="22"/>
              </w:rPr>
              <w:t>Імпорт зі Словаччини</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526</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652</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1 143</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923</w:t>
            </w:r>
          </w:p>
        </w:tc>
        <w:tc>
          <w:tcPr>
            <w:tcW w:w="1077" w:type="dxa"/>
            <w:tcBorders>
              <w:top w:val="nil"/>
              <w:left w:val="nil"/>
              <w:bottom w:val="single" w:sz="4" w:space="0" w:color="auto"/>
              <w:right w:val="single" w:sz="4" w:space="0" w:color="auto"/>
            </w:tcBorders>
            <w:shd w:val="clear" w:color="auto" w:fill="auto"/>
            <w:noWrap/>
            <w:vAlign w:val="bottom"/>
            <w:hideMark/>
          </w:tcPr>
          <w:p w:rsidR="00AF7383" w:rsidRPr="00AF7383" w:rsidRDefault="00AF7383" w:rsidP="00AF7383">
            <w:pPr>
              <w:jc w:val="right"/>
              <w:rPr>
                <w:color w:val="000000"/>
                <w:sz w:val="24"/>
                <w:szCs w:val="22"/>
              </w:rPr>
            </w:pPr>
            <w:r w:rsidRPr="00AF7383">
              <w:rPr>
                <w:color w:val="000000"/>
                <w:sz w:val="24"/>
                <w:szCs w:val="22"/>
              </w:rPr>
              <w:t>966</w:t>
            </w:r>
          </w:p>
        </w:tc>
      </w:tr>
      <w:tr w:rsidR="00A2338E" w:rsidRPr="00B227D2" w:rsidTr="00B90172">
        <w:trPr>
          <w:trHeight w:val="300"/>
        </w:trPr>
        <w:tc>
          <w:tcPr>
            <w:tcW w:w="9349" w:type="dxa"/>
            <w:gridSpan w:val="6"/>
            <w:tcBorders>
              <w:top w:val="nil"/>
              <w:left w:val="single" w:sz="4" w:space="0" w:color="auto"/>
              <w:bottom w:val="single" w:sz="4" w:space="0" w:color="auto"/>
              <w:right w:val="single" w:sz="4" w:space="0" w:color="auto"/>
            </w:tcBorders>
            <w:shd w:val="clear" w:color="auto" w:fill="auto"/>
            <w:noWrap/>
            <w:vAlign w:val="bottom"/>
          </w:tcPr>
          <w:p w:rsidR="00A2338E" w:rsidRPr="00A2338E" w:rsidRDefault="00A2338E" w:rsidP="00A2338E">
            <w:pPr>
              <w:jc w:val="center"/>
              <w:rPr>
                <w:b/>
                <w:color w:val="000000"/>
                <w:sz w:val="24"/>
                <w:szCs w:val="22"/>
                <w:lang w:eastAsia="en-US"/>
              </w:rPr>
            </w:pPr>
            <w:r w:rsidRPr="00A2338E">
              <w:rPr>
                <w:b/>
                <w:color w:val="000000"/>
                <w:sz w:val="24"/>
                <w:szCs w:val="22"/>
                <w:lang w:eastAsia="en-US"/>
              </w:rPr>
              <w:t>Послуги</w:t>
            </w:r>
          </w:p>
        </w:tc>
      </w:tr>
      <w:tr w:rsidR="00A2338E" w:rsidRPr="00A2338E"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A2338E" w:rsidRPr="00A2338E" w:rsidRDefault="00A2338E" w:rsidP="00966E52">
            <w:pPr>
              <w:rPr>
                <w:color w:val="000000"/>
                <w:sz w:val="24"/>
                <w:szCs w:val="22"/>
                <w:lang w:eastAsia="en-US"/>
              </w:rPr>
            </w:pPr>
            <w:r w:rsidRPr="00A2338E">
              <w:rPr>
                <w:color w:val="000000"/>
                <w:sz w:val="24"/>
                <w:szCs w:val="22"/>
                <w:lang w:eastAsia="en-US"/>
              </w:rPr>
              <w:t> </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b/>
                <w:color w:val="000000"/>
                <w:sz w:val="24"/>
                <w:szCs w:val="22"/>
                <w:lang w:val="en-US" w:eastAsia="en-US"/>
              </w:rPr>
            </w:pPr>
            <w:r w:rsidRPr="00A2338E">
              <w:rPr>
                <w:b/>
                <w:color w:val="000000"/>
                <w:sz w:val="24"/>
                <w:szCs w:val="22"/>
                <w:lang w:val="en-US" w:eastAsia="en-US"/>
              </w:rPr>
              <w:t>2017</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b/>
                <w:color w:val="000000"/>
                <w:sz w:val="24"/>
                <w:szCs w:val="22"/>
                <w:lang w:val="en-US" w:eastAsia="en-US"/>
              </w:rPr>
            </w:pPr>
            <w:r w:rsidRPr="00A2338E">
              <w:rPr>
                <w:b/>
                <w:color w:val="000000"/>
                <w:sz w:val="24"/>
                <w:szCs w:val="22"/>
                <w:lang w:val="en-US" w:eastAsia="en-US"/>
              </w:rPr>
              <w:t>2018</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b/>
                <w:color w:val="000000"/>
                <w:sz w:val="24"/>
                <w:szCs w:val="22"/>
                <w:lang w:val="en-US" w:eastAsia="en-US"/>
              </w:rPr>
            </w:pPr>
            <w:r w:rsidRPr="00A2338E">
              <w:rPr>
                <w:b/>
                <w:color w:val="000000"/>
                <w:sz w:val="24"/>
                <w:szCs w:val="22"/>
                <w:lang w:val="en-US" w:eastAsia="en-US"/>
              </w:rPr>
              <w:t>2019</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b/>
                <w:color w:val="000000"/>
                <w:sz w:val="24"/>
                <w:szCs w:val="22"/>
                <w:lang w:val="en-US" w:eastAsia="en-US"/>
              </w:rPr>
            </w:pPr>
            <w:r w:rsidRPr="00A2338E">
              <w:rPr>
                <w:b/>
                <w:color w:val="000000"/>
                <w:sz w:val="24"/>
                <w:szCs w:val="22"/>
                <w:lang w:val="en-US" w:eastAsia="en-US"/>
              </w:rPr>
              <w:t>2020</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b/>
                <w:color w:val="000000"/>
                <w:sz w:val="24"/>
                <w:szCs w:val="22"/>
                <w:lang w:val="en-US" w:eastAsia="en-US"/>
              </w:rPr>
            </w:pPr>
            <w:r w:rsidRPr="00A2338E">
              <w:rPr>
                <w:b/>
                <w:color w:val="000000"/>
                <w:sz w:val="24"/>
                <w:szCs w:val="22"/>
                <w:lang w:val="en-US" w:eastAsia="en-US"/>
              </w:rPr>
              <w:t>2021</w:t>
            </w:r>
          </w:p>
        </w:tc>
      </w:tr>
      <w:tr w:rsidR="00A2338E" w:rsidRPr="00A2338E"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A2338E" w:rsidRPr="00A2338E" w:rsidRDefault="00A2338E" w:rsidP="00966E52">
            <w:pPr>
              <w:rPr>
                <w:color w:val="000000"/>
                <w:sz w:val="24"/>
                <w:szCs w:val="22"/>
                <w:lang w:eastAsia="en-US"/>
              </w:rPr>
            </w:pPr>
            <w:r w:rsidRPr="00A2338E">
              <w:rPr>
                <w:color w:val="000000"/>
                <w:sz w:val="24"/>
                <w:szCs w:val="22"/>
                <w:lang w:eastAsia="en-US"/>
              </w:rPr>
              <w:t>Експорт до Польщі</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296</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350</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421</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441</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478</w:t>
            </w:r>
          </w:p>
        </w:tc>
      </w:tr>
      <w:tr w:rsidR="00A2338E" w:rsidRPr="00A2338E"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A2338E" w:rsidRPr="00A2338E" w:rsidRDefault="00A2338E" w:rsidP="00966E52">
            <w:pPr>
              <w:rPr>
                <w:color w:val="000000"/>
                <w:sz w:val="24"/>
                <w:szCs w:val="22"/>
                <w:lang w:eastAsia="en-US"/>
              </w:rPr>
            </w:pPr>
            <w:r w:rsidRPr="00A2338E">
              <w:rPr>
                <w:color w:val="000000"/>
                <w:sz w:val="24"/>
                <w:szCs w:val="22"/>
                <w:lang w:eastAsia="en-US"/>
              </w:rPr>
              <w:t>Експорт до Словаччини</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41</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45</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59</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52</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49</w:t>
            </w:r>
          </w:p>
        </w:tc>
      </w:tr>
      <w:tr w:rsidR="00A2338E" w:rsidRPr="00A2338E"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A2338E" w:rsidRPr="00A2338E" w:rsidRDefault="00A2338E" w:rsidP="00966E52">
            <w:pPr>
              <w:rPr>
                <w:color w:val="000000"/>
                <w:sz w:val="24"/>
                <w:szCs w:val="22"/>
                <w:lang w:eastAsia="en-US"/>
              </w:rPr>
            </w:pPr>
            <w:r w:rsidRPr="00A2338E">
              <w:rPr>
                <w:color w:val="000000"/>
                <w:sz w:val="24"/>
                <w:szCs w:val="22"/>
                <w:lang w:eastAsia="en-US"/>
              </w:rPr>
              <w:t>Імпорт з Польщі</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150</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196</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242</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201</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285</w:t>
            </w:r>
          </w:p>
        </w:tc>
      </w:tr>
      <w:tr w:rsidR="00A2338E" w:rsidRPr="00A2338E" w:rsidTr="00B90172">
        <w:trPr>
          <w:trHeight w:val="300"/>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rsidR="00A2338E" w:rsidRPr="00A2338E" w:rsidRDefault="00A2338E" w:rsidP="00966E52">
            <w:pPr>
              <w:rPr>
                <w:color w:val="000000"/>
                <w:sz w:val="24"/>
                <w:szCs w:val="22"/>
                <w:lang w:eastAsia="en-US"/>
              </w:rPr>
            </w:pPr>
            <w:r w:rsidRPr="00A2338E">
              <w:rPr>
                <w:color w:val="000000"/>
                <w:sz w:val="24"/>
                <w:szCs w:val="22"/>
                <w:lang w:eastAsia="en-US"/>
              </w:rPr>
              <w:t>Імпорт зі Словаччини</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108</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118</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89</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24</w:t>
            </w:r>
          </w:p>
        </w:tc>
        <w:tc>
          <w:tcPr>
            <w:tcW w:w="1077" w:type="dxa"/>
            <w:tcBorders>
              <w:top w:val="nil"/>
              <w:left w:val="nil"/>
              <w:bottom w:val="single" w:sz="4" w:space="0" w:color="auto"/>
              <w:right w:val="single" w:sz="4" w:space="0" w:color="auto"/>
            </w:tcBorders>
            <w:shd w:val="clear" w:color="auto" w:fill="auto"/>
            <w:noWrap/>
            <w:vAlign w:val="bottom"/>
            <w:hideMark/>
          </w:tcPr>
          <w:p w:rsidR="00A2338E" w:rsidRPr="00A2338E" w:rsidRDefault="00A2338E" w:rsidP="00966E52">
            <w:pPr>
              <w:jc w:val="right"/>
              <w:rPr>
                <w:color w:val="000000"/>
                <w:sz w:val="24"/>
                <w:szCs w:val="22"/>
                <w:lang w:val="en-US" w:eastAsia="en-US"/>
              </w:rPr>
            </w:pPr>
            <w:r w:rsidRPr="00A2338E">
              <w:rPr>
                <w:color w:val="000000"/>
                <w:sz w:val="24"/>
                <w:szCs w:val="22"/>
                <w:lang w:val="en-US" w:eastAsia="en-US"/>
              </w:rPr>
              <w:t>39</w:t>
            </w:r>
          </w:p>
        </w:tc>
      </w:tr>
    </w:tbl>
    <w:p w:rsidR="004046B4" w:rsidRDefault="00B227D2" w:rsidP="00B227D2">
      <w:pPr>
        <w:spacing w:line="360" w:lineRule="auto"/>
        <w:jc w:val="both"/>
        <w:rPr>
          <w:sz w:val="28"/>
        </w:rPr>
      </w:pPr>
      <w:r>
        <w:rPr>
          <w:sz w:val="28"/>
        </w:rPr>
        <w:t>Джерело:</w:t>
      </w:r>
      <w:r w:rsidRPr="00B227D2">
        <w:rPr>
          <w:sz w:val="28"/>
        </w:rPr>
        <w:t xml:space="preserve"> </w:t>
      </w:r>
      <w:r>
        <w:rPr>
          <w:sz w:val="28"/>
        </w:rPr>
        <w:t xml:space="preserve">складено автором на основі даних </w:t>
      </w:r>
      <w:r w:rsidRPr="00360CB4">
        <w:rPr>
          <w:sz w:val="28"/>
          <w:lang w:val="ru-RU"/>
        </w:rPr>
        <w:t>[</w:t>
      </w:r>
      <w:r w:rsidR="00B45AA2">
        <w:rPr>
          <w:sz w:val="28"/>
          <w:lang w:val="ru-RU"/>
        </w:rPr>
        <w:t>17</w:t>
      </w:r>
      <w:r w:rsidRPr="00360CB4">
        <w:rPr>
          <w:sz w:val="28"/>
          <w:lang w:val="ru-RU"/>
        </w:rPr>
        <w:t>]</w:t>
      </w:r>
    </w:p>
    <w:p w:rsidR="00B227D2" w:rsidRDefault="00B227D2" w:rsidP="00580CAC">
      <w:pPr>
        <w:spacing w:line="360" w:lineRule="auto"/>
        <w:ind w:firstLine="709"/>
        <w:jc w:val="both"/>
        <w:rPr>
          <w:sz w:val="28"/>
        </w:rPr>
      </w:pPr>
    </w:p>
    <w:p w:rsidR="00D9440D" w:rsidRPr="00D9440D" w:rsidRDefault="00B227D2" w:rsidP="00D9440D">
      <w:pPr>
        <w:spacing w:line="360" w:lineRule="auto"/>
        <w:ind w:firstLine="709"/>
        <w:jc w:val="both"/>
        <w:rPr>
          <w:sz w:val="28"/>
          <w:lang w:val="ru-RU"/>
        </w:rPr>
      </w:pPr>
      <w:r>
        <w:rPr>
          <w:sz w:val="28"/>
        </w:rPr>
        <w:t xml:space="preserve">Судячи з даних, Польща є більш вагомим партнером для України в торгівлі товарами. Експорт українських товарів до Польщі в 4-5 разів перевищував експорт до Словаччини протягом 5-и років. Є також помітна відмінність у динаміці сальдо. У торгівлі товарами з Польщею Україна має від’ємне сальдо, тобто більше імпортує з Польщі. А от із Словаччиною Україна має додатне сальдо, тобто більше експортує товарів до Словаччини, ніж імпортує. Тобто, простежується певна залежність України від польських </w:t>
      </w:r>
      <w:r w:rsidR="00D9440D" w:rsidRPr="00D9440D">
        <w:rPr>
          <w:sz w:val="28"/>
          <w:lang w:val="ru-RU"/>
        </w:rPr>
        <w:t>товарів, і в той же час, залежність Словаччини від українських товарів.</w:t>
      </w:r>
      <w:r w:rsidR="00D9440D">
        <w:rPr>
          <w:noProof/>
          <w:lang w:val="ru-RU"/>
        </w:rPr>
        <w:drawing>
          <wp:anchor distT="0" distB="0" distL="114300" distR="114300" simplePos="0" relativeHeight="251679744" behindDoc="0" locked="0" layoutInCell="1" allowOverlap="1" wp14:anchorId="5EDF40A2" wp14:editId="35BF7034">
            <wp:simplePos x="0" y="0"/>
            <wp:positionH relativeFrom="margin">
              <wp:posOffset>213995</wp:posOffset>
            </wp:positionH>
            <wp:positionV relativeFrom="paragraph">
              <wp:posOffset>1439545</wp:posOffset>
            </wp:positionV>
            <wp:extent cx="5423535" cy="2216150"/>
            <wp:effectExtent l="0" t="0" r="24765" b="12700"/>
            <wp:wrapTopAndBottom/>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p>
    <w:p w:rsidR="00D9440D" w:rsidRPr="00D9440D" w:rsidRDefault="00D9440D" w:rsidP="00580CAC">
      <w:pPr>
        <w:spacing w:line="360" w:lineRule="auto"/>
        <w:ind w:firstLine="709"/>
        <w:jc w:val="both"/>
        <w:rPr>
          <w:sz w:val="28"/>
          <w:lang w:val="ru-RU"/>
        </w:rPr>
      </w:pPr>
    </w:p>
    <w:p w:rsidR="00580CAC" w:rsidRDefault="00360CB4" w:rsidP="00B227D2">
      <w:pPr>
        <w:spacing w:line="360" w:lineRule="auto"/>
        <w:jc w:val="both"/>
        <w:rPr>
          <w:sz w:val="28"/>
        </w:rPr>
      </w:pPr>
      <w:r>
        <w:rPr>
          <w:sz w:val="28"/>
        </w:rPr>
        <w:t>Рис. 3.1 Динаміка торгівлі товарами України з Польщею та Словаччиною, млн дол США</w:t>
      </w:r>
    </w:p>
    <w:p w:rsidR="00360CB4" w:rsidRPr="00360CB4" w:rsidRDefault="00360CB4" w:rsidP="00360CB4">
      <w:pPr>
        <w:spacing w:line="360" w:lineRule="auto"/>
        <w:jc w:val="both"/>
        <w:rPr>
          <w:sz w:val="28"/>
          <w:lang w:val="ru-RU"/>
        </w:rPr>
      </w:pPr>
      <w:r>
        <w:rPr>
          <w:sz w:val="28"/>
        </w:rPr>
        <w:t xml:space="preserve">Джерело: складено автором на основі даних </w:t>
      </w:r>
      <w:r w:rsidRPr="00360CB4">
        <w:rPr>
          <w:sz w:val="28"/>
          <w:lang w:val="ru-RU"/>
        </w:rPr>
        <w:t>[</w:t>
      </w:r>
      <w:r w:rsidR="00E760F6">
        <w:rPr>
          <w:sz w:val="28"/>
          <w:lang w:val="ru-RU"/>
        </w:rPr>
        <w:t>1</w:t>
      </w:r>
      <w:r w:rsidR="00B45AA2">
        <w:rPr>
          <w:sz w:val="28"/>
          <w:lang w:val="ru-RU"/>
        </w:rPr>
        <w:t>7</w:t>
      </w:r>
      <w:r w:rsidRPr="00360CB4">
        <w:rPr>
          <w:sz w:val="28"/>
          <w:lang w:val="ru-RU"/>
        </w:rPr>
        <w:t>]</w:t>
      </w:r>
    </w:p>
    <w:p w:rsidR="004046B4" w:rsidRDefault="004046B4" w:rsidP="00580CAC">
      <w:pPr>
        <w:spacing w:line="360" w:lineRule="auto"/>
        <w:ind w:firstLine="709"/>
        <w:jc w:val="both"/>
        <w:rPr>
          <w:sz w:val="28"/>
        </w:rPr>
      </w:pPr>
    </w:p>
    <w:p w:rsidR="004046B4" w:rsidRPr="00B90172" w:rsidRDefault="00A2338E" w:rsidP="00580CAC">
      <w:pPr>
        <w:spacing w:line="360" w:lineRule="auto"/>
        <w:ind w:firstLine="709"/>
        <w:jc w:val="both"/>
        <w:rPr>
          <w:spacing w:val="-2"/>
          <w:sz w:val="28"/>
        </w:rPr>
      </w:pPr>
      <w:r w:rsidRPr="00B90172">
        <w:rPr>
          <w:spacing w:val="-2"/>
          <w:sz w:val="28"/>
        </w:rPr>
        <w:t xml:space="preserve">Далі, на рисунку 3.2 представлені дані щодо торгівлі послугами України з Польщею та Словаччиною. Помітно, що обсяги торгівлі послугами між цими трьома країнами набагато менші, ні обсяги торгівлі товарами. Експорт послуг з України до Словаччини не перевищував навіть 60 млн доларів на рік. Знову простежується </w:t>
      </w:r>
      <w:r w:rsidR="00321CB5" w:rsidRPr="00B90172">
        <w:rPr>
          <w:spacing w:val="-2"/>
          <w:sz w:val="28"/>
        </w:rPr>
        <w:t>ситуація, коли експорт послуг до Польщі перевищує експорт до Словаччини</w:t>
      </w:r>
      <w:r w:rsidRPr="00B90172">
        <w:rPr>
          <w:spacing w:val="-2"/>
          <w:sz w:val="28"/>
        </w:rPr>
        <w:t xml:space="preserve">. </w:t>
      </w:r>
      <w:r w:rsidR="00321CB5" w:rsidRPr="00B90172">
        <w:rPr>
          <w:spacing w:val="-2"/>
          <w:sz w:val="28"/>
        </w:rPr>
        <w:t>Така сама ситуація і з показниками імпорту послуг до обох країн. Тобто, Польща є набагато більш важливим і значимим економічним партнером для України в цілому та зокрема її резидентів. Слід також зауважити, що всі показники торгівлі послугами України з Польщею та Словаччиною зростають, окрім імпорту послуг. Як видно, на графіку, у 2020 році відбувся спад імпорту послуг з обох країн. Це, скоріш за все, наслідок світової пандемії та карантинних обмежень в країнах ЄС.</w:t>
      </w:r>
    </w:p>
    <w:p w:rsidR="00360CB4" w:rsidRDefault="00360CB4" w:rsidP="00A2338E">
      <w:pPr>
        <w:spacing w:line="360" w:lineRule="auto"/>
        <w:jc w:val="both"/>
        <w:rPr>
          <w:sz w:val="28"/>
        </w:rPr>
      </w:pPr>
      <w:r>
        <w:rPr>
          <w:noProof/>
          <w:lang w:val="ru-RU"/>
        </w:rPr>
        <w:drawing>
          <wp:anchor distT="0" distB="0" distL="114300" distR="114300" simplePos="0" relativeHeight="251677696" behindDoc="0" locked="0" layoutInCell="1" allowOverlap="1" wp14:anchorId="782B9CC9" wp14:editId="3C2AD51D">
            <wp:simplePos x="0" y="0"/>
            <wp:positionH relativeFrom="margin">
              <wp:align>right</wp:align>
            </wp:positionH>
            <wp:positionV relativeFrom="paragraph">
              <wp:posOffset>621</wp:posOffset>
            </wp:positionV>
            <wp:extent cx="5932805" cy="2743200"/>
            <wp:effectExtent l="0" t="0" r="10795" b="0"/>
            <wp:wrapTopAndBottom/>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r>
        <w:rPr>
          <w:sz w:val="28"/>
        </w:rPr>
        <w:t>Р</w:t>
      </w:r>
      <w:r w:rsidR="00A2338E">
        <w:rPr>
          <w:sz w:val="28"/>
        </w:rPr>
        <w:t>ис. 3.2</w:t>
      </w:r>
      <w:r>
        <w:rPr>
          <w:sz w:val="28"/>
        </w:rPr>
        <w:t xml:space="preserve"> Динаміка торгівлі послугами України з Польщею та Словаччиною, млн дол США</w:t>
      </w:r>
    </w:p>
    <w:p w:rsidR="00360CB4" w:rsidRPr="00360CB4" w:rsidRDefault="00360CB4" w:rsidP="00360CB4">
      <w:pPr>
        <w:spacing w:line="360" w:lineRule="auto"/>
        <w:jc w:val="both"/>
        <w:rPr>
          <w:sz w:val="28"/>
          <w:lang w:val="ru-RU"/>
        </w:rPr>
      </w:pPr>
      <w:r>
        <w:rPr>
          <w:sz w:val="28"/>
        </w:rPr>
        <w:t xml:space="preserve">Джерело: складено автором на основі даних </w:t>
      </w:r>
      <w:r w:rsidRPr="00360CB4">
        <w:rPr>
          <w:sz w:val="28"/>
          <w:lang w:val="ru-RU"/>
        </w:rPr>
        <w:t>[</w:t>
      </w:r>
      <w:r w:rsidR="00B45AA2">
        <w:rPr>
          <w:sz w:val="28"/>
          <w:lang w:val="ru-RU"/>
        </w:rPr>
        <w:t>17</w:t>
      </w:r>
      <w:r w:rsidRPr="00360CB4">
        <w:rPr>
          <w:sz w:val="28"/>
          <w:lang w:val="ru-RU"/>
        </w:rPr>
        <w:t>]</w:t>
      </w:r>
    </w:p>
    <w:p w:rsidR="00580CAC" w:rsidRDefault="00580CAC" w:rsidP="00360CB4">
      <w:pPr>
        <w:spacing w:line="360" w:lineRule="auto"/>
        <w:jc w:val="both"/>
        <w:rPr>
          <w:sz w:val="28"/>
          <w:lang w:val="ru-RU"/>
        </w:rPr>
      </w:pPr>
    </w:p>
    <w:p w:rsidR="0030049E" w:rsidRPr="0030049E" w:rsidRDefault="0030049E" w:rsidP="0030049E">
      <w:pPr>
        <w:spacing w:line="360" w:lineRule="auto"/>
        <w:ind w:firstLine="709"/>
        <w:jc w:val="both"/>
        <w:rPr>
          <w:sz w:val="28"/>
        </w:rPr>
      </w:pPr>
      <w:r w:rsidRPr="0030049E">
        <w:rPr>
          <w:sz w:val="28"/>
        </w:rPr>
        <w:t xml:space="preserve">Також слід </w:t>
      </w:r>
      <w:r>
        <w:rPr>
          <w:sz w:val="28"/>
        </w:rPr>
        <w:t xml:space="preserve">розглянути статистику притоку прямих іноземних інвестицій з Польщі та Словаччини до України (див. табл. 3.2 та рис. 3.3). Судячи зі статистичних даних, </w:t>
      </w:r>
      <w:r w:rsidR="00966E52">
        <w:rPr>
          <w:sz w:val="28"/>
        </w:rPr>
        <w:t>взятих з офіційного сайту Національного банку України, надходження ПІІ до України з двох досліджуваних країн мають доволі невелике числове значення. Але, не дивлячись на це, надходження прямих інвестицій з Польщі перевищує надходження з багатьох інших країн ЄС, зокрема Франції, Австрії, Бельгії, Угорщини тощо. Потоки ПІІ з Польщі значно перевищують інвестиції із Словаччини. Наприклад, у 2021 році притік інвестицій з Польщі майже у 3 рази перевищував надходження інвестицій із Словаччини.</w:t>
      </w:r>
    </w:p>
    <w:p w:rsidR="00580CAC" w:rsidRPr="0030049E" w:rsidRDefault="0030049E" w:rsidP="0030049E">
      <w:pPr>
        <w:spacing w:line="360" w:lineRule="auto"/>
        <w:ind w:firstLine="709"/>
        <w:jc w:val="right"/>
        <w:rPr>
          <w:b/>
          <w:sz w:val="28"/>
        </w:rPr>
      </w:pPr>
      <w:r w:rsidRPr="0030049E">
        <w:rPr>
          <w:b/>
          <w:sz w:val="28"/>
        </w:rPr>
        <w:t>Таблиця 3.2</w:t>
      </w:r>
    </w:p>
    <w:p w:rsidR="0030049E" w:rsidRDefault="0030049E" w:rsidP="0030049E">
      <w:pPr>
        <w:spacing w:line="360" w:lineRule="auto"/>
        <w:ind w:firstLine="709"/>
        <w:jc w:val="center"/>
        <w:rPr>
          <w:b/>
          <w:sz w:val="28"/>
        </w:rPr>
      </w:pPr>
      <w:r w:rsidRPr="0030049E">
        <w:rPr>
          <w:b/>
          <w:sz w:val="28"/>
        </w:rPr>
        <w:t xml:space="preserve">Статистика притоку прямих іноземних інвестицій в Україну, </w:t>
      </w:r>
    </w:p>
    <w:p w:rsidR="0030049E" w:rsidRPr="0030049E" w:rsidRDefault="0030049E" w:rsidP="0030049E">
      <w:pPr>
        <w:spacing w:line="360" w:lineRule="auto"/>
        <w:ind w:firstLine="709"/>
        <w:jc w:val="center"/>
        <w:rPr>
          <w:b/>
          <w:sz w:val="28"/>
        </w:rPr>
      </w:pPr>
      <w:r w:rsidRPr="0030049E">
        <w:rPr>
          <w:b/>
          <w:sz w:val="28"/>
        </w:rPr>
        <w:t>млн дол США</w:t>
      </w:r>
    </w:p>
    <w:tbl>
      <w:tblPr>
        <w:tblW w:w="9349" w:type="dxa"/>
        <w:tblLook w:val="04A0" w:firstRow="1" w:lastRow="0" w:firstColumn="1" w:lastColumn="0" w:noHBand="0" w:noVBand="1"/>
      </w:tblPr>
      <w:tblGrid>
        <w:gridCol w:w="3964"/>
        <w:gridCol w:w="1077"/>
        <w:gridCol w:w="1077"/>
        <w:gridCol w:w="1077"/>
        <w:gridCol w:w="1077"/>
        <w:gridCol w:w="1077"/>
      </w:tblGrid>
      <w:tr w:rsidR="0030049E" w:rsidRPr="0030049E" w:rsidTr="009A5DB0">
        <w:trPr>
          <w:trHeight w:val="300"/>
        </w:trPr>
        <w:tc>
          <w:tcPr>
            <w:tcW w:w="396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30049E" w:rsidRPr="0030049E" w:rsidRDefault="0030049E" w:rsidP="0030049E">
            <w:pPr>
              <w:rPr>
                <w:color w:val="000000"/>
                <w:sz w:val="24"/>
                <w:szCs w:val="22"/>
                <w:lang w:val="ru-RU" w:eastAsia="en-US"/>
              </w:rPr>
            </w:pPr>
            <w:r w:rsidRPr="0030049E">
              <w:rPr>
                <w:color w:val="000000"/>
                <w:sz w:val="24"/>
                <w:szCs w:val="22"/>
                <w:lang w:val="en-US" w:eastAsia="en-US"/>
              </w:rPr>
              <w:t> </w:t>
            </w:r>
          </w:p>
        </w:tc>
        <w:tc>
          <w:tcPr>
            <w:tcW w:w="1077"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30049E" w:rsidRPr="009A5DB0" w:rsidRDefault="0030049E" w:rsidP="0030049E">
            <w:pPr>
              <w:jc w:val="right"/>
              <w:rPr>
                <w:b/>
                <w:color w:val="000000"/>
                <w:sz w:val="24"/>
                <w:szCs w:val="22"/>
                <w:lang w:val="en-US" w:eastAsia="en-US"/>
              </w:rPr>
            </w:pPr>
            <w:r w:rsidRPr="009A5DB0">
              <w:rPr>
                <w:b/>
                <w:color w:val="000000"/>
                <w:sz w:val="24"/>
                <w:szCs w:val="22"/>
                <w:lang w:val="en-US" w:eastAsia="en-US"/>
              </w:rPr>
              <w:t>2017</w:t>
            </w:r>
          </w:p>
        </w:tc>
        <w:tc>
          <w:tcPr>
            <w:tcW w:w="1077"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30049E" w:rsidRPr="009A5DB0" w:rsidRDefault="0030049E" w:rsidP="0030049E">
            <w:pPr>
              <w:jc w:val="right"/>
              <w:rPr>
                <w:b/>
                <w:color w:val="000000"/>
                <w:sz w:val="24"/>
                <w:szCs w:val="22"/>
                <w:lang w:val="en-US" w:eastAsia="en-US"/>
              </w:rPr>
            </w:pPr>
            <w:r w:rsidRPr="009A5DB0">
              <w:rPr>
                <w:b/>
                <w:color w:val="000000"/>
                <w:sz w:val="24"/>
                <w:szCs w:val="22"/>
                <w:lang w:val="en-US" w:eastAsia="en-US"/>
              </w:rPr>
              <w:t>2018</w:t>
            </w:r>
          </w:p>
        </w:tc>
        <w:tc>
          <w:tcPr>
            <w:tcW w:w="1077"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30049E" w:rsidRPr="009A5DB0" w:rsidRDefault="0030049E" w:rsidP="0030049E">
            <w:pPr>
              <w:jc w:val="right"/>
              <w:rPr>
                <w:b/>
                <w:color w:val="000000"/>
                <w:sz w:val="24"/>
                <w:szCs w:val="22"/>
                <w:lang w:val="en-US" w:eastAsia="en-US"/>
              </w:rPr>
            </w:pPr>
            <w:r w:rsidRPr="009A5DB0">
              <w:rPr>
                <w:b/>
                <w:color w:val="000000"/>
                <w:sz w:val="24"/>
                <w:szCs w:val="22"/>
                <w:lang w:val="en-US" w:eastAsia="en-US"/>
              </w:rPr>
              <w:t>2019</w:t>
            </w:r>
          </w:p>
        </w:tc>
        <w:tc>
          <w:tcPr>
            <w:tcW w:w="1077"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30049E" w:rsidRPr="009A5DB0" w:rsidRDefault="0030049E" w:rsidP="0030049E">
            <w:pPr>
              <w:jc w:val="right"/>
              <w:rPr>
                <w:b/>
                <w:color w:val="000000"/>
                <w:sz w:val="24"/>
                <w:szCs w:val="22"/>
                <w:lang w:val="en-US" w:eastAsia="en-US"/>
              </w:rPr>
            </w:pPr>
            <w:r w:rsidRPr="009A5DB0">
              <w:rPr>
                <w:b/>
                <w:color w:val="000000"/>
                <w:sz w:val="24"/>
                <w:szCs w:val="22"/>
                <w:lang w:val="en-US" w:eastAsia="en-US"/>
              </w:rPr>
              <w:t>2020</w:t>
            </w:r>
          </w:p>
        </w:tc>
        <w:tc>
          <w:tcPr>
            <w:tcW w:w="1077"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30049E" w:rsidRPr="009A5DB0" w:rsidRDefault="0030049E" w:rsidP="0030049E">
            <w:pPr>
              <w:jc w:val="right"/>
              <w:rPr>
                <w:b/>
                <w:color w:val="000000"/>
                <w:sz w:val="24"/>
                <w:szCs w:val="22"/>
                <w:lang w:val="en-US" w:eastAsia="en-US"/>
              </w:rPr>
            </w:pPr>
            <w:r w:rsidRPr="009A5DB0">
              <w:rPr>
                <w:b/>
                <w:color w:val="000000"/>
                <w:sz w:val="24"/>
                <w:szCs w:val="22"/>
                <w:lang w:val="en-US" w:eastAsia="en-US"/>
              </w:rPr>
              <w:t>2021</w:t>
            </w:r>
          </w:p>
        </w:tc>
      </w:tr>
      <w:tr w:rsidR="0030049E" w:rsidRPr="0030049E" w:rsidTr="009A5DB0">
        <w:trPr>
          <w:trHeight w:val="300"/>
        </w:trPr>
        <w:tc>
          <w:tcPr>
            <w:tcW w:w="3964"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rsidR="0030049E" w:rsidRPr="0030049E" w:rsidRDefault="0030049E" w:rsidP="0030049E">
            <w:pPr>
              <w:rPr>
                <w:color w:val="000000"/>
                <w:sz w:val="24"/>
                <w:szCs w:val="22"/>
                <w:lang w:eastAsia="en-US"/>
              </w:rPr>
            </w:pPr>
            <w:r w:rsidRPr="0030049E">
              <w:rPr>
                <w:color w:val="000000"/>
                <w:sz w:val="24"/>
                <w:szCs w:val="22"/>
                <w:lang w:eastAsia="en-US"/>
              </w:rPr>
              <w:t>Польща</w:t>
            </w:r>
          </w:p>
        </w:tc>
        <w:tc>
          <w:tcPr>
            <w:tcW w:w="1077" w:type="dxa"/>
            <w:tcBorders>
              <w:top w:val="nil"/>
              <w:left w:val="nil"/>
              <w:bottom w:val="single" w:sz="4" w:space="0" w:color="auto"/>
              <w:right w:val="single" w:sz="4" w:space="0" w:color="auto"/>
            </w:tcBorders>
            <w:shd w:val="clear" w:color="auto" w:fill="auto"/>
            <w:noWrap/>
            <w:vAlign w:val="bottom"/>
            <w:hideMark/>
          </w:tcPr>
          <w:p w:rsidR="0030049E" w:rsidRPr="0030049E" w:rsidRDefault="0030049E" w:rsidP="0030049E">
            <w:pPr>
              <w:jc w:val="right"/>
              <w:rPr>
                <w:color w:val="000000"/>
                <w:sz w:val="24"/>
                <w:szCs w:val="22"/>
                <w:lang w:val="en-US" w:eastAsia="en-US"/>
              </w:rPr>
            </w:pPr>
            <w:r w:rsidRPr="0030049E">
              <w:rPr>
                <w:color w:val="000000"/>
                <w:sz w:val="24"/>
                <w:szCs w:val="22"/>
                <w:lang w:val="en-US" w:eastAsia="en-US"/>
              </w:rPr>
              <w:t>141</w:t>
            </w:r>
          </w:p>
        </w:tc>
        <w:tc>
          <w:tcPr>
            <w:tcW w:w="1077" w:type="dxa"/>
            <w:tcBorders>
              <w:top w:val="nil"/>
              <w:left w:val="nil"/>
              <w:bottom w:val="single" w:sz="4" w:space="0" w:color="auto"/>
              <w:right w:val="single" w:sz="4" w:space="0" w:color="auto"/>
            </w:tcBorders>
            <w:shd w:val="clear" w:color="auto" w:fill="auto"/>
            <w:noWrap/>
            <w:vAlign w:val="bottom"/>
            <w:hideMark/>
          </w:tcPr>
          <w:p w:rsidR="0030049E" w:rsidRPr="0030049E" w:rsidRDefault="0030049E" w:rsidP="0030049E">
            <w:pPr>
              <w:jc w:val="right"/>
              <w:rPr>
                <w:color w:val="000000"/>
                <w:sz w:val="24"/>
                <w:szCs w:val="22"/>
                <w:lang w:val="en-US" w:eastAsia="en-US"/>
              </w:rPr>
            </w:pPr>
            <w:r w:rsidRPr="0030049E">
              <w:rPr>
                <w:color w:val="000000"/>
                <w:sz w:val="24"/>
                <w:szCs w:val="22"/>
                <w:lang w:val="en-US" w:eastAsia="en-US"/>
              </w:rPr>
              <w:t>143</w:t>
            </w:r>
          </w:p>
        </w:tc>
        <w:tc>
          <w:tcPr>
            <w:tcW w:w="1077" w:type="dxa"/>
            <w:tcBorders>
              <w:top w:val="nil"/>
              <w:left w:val="nil"/>
              <w:bottom w:val="single" w:sz="4" w:space="0" w:color="auto"/>
              <w:right w:val="single" w:sz="4" w:space="0" w:color="auto"/>
            </w:tcBorders>
            <w:shd w:val="clear" w:color="auto" w:fill="auto"/>
            <w:noWrap/>
            <w:vAlign w:val="bottom"/>
            <w:hideMark/>
          </w:tcPr>
          <w:p w:rsidR="0030049E" w:rsidRPr="0030049E" w:rsidRDefault="0030049E" w:rsidP="0030049E">
            <w:pPr>
              <w:jc w:val="right"/>
              <w:rPr>
                <w:color w:val="000000"/>
                <w:sz w:val="24"/>
                <w:szCs w:val="22"/>
                <w:lang w:val="en-US" w:eastAsia="en-US"/>
              </w:rPr>
            </w:pPr>
            <w:r w:rsidRPr="0030049E">
              <w:rPr>
                <w:color w:val="000000"/>
                <w:sz w:val="24"/>
                <w:szCs w:val="22"/>
                <w:lang w:val="en-US" w:eastAsia="en-US"/>
              </w:rPr>
              <w:t>211</w:t>
            </w:r>
          </w:p>
        </w:tc>
        <w:tc>
          <w:tcPr>
            <w:tcW w:w="1077" w:type="dxa"/>
            <w:tcBorders>
              <w:top w:val="nil"/>
              <w:left w:val="nil"/>
              <w:bottom w:val="single" w:sz="4" w:space="0" w:color="auto"/>
              <w:right w:val="single" w:sz="4" w:space="0" w:color="auto"/>
            </w:tcBorders>
            <w:shd w:val="clear" w:color="auto" w:fill="auto"/>
            <w:noWrap/>
            <w:vAlign w:val="bottom"/>
            <w:hideMark/>
          </w:tcPr>
          <w:p w:rsidR="0030049E" w:rsidRPr="0030049E" w:rsidRDefault="0030049E" w:rsidP="0030049E">
            <w:pPr>
              <w:jc w:val="right"/>
              <w:rPr>
                <w:color w:val="000000"/>
                <w:sz w:val="24"/>
                <w:szCs w:val="22"/>
                <w:lang w:val="en-US" w:eastAsia="en-US"/>
              </w:rPr>
            </w:pPr>
            <w:r w:rsidRPr="0030049E">
              <w:rPr>
                <w:color w:val="000000"/>
                <w:sz w:val="24"/>
                <w:szCs w:val="22"/>
                <w:lang w:val="en-US" w:eastAsia="en-US"/>
              </w:rPr>
              <w:t>129</w:t>
            </w:r>
          </w:p>
        </w:tc>
        <w:tc>
          <w:tcPr>
            <w:tcW w:w="1077" w:type="dxa"/>
            <w:tcBorders>
              <w:top w:val="nil"/>
              <w:left w:val="nil"/>
              <w:bottom w:val="single" w:sz="4" w:space="0" w:color="auto"/>
              <w:right w:val="single" w:sz="4" w:space="0" w:color="auto"/>
            </w:tcBorders>
            <w:shd w:val="clear" w:color="auto" w:fill="auto"/>
            <w:noWrap/>
            <w:vAlign w:val="bottom"/>
            <w:hideMark/>
          </w:tcPr>
          <w:p w:rsidR="0030049E" w:rsidRPr="0030049E" w:rsidRDefault="0030049E" w:rsidP="0030049E">
            <w:pPr>
              <w:jc w:val="right"/>
              <w:rPr>
                <w:color w:val="000000"/>
                <w:sz w:val="24"/>
                <w:szCs w:val="22"/>
                <w:lang w:val="en-US" w:eastAsia="en-US"/>
              </w:rPr>
            </w:pPr>
            <w:r w:rsidRPr="0030049E">
              <w:rPr>
                <w:color w:val="000000"/>
                <w:sz w:val="24"/>
                <w:szCs w:val="22"/>
                <w:lang w:val="en-US" w:eastAsia="en-US"/>
              </w:rPr>
              <w:t>228</w:t>
            </w:r>
          </w:p>
        </w:tc>
      </w:tr>
      <w:tr w:rsidR="0030049E" w:rsidRPr="0030049E" w:rsidTr="009A5DB0">
        <w:trPr>
          <w:trHeight w:val="300"/>
        </w:trPr>
        <w:tc>
          <w:tcPr>
            <w:tcW w:w="3964"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rsidR="0030049E" w:rsidRPr="0030049E" w:rsidRDefault="0030049E" w:rsidP="0030049E">
            <w:pPr>
              <w:rPr>
                <w:color w:val="000000"/>
                <w:sz w:val="24"/>
                <w:szCs w:val="22"/>
                <w:lang w:eastAsia="en-US"/>
              </w:rPr>
            </w:pPr>
            <w:r w:rsidRPr="0030049E">
              <w:rPr>
                <w:color w:val="000000"/>
                <w:sz w:val="24"/>
                <w:szCs w:val="22"/>
                <w:lang w:eastAsia="en-US"/>
              </w:rPr>
              <w:t>Словаччина</w:t>
            </w:r>
          </w:p>
        </w:tc>
        <w:tc>
          <w:tcPr>
            <w:tcW w:w="1077" w:type="dxa"/>
            <w:tcBorders>
              <w:top w:val="nil"/>
              <w:left w:val="nil"/>
              <w:bottom w:val="single" w:sz="4" w:space="0" w:color="auto"/>
              <w:right w:val="single" w:sz="4" w:space="0" w:color="auto"/>
            </w:tcBorders>
            <w:shd w:val="clear" w:color="auto" w:fill="auto"/>
            <w:noWrap/>
            <w:vAlign w:val="bottom"/>
            <w:hideMark/>
          </w:tcPr>
          <w:p w:rsidR="0030049E" w:rsidRPr="0030049E" w:rsidRDefault="0030049E" w:rsidP="0030049E">
            <w:pPr>
              <w:jc w:val="right"/>
              <w:rPr>
                <w:color w:val="000000"/>
                <w:sz w:val="24"/>
                <w:szCs w:val="22"/>
                <w:lang w:val="en-US" w:eastAsia="en-US"/>
              </w:rPr>
            </w:pPr>
            <w:r w:rsidRPr="0030049E">
              <w:rPr>
                <w:color w:val="000000"/>
                <w:sz w:val="24"/>
                <w:szCs w:val="22"/>
                <w:lang w:val="en-US" w:eastAsia="en-US"/>
              </w:rPr>
              <w:t>13</w:t>
            </w:r>
          </w:p>
        </w:tc>
        <w:tc>
          <w:tcPr>
            <w:tcW w:w="1077" w:type="dxa"/>
            <w:tcBorders>
              <w:top w:val="nil"/>
              <w:left w:val="nil"/>
              <w:bottom w:val="single" w:sz="4" w:space="0" w:color="auto"/>
              <w:right w:val="single" w:sz="4" w:space="0" w:color="auto"/>
            </w:tcBorders>
            <w:shd w:val="clear" w:color="auto" w:fill="auto"/>
            <w:noWrap/>
            <w:vAlign w:val="bottom"/>
            <w:hideMark/>
          </w:tcPr>
          <w:p w:rsidR="0030049E" w:rsidRPr="0030049E" w:rsidRDefault="0030049E" w:rsidP="0030049E">
            <w:pPr>
              <w:jc w:val="right"/>
              <w:rPr>
                <w:color w:val="000000"/>
                <w:sz w:val="24"/>
                <w:szCs w:val="22"/>
                <w:lang w:val="en-US" w:eastAsia="en-US"/>
              </w:rPr>
            </w:pPr>
            <w:r w:rsidRPr="0030049E">
              <w:rPr>
                <w:color w:val="000000"/>
                <w:sz w:val="24"/>
                <w:szCs w:val="22"/>
                <w:lang w:val="en-US" w:eastAsia="en-US"/>
              </w:rPr>
              <w:t>-28</w:t>
            </w:r>
          </w:p>
        </w:tc>
        <w:tc>
          <w:tcPr>
            <w:tcW w:w="1077" w:type="dxa"/>
            <w:tcBorders>
              <w:top w:val="nil"/>
              <w:left w:val="nil"/>
              <w:bottom w:val="single" w:sz="4" w:space="0" w:color="auto"/>
              <w:right w:val="single" w:sz="4" w:space="0" w:color="auto"/>
            </w:tcBorders>
            <w:shd w:val="clear" w:color="auto" w:fill="auto"/>
            <w:noWrap/>
            <w:vAlign w:val="bottom"/>
            <w:hideMark/>
          </w:tcPr>
          <w:p w:rsidR="0030049E" w:rsidRPr="0030049E" w:rsidRDefault="0030049E" w:rsidP="0030049E">
            <w:pPr>
              <w:jc w:val="right"/>
              <w:rPr>
                <w:color w:val="000000"/>
                <w:sz w:val="24"/>
                <w:szCs w:val="22"/>
                <w:lang w:val="en-US" w:eastAsia="en-US"/>
              </w:rPr>
            </w:pPr>
            <w:r w:rsidRPr="0030049E">
              <w:rPr>
                <w:color w:val="000000"/>
                <w:sz w:val="24"/>
                <w:szCs w:val="22"/>
                <w:lang w:val="en-US" w:eastAsia="en-US"/>
              </w:rPr>
              <w:t>46</w:t>
            </w:r>
          </w:p>
        </w:tc>
        <w:tc>
          <w:tcPr>
            <w:tcW w:w="1077" w:type="dxa"/>
            <w:tcBorders>
              <w:top w:val="nil"/>
              <w:left w:val="nil"/>
              <w:bottom w:val="single" w:sz="4" w:space="0" w:color="auto"/>
              <w:right w:val="single" w:sz="4" w:space="0" w:color="auto"/>
            </w:tcBorders>
            <w:shd w:val="clear" w:color="auto" w:fill="auto"/>
            <w:noWrap/>
            <w:vAlign w:val="bottom"/>
            <w:hideMark/>
          </w:tcPr>
          <w:p w:rsidR="0030049E" w:rsidRPr="0030049E" w:rsidRDefault="0030049E" w:rsidP="0030049E">
            <w:pPr>
              <w:jc w:val="right"/>
              <w:rPr>
                <w:color w:val="000000"/>
                <w:sz w:val="24"/>
                <w:szCs w:val="22"/>
                <w:lang w:val="en-US" w:eastAsia="en-US"/>
              </w:rPr>
            </w:pPr>
            <w:r w:rsidRPr="0030049E">
              <w:rPr>
                <w:color w:val="000000"/>
                <w:sz w:val="24"/>
                <w:szCs w:val="22"/>
                <w:lang w:val="en-US" w:eastAsia="en-US"/>
              </w:rPr>
              <w:t>23</w:t>
            </w:r>
          </w:p>
        </w:tc>
        <w:tc>
          <w:tcPr>
            <w:tcW w:w="1077" w:type="dxa"/>
            <w:tcBorders>
              <w:top w:val="nil"/>
              <w:left w:val="nil"/>
              <w:bottom w:val="single" w:sz="4" w:space="0" w:color="auto"/>
              <w:right w:val="single" w:sz="4" w:space="0" w:color="auto"/>
            </w:tcBorders>
            <w:shd w:val="clear" w:color="auto" w:fill="auto"/>
            <w:noWrap/>
            <w:vAlign w:val="bottom"/>
            <w:hideMark/>
          </w:tcPr>
          <w:p w:rsidR="0030049E" w:rsidRPr="0030049E" w:rsidRDefault="0030049E" w:rsidP="0030049E">
            <w:pPr>
              <w:jc w:val="right"/>
              <w:rPr>
                <w:color w:val="000000"/>
                <w:sz w:val="24"/>
                <w:szCs w:val="22"/>
                <w:lang w:val="en-US" w:eastAsia="en-US"/>
              </w:rPr>
            </w:pPr>
            <w:r w:rsidRPr="0030049E">
              <w:rPr>
                <w:color w:val="000000"/>
                <w:sz w:val="24"/>
                <w:szCs w:val="22"/>
                <w:lang w:val="en-US" w:eastAsia="en-US"/>
              </w:rPr>
              <w:t>77</w:t>
            </w:r>
          </w:p>
        </w:tc>
      </w:tr>
    </w:tbl>
    <w:p w:rsidR="00580CAC" w:rsidRDefault="0030049E" w:rsidP="0030049E">
      <w:pPr>
        <w:spacing w:line="360" w:lineRule="auto"/>
        <w:jc w:val="both"/>
        <w:rPr>
          <w:sz w:val="28"/>
        </w:rPr>
      </w:pPr>
      <w:r>
        <w:rPr>
          <w:sz w:val="28"/>
        </w:rPr>
        <w:t xml:space="preserve">Джерело: складено автором на основі даних </w:t>
      </w:r>
      <w:r w:rsidRPr="00360CB4">
        <w:rPr>
          <w:sz w:val="28"/>
          <w:lang w:val="ru-RU"/>
        </w:rPr>
        <w:t>[</w:t>
      </w:r>
      <w:r w:rsidR="00294E85">
        <w:rPr>
          <w:sz w:val="28"/>
          <w:lang w:val="ru-RU"/>
        </w:rPr>
        <w:t>1</w:t>
      </w:r>
      <w:r w:rsidR="00B45AA2" w:rsidRPr="00B45AA2">
        <w:rPr>
          <w:sz w:val="28"/>
          <w:lang w:val="ru-RU"/>
        </w:rPr>
        <w:t>8</w:t>
      </w:r>
      <w:r w:rsidRPr="00360CB4">
        <w:rPr>
          <w:sz w:val="28"/>
          <w:lang w:val="ru-RU"/>
        </w:rPr>
        <w:t>]</w:t>
      </w:r>
    </w:p>
    <w:p w:rsidR="00580CAC" w:rsidRDefault="00580CAC" w:rsidP="00580CAC">
      <w:pPr>
        <w:spacing w:line="360" w:lineRule="auto"/>
        <w:ind w:firstLine="709"/>
        <w:jc w:val="both"/>
        <w:rPr>
          <w:sz w:val="28"/>
        </w:rPr>
      </w:pPr>
    </w:p>
    <w:p w:rsidR="006B58F3" w:rsidRDefault="007733BB" w:rsidP="00580CAC">
      <w:pPr>
        <w:spacing w:line="360" w:lineRule="auto"/>
        <w:ind w:firstLine="709"/>
        <w:jc w:val="both"/>
        <w:rPr>
          <w:sz w:val="28"/>
        </w:rPr>
      </w:pPr>
      <w:r>
        <w:rPr>
          <w:noProof/>
          <w:lang w:val="ru-RU"/>
        </w:rPr>
        <w:drawing>
          <wp:anchor distT="0" distB="0" distL="114300" distR="114300" simplePos="0" relativeHeight="251678720" behindDoc="0" locked="0" layoutInCell="1" allowOverlap="1" wp14:anchorId="252B7827" wp14:editId="0FAD2B97">
            <wp:simplePos x="0" y="0"/>
            <wp:positionH relativeFrom="margin">
              <wp:align>left</wp:align>
            </wp:positionH>
            <wp:positionV relativeFrom="paragraph">
              <wp:posOffset>1907303</wp:posOffset>
            </wp:positionV>
            <wp:extent cx="5932805" cy="2743200"/>
            <wp:effectExtent l="0" t="0" r="10795" b="0"/>
            <wp:wrapTopAndBottom/>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r w:rsidR="00966E52">
        <w:rPr>
          <w:sz w:val="28"/>
        </w:rPr>
        <w:t xml:space="preserve">На рисунку наочно видно, що резиденти обох досліджуваних країн щороку нарощують обсяги інвестування у українську економіку. За 5 років, з 2017 по 2021, притік прямих інвестицій з Польщі збільшився в 1,5 рази, а притік із Словаччини збільшився майже у 6 разів. </w:t>
      </w:r>
      <w:r>
        <w:rPr>
          <w:sz w:val="28"/>
        </w:rPr>
        <w:t>У 2021 році показники надходжень ПІІ з Польщі та Словаччини досягнули свого максимального значення, 228 та 77 млн доларів відповідно.</w:t>
      </w:r>
    </w:p>
    <w:p w:rsidR="00360CB4" w:rsidRPr="00360CB4" w:rsidRDefault="00A2338E" w:rsidP="00360CB4">
      <w:pPr>
        <w:spacing w:line="360" w:lineRule="auto"/>
        <w:jc w:val="both"/>
        <w:rPr>
          <w:sz w:val="28"/>
        </w:rPr>
      </w:pPr>
      <w:r>
        <w:rPr>
          <w:sz w:val="28"/>
        </w:rPr>
        <w:t>Рис. 3.3</w:t>
      </w:r>
      <w:r w:rsidR="00360CB4" w:rsidRPr="00360CB4">
        <w:rPr>
          <w:sz w:val="28"/>
        </w:rPr>
        <w:t xml:space="preserve"> Динаміка </w:t>
      </w:r>
      <w:r w:rsidR="00360CB4">
        <w:rPr>
          <w:sz w:val="28"/>
        </w:rPr>
        <w:t>прямих іноземних інвестицій в Україну,</w:t>
      </w:r>
      <w:r w:rsidR="00360CB4" w:rsidRPr="00360CB4">
        <w:rPr>
          <w:sz w:val="28"/>
        </w:rPr>
        <w:t xml:space="preserve"> млн дол США</w:t>
      </w:r>
    </w:p>
    <w:p w:rsidR="006B58F3" w:rsidRDefault="00360CB4" w:rsidP="00360CB4">
      <w:pPr>
        <w:spacing w:line="360" w:lineRule="auto"/>
        <w:jc w:val="both"/>
        <w:rPr>
          <w:sz w:val="28"/>
        </w:rPr>
      </w:pPr>
      <w:r w:rsidRPr="00360CB4">
        <w:rPr>
          <w:sz w:val="28"/>
        </w:rPr>
        <w:t>Джерело: складено автором на основі даних [</w:t>
      </w:r>
      <w:r w:rsidR="00B45AA2">
        <w:rPr>
          <w:sz w:val="28"/>
        </w:rPr>
        <w:t>18</w:t>
      </w:r>
      <w:r w:rsidRPr="00360CB4">
        <w:rPr>
          <w:sz w:val="28"/>
        </w:rPr>
        <w:t>]</w:t>
      </w:r>
    </w:p>
    <w:p w:rsidR="00580CAC" w:rsidRDefault="00580CAC" w:rsidP="00580CAC">
      <w:pPr>
        <w:spacing w:line="360" w:lineRule="auto"/>
        <w:ind w:firstLine="709"/>
        <w:jc w:val="both"/>
        <w:rPr>
          <w:sz w:val="28"/>
        </w:rPr>
      </w:pPr>
    </w:p>
    <w:p w:rsidR="00173860" w:rsidRDefault="007733BB" w:rsidP="005D6109">
      <w:pPr>
        <w:spacing w:line="360" w:lineRule="auto"/>
        <w:ind w:firstLine="709"/>
        <w:jc w:val="both"/>
        <w:rPr>
          <w:sz w:val="28"/>
        </w:rPr>
      </w:pPr>
      <w:r>
        <w:rPr>
          <w:sz w:val="28"/>
        </w:rPr>
        <w:t>Такі статистичні дані свідчать, що, хоч і обсяги інвестування в Україну з Польщі та Словаччини доволі невеликі, але з кожним роком цей показник стрімко зростає і показує позитивну динаміку притоку прямих іноземних інвестицій в Україну.</w:t>
      </w:r>
    </w:p>
    <w:p w:rsidR="00173860" w:rsidRDefault="00FE6AC9" w:rsidP="005D6109">
      <w:pPr>
        <w:spacing w:line="360" w:lineRule="auto"/>
        <w:ind w:firstLine="709"/>
        <w:jc w:val="both"/>
        <w:rPr>
          <w:sz w:val="28"/>
        </w:rPr>
      </w:pPr>
      <w:r>
        <w:rPr>
          <w:sz w:val="28"/>
        </w:rPr>
        <w:t xml:space="preserve">Як висновок, можна сказати про значну економічну співпрацю України з Польщею та Словаччиною. Країни ведуть доволі активну торгову діяльність одна з одною, і обсяги торгівлі з часом лише зростають. Також тенденція до зростання спостерігається і у обсязі надходжень ПІІ з досліджуваних країн в українську економіку. Тому Україна має значний потенціал до розвитку економічних відносин з Польщею та Словаччиною. </w:t>
      </w:r>
    </w:p>
    <w:p w:rsidR="00173860" w:rsidRDefault="00173860">
      <w:pPr>
        <w:spacing w:after="160" w:line="259" w:lineRule="auto"/>
        <w:rPr>
          <w:sz w:val="28"/>
        </w:rPr>
      </w:pPr>
      <w:r>
        <w:rPr>
          <w:sz w:val="28"/>
        </w:rPr>
        <w:br w:type="page"/>
      </w:r>
    </w:p>
    <w:p w:rsidR="00173860" w:rsidRPr="00173860" w:rsidRDefault="00173860" w:rsidP="00B90172">
      <w:pPr>
        <w:spacing w:line="360" w:lineRule="auto"/>
        <w:jc w:val="center"/>
        <w:rPr>
          <w:b/>
          <w:sz w:val="28"/>
        </w:rPr>
      </w:pPr>
      <w:r w:rsidRPr="00173860">
        <w:rPr>
          <w:b/>
          <w:sz w:val="28"/>
        </w:rPr>
        <w:t>ВИСНОВКИ</w:t>
      </w:r>
    </w:p>
    <w:p w:rsidR="00173860" w:rsidRDefault="00173860" w:rsidP="00173860">
      <w:pPr>
        <w:spacing w:line="360" w:lineRule="auto"/>
        <w:ind w:firstLine="709"/>
        <w:jc w:val="both"/>
        <w:rPr>
          <w:sz w:val="28"/>
        </w:rPr>
      </w:pPr>
    </w:p>
    <w:p w:rsidR="00173860" w:rsidRDefault="00173860" w:rsidP="00173860">
      <w:pPr>
        <w:spacing w:line="360" w:lineRule="auto"/>
        <w:ind w:firstLine="709"/>
        <w:jc w:val="both"/>
        <w:rPr>
          <w:sz w:val="28"/>
        </w:rPr>
      </w:pPr>
      <w:r>
        <w:rPr>
          <w:sz w:val="28"/>
        </w:rPr>
        <w:t xml:space="preserve">В даній роботі був проведений детальний аналіз зовнішньоекономічної діяльності та платіжних балансів Польщі та Словаччини за період з 2018 по 2022 рік. У першому розділі було визначено завдання, які виконує платіжний баланс. Одним із завдань платіжного балансу є </w:t>
      </w:r>
      <w:r w:rsidR="00AE02ED">
        <w:rPr>
          <w:sz w:val="28"/>
        </w:rPr>
        <w:t xml:space="preserve">оцінка частки експорту в економіці будь-якої країни, що дає можливість визначити </w:t>
      </w:r>
      <w:r w:rsidR="00AE02ED" w:rsidRPr="00AE02ED">
        <w:rPr>
          <w:sz w:val="28"/>
        </w:rPr>
        <w:t>стан вітчизняної промисловості та попит на товари цієї країни на світовому ринку.</w:t>
      </w:r>
      <w:r w:rsidR="00AE02ED">
        <w:rPr>
          <w:sz w:val="28"/>
        </w:rPr>
        <w:t xml:space="preserve"> Другим завданням платіжного балансу є те, що він </w:t>
      </w:r>
      <w:r w:rsidR="00AE02ED" w:rsidRPr="00AE02ED">
        <w:rPr>
          <w:sz w:val="28"/>
        </w:rPr>
        <w:t>показує потоки ресур</w:t>
      </w:r>
      <w:r w:rsidR="00A075BC">
        <w:rPr>
          <w:sz w:val="28"/>
        </w:rPr>
        <w:t>сів та капіталу між країнами і</w:t>
      </w:r>
      <w:r w:rsidR="00AE02ED" w:rsidRPr="00AE02ED">
        <w:rPr>
          <w:sz w:val="28"/>
        </w:rPr>
        <w:t xml:space="preserve"> дає змогу визначити роль країни на </w:t>
      </w:r>
      <w:r w:rsidR="00AE02ED">
        <w:rPr>
          <w:sz w:val="28"/>
        </w:rPr>
        <w:t xml:space="preserve">світовому </w:t>
      </w:r>
      <w:r w:rsidR="00AE02ED" w:rsidRPr="00AE02ED">
        <w:rPr>
          <w:sz w:val="28"/>
        </w:rPr>
        <w:t>ринку</w:t>
      </w:r>
      <w:r w:rsidR="00AE02ED">
        <w:rPr>
          <w:sz w:val="28"/>
        </w:rPr>
        <w:t xml:space="preserve">. Не менш важливим </w:t>
      </w:r>
      <w:r w:rsidR="00AE02ED" w:rsidRPr="00AE02ED">
        <w:rPr>
          <w:sz w:val="28"/>
        </w:rPr>
        <w:t>призначенням платіжного балансу є визначення економічн</w:t>
      </w:r>
      <w:r w:rsidR="00AE02ED">
        <w:rPr>
          <w:sz w:val="28"/>
        </w:rPr>
        <w:t xml:space="preserve">ої та торгової структури країни. Ну і також </w:t>
      </w:r>
      <w:r w:rsidR="00AE02ED" w:rsidRPr="00AE02ED">
        <w:rPr>
          <w:sz w:val="28"/>
        </w:rPr>
        <w:t>важливе призначення платіжного балансу – це статистична інформація, яка використовується для планування державного бюджету, а також резервних активів</w:t>
      </w:r>
      <w:r w:rsidR="00AE02ED">
        <w:rPr>
          <w:sz w:val="28"/>
        </w:rPr>
        <w:t>.</w:t>
      </w:r>
    </w:p>
    <w:p w:rsidR="00B90172" w:rsidRDefault="00AE02ED" w:rsidP="00B90172">
      <w:pPr>
        <w:spacing w:line="360" w:lineRule="auto"/>
        <w:ind w:firstLine="709"/>
        <w:jc w:val="both"/>
        <w:rPr>
          <w:sz w:val="28"/>
        </w:rPr>
      </w:pPr>
      <w:r>
        <w:rPr>
          <w:sz w:val="28"/>
        </w:rPr>
        <w:t>Також в першому розділі було досліджено наукові праці, публічні видання і юридичні документи, пов’язані із зовнішньоекономічною діяльністю Польщі та Словаччини.</w:t>
      </w:r>
      <w:r w:rsidR="00A075BC">
        <w:rPr>
          <w:sz w:val="28"/>
        </w:rPr>
        <w:t xml:space="preserve"> У</w:t>
      </w:r>
      <w:r w:rsidR="003B4571">
        <w:rPr>
          <w:sz w:val="28"/>
        </w:rPr>
        <w:t xml:space="preserve"> своїй зовнішній політиці вони керуються Договором про функціонування Європейського Союзу, згідно з яким </w:t>
      </w:r>
      <w:r w:rsidR="00A075BC">
        <w:rPr>
          <w:sz w:val="28"/>
        </w:rPr>
        <w:t>у</w:t>
      </w:r>
      <w:r w:rsidR="003B4571">
        <w:rPr>
          <w:sz w:val="28"/>
        </w:rPr>
        <w:t>сі країни ЄС (в тому числі Польща та Словаччина) мають узгоджувати з іншими країнами ЄС та Європейською радою свої рішення та дії у зовнішній політиці.</w:t>
      </w:r>
      <w:r w:rsidR="00B90172">
        <w:rPr>
          <w:sz w:val="28"/>
        </w:rPr>
        <w:t xml:space="preserve"> </w:t>
      </w:r>
    </w:p>
    <w:p w:rsidR="003B4571" w:rsidRDefault="003B4571" w:rsidP="00B90172">
      <w:pPr>
        <w:spacing w:line="360" w:lineRule="auto"/>
        <w:ind w:firstLine="709"/>
        <w:jc w:val="both"/>
        <w:rPr>
          <w:sz w:val="28"/>
        </w:rPr>
      </w:pPr>
      <w:r>
        <w:rPr>
          <w:sz w:val="28"/>
        </w:rPr>
        <w:t>Саме тому країни ЄС укладають спільні угоди</w:t>
      </w:r>
      <w:r w:rsidR="00A075BC">
        <w:rPr>
          <w:sz w:val="28"/>
        </w:rPr>
        <w:t xml:space="preserve"> зовнішньої торгівлі</w:t>
      </w:r>
      <w:r>
        <w:rPr>
          <w:sz w:val="28"/>
        </w:rPr>
        <w:t xml:space="preserve"> з третіми країнами. З цих країн навіть склали так звану піраміду зовнішніх преференцій, яка складається з 35 країн, які є важливими торговими партнерами для країн ЄС. Серед них: США, Китай, Росія, Японія, Канада, Нова Зеландія, Австралія, країни Меркосур, Швейцарія та багато інших.</w:t>
      </w:r>
    </w:p>
    <w:p w:rsidR="00442484" w:rsidRDefault="003B4571" w:rsidP="00442484">
      <w:pPr>
        <w:spacing w:line="360" w:lineRule="auto"/>
        <w:ind w:firstLine="709"/>
        <w:jc w:val="both"/>
        <w:rPr>
          <w:sz w:val="28"/>
        </w:rPr>
      </w:pPr>
      <w:r>
        <w:rPr>
          <w:sz w:val="28"/>
        </w:rPr>
        <w:t>Також було розглянуто дослідження «</w:t>
      </w:r>
      <w:r w:rsidR="00442484" w:rsidRPr="00442484">
        <w:rPr>
          <w:sz w:val="28"/>
        </w:rPr>
        <w:t>Довгострокові наслідки відтоку капіталу для країн з перехідною економікою».</w:t>
      </w:r>
      <w:r w:rsidR="00442484">
        <w:rPr>
          <w:sz w:val="28"/>
        </w:rPr>
        <w:t xml:space="preserve"> Судячи зі статистики, представленої в даній статі, в Польщі та Словаччині не спостерігалось сильного відтоку капіталу. Лише у 2015 та 2016 роках відбувся сильний відтік капіталу з досліджуваних країн. Також, слід зазначити, що Польща та Словаччина займають дуже невелику частку світового офшорного ринку, що свідчить про доволі незначний вплив нелегального відтоку капіталу на економіки Польщі та Словаччини.</w:t>
      </w:r>
    </w:p>
    <w:p w:rsidR="003B4571" w:rsidRPr="00B90172" w:rsidRDefault="00442484" w:rsidP="00442484">
      <w:pPr>
        <w:spacing w:line="360" w:lineRule="auto"/>
        <w:ind w:firstLine="709"/>
        <w:jc w:val="both"/>
        <w:rPr>
          <w:spacing w:val="-4"/>
          <w:sz w:val="28"/>
        </w:rPr>
      </w:pPr>
      <w:r w:rsidRPr="00B90172">
        <w:rPr>
          <w:spacing w:val="-4"/>
          <w:sz w:val="28"/>
        </w:rPr>
        <w:t>Останнім розглянутим дослідженням була стаття під назвою «Прямі іноземні інвестиції як фактор торгового розвитку: приклади обраних країн». Для аналізу автори обрали країни Вишеградської групи, в тому числі Польщу та Словаччину. В даній роботі автори провели регресійний аналіз впливу притоку ПІІ на експорт товарів та послуг країн Вишеградської групи після вступу в ЄС. У результаті математичного аналізу автори підтвердили свої гіпотези про те, що накопичення ПІІ є головним фактором розвитку експорту та допомагає балансувати зовнішню торгівлю в країнах Вишеградської четвірки.</w:t>
      </w:r>
    </w:p>
    <w:p w:rsidR="00442484" w:rsidRDefault="00442484" w:rsidP="00442484">
      <w:pPr>
        <w:spacing w:line="360" w:lineRule="auto"/>
        <w:ind w:firstLine="709"/>
        <w:jc w:val="both"/>
        <w:rPr>
          <w:sz w:val="28"/>
        </w:rPr>
      </w:pPr>
      <w:r>
        <w:rPr>
          <w:sz w:val="28"/>
        </w:rPr>
        <w:t>У другому розділі роботи було більш детально проаналізовано платіжний баланс Польщі та Словаччини</w:t>
      </w:r>
      <w:r w:rsidR="005F7B6E">
        <w:rPr>
          <w:sz w:val="28"/>
        </w:rPr>
        <w:t xml:space="preserve"> протягом 2018-2022 років. Усі статті поточного рахунку Польщі та Словаччини, окрім послуг, протягом всього періоду мали від’ємне значення, що призвело до від’ємного поточного рахунку. В обох країнах спостерігається відтік коштів та капіталу за кордон, а також збільшення заборгованостей за товари, виплат інвестиційних доходів, </w:t>
      </w:r>
      <w:r w:rsidR="00D40E8D">
        <w:rPr>
          <w:sz w:val="28"/>
        </w:rPr>
        <w:t>соціальних виплат, і ці витрати частково фінансуються за рахунок доходів від експорту послуг Польщі та Словаччини.</w:t>
      </w:r>
    </w:p>
    <w:p w:rsidR="00D40E8D" w:rsidRDefault="00D40E8D" w:rsidP="00442484">
      <w:pPr>
        <w:spacing w:line="360" w:lineRule="auto"/>
        <w:ind w:firstLine="709"/>
        <w:jc w:val="both"/>
        <w:rPr>
          <w:sz w:val="28"/>
        </w:rPr>
      </w:pPr>
      <w:r>
        <w:rPr>
          <w:sz w:val="28"/>
        </w:rPr>
        <w:t xml:space="preserve">Фінансовий рахунок обох країн також мав від’ємне значення майже увесь період. Такий показник можна розглядати з двох сторін. З одного боку, обидві країни є чистими боржниками для інших країн світу. З іншого боку, завдяки інвестиціям, які надходять до Польщі та Словаччини, вони отримують кошти та мають змогу фінансувати від’ємний баланс поточного рахунку, про який зазначалось вище. </w:t>
      </w:r>
    </w:p>
    <w:p w:rsidR="00E3634D" w:rsidRDefault="00D40E8D" w:rsidP="00685DCA">
      <w:pPr>
        <w:spacing w:line="360" w:lineRule="auto"/>
        <w:ind w:firstLine="709"/>
        <w:jc w:val="both"/>
        <w:rPr>
          <w:sz w:val="28"/>
        </w:rPr>
      </w:pPr>
      <w:r>
        <w:rPr>
          <w:sz w:val="28"/>
        </w:rPr>
        <w:t xml:space="preserve">Також у другому розділі було проведено регресійний аналіз факторів формування експорту товарів Польщі та Словаччини. Серед можливих факторів, які впливають на експорт товарів, було обрано ВВП, притік ПІІ, інфляція та валютний курс. Було висунуто дві гіпотези. Згідно з першою гіпотезою, ВВП є найважливішим фактором формування експорту товарів. Згідно з другою гіпотезою, ВВП є не найважливішим фактором формування експорту товарів. </w:t>
      </w:r>
      <w:r w:rsidR="00E3634D">
        <w:rPr>
          <w:sz w:val="28"/>
        </w:rPr>
        <w:t>Результат регресійного аналізу показав, що ВВП був найбільш значущим показником у Польщі та Словаччини і мав коефіцієнт бета 0,814 та 0,954 відповідно. Тобто з кожним збільшенням ВВП на 1 млрд доларів експорт товарів Польщі збільшується на 0,814 млрд, а експорт Словаччини збільшується на 0,954 млрд дол США. Тобто, підтвердилась перша гіпотеза про те, що ВВП є найважливішим фактором формування експорту товарів Польщі та Словаччини.</w:t>
      </w:r>
    </w:p>
    <w:p w:rsidR="00685DCA" w:rsidRDefault="00685DCA" w:rsidP="00A075BC">
      <w:pPr>
        <w:spacing w:line="360" w:lineRule="auto"/>
        <w:ind w:firstLine="709"/>
        <w:jc w:val="both"/>
        <w:rPr>
          <w:sz w:val="28"/>
        </w:rPr>
      </w:pPr>
      <w:r>
        <w:rPr>
          <w:sz w:val="28"/>
        </w:rPr>
        <w:t>Окрім цього, в другому розділі був проведений порівняльний а</w:t>
      </w:r>
      <w:r w:rsidRPr="00685DCA">
        <w:rPr>
          <w:sz w:val="28"/>
        </w:rPr>
        <w:t>наліз операцій Carry Trade з державними облігаціями Польщі та Словаччини та облігаціями України</w:t>
      </w:r>
      <w:r>
        <w:rPr>
          <w:sz w:val="28"/>
        </w:rPr>
        <w:t>. Для цього було розраховано дохідність державних облігацій Польщі, Словаччини та України. Результати розрахунків показали, що українські цінні папери мають набагато вищу дохідність</w:t>
      </w:r>
      <w:r w:rsidR="00A075BC">
        <w:rPr>
          <w:sz w:val="28"/>
        </w:rPr>
        <w:t xml:space="preserve"> під час проведення операцій </w:t>
      </w:r>
      <w:r w:rsidR="00A075BC" w:rsidRPr="00685DCA">
        <w:rPr>
          <w:sz w:val="28"/>
        </w:rPr>
        <w:t>Carry Trade</w:t>
      </w:r>
      <w:r w:rsidR="00A075BC">
        <w:rPr>
          <w:sz w:val="28"/>
        </w:rPr>
        <w:t xml:space="preserve">, ніж польські або словацькі цінні папери. </w:t>
      </w:r>
      <w:r w:rsidR="00A075BC" w:rsidRPr="00A075BC">
        <w:rPr>
          <w:sz w:val="28"/>
        </w:rPr>
        <w:t>Такі розрахунки свідчать про більшу привабливість українських облігацій для іноземних інвесторів. Тобто, інвестувавши в українські державні облігації, іноземні інвестори через рік, теоретично, змогли б отримати на 65,28% більше грошей, ніж інвестували.</w:t>
      </w:r>
    </w:p>
    <w:p w:rsidR="00A075BC" w:rsidRPr="00A075BC" w:rsidRDefault="00A075BC" w:rsidP="00A075BC">
      <w:pPr>
        <w:spacing w:line="360" w:lineRule="auto"/>
        <w:ind w:firstLine="709"/>
        <w:jc w:val="both"/>
        <w:rPr>
          <w:sz w:val="28"/>
        </w:rPr>
      </w:pPr>
      <w:r>
        <w:rPr>
          <w:sz w:val="28"/>
        </w:rPr>
        <w:t>У третьому розділі було проаналізовано зовнішньоекономічні операції Польщі і Словаччини з Україною у 2017-2021 роках. Статистика показала про доволі активну зовнішню торгівлю між Польщею і Словаччиною та Україною. Польща статистично є більш важливим економічним партнером для України, адже обсяги торгівлі товарами та послугами з Польщею перевищують обсяги торгівлі зі Словаччиною. Щодо притоку прямих іноземних інвестицій до України, то вони мають доволі незначні обсяги</w:t>
      </w:r>
      <w:r w:rsidR="008D0FAC">
        <w:rPr>
          <w:sz w:val="28"/>
        </w:rPr>
        <w:t xml:space="preserve"> як з Польщі, так і зі Словаччини. Скоріш за все, через політичну та економічну нестабільність Україна не є привабливою для польських та словацьких інвесторів. Але, слід зауважити, що обсяги інвестицій до України хоч і незначні, але з кожним роком зростають.</w:t>
      </w:r>
    </w:p>
    <w:p w:rsidR="00E402B0" w:rsidRPr="008D0FAC" w:rsidRDefault="00173860" w:rsidP="008D0FAC">
      <w:pPr>
        <w:spacing w:after="160" w:line="259" w:lineRule="auto"/>
        <w:jc w:val="center"/>
        <w:rPr>
          <w:b/>
          <w:sz w:val="28"/>
        </w:rPr>
      </w:pPr>
      <w:r>
        <w:rPr>
          <w:sz w:val="28"/>
        </w:rPr>
        <w:br w:type="page"/>
      </w:r>
      <w:r w:rsidR="00B90172">
        <w:rPr>
          <w:b/>
          <w:sz w:val="28"/>
        </w:rPr>
        <w:t>СПИСОК ВИКОРИСТАНИХ ДЖЕРЕЛ</w:t>
      </w:r>
    </w:p>
    <w:p w:rsidR="00E402B0" w:rsidRDefault="00E402B0" w:rsidP="002D234D">
      <w:pPr>
        <w:spacing w:line="360" w:lineRule="auto"/>
        <w:ind w:firstLine="709"/>
        <w:jc w:val="both"/>
      </w:pPr>
    </w:p>
    <w:p w:rsidR="00A36AA8" w:rsidRPr="00F27EC7" w:rsidRDefault="00A36AA8" w:rsidP="00D9440D">
      <w:pPr>
        <w:pStyle w:val="a9"/>
        <w:numPr>
          <w:ilvl w:val="0"/>
          <w:numId w:val="9"/>
        </w:numPr>
        <w:spacing w:line="348" w:lineRule="auto"/>
        <w:ind w:left="357" w:hanging="357"/>
        <w:jc w:val="both"/>
        <w:rPr>
          <w:sz w:val="28"/>
          <w:lang w:val="ru-RU"/>
        </w:rPr>
      </w:pPr>
      <w:r w:rsidRPr="00F27EC7">
        <w:rPr>
          <w:sz w:val="28"/>
        </w:rPr>
        <w:t xml:space="preserve">Експорт з України під час війни: як змінилась структура постачань української продукції за кордон. </w:t>
      </w:r>
      <w:r w:rsidRPr="00F27EC7">
        <w:rPr>
          <w:i/>
          <w:sz w:val="28"/>
        </w:rPr>
        <w:t>Економічна правда.</w:t>
      </w:r>
      <w:r w:rsidRPr="00F27EC7">
        <w:rPr>
          <w:sz w:val="28"/>
        </w:rPr>
        <w:t xml:space="preserve"> 24 жовтня 2022. </w:t>
      </w:r>
      <w:r w:rsidRPr="00F27EC7">
        <w:rPr>
          <w:sz w:val="28"/>
          <w:lang w:val="en-US"/>
        </w:rPr>
        <w:t>URL</w:t>
      </w:r>
      <w:r w:rsidRPr="00F27EC7">
        <w:rPr>
          <w:sz w:val="28"/>
          <w:lang w:val="ru-RU"/>
        </w:rPr>
        <w:t xml:space="preserve">: </w:t>
      </w:r>
      <w:hyperlink r:id="rId25" w:history="1">
        <w:r w:rsidRPr="00F27EC7">
          <w:rPr>
            <w:rStyle w:val="a7"/>
            <w:sz w:val="28"/>
            <w:lang w:val="en-US"/>
          </w:rPr>
          <w:t>https</w:t>
        </w:r>
        <w:r w:rsidRPr="00F27EC7">
          <w:rPr>
            <w:rStyle w:val="a7"/>
            <w:sz w:val="28"/>
            <w:lang w:val="ru-RU"/>
          </w:rPr>
          <w:t>://</w:t>
        </w:r>
        <w:r w:rsidRPr="00F27EC7">
          <w:rPr>
            <w:rStyle w:val="a7"/>
            <w:sz w:val="28"/>
            <w:lang w:val="en-US"/>
          </w:rPr>
          <w:t>www</w:t>
        </w:r>
        <w:r w:rsidRPr="00F27EC7">
          <w:rPr>
            <w:rStyle w:val="a7"/>
            <w:sz w:val="28"/>
            <w:lang w:val="ru-RU"/>
          </w:rPr>
          <w:t>.</w:t>
        </w:r>
        <w:r w:rsidRPr="00F27EC7">
          <w:rPr>
            <w:rStyle w:val="a7"/>
            <w:sz w:val="28"/>
            <w:lang w:val="en-US"/>
          </w:rPr>
          <w:t>epravda</w:t>
        </w:r>
        <w:r w:rsidRPr="00F27EC7">
          <w:rPr>
            <w:rStyle w:val="a7"/>
            <w:sz w:val="28"/>
            <w:lang w:val="ru-RU"/>
          </w:rPr>
          <w:t>.</w:t>
        </w:r>
        <w:r w:rsidRPr="00F27EC7">
          <w:rPr>
            <w:rStyle w:val="a7"/>
            <w:sz w:val="28"/>
            <w:lang w:val="en-US"/>
          </w:rPr>
          <w:t>com</w:t>
        </w:r>
        <w:r w:rsidRPr="00F27EC7">
          <w:rPr>
            <w:rStyle w:val="a7"/>
            <w:sz w:val="28"/>
            <w:lang w:val="ru-RU"/>
          </w:rPr>
          <w:t>.</w:t>
        </w:r>
        <w:r w:rsidRPr="00F27EC7">
          <w:rPr>
            <w:rStyle w:val="a7"/>
            <w:sz w:val="28"/>
            <w:lang w:val="en-US"/>
          </w:rPr>
          <w:t>ua</w:t>
        </w:r>
        <w:r w:rsidRPr="00F27EC7">
          <w:rPr>
            <w:rStyle w:val="a7"/>
            <w:sz w:val="28"/>
            <w:lang w:val="ru-RU"/>
          </w:rPr>
          <w:t>/</w:t>
        </w:r>
        <w:r w:rsidRPr="00F27EC7">
          <w:rPr>
            <w:rStyle w:val="a7"/>
            <w:sz w:val="28"/>
            <w:lang w:val="en-US"/>
          </w:rPr>
          <w:t>columns</w:t>
        </w:r>
        <w:r w:rsidRPr="00F27EC7">
          <w:rPr>
            <w:rStyle w:val="a7"/>
            <w:sz w:val="28"/>
            <w:lang w:val="ru-RU"/>
          </w:rPr>
          <w:t>/2022/10/24/692959/</w:t>
        </w:r>
      </w:hyperlink>
      <w:r w:rsidRPr="00F27EC7">
        <w:rPr>
          <w:sz w:val="28"/>
          <w:lang w:val="ru-RU"/>
        </w:rPr>
        <w:t xml:space="preserve"> </w:t>
      </w:r>
    </w:p>
    <w:p w:rsidR="00053D00" w:rsidRPr="00F27EC7" w:rsidRDefault="00053D00" w:rsidP="00D9440D">
      <w:pPr>
        <w:pStyle w:val="a9"/>
        <w:numPr>
          <w:ilvl w:val="0"/>
          <w:numId w:val="9"/>
        </w:numPr>
        <w:spacing w:line="348" w:lineRule="auto"/>
        <w:ind w:left="357" w:hanging="357"/>
        <w:jc w:val="both"/>
        <w:rPr>
          <w:sz w:val="28"/>
          <w:lang w:val="en-US"/>
        </w:rPr>
      </w:pPr>
      <w:r w:rsidRPr="00F27EC7">
        <w:rPr>
          <w:sz w:val="28"/>
          <w:lang w:val="en-US"/>
        </w:rPr>
        <w:t xml:space="preserve">Will Kenton. </w:t>
      </w:r>
      <w:r w:rsidRPr="00F27EC7">
        <w:rPr>
          <w:sz w:val="28"/>
        </w:rPr>
        <w:t>Balance of Payments in Global Transactions: Why Does It Matter?</w:t>
      </w:r>
      <w:r w:rsidRPr="00F27EC7">
        <w:rPr>
          <w:sz w:val="28"/>
          <w:lang w:val="en-US"/>
        </w:rPr>
        <w:t xml:space="preserve"> </w:t>
      </w:r>
      <w:r w:rsidRPr="00F27EC7">
        <w:rPr>
          <w:i/>
          <w:sz w:val="28"/>
          <w:lang w:val="en-US"/>
        </w:rPr>
        <w:t>Invesopedia.</w:t>
      </w:r>
      <w:r w:rsidRPr="00F27EC7">
        <w:rPr>
          <w:sz w:val="28"/>
          <w:lang w:val="en-US"/>
        </w:rPr>
        <w:t xml:space="preserve"> June 22, 2022. URL: </w:t>
      </w:r>
      <w:hyperlink r:id="rId26" w:history="1">
        <w:r w:rsidRPr="00F27EC7">
          <w:rPr>
            <w:rStyle w:val="a7"/>
            <w:sz w:val="28"/>
            <w:lang w:val="en-US"/>
          </w:rPr>
          <w:t>https://www.investopedia.com/terms/b/bop.asp</w:t>
        </w:r>
      </w:hyperlink>
      <w:r w:rsidRPr="00F27EC7">
        <w:rPr>
          <w:sz w:val="28"/>
          <w:lang w:val="en-US"/>
        </w:rPr>
        <w:t xml:space="preserve"> </w:t>
      </w:r>
    </w:p>
    <w:p w:rsidR="00D67A0E" w:rsidRPr="00F27EC7" w:rsidRDefault="00067C49" w:rsidP="00D9440D">
      <w:pPr>
        <w:pStyle w:val="a9"/>
        <w:numPr>
          <w:ilvl w:val="0"/>
          <w:numId w:val="9"/>
        </w:numPr>
        <w:spacing w:line="348" w:lineRule="auto"/>
        <w:ind w:left="357" w:hanging="357"/>
        <w:jc w:val="both"/>
        <w:rPr>
          <w:sz w:val="28"/>
        </w:rPr>
      </w:pPr>
      <w:r w:rsidRPr="00F27EC7">
        <w:rPr>
          <w:sz w:val="28"/>
          <w:lang w:val="en-US"/>
        </w:rPr>
        <w:t xml:space="preserve">Consolidated Version of the Treaty on the Functioning of the European Union. </w:t>
      </w:r>
      <w:r w:rsidRPr="00F27EC7">
        <w:rPr>
          <w:sz w:val="28"/>
        </w:rPr>
        <w:t xml:space="preserve">Official Journal of the European Union. </w:t>
      </w:r>
      <w:r w:rsidRPr="00F27EC7">
        <w:rPr>
          <w:sz w:val="28"/>
          <w:lang w:val="en-US"/>
        </w:rPr>
        <w:t>Page 51-59. URL:</w:t>
      </w:r>
      <w:r w:rsidR="003D0AC1" w:rsidRPr="00F27EC7">
        <w:rPr>
          <w:sz w:val="28"/>
        </w:rPr>
        <w:t xml:space="preserve"> </w:t>
      </w:r>
      <w:hyperlink r:id="rId27" w:history="1">
        <w:r w:rsidR="00D67A0E" w:rsidRPr="00F27EC7">
          <w:rPr>
            <w:rStyle w:val="a7"/>
            <w:sz w:val="28"/>
            <w:lang w:val="en-US"/>
          </w:rPr>
          <w:t>https</w:t>
        </w:r>
        <w:r w:rsidR="00D67A0E" w:rsidRPr="00F27EC7">
          <w:rPr>
            <w:rStyle w:val="a7"/>
            <w:sz w:val="28"/>
          </w:rPr>
          <w:t>://</w:t>
        </w:r>
        <w:r w:rsidR="00D67A0E" w:rsidRPr="00F27EC7">
          <w:rPr>
            <w:rStyle w:val="a7"/>
            <w:sz w:val="28"/>
            <w:lang w:val="en-US"/>
          </w:rPr>
          <w:t>eur</w:t>
        </w:r>
        <w:r w:rsidR="00D67A0E" w:rsidRPr="00F27EC7">
          <w:rPr>
            <w:rStyle w:val="a7"/>
            <w:sz w:val="28"/>
          </w:rPr>
          <w:t>-</w:t>
        </w:r>
        <w:r w:rsidR="00D67A0E" w:rsidRPr="00F27EC7">
          <w:rPr>
            <w:rStyle w:val="a7"/>
            <w:sz w:val="28"/>
            <w:lang w:val="en-US"/>
          </w:rPr>
          <w:t>lex</w:t>
        </w:r>
        <w:r w:rsidR="00D67A0E" w:rsidRPr="00F27EC7">
          <w:rPr>
            <w:rStyle w:val="a7"/>
            <w:sz w:val="28"/>
          </w:rPr>
          <w:t>.</w:t>
        </w:r>
        <w:r w:rsidR="00D67A0E" w:rsidRPr="00F27EC7">
          <w:rPr>
            <w:rStyle w:val="a7"/>
            <w:sz w:val="28"/>
            <w:lang w:val="en-US"/>
          </w:rPr>
          <w:t>europa</w:t>
        </w:r>
        <w:r w:rsidR="00D67A0E" w:rsidRPr="00F27EC7">
          <w:rPr>
            <w:rStyle w:val="a7"/>
            <w:sz w:val="28"/>
          </w:rPr>
          <w:t>.</w:t>
        </w:r>
        <w:r w:rsidR="00D67A0E" w:rsidRPr="00F27EC7">
          <w:rPr>
            <w:rStyle w:val="a7"/>
            <w:sz w:val="28"/>
            <w:lang w:val="en-US"/>
          </w:rPr>
          <w:t>eu</w:t>
        </w:r>
        <w:r w:rsidR="00D67A0E" w:rsidRPr="00F27EC7">
          <w:rPr>
            <w:rStyle w:val="a7"/>
            <w:sz w:val="28"/>
          </w:rPr>
          <w:t>/</w:t>
        </w:r>
        <w:r w:rsidR="00D67A0E" w:rsidRPr="00F27EC7">
          <w:rPr>
            <w:rStyle w:val="a7"/>
            <w:sz w:val="28"/>
            <w:lang w:val="en-US"/>
          </w:rPr>
          <w:t>legal</w:t>
        </w:r>
        <w:r w:rsidR="00D67A0E" w:rsidRPr="00F27EC7">
          <w:rPr>
            <w:rStyle w:val="a7"/>
            <w:sz w:val="28"/>
          </w:rPr>
          <w:t>-</w:t>
        </w:r>
        <w:r w:rsidR="00D67A0E" w:rsidRPr="00F27EC7">
          <w:rPr>
            <w:rStyle w:val="a7"/>
            <w:sz w:val="28"/>
            <w:lang w:val="en-US"/>
          </w:rPr>
          <w:t>content</w:t>
        </w:r>
        <w:r w:rsidR="00D67A0E" w:rsidRPr="00F27EC7">
          <w:rPr>
            <w:rStyle w:val="a7"/>
            <w:sz w:val="28"/>
          </w:rPr>
          <w:t>/</w:t>
        </w:r>
        <w:r w:rsidR="00D67A0E" w:rsidRPr="00F27EC7">
          <w:rPr>
            <w:rStyle w:val="a7"/>
            <w:sz w:val="28"/>
            <w:lang w:val="en-US"/>
          </w:rPr>
          <w:t>EN</w:t>
        </w:r>
        <w:r w:rsidR="00D67A0E" w:rsidRPr="00F27EC7">
          <w:rPr>
            <w:rStyle w:val="a7"/>
            <w:sz w:val="28"/>
          </w:rPr>
          <w:t>/</w:t>
        </w:r>
        <w:r w:rsidR="00D67A0E" w:rsidRPr="00F27EC7">
          <w:rPr>
            <w:rStyle w:val="a7"/>
            <w:sz w:val="28"/>
            <w:lang w:val="en-US"/>
          </w:rPr>
          <w:t>TXT</w:t>
        </w:r>
        <w:r w:rsidR="00D67A0E" w:rsidRPr="00F27EC7">
          <w:rPr>
            <w:rStyle w:val="a7"/>
            <w:sz w:val="28"/>
          </w:rPr>
          <w:t>/</w:t>
        </w:r>
        <w:r w:rsidR="00D67A0E" w:rsidRPr="00F27EC7">
          <w:rPr>
            <w:rStyle w:val="a7"/>
            <w:sz w:val="28"/>
            <w:lang w:val="en-US"/>
          </w:rPr>
          <w:t>PDF</w:t>
        </w:r>
        <w:r w:rsidR="00D67A0E" w:rsidRPr="00F27EC7">
          <w:rPr>
            <w:rStyle w:val="a7"/>
            <w:sz w:val="28"/>
          </w:rPr>
          <w:t>/?</w:t>
        </w:r>
        <w:r w:rsidR="00D67A0E" w:rsidRPr="00F27EC7">
          <w:rPr>
            <w:rStyle w:val="a7"/>
            <w:sz w:val="28"/>
            <w:lang w:val="en-US"/>
          </w:rPr>
          <w:t>uri</w:t>
        </w:r>
        <w:r w:rsidR="00D67A0E" w:rsidRPr="00F27EC7">
          <w:rPr>
            <w:rStyle w:val="a7"/>
            <w:sz w:val="28"/>
          </w:rPr>
          <w:t>=</w:t>
        </w:r>
        <w:r w:rsidR="00D67A0E" w:rsidRPr="00F27EC7">
          <w:rPr>
            <w:rStyle w:val="a7"/>
            <w:sz w:val="28"/>
            <w:lang w:val="en-US"/>
          </w:rPr>
          <w:t>CELEX</w:t>
        </w:r>
        <w:r w:rsidR="00D67A0E" w:rsidRPr="00F27EC7">
          <w:rPr>
            <w:rStyle w:val="a7"/>
            <w:sz w:val="28"/>
          </w:rPr>
          <w:t>:12012</w:t>
        </w:r>
        <w:r w:rsidR="00D67A0E" w:rsidRPr="00F27EC7">
          <w:rPr>
            <w:rStyle w:val="a7"/>
            <w:sz w:val="28"/>
            <w:lang w:val="en-US"/>
          </w:rPr>
          <w:t>E</w:t>
        </w:r>
        <w:r w:rsidR="00D67A0E" w:rsidRPr="00F27EC7">
          <w:rPr>
            <w:rStyle w:val="a7"/>
            <w:sz w:val="28"/>
          </w:rPr>
          <w:t>/</w:t>
        </w:r>
        <w:r w:rsidR="00D67A0E" w:rsidRPr="00F27EC7">
          <w:rPr>
            <w:rStyle w:val="a7"/>
            <w:sz w:val="28"/>
            <w:lang w:val="en-US"/>
          </w:rPr>
          <w:t>TXT</w:t>
        </w:r>
        <w:r w:rsidR="00D67A0E" w:rsidRPr="00F27EC7">
          <w:rPr>
            <w:rStyle w:val="a7"/>
            <w:sz w:val="28"/>
          </w:rPr>
          <w:t>&amp;</w:t>
        </w:r>
        <w:r w:rsidR="00D67A0E" w:rsidRPr="00F27EC7">
          <w:rPr>
            <w:rStyle w:val="a7"/>
            <w:sz w:val="28"/>
            <w:lang w:val="en-US"/>
          </w:rPr>
          <w:t>from</w:t>
        </w:r>
        <w:r w:rsidR="00D67A0E" w:rsidRPr="00F27EC7">
          <w:rPr>
            <w:rStyle w:val="a7"/>
            <w:sz w:val="28"/>
          </w:rPr>
          <w:t>=</w:t>
        </w:r>
        <w:r w:rsidR="00D67A0E" w:rsidRPr="00F27EC7">
          <w:rPr>
            <w:rStyle w:val="a7"/>
            <w:sz w:val="28"/>
            <w:lang w:val="en-US"/>
          </w:rPr>
          <w:t>EN</w:t>
        </w:r>
      </w:hyperlink>
      <w:r w:rsidR="00D67A0E" w:rsidRPr="00F27EC7">
        <w:rPr>
          <w:sz w:val="28"/>
        </w:rPr>
        <w:t xml:space="preserve"> </w:t>
      </w:r>
    </w:p>
    <w:p w:rsidR="00D67A0E" w:rsidRPr="00F27EC7" w:rsidRDefault="00067C49" w:rsidP="00D9440D">
      <w:pPr>
        <w:pStyle w:val="a9"/>
        <w:numPr>
          <w:ilvl w:val="0"/>
          <w:numId w:val="9"/>
        </w:numPr>
        <w:spacing w:line="348" w:lineRule="auto"/>
        <w:ind w:left="357" w:hanging="357"/>
        <w:jc w:val="both"/>
        <w:rPr>
          <w:sz w:val="28"/>
        </w:rPr>
      </w:pPr>
      <w:r w:rsidRPr="00F27EC7">
        <w:rPr>
          <w:sz w:val="28"/>
          <w:lang w:val="de-DE"/>
        </w:rPr>
        <w:t xml:space="preserve">Bertelsmann Stiftung, BTI 2022 Country Report — Poland. Gütersloh: Bertelsmann Stiftung, 2022. </w:t>
      </w:r>
      <w:r w:rsidRPr="00F27EC7">
        <w:rPr>
          <w:sz w:val="28"/>
          <w:lang w:val="en-US"/>
        </w:rPr>
        <w:t xml:space="preserve">URL: </w:t>
      </w:r>
      <w:hyperlink r:id="rId28" w:history="1">
        <w:r w:rsidR="00D67A0E" w:rsidRPr="00F27EC7">
          <w:rPr>
            <w:rStyle w:val="a7"/>
            <w:sz w:val="28"/>
          </w:rPr>
          <w:t>https://bti-project.org/fileadmin/api/content/en/downloads/reports/country_report_2022_POL.pdf</w:t>
        </w:r>
      </w:hyperlink>
      <w:r w:rsidR="00D67A0E" w:rsidRPr="00F27EC7">
        <w:rPr>
          <w:sz w:val="28"/>
        </w:rPr>
        <w:t xml:space="preserve"> </w:t>
      </w:r>
    </w:p>
    <w:p w:rsidR="00D67A0E" w:rsidRPr="00F27EC7" w:rsidRDefault="00F42293" w:rsidP="00D9440D">
      <w:pPr>
        <w:pStyle w:val="a9"/>
        <w:numPr>
          <w:ilvl w:val="0"/>
          <w:numId w:val="9"/>
        </w:numPr>
        <w:spacing w:line="348" w:lineRule="auto"/>
        <w:ind w:left="357" w:hanging="357"/>
        <w:jc w:val="both"/>
        <w:rPr>
          <w:sz w:val="28"/>
        </w:rPr>
      </w:pPr>
      <w:r w:rsidRPr="00F27EC7">
        <w:rPr>
          <w:sz w:val="28"/>
        </w:rPr>
        <w:t>Bertelsmann Stiftung, BTI 2022 Country Report — Slovakia. Gütersloh:</w:t>
      </w:r>
      <w:r w:rsidRPr="00F27EC7">
        <w:rPr>
          <w:sz w:val="28"/>
          <w:lang w:val="de-DE"/>
        </w:rPr>
        <w:t xml:space="preserve"> </w:t>
      </w:r>
      <w:r w:rsidRPr="00F27EC7">
        <w:rPr>
          <w:sz w:val="28"/>
        </w:rPr>
        <w:t>Bertelsmann Stiftung, 2022.</w:t>
      </w:r>
      <w:r w:rsidRPr="00F27EC7">
        <w:rPr>
          <w:sz w:val="28"/>
          <w:lang w:val="de-DE"/>
        </w:rPr>
        <w:t xml:space="preserve"> URL:</w:t>
      </w:r>
      <w:r w:rsidRPr="00F27EC7">
        <w:rPr>
          <w:sz w:val="28"/>
        </w:rPr>
        <w:t xml:space="preserve"> </w:t>
      </w:r>
      <w:r w:rsidR="00D67A0E" w:rsidRPr="00D67A0E">
        <w:t xml:space="preserve"> </w:t>
      </w:r>
      <w:hyperlink r:id="rId29" w:history="1">
        <w:r w:rsidR="00D67A0E" w:rsidRPr="00F27EC7">
          <w:rPr>
            <w:rStyle w:val="a7"/>
            <w:sz w:val="28"/>
          </w:rPr>
          <w:t>https://bti-project.org/fileadmin/api/content/en/downloads/reports/country_report_2022_SVK.pdf</w:t>
        </w:r>
      </w:hyperlink>
      <w:r w:rsidR="00D67A0E" w:rsidRPr="00F27EC7">
        <w:rPr>
          <w:sz w:val="28"/>
        </w:rPr>
        <w:t xml:space="preserve"> </w:t>
      </w:r>
    </w:p>
    <w:p w:rsidR="002D234D" w:rsidRPr="00F27EC7" w:rsidRDefault="00F42293" w:rsidP="00D9440D">
      <w:pPr>
        <w:pStyle w:val="a9"/>
        <w:numPr>
          <w:ilvl w:val="0"/>
          <w:numId w:val="9"/>
        </w:numPr>
        <w:spacing w:line="348" w:lineRule="auto"/>
        <w:ind w:left="357" w:hanging="357"/>
        <w:jc w:val="both"/>
        <w:rPr>
          <w:sz w:val="28"/>
        </w:rPr>
      </w:pPr>
      <w:r w:rsidRPr="00F27EC7">
        <w:rPr>
          <w:sz w:val="28"/>
        </w:rPr>
        <w:t>Ambroziak, A. A. (2022). Poland’s Extra-EU Trade After the EU Accession. SİYASAL: Journal of Political</w:t>
      </w:r>
      <w:r w:rsidRPr="00F27EC7">
        <w:rPr>
          <w:sz w:val="28"/>
          <w:lang w:val="en-US"/>
        </w:rPr>
        <w:t xml:space="preserve"> </w:t>
      </w:r>
      <w:r w:rsidRPr="00F27EC7">
        <w:rPr>
          <w:sz w:val="28"/>
        </w:rPr>
        <w:t>Sciences, 31(Suppl. 1), S117–S135.</w:t>
      </w:r>
      <w:r w:rsidRPr="00F27EC7">
        <w:rPr>
          <w:sz w:val="28"/>
          <w:lang w:val="en-US"/>
        </w:rPr>
        <w:t xml:space="preserve"> </w:t>
      </w:r>
      <w:r w:rsidR="003023BE" w:rsidRPr="00F27EC7">
        <w:rPr>
          <w:sz w:val="28"/>
          <w:lang w:val="en-US"/>
        </w:rPr>
        <w:t>DOI</w:t>
      </w:r>
      <w:r w:rsidRPr="00F27EC7">
        <w:rPr>
          <w:sz w:val="28"/>
          <w:lang w:val="en-US"/>
        </w:rPr>
        <w:t>:</w:t>
      </w:r>
      <w:r w:rsidRPr="00F27EC7">
        <w:rPr>
          <w:sz w:val="28"/>
        </w:rPr>
        <w:t xml:space="preserve"> </w:t>
      </w:r>
      <w:hyperlink r:id="rId30" w:history="1">
        <w:r w:rsidRPr="00F27EC7">
          <w:rPr>
            <w:rStyle w:val="a7"/>
            <w:sz w:val="28"/>
          </w:rPr>
          <w:t>http://doi.org/10.26650/siyasal.2022.31.945806</w:t>
        </w:r>
      </w:hyperlink>
      <w:r w:rsidRPr="00F27EC7">
        <w:rPr>
          <w:sz w:val="28"/>
        </w:rPr>
        <w:t xml:space="preserve"> </w:t>
      </w:r>
    </w:p>
    <w:p w:rsidR="00F42293" w:rsidRPr="00F27EC7" w:rsidRDefault="00F42293" w:rsidP="00D9440D">
      <w:pPr>
        <w:pStyle w:val="a9"/>
        <w:numPr>
          <w:ilvl w:val="0"/>
          <w:numId w:val="9"/>
        </w:numPr>
        <w:spacing w:line="348" w:lineRule="auto"/>
        <w:ind w:left="357" w:hanging="357"/>
        <w:jc w:val="both"/>
        <w:rPr>
          <w:lang w:val="en-US"/>
        </w:rPr>
      </w:pPr>
      <w:r w:rsidRPr="00F27EC7">
        <w:rPr>
          <w:sz w:val="28"/>
          <w:lang w:val="en-US"/>
        </w:rPr>
        <w:t>Kravets</w:t>
      </w:r>
      <w:r w:rsidRPr="00F27EC7">
        <w:rPr>
          <w:sz w:val="28"/>
        </w:rPr>
        <w:t xml:space="preserve"> </w:t>
      </w:r>
      <w:r w:rsidRPr="00F27EC7">
        <w:rPr>
          <w:sz w:val="28"/>
          <w:lang w:val="en-US"/>
        </w:rPr>
        <w:t>Iryna</w:t>
      </w:r>
      <w:r w:rsidRPr="00F27EC7">
        <w:rPr>
          <w:sz w:val="28"/>
        </w:rPr>
        <w:t xml:space="preserve">, </w:t>
      </w:r>
      <w:r w:rsidRPr="00F27EC7">
        <w:rPr>
          <w:sz w:val="28"/>
          <w:lang w:val="en-US"/>
        </w:rPr>
        <w:t>M</w:t>
      </w:r>
      <w:r w:rsidRPr="00F27EC7">
        <w:rPr>
          <w:sz w:val="28"/>
        </w:rPr>
        <w:t>у</w:t>
      </w:r>
      <w:r w:rsidRPr="00F27EC7">
        <w:rPr>
          <w:sz w:val="28"/>
          <w:lang w:val="en-US"/>
        </w:rPr>
        <w:t>khalchenko</w:t>
      </w:r>
      <w:r w:rsidRPr="00F27EC7">
        <w:rPr>
          <w:sz w:val="28"/>
        </w:rPr>
        <w:t xml:space="preserve"> </w:t>
      </w:r>
      <w:r w:rsidRPr="00F27EC7">
        <w:rPr>
          <w:sz w:val="28"/>
          <w:lang w:val="en-US"/>
        </w:rPr>
        <w:t>Hanna</w:t>
      </w:r>
      <w:r w:rsidRPr="00F27EC7">
        <w:rPr>
          <w:sz w:val="28"/>
        </w:rPr>
        <w:t xml:space="preserve">, </w:t>
      </w:r>
      <w:r w:rsidRPr="00F27EC7">
        <w:rPr>
          <w:sz w:val="28"/>
          <w:lang w:val="en-US"/>
        </w:rPr>
        <w:t>Buriak</w:t>
      </w:r>
      <w:r w:rsidRPr="00F27EC7">
        <w:rPr>
          <w:sz w:val="28"/>
        </w:rPr>
        <w:t xml:space="preserve"> </w:t>
      </w:r>
      <w:r w:rsidRPr="00F27EC7">
        <w:rPr>
          <w:sz w:val="28"/>
          <w:lang w:val="en-US"/>
        </w:rPr>
        <w:t>Alona</w:t>
      </w:r>
      <w:r w:rsidRPr="00F27EC7">
        <w:rPr>
          <w:sz w:val="28"/>
        </w:rPr>
        <w:t xml:space="preserve">, </w:t>
      </w:r>
      <w:r w:rsidRPr="00F27EC7">
        <w:rPr>
          <w:sz w:val="28"/>
          <w:lang w:val="en-US"/>
        </w:rPr>
        <w:t>Davidyuk</w:t>
      </w:r>
      <w:r w:rsidRPr="00F27EC7">
        <w:rPr>
          <w:sz w:val="28"/>
        </w:rPr>
        <w:t xml:space="preserve"> </w:t>
      </w:r>
      <w:r w:rsidRPr="00F27EC7">
        <w:rPr>
          <w:sz w:val="28"/>
          <w:lang w:val="en-US"/>
        </w:rPr>
        <w:t>Lyudmila</w:t>
      </w:r>
      <w:r w:rsidRPr="00F27EC7">
        <w:rPr>
          <w:sz w:val="28"/>
        </w:rPr>
        <w:t xml:space="preserve">, </w:t>
      </w:r>
      <w:r w:rsidRPr="00F27EC7">
        <w:rPr>
          <w:sz w:val="28"/>
          <w:lang w:val="en-US"/>
        </w:rPr>
        <w:t>Dubych</w:t>
      </w:r>
      <w:r w:rsidRPr="00F27EC7">
        <w:rPr>
          <w:sz w:val="28"/>
        </w:rPr>
        <w:t xml:space="preserve"> </w:t>
      </w:r>
      <w:r w:rsidRPr="00F27EC7">
        <w:rPr>
          <w:sz w:val="28"/>
          <w:lang w:val="en-US"/>
        </w:rPr>
        <w:t>Clavdia</w:t>
      </w:r>
      <w:r w:rsidRPr="00F27EC7">
        <w:rPr>
          <w:sz w:val="28"/>
        </w:rPr>
        <w:t xml:space="preserve">. </w:t>
      </w:r>
      <w:r w:rsidRPr="00F27EC7">
        <w:rPr>
          <w:sz w:val="28"/>
          <w:lang w:val="en-US"/>
        </w:rPr>
        <w:t xml:space="preserve">Long-Term Consequences of Capital Outflows for Transition Countries (June 20, 2020). International Journal of Management, 11 (5), 2020, pp. 1017-1026., URL: </w:t>
      </w:r>
      <w:hyperlink r:id="rId31" w:history="1">
        <w:r w:rsidRPr="00F27EC7">
          <w:rPr>
            <w:rStyle w:val="a7"/>
            <w:sz w:val="28"/>
          </w:rPr>
          <w:t>https://ssrn.com/abstract=3631765</w:t>
        </w:r>
      </w:hyperlink>
      <w:r w:rsidRPr="00F27EC7">
        <w:rPr>
          <w:lang w:val="en-US"/>
        </w:rPr>
        <w:t xml:space="preserve"> </w:t>
      </w:r>
    </w:p>
    <w:p w:rsidR="00840298" w:rsidRPr="00F27EC7" w:rsidRDefault="00F42293" w:rsidP="00D9440D">
      <w:pPr>
        <w:pStyle w:val="a9"/>
        <w:numPr>
          <w:ilvl w:val="0"/>
          <w:numId w:val="9"/>
        </w:numPr>
        <w:spacing w:line="348" w:lineRule="auto"/>
        <w:ind w:left="357" w:hanging="357"/>
        <w:jc w:val="both"/>
        <w:rPr>
          <w:sz w:val="28"/>
        </w:rPr>
      </w:pPr>
      <w:r w:rsidRPr="00F27EC7">
        <w:rPr>
          <w:sz w:val="28"/>
          <w:lang w:val="en-US"/>
        </w:rPr>
        <w:t>Tax Justice Network. Country Profile – Poland. 2021</w:t>
      </w:r>
      <w:r w:rsidR="003023BE" w:rsidRPr="00F27EC7">
        <w:rPr>
          <w:sz w:val="28"/>
          <w:lang w:val="en-US"/>
        </w:rPr>
        <w:t xml:space="preserve">. URL: </w:t>
      </w:r>
      <w:hyperlink r:id="rId32" w:history="1">
        <w:r w:rsidR="00D67A0E" w:rsidRPr="00F27EC7">
          <w:rPr>
            <w:rStyle w:val="a7"/>
            <w:sz w:val="28"/>
          </w:rPr>
          <w:t>https://taxjustice.net/country-profiles/poland/</w:t>
        </w:r>
      </w:hyperlink>
    </w:p>
    <w:p w:rsidR="005D257A" w:rsidRPr="00F27EC7" w:rsidRDefault="003023BE" w:rsidP="00D9440D">
      <w:pPr>
        <w:pStyle w:val="a9"/>
        <w:numPr>
          <w:ilvl w:val="0"/>
          <w:numId w:val="9"/>
        </w:numPr>
        <w:spacing w:line="348" w:lineRule="auto"/>
        <w:ind w:left="357" w:hanging="357"/>
        <w:jc w:val="both"/>
        <w:rPr>
          <w:sz w:val="28"/>
        </w:rPr>
      </w:pPr>
      <w:r w:rsidRPr="00F27EC7">
        <w:rPr>
          <w:sz w:val="28"/>
          <w:lang w:val="en-US"/>
        </w:rPr>
        <w:t xml:space="preserve">Tax Justice Network. Country Profile – Slovakia. 2021. URL: </w:t>
      </w:r>
      <w:hyperlink r:id="rId33" w:history="1">
        <w:r w:rsidR="00D67A0E" w:rsidRPr="00F27EC7">
          <w:rPr>
            <w:rStyle w:val="a7"/>
            <w:sz w:val="28"/>
          </w:rPr>
          <w:t>https://taxjustice.net/country-profiles/slovakia/</w:t>
        </w:r>
      </w:hyperlink>
    </w:p>
    <w:p w:rsidR="003023BE" w:rsidRPr="00F27EC7" w:rsidRDefault="003023BE" w:rsidP="00D9440D">
      <w:pPr>
        <w:pStyle w:val="a9"/>
        <w:numPr>
          <w:ilvl w:val="0"/>
          <w:numId w:val="9"/>
        </w:numPr>
        <w:spacing w:line="348" w:lineRule="auto"/>
        <w:ind w:left="357" w:hanging="357"/>
        <w:jc w:val="both"/>
        <w:rPr>
          <w:sz w:val="28"/>
        </w:rPr>
      </w:pPr>
      <w:r w:rsidRPr="00F27EC7">
        <w:rPr>
          <w:sz w:val="28"/>
        </w:rPr>
        <w:t>Shmarlouskaya. H., Shalupayeva, N., Danileviča, A., Betlej, A., Aleksejeva, L. 2021.</w:t>
      </w:r>
      <w:r w:rsidRPr="00F27EC7">
        <w:rPr>
          <w:sz w:val="28"/>
          <w:lang w:val="en-US"/>
        </w:rPr>
        <w:t xml:space="preserve"> </w:t>
      </w:r>
      <w:r w:rsidRPr="00F27EC7">
        <w:rPr>
          <w:sz w:val="28"/>
        </w:rPr>
        <w:t>Foreign direct investment as a factor of trade development: cases of selected countries. Entrepreneurship and Sustainability Issues, 9(2),</w:t>
      </w:r>
      <w:r w:rsidRPr="00F27EC7">
        <w:rPr>
          <w:sz w:val="28"/>
          <w:lang w:val="en-US"/>
        </w:rPr>
        <w:t xml:space="preserve"> Pages </w:t>
      </w:r>
      <w:r w:rsidRPr="00F27EC7">
        <w:rPr>
          <w:sz w:val="28"/>
        </w:rPr>
        <w:t>384-401.</w:t>
      </w:r>
      <w:r w:rsidRPr="00F27EC7">
        <w:rPr>
          <w:sz w:val="28"/>
          <w:lang w:val="en-US"/>
        </w:rPr>
        <w:t xml:space="preserve"> DOI:</w:t>
      </w:r>
      <w:r w:rsidRPr="00F27EC7">
        <w:rPr>
          <w:sz w:val="28"/>
        </w:rPr>
        <w:t xml:space="preserve"> </w:t>
      </w:r>
      <w:hyperlink r:id="rId34" w:history="1">
        <w:r w:rsidRPr="00F27EC7">
          <w:rPr>
            <w:rStyle w:val="a7"/>
            <w:sz w:val="28"/>
          </w:rPr>
          <w:t>http://doi.org/10.9770/jesi.2021.9.2(25)</w:t>
        </w:r>
      </w:hyperlink>
      <w:r w:rsidRPr="00F27EC7">
        <w:rPr>
          <w:sz w:val="28"/>
        </w:rPr>
        <w:t xml:space="preserve"> </w:t>
      </w:r>
    </w:p>
    <w:p w:rsidR="00591B32" w:rsidRPr="00F27EC7" w:rsidRDefault="00591B32" w:rsidP="00D9440D">
      <w:pPr>
        <w:pStyle w:val="a9"/>
        <w:numPr>
          <w:ilvl w:val="0"/>
          <w:numId w:val="9"/>
        </w:numPr>
        <w:spacing w:line="348" w:lineRule="auto"/>
        <w:ind w:left="357" w:hanging="357"/>
        <w:jc w:val="both"/>
        <w:rPr>
          <w:sz w:val="28"/>
        </w:rPr>
      </w:pPr>
      <w:r w:rsidRPr="00F27EC7">
        <w:rPr>
          <w:sz w:val="28"/>
        </w:rPr>
        <w:t xml:space="preserve">Вдовин М.Л., Гусак Н.М. Компаративний аналіз зовнішньої торгівлі України та Словаччини. </w:t>
      </w:r>
      <w:r w:rsidRPr="00F27EC7">
        <w:rPr>
          <w:i/>
          <w:sz w:val="28"/>
        </w:rPr>
        <w:t>Східна Європа: економіка, бізнес та управління.</w:t>
      </w:r>
      <w:r w:rsidRPr="00F27EC7">
        <w:rPr>
          <w:sz w:val="28"/>
        </w:rPr>
        <w:t xml:space="preserve"> Випуск 3 (36) 2022. С. 9-17. </w:t>
      </w:r>
      <w:r w:rsidRPr="00F27EC7">
        <w:rPr>
          <w:sz w:val="28"/>
          <w:lang w:val="en-US"/>
        </w:rPr>
        <w:t>DOI</w:t>
      </w:r>
      <w:r w:rsidRPr="00F27EC7">
        <w:rPr>
          <w:sz w:val="28"/>
        </w:rPr>
        <w:t xml:space="preserve">: </w:t>
      </w:r>
      <w:hyperlink r:id="rId35" w:history="1">
        <w:r w:rsidRPr="00F27EC7">
          <w:rPr>
            <w:rStyle w:val="a7"/>
            <w:sz w:val="28"/>
            <w:lang w:val="en-US"/>
          </w:rPr>
          <w:t>https</w:t>
        </w:r>
        <w:r w:rsidRPr="00F27EC7">
          <w:rPr>
            <w:rStyle w:val="a7"/>
            <w:sz w:val="28"/>
          </w:rPr>
          <w:t>://</w:t>
        </w:r>
        <w:r w:rsidRPr="00F27EC7">
          <w:rPr>
            <w:rStyle w:val="a7"/>
            <w:sz w:val="28"/>
            <w:lang w:val="en-US"/>
          </w:rPr>
          <w:t>doi</w:t>
        </w:r>
        <w:r w:rsidRPr="00F27EC7">
          <w:rPr>
            <w:rStyle w:val="a7"/>
            <w:sz w:val="28"/>
          </w:rPr>
          <w:t>.</w:t>
        </w:r>
        <w:r w:rsidRPr="00F27EC7">
          <w:rPr>
            <w:rStyle w:val="a7"/>
            <w:sz w:val="28"/>
            <w:lang w:val="en-US"/>
          </w:rPr>
          <w:t>org</w:t>
        </w:r>
        <w:r w:rsidRPr="00F27EC7">
          <w:rPr>
            <w:rStyle w:val="a7"/>
            <w:sz w:val="28"/>
          </w:rPr>
          <w:t>/10.32782/</w:t>
        </w:r>
        <w:r w:rsidRPr="00F27EC7">
          <w:rPr>
            <w:rStyle w:val="a7"/>
            <w:sz w:val="28"/>
            <w:lang w:val="en-US"/>
          </w:rPr>
          <w:t>easterneurope</w:t>
        </w:r>
        <w:r w:rsidRPr="00F27EC7">
          <w:rPr>
            <w:rStyle w:val="a7"/>
            <w:sz w:val="28"/>
          </w:rPr>
          <w:t>.36-2</w:t>
        </w:r>
      </w:hyperlink>
      <w:r w:rsidRPr="00F27EC7">
        <w:rPr>
          <w:sz w:val="28"/>
        </w:rPr>
        <w:t xml:space="preserve"> </w:t>
      </w:r>
    </w:p>
    <w:p w:rsidR="00840298" w:rsidRPr="00F27EC7" w:rsidRDefault="003023BE" w:rsidP="00D9440D">
      <w:pPr>
        <w:pStyle w:val="a9"/>
        <w:numPr>
          <w:ilvl w:val="0"/>
          <w:numId w:val="9"/>
        </w:numPr>
        <w:spacing w:line="348" w:lineRule="auto"/>
        <w:ind w:left="357" w:hanging="357"/>
        <w:jc w:val="both"/>
        <w:rPr>
          <w:sz w:val="28"/>
          <w:lang w:val="en-US"/>
        </w:rPr>
      </w:pPr>
      <w:r w:rsidRPr="00F27EC7">
        <w:rPr>
          <w:sz w:val="28"/>
        </w:rPr>
        <w:t xml:space="preserve">Balance of Payments and International Investment Position Statistics (BOP/IIP). International Monetary Fund. URL: </w:t>
      </w:r>
      <w:hyperlink r:id="rId36" w:history="1">
        <w:r w:rsidRPr="00F27EC7">
          <w:rPr>
            <w:rStyle w:val="a7"/>
            <w:sz w:val="28"/>
            <w:lang w:val="en-US"/>
          </w:rPr>
          <w:t>https://data.imf.org/?sk=7A51304B-6426-40C0-83DD-CA473CA1FD52&amp;sId=1542633711584</w:t>
        </w:r>
      </w:hyperlink>
      <w:r w:rsidRPr="00F27EC7">
        <w:rPr>
          <w:sz w:val="28"/>
          <w:lang w:val="en-US"/>
        </w:rPr>
        <w:t xml:space="preserve"> </w:t>
      </w:r>
    </w:p>
    <w:p w:rsidR="00D67A0E" w:rsidRPr="00F27EC7" w:rsidRDefault="003023BE" w:rsidP="00D9440D">
      <w:pPr>
        <w:pStyle w:val="a9"/>
        <w:numPr>
          <w:ilvl w:val="0"/>
          <w:numId w:val="9"/>
        </w:numPr>
        <w:spacing w:line="348" w:lineRule="auto"/>
        <w:ind w:left="357" w:hanging="357"/>
        <w:jc w:val="both"/>
        <w:rPr>
          <w:sz w:val="28"/>
          <w:lang w:val="en-US"/>
        </w:rPr>
      </w:pPr>
      <w:r w:rsidRPr="00F27EC7">
        <w:rPr>
          <w:sz w:val="28"/>
          <w:lang w:val="en-US"/>
        </w:rPr>
        <w:t xml:space="preserve">World Development Indicators. The World Bank data: </w:t>
      </w:r>
      <w:r w:rsidRPr="00F27EC7">
        <w:rPr>
          <w:sz w:val="28"/>
        </w:rPr>
        <w:t xml:space="preserve">веб-сайт. </w:t>
      </w:r>
      <w:r w:rsidRPr="00F27EC7">
        <w:rPr>
          <w:sz w:val="28"/>
          <w:lang w:val="en-US"/>
        </w:rPr>
        <w:t xml:space="preserve">URL: </w:t>
      </w:r>
      <w:hyperlink r:id="rId37" w:history="1">
        <w:r w:rsidRPr="00F27EC7">
          <w:rPr>
            <w:rStyle w:val="a7"/>
            <w:sz w:val="28"/>
            <w:lang w:val="en-US"/>
          </w:rPr>
          <w:t>https://databank.worldbank.org/reports.aspx?source=2&amp;series=NY.GDP.MKTP.CD&amp;country</w:t>
        </w:r>
      </w:hyperlink>
      <w:r w:rsidRPr="00F27EC7">
        <w:rPr>
          <w:sz w:val="28"/>
          <w:lang w:val="en-US"/>
        </w:rPr>
        <w:t xml:space="preserve">= </w:t>
      </w:r>
    </w:p>
    <w:p w:rsidR="00591B32" w:rsidRPr="00F27EC7" w:rsidRDefault="003023BE" w:rsidP="00D9440D">
      <w:pPr>
        <w:pStyle w:val="a9"/>
        <w:numPr>
          <w:ilvl w:val="0"/>
          <w:numId w:val="9"/>
        </w:numPr>
        <w:spacing w:line="348" w:lineRule="auto"/>
        <w:ind w:left="357" w:hanging="357"/>
        <w:jc w:val="both"/>
        <w:rPr>
          <w:color w:val="0563C1" w:themeColor="hyperlink"/>
          <w:sz w:val="28"/>
          <w:u w:val="single"/>
        </w:rPr>
      </w:pPr>
      <w:r w:rsidRPr="00F27EC7">
        <w:rPr>
          <w:sz w:val="28"/>
          <w:lang w:val="en-US"/>
        </w:rPr>
        <w:t>Lending Rate statistics. T</w:t>
      </w:r>
      <w:r w:rsidR="003B4AA6" w:rsidRPr="00F27EC7">
        <w:rPr>
          <w:sz w:val="28"/>
          <w:lang w:val="en-US"/>
        </w:rPr>
        <w:t>rading</w:t>
      </w:r>
      <w:r w:rsidRPr="00F27EC7">
        <w:rPr>
          <w:sz w:val="28"/>
          <w:lang w:val="en-US"/>
        </w:rPr>
        <w:t xml:space="preserve"> </w:t>
      </w:r>
      <w:r w:rsidR="003B4AA6" w:rsidRPr="00F27EC7">
        <w:rPr>
          <w:sz w:val="28"/>
          <w:lang w:val="en-US"/>
        </w:rPr>
        <w:t xml:space="preserve">Economics: </w:t>
      </w:r>
      <w:r w:rsidR="003B4AA6" w:rsidRPr="00F27EC7">
        <w:rPr>
          <w:sz w:val="28"/>
        </w:rPr>
        <w:t xml:space="preserve">веб-сайт. 2023. </w:t>
      </w:r>
      <w:r w:rsidR="003B4AA6" w:rsidRPr="00F27EC7">
        <w:rPr>
          <w:sz w:val="28"/>
          <w:lang w:val="en-US"/>
        </w:rPr>
        <w:t>URL:</w:t>
      </w:r>
      <w:r w:rsidR="009B73D1" w:rsidRPr="00F27EC7">
        <w:rPr>
          <w:sz w:val="28"/>
        </w:rPr>
        <w:t xml:space="preserve"> </w:t>
      </w:r>
      <w:hyperlink r:id="rId38" w:history="1">
        <w:r w:rsidR="00D67A0E" w:rsidRPr="00F27EC7">
          <w:rPr>
            <w:rStyle w:val="a7"/>
            <w:sz w:val="28"/>
          </w:rPr>
          <w:t>https://tradingeconomics.com/country-list/lending-rate</w:t>
        </w:r>
      </w:hyperlink>
    </w:p>
    <w:p w:rsidR="009B73D1" w:rsidRPr="00F27EC7" w:rsidRDefault="003B4AA6" w:rsidP="00D9440D">
      <w:pPr>
        <w:pStyle w:val="a9"/>
        <w:numPr>
          <w:ilvl w:val="0"/>
          <w:numId w:val="9"/>
        </w:numPr>
        <w:spacing w:line="348" w:lineRule="auto"/>
        <w:ind w:left="357" w:hanging="357"/>
        <w:jc w:val="both"/>
        <w:rPr>
          <w:sz w:val="28"/>
        </w:rPr>
      </w:pPr>
      <w:r w:rsidRPr="00F27EC7">
        <w:rPr>
          <w:sz w:val="28"/>
          <w:lang w:val="en-US"/>
        </w:rPr>
        <w:t xml:space="preserve">World Government Bonds. Investing.com: </w:t>
      </w:r>
      <w:r w:rsidRPr="00F27EC7">
        <w:rPr>
          <w:sz w:val="28"/>
        </w:rPr>
        <w:t xml:space="preserve">веб-сайт. 2023. </w:t>
      </w:r>
      <w:r w:rsidRPr="00F27EC7">
        <w:rPr>
          <w:sz w:val="28"/>
          <w:lang w:val="en-US"/>
        </w:rPr>
        <w:t>URL:</w:t>
      </w:r>
      <w:r w:rsidR="009B73D1" w:rsidRPr="00F27EC7">
        <w:rPr>
          <w:sz w:val="28"/>
        </w:rPr>
        <w:t xml:space="preserve"> </w:t>
      </w:r>
      <w:hyperlink r:id="rId39" w:history="1">
        <w:r w:rsidRPr="00F27EC7">
          <w:rPr>
            <w:rStyle w:val="a7"/>
            <w:sz w:val="28"/>
          </w:rPr>
          <w:t>https://www.investing.com/rates-bonds/world-government-bonds?maturity_from=10&amp;maturity_to=310</w:t>
        </w:r>
      </w:hyperlink>
      <w:r w:rsidRPr="00F27EC7">
        <w:rPr>
          <w:sz w:val="28"/>
        </w:rPr>
        <w:t xml:space="preserve"> </w:t>
      </w:r>
    </w:p>
    <w:p w:rsidR="00591B32" w:rsidRPr="00F27EC7" w:rsidRDefault="00591B32" w:rsidP="00D9440D">
      <w:pPr>
        <w:pStyle w:val="a9"/>
        <w:numPr>
          <w:ilvl w:val="0"/>
          <w:numId w:val="9"/>
        </w:numPr>
        <w:spacing w:line="348" w:lineRule="auto"/>
        <w:ind w:left="357" w:hanging="357"/>
        <w:jc w:val="both"/>
        <w:rPr>
          <w:sz w:val="28"/>
        </w:rPr>
      </w:pPr>
      <w:r w:rsidRPr="00F27EC7">
        <w:rPr>
          <w:sz w:val="28"/>
        </w:rPr>
        <w:t xml:space="preserve">Xe Currency Converter. </w:t>
      </w:r>
      <w:r w:rsidRPr="00F27EC7">
        <w:rPr>
          <w:sz w:val="28"/>
          <w:lang w:val="en-US"/>
        </w:rPr>
        <w:t>Xe Live Exchange Rates</w:t>
      </w:r>
      <w:r w:rsidRPr="00F27EC7">
        <w:rPr>
          <w:sz w:val="28"/>
        </w:rPr>
        <w:t xml:space="preserve">. 2023. Веб-сайт. </w:t>
      </w:r>
      <w:r w:rsidRPr="00F27EC7">
        <w:rPr>
          <w:sz w:val="28"/>
          <w:lang w:val="en-US"/>
        </w:rPr>
        <w:t>URL</w:t>
      </w:r>
      <w:r w:rsidRPr="00F27EC7">
        <w:rPr>
          <w:sz w:val="28"/>
        </w:rPr>
        <w:t xml:space="preserve">:  </w:t>
      </w:r>
      <w:hyperlink r:id="rId40" w:history="1">
        <w:r w:rsidRPr="00F27EC7">
          <w:rPr>
            <w:rStyle w:val="a7"/>
            <w:sz w:val="28"/>
            <w:lang w:val="en-US"/>
          </w:rPr>
          <w:t>https</w:t>
        </w:r>
        <w:r w:rsidRPr="00F27EC7">
          <w:rPr>
            <w:rStyle w:val="a7"/>
            <w:sz w:val="28"/>
          </w:rPr>
          <w:t>://</w:t>
        </w:r>
        <w:r w:rsidRPr="00F27EC7">
          <w:rPr>
            <w:rStyle w:val="a7"/>
            <w:sz w:val="28"/>
            <w:lang w:val="en-US"/>
          </w:rPr>
          <w:t>www</w:t>
        </w:r>
        <w:r w:rsidRPr="00F27EC7">
          <w:rPr>
            <w:rStyle w:val="a7"/>
            <w:sz w:val="28"/>
          </w:rPr>
          <w:t>.</w:t>
        </w:r>
        <w:r w:rsidRPr="00F27EC7">
          <w:rPr>
            <w:rStyle w:val="a7"/>
            <w:sz w:val="28"/>
            <w:lang w:val="en-US"/>
          </w:rPr>
          <w:t>xe</w:t>
        </w:r>
        <w:r w:rsidRPr="00F27EC7">
          <w:rPr>
            <w:rStyle w:val="a7"/>
            <w:sz w:val="28"/>
          </w:rPr>
          <w:t>.</w:t>
        </w:r>
        <w:r w:rsidRPr="00F27EC7">
          <w:rPr>
            <w:rStyle w:val="a7"/>
            <w:sz w:val="28"/>
            <w:lang w:val="en-US"/>
          </w:rPr>
          <w:t>com</w:t>
        </w:r>
        <w:r w:rsidRPr="00F27EC7">
          <w:rPr>
            <w:rStyle w:val="a7"/>
            <w:sz w:val="28"/>
          </w:rPr>
          <w:t>/</w:t>
        </w:r>
        <w:r w:rsidRPr="00F27EC7">
          <w:rPr>
            <w:rStyle w:val="a7"/>
            <w:sz w:val="28"/>
            <w:lang w:val="en-US"/>
          </w:rPr>
          <w:t>currencyconverter</w:t>
        </w:r>
        <w:r w:rsidRPr="00F27EC7">
          <w:rPr>
            <w:rStyle w:val="a7"/>
            <w:sz w:val="28"/>
          </w:rPr>
          <w:t>/</w:t>
        </w:r>
        <w:r w:rsidRPr="00F27EC7">
          <w:rPr>
            <w:rStyle w:val="a7"/>
            <w:sz w:val="28"/>
            <w:lang w:val="en-US"/>
          </w:rPr>
          <w:t>convert</w:t>
        </w:r>
        <w:r w:rsidRPr="00F27EC7">
          <w:rPr>
            <w:rStyle w:val="a7"/>
            <w:sz w:val="28"/>
          </w:rPr>
          <w:t>/?</w:t>
        </w:r>
        <w:r w:rsidRPr="00F27EC7">
          <w:rPr>
            <w:rStyle w:val="a7"/>
            <w:sz w:val="28"/>
            <w:lang w:val="en-US"/>
          </w:rPr>
          <w:t>Amount</w:t>
        </w:r>
        <w:r w:rsidRPr="00F27EC7">
          <w:rPr>
            <w:rStyle w:val="a7"/>
            <w:sz w:val="28"/>
          </w:rPr>
          <w:t>=1&amp;</w:t>
        </w:r>
        <w:r w:rsidRPr="00F27EC7">
          <w:rPr>
            <w:rStyle w:val="a7"/>
            <w:sz w:val="28"/>
            <w:lang w:val="en-US"/>
          </w:rPr>
          <w:t>amp</w:t>
        </w:r>
        <w:r w:rsidRPr="00F27EC7">
          <w:rPr>
            <w:rStyle w:val="a7"/>
            <w:sz w:val="28"/>
          </w:rPr>
          <w:t>;</w:t>
        </w:r>
        <w:r w:rsidRPr="00F27EC7">
          <w:rPr>
            <w:rStyle w:val="a7"/>
            <w:sz w:val="28"/>
            <w:lang w:val="en-US"/>
          </w:rPr>
          <w:t>From</w:t>
        </w:r>
        <w:r w:rsidRPr="00F27EC7">
          <w:rPr>
            <w:rStyle w:val="a7"/>
            <w:sz w:val="28"/>
          </w:rPr>
          <w:t>=</w:t>
        </w:r>
        <w:r w:rsidRPr="00F27EC7">
          <w:rPr>
            <w:rStyle w:val="a7"/>
            <w:sz w:val="28"/>
            <w:lang w:val="en-US"/>
          </w:rPr>
          <w:t>DKK</w:t>
        </w:r>
        <w:r w:rsidRPr="00F27EC7">
          <w:rPr>
            <w:rStyle w:val="a7"/>
            <w:sz w:val="28"/>
          </w:rPr>
          <w:t>&amp;</w:t>
        </w:r>
        <w:r w:rsidRPr="00F27EC7">
          <w:rPr>
            <w:rStyle w:val="a7"/>
            <w:sz w:val="28"/>
            <w:lang w:val="en-US"/>
          </w:rPr>
          <w:t>amp</w:t>
        </w:r>
        <w:r w:rsidRPr="00F27EC7">
          <w:rPr>
            <w:rStyle w:val="a7"/>
            <w:sz w:val="28"/>
          </w:rPr>
          <w:t>;</w:t>
        </w:r>
        <w:r w:rsidRPr="00F27EC7">
          <w:rPr>
            <w:rStyle w:val="a7"/>
            <w:sz w:val="28"/>
            <w:lang w:val="en-US"/>
          </w:rPr>
          <w:t>To</w:t>
        </w:r>
        <w:r w:rsidRPr="00F27EC7">
          <w:rPr>
            <w:rStyle w:val="a7"/>
            <w:sz w:val="28"/>
          </w:rPr>
          <w:t>=</w:t>
        </w:r>
        <w:r w:rsidRPr="00F27EC7">
          <w:rPr>
            <w:rStyle w:val="a7"/>
            <w:sz w:val="28"/>
            <w:lang w:val="en-US"/>
          </w:rPr>
          <w:t>USD</w:t>
        </w:r>
      </w:hyperlink>
      <w:r w:rsidRPr="00F27EC7">
        <w:rPr>
          <w:sz w:val="28"/>
        </w:rPr>
        <w:t xml:space="preserve">   </w:t>
      </w:r>
    </w:p>
    <w:p w:rsidR="002D234D" w:rsidRPr="00F27EC7" w:rsidRDefault="003B4AA6" w:rsidP="00D9440D">
      <w:pPr>
        <w:pStyle w:val="a9"/>
        <w:numPr>
          <w:ilvl w:val="0"/>
          <w:numId w:val="9"/>
        </w:numPr>
        <w:spacing w:line="348" w:lineRule="auto"/>
        <w:ind w:left="357" w:hanging="357"/>
        <w:jc w:val="both"/>
        <w:rPr>
          <w:sz w:val="28"/>
        </w:rPr>
      </w:pPr>
      <w:r w:rsidRPr="00F27EC7">
        <w:rPr>
          <w:sz w:val="28"/>
        </w:rPr>
        <w:t xml:space="preserve">Державна служба статистики України. Офіційний веб-сайт. 2023. </w:t>
      </w:r>
      <w:r w:rsidRPr="00F27EC7">
        <w:rPr>
          <w:sz w:val="28"/>
          <w:lang w:val="en-US"/>
        </w:rPr>
        <w:t>URL</w:t>
      </w:r>
      <w:r w:rsidRPr="00F27EC7">
        <w:rPr>
          <w:sz w:val="28"/>
        </w:rPr>
        <w:t xml:space="preserve">: </w:t>
      </w:r>
      <w:hyperlink r:id="rId41" w:history="1">
        <w:r w:rsidR="00D67A0E" w:rsidRPr="00F27EC7">
          <w:rPr>
            <w:rStyle w:val="a7"/>
            <w:sz w:val="28"/>
          </w:rPr>
          <w:t>https://www.ukrstat.gov.ua/</w:t>
        </w:r>
      </w:hyperlink>
      <w:r w:rsidR="00D67A0E" w:rsidRPr="00F27EC7">
        <w:rPr>
          <w:sz w:val="28"/>
        </w:rPr>
        <w:t xml:space="preserve"> </w:t>
      </w:r>
    </w:p>
    <w:p w:rsidR="00D67A0E" w:rsidRPr="00F27EC7" w:rsidRDefault="003B4AA6" w:rsidP="00D9440D">
      <w:pPr>
        <w:pStyle w:val="a9"/>
        <w:numPr>
          <w:ilvl w:val="0"/>
          <w:numId w:val="9"/>
        </w:numPr>
        <w:spacing w:line="348" w:lineRule="auto"/>
        <w:ind w:left="357" w:hanging="357"/>
        <w:jc w:val="both"/>
        <w:rPr>
          <w:sz w:val="28"/>
        </w:rPr>
      </w:pPr>
      <w:r w:rsidRPr="00F27EC7">
        <w:rPr>
          <w:sz w:val="28"/>
        </w:rPr>
        <w:t>Статистика зовнішнього сектору економіки України. Офіційний сайт Національного банку України.</w:t>
      </w:r>
      <w:r w:rsidRPr="00F27EC7">
        <w:rPr>
          <w:sz w:val="28"/>
          <w:lang w:val="ru-RU"/>
        </w:rPr>
        <w:t xml:space="preserve"> 2023. </w:t>
      </w:r>
      <w:r w:rsidRPr="00F27EC7">
        <w:rPr>
          <w:sz w:val="28"/>
          <w:lang w:val="en-US"/>
        </w:rPr>
        <w:t>URL</w:t>
      </w:r>
      <w:r w:rsidRPr="00F27EC7">
        <w:rPr>
          <w:sz w:val="28"/>
        </w:rPr>
        <w:t xml:space="preserve">: </w:t>
      </w:r>
      <w:hyperlink r:id="rId42" w:anchor="5" w:history="1">
        <w:r w:rsidR="00D67A0E" w:rsidRPr="00F27EC7">
          <w:rPr>
            <w:rStyle w:val="a7"/>
            <w:sz w:val="28"/>
          </w:rPr>
          <w:t>https://bank.gov.ua/ua/statistic/sector-external#5</w:t>
        </w:r>
      </w:hyperlink>
      <w:r w:rsidR="00D67A0E" w:rsidRPr="00F27EC7">
        <w:rPr>
          <w:sz w:val="28"/>
        </w:rPr>
        <w:t xml:space="preserve"> </w:t>
      </w:r>
    </w:p>
    <w:p w:rsidR="00591B32" w:rsidRPr="00F27EC7" w:rsidRDefault="00591B32" w:rsidP="00D9440D">
      <w:pPr>
        <w:pStyle w:val="a9"/>
        <w:numPr>
          <w:ilvl w:val="0"/>
          <w:numId w:val="9"/>
        </w:numPr>
        <w:spacing w:line="348" w:lineRule="auto"/>
        <w:ind w:left="357" w:hanging="357"/>
        <w:jc w:val="both"/>
        <w:rPr>
          <w:sz w:val="28"/>
          <w:lang w:val="ru-RU"/>
        </w:rPr>
      </w:pPr>
      <w:r w:rsidRPr="00F27EC7">
        <w:rPr>
          <w:sz w:val="28"/>
        </w:rPr>
        <w:t xml:space="preserve">Корнелюк О.А. Економічне співробітництво України та Польщі як фактор підвищення конкурентоспроможності національної економіки. </w:t>
      </w:r>
      <w:r w:rsidRPr="00F27EC7">
        <w:rPr>
          <w:i/>
          <w:sz w:val="28"/>
        </w:rPr>
        <w:t xml:space="preserve">Світове господарство і міжнародні економічні відносини. </w:t>
      </w:r>
      <w:r w:rsidRPr="00F27EC7">
        <w:rPr>
          <w:sz w:val="28"/>
        </w:rPr>
        <w:t xml:space="preserve">Випуск 50-1. 2020. С. 26-29. </w:t>
      </w:r>
      <w:r w:rsidRPr="00F27EC7">
        <w:rPr>
          <w:sz w:val="28"/>
          <w:lang w:val="en-US"/>
        </w:rPr>
        <w:t>URL</w:t>
      </w:r>
      <w:r w:rsidRPr="00F27EC7">
        <w:rPr>
          <w:sz w:val="28"/>
          <w:lang w:val="ru-RU"/>
        </w:rPr>
        <w:t xml:space="preserve">: </w:t>
      </w:r>
      <w:hyperlink r:id="rId43" w:history="1">
        <w:r w:rsidRPr="00F27EC7">
          <w:rPr>
            <w:rStyle w:val="a7"/>
            <w:sz w:val="28"/>
            <w:lang w:val="en-US"/>
          </w:rPr>
          <w:t>https</w:t>
        </w:r>
        <w:r w:rsidRPr="00F27EC7">
          <w:rPr>
            <w:rStyle w:val="a7"/>
            <w:sz w:val="28"/>
            <w:lang w:val="ru-RU"/>
          </w:rPr>
          <w:t>://</w:t>
        </w:r>
        <w:r w:rsidRPr="00F27EC7">
          <w:rPr>
            <w:rStyle w:val="a7"/>
            <w:sz w:val="28"/>
            <w:lang w:val="en-US"/>
          </w:rPr>
          <w:t>evnuir</w:t>
        </w:r>
        <w:r w:rsidRPr="00F27EC7">
          <w:rPr>
            <w:rStyle w:val="a7"/>
            <w:sz w:val="28"/>
            <w:lang w:val="ru-RU"/>
          </w:rPr>
          <w:t>.</w:t>
        </w:r>
        <w:r w:rsidRPr="00F27EC7">
          <w:rPr>
            <w:rStyle w:val="a7"/>
            <w:sz w:val="28"/>
            <w:lang w:val="en-US"/>
          </w:rPr>
          <w:t>vnu</w:t>
        </w:r>
        <w:r w:rsidRPr="00F27EC7">
          <w:rPr>
            <w:rStyle w:val="a7"/>
            <w:sz w:val="28"/>
            <w:lang w:val="ru-RU"/>
          </w:rPr>
          <w:t>.</w:t>
        </w:r>
        <w:r w:rsidRPr="00F27EC7">
          <w:rPr>
            <w:rStyle w:val="a7"/>
            <w:sz w:val="28"/>
            <w:lang w:val="en-US"/>
          </w:rPr>
          <w:t>edu</w:t>
        </w:r>
        <w:r w:rsidRPr="00F27EC7">
          <w:rPr>
            <w:rStyle w:val="a7"/>
            <w:sz w:val="28"/>
            <w:lang w:val="ru-RU"/>
          </w:rPr>
          <w:t>.</w:t>
        </w:r>
        <w:r w:rsidRPr="00F27EC7">
          <w:rPr>
            <w:rStyle w:val="a7"/>
            <w:sz w:val="28"/>
            <w:lang w:val="en-US"/>
          </w:rPr>
          <w:t>ua</w:t>
        </w:r>
        <w:r w:rsidRPr="00F27EC7">
          <w:rPr>
            <w:rStyle w:val="a7"/>
            <w:sz w:val="28"/>
            <w:lang w:val="ru-RU"/>
          </w:rPr>
          <w:t>/</w:t>
        </w:r>
        <w:r w:rsidRPr="00F27EC7">
          <w:rPr>
            <w:rStyle w:val="a7"/>
            <w:sz w:val="28"/>
            <w:lang w:val="en-US"/>
          </w:rPr>
          <w:t>handle</w:t>
        </w:r>
        <w:r w:rsidRPr="00F27EC7">
          <w:rPr>
            <w:rStyle w:val="a7"/>
            <w:sz w:val="28"/>
            <w:lang w:val="ru-RU"/>
          </w:rPr>
          <w:t>/123456789/19689</w:t>
        </w:r>
      </w:hyperlink>
      <w:r w:rsidRPr="00F27EC7">
        <w:rPr>
          <w:sz w:val="28"/>
          <w:lang w:val="ru-RU"/>
        </w:rPr>
        <w:t xml:space="preserve"> </w:t>
      </w:r>
    </w:p>
    <w:p w:rsidR="00591B32" w:rsidRPr="00F27EC7" w:rsidRDefault="00591B32" w:rsidP="00D9440D">
      <w:pPr>
        <w:pStyle w:val="a9"/>
        <w:numPr>
          <w:ilvl w:val="0"/>
          <w:numId w:val="9"/>
        </w:numPr>
        <w:spacing w:line="348" w:lineRule="auto"/>
        <w:ind w:left="357" w:hanging="357"/>
        <w:jc w:val="both"/>
        <w:rPr>
          <w:sz w:val="28"/>
          <w:lang w:val="ru-RU"/>
        </w:rPr>
      </w:pPr>
      <w:r w:rsidRPr="00F27EC7">
        <w:rPr>
          <w:sz w:val="28"/>
        </w:rPr>
        <w:t xml:space="preserve">Тоцька О. Зовнішня торгівля товарами України з Польщею, Румунією, Словаччиною та Молдовою. </w:t>
      </w:r>
      <w:r w:rsidRPr="00F27EC7">
        <w:rPr>
          <w:i/>
          <w:sz w:val="28"/>
        </w:rPr>
        <w:t>Економічний часопис Волинського національного університету імені Лесі Українки.</w:t>
      </w:r>
      <w:r w:rsidRPr="00F27EC7">
        <w:rPr>
          <w:sz w:val="28"/>
        </w:rPr>
        <w:t xml:space="preserve"> 2022. С. 90-98. </w:t>
      </w:r>
      <w:r w:rsidRPr="00F27EC7">
        <w:rPr>
          <w:sz w:val="28"/>
          <w:lang w:val="en-US"/>
        </w:rPr>
        <w:t>URL</w:t>
      </w:r>
      <w:r w:rsidRPr="00F27EC7">
        <w:rPr>
          <w:sz w:val="28"/>
          <w:lang w:val="ru-RU"/>
        </w:rPr>
        <w:t xml:space="preserve">: </w:t>
      </w:r>
      <w:hyperlink r:id="rId44" w:history="1">
        <w:r w:rsidRPr="00F27EC7">
          <w:rPr>
            <w:rStyle w:val="a7"/>
            <w:sz w:val="28"/>
            <w:lang w:val="en-US"/>
          </w:rPr>
          <w:t>http</w:t>
        </w:r>
        <w:r w:rsidRPr="00F27EC7">
          <w:rPr>
            <w:rStyle w:val="a7"/>
            <w:sz w:val="28"/>
            <w:lang w:val="ru-RU"/>
          </w:rPr>
          <w:t>://</w:t>
        </w:r>
        <w:r w:rsidRPr="00F27EC7">
          <w:rPr>
            <w:rStyle w:val="a7"/>
            <w:sz w:val="28"/>
            <w:lang w:val="en-US"/>
          </w:rPr>
          <w:t>echas</w:t>
        </w:r>
        <w:r w:rsidRPr="00F27EC7">
          <w:rPr>
            <w:rStyle w:val="a7"/>
            <w:sz w:val="28"/>
            <w:lang w:val="ru-RU"/>
          </w:rPr>
          <w:t>.</w:t>
        </w:r>
        <w:r w:rsidRPr="00F27EC7">
          <w:rPr>
            <w:rStyle w:val="a7"/>
            <w:sz w:val="28"/>
            <w:lang w:val="en-US"/>
          </w:rPr>
          <w:t>vnu</w:t>
        </w:r>
        <w:r w:rsidRPr="00F27EC7">
          <w:rPr>
            <w:rStyle w:val="a7"/>
            <w:sz w:val="28"/>
            <w:lang w:val="ru-RU"/>
          </w:rPr>
          <w:t>.</w:t>
        </w:r>
        <w:r w:rsidRPr="00F27EC7">
          <w:rPr>
            <w:rStyle w:val="a7"/>
            <w:sz w:val="28"/>
            <w:lang w:val="en-US"/>
          </w:rPr>
          <w:t>edu</w:t>
        </w:r>
        <w:r w:rsidRPr="00F27EC7">
          <w:rPr>
            <w:rStyle w:val="a7"/>
            <w:sz w:val="28"/>
            <w:lang w:val="ru-RU"/>
          </w:rPr>
          <w:t>.</w:t>
        </w:r>
        <w:r w:rsidRPr="00F27EC7">
          <w:rPr>
            <w:rStyle w:val="a7"/>
            <w:sz w:val="28"/>
            <w:lang w:val="en-US"/>
          </w:rPr>
          <w:t>ua</w:t>
        </w:r>
        <w:r w:rsidRPr="00F27EC7">
          <w:rPr>
            <w:rStyle w:val="a7"/>
            <w:sz w:val="28"/>
            <w:lang w:val="ru-RU"/>
          </w:rPr>
          <w:t>/</w:t>
        </w:r>
        <w:r w:rsidRPr="00F27EC7">
          <w:rPr>
            <w:rStyle w:val="a7"/>
            <w:sz w:val="28"/>
            <w:lang w:val="en-US"/>
          </w:rPr>
          <w:t>index</w:t>
        </w:r>
        <w:r w:rsidRPr="00F27EC7">
          <w:rPr>
            <w:rStyle w:val="a7"/>
            <w:sz w:val="28"/>
            <w:lang w:val="ru-RU"/>
          </w:rPr>
          <w:t>.</w:t>
        </w:r>
        <w:r w:rsidRPr="00F27EC7">
          <w:rPr>
            <w:rStyle w:val="a7"/>
            <w:sz w:val="28"/>
            <w:lang w:val="en-US"/>
          </w:rPr>
          <w:t>php</w:t>
        </w:r>
        <w:r w:rsidRPr="00F27EC7">
          <w:rPr>
            <w:rStyle w:val="a7"/>
            <w:sz w:val="28"/>
            <w:lang w:val="ru-RU"/>
          </w:rPr>
          <w:t>/</w:t>
        </w:r>
        <w:r w:rsidRPr="00F27EC7">
          <w:rPr>
            <w:rStyle w:val="a7"/>
            <w:sz w:val="28"/>
            <w:lang w:val="en-US"/>
          </w:rPr>
          <w:t>echas</w:t>
        </w:r>
        <w:r w:rsidRPr="00F27EC7">
          <w:rPr>
            <w:rStyle w:val="a7"/>
            <w:sz w:val="28"/>
            <w:lang w:val="ru-RU"/>
          </w:rPr>
          <w:t>/</w:t>
        </w:r>
        <w:r w:rsidRPr="00F27EC7">
          <w:rPr>
            <w:rStyle w:val="a7"/>
            <w:sz w:val="28"/>
            <w:lang w:val="en-US"/>
          </w:rPr>
          <w:t>article</w:t>
        </w:r>
        <w:r w:rsidRPr="00F27EC7">
          <w:rPr>
            <w:rStyle w:val="a7"/>
            <w:sz w:val="28"/>
            <w:lang w:val="ru-RU"/>
          </w:rPr>
          <w:t>/</w:t>
        </w:r>
        <w:r w:rsidRPr="00F27EC7">
          <w:rPr>
            <w:rStyle w:val="a7"/>
            <w:sz w:val="28"/>
            <w:lang w:val="en-US"/>
          </w:rPr>
          <w:t>view</w:t>
        </w:r>
        <w:r w:rsidRPr="00F27EC7">
          <w:rPr>
            <w:rStyle w:val="a7"/>
            <w:sz w:val="28"/>
            <w:lang w:val="ru-RU"/>
          </w:rPr>
          <w:t>/757</w:t>
        </w:r>
      </w:hyperlink>
      <w:r w:rsidRPr="00F27EC7">
        <w:rPr>
          <w:sz w:val="28"/>
          <w:lang w:val="ru-RU"/>
        </w:rPr>
        <w:t xml:space="preserve"> </w:t>
      </w:r>
    </w:p>
    <w:p w:rsidR="00F27EC7" w:rsidRPr="00F27EC7" w:rsidRDefault="00F27EC7" w:rsidP="00D9440D">
      <w:pPr>
        <w:numPr>
          <w:ilvl w:val="0"/>
          <w:numId w:val="9"/>
        </w:numPr>
        <w:spacing w:line="348" w:lineRule="auto"/>
        <w:ind w:left="357" w:hanging="357"/>
        <w:contextualSpacing/>
        <w:jc w:val="both"/>
        <w:rPr>
          <w:rFonts w:eastAsia="Calibri"/>
          <w:sz w:val="28"/>
          <w:szCs w:val="28"/>
          <w:lang w:eastAsia="en-US"/>
        </w:rPr>
      </w:pPr>
      <w:r>
        <w:rPr>
          <w:rFonts w:eastAsia="Calibri"/>
          <w:sz w:val="28"/>
          <w:szCs w:val="28"/>
          <w:lang w:eastAsia="en-US"/>
        </w:rPr>
        <w:t>Slovac Republic</w:t>
      </w:r>
      <w:r w:rsidRPr="00F27EC7">
        <w:rPr>
          <w:rFonts w:eastAsia="Calibri"/>
          <w:sz w:val="28"/>
          <w:szCs w:val="28"/>
          <w:lang w:eastAsia="en-US"/>
        </w:rPr>
        <w:t>, BOP Analytic Presentation and International Investment Position. International Monetary Fund. - [Електронний ресурс]. – Режим доступу:</w:t>
      </w:r>
      <w:r w:rsidRPr="00F27EC7">
        <w:rPr>
          <w:rFonts w:eastAsia="Calibri"/>
          <w:sz w:val="28"/>
          <w:szCs w:val="28"/>
          <w:lang w:val="en-US" w:eastAsia="en-US"/>
        </w:rPr>
        <w:t xml:space="preserve"> </w:t>
      </w:r>
      <w:hyperlink r:id="rId45" w:history="1">
        <w:r w:rsidRPr="00D9440D">
          <w:rPr>
            <w:rFonts w:eastAsia="Calibri"/>
            <w:color w:val="0000FF"/>
            <w:sz w:val="28"/>
            <w:szCs w:val="28"/>
            <w:u w:val="single"/>
            <w:lang w:eastAsia="en-US"/>
          </w:rPr>
          <w:t>http://data.imf.org/?sk=7A51304B-6426-40C0-83DD-CA473CA1FD52&amp;sId=1542635306163</w:t>
        </w:r>
      </w:hyperlink>
    </w:p>
    <w:p w:rsidR="00F27EC7" w:rsidRPr="00F27EC7" w:rsidRDefault="00F27EC7" w:rsidP="00D9440D">
      <w:pPr>
        <w:numPr>
          <w:ilvl w:val="0"/>
          <w:numId w:val="9"/>
        </w:numPr>
        <w:spacing w:line="348" w:lineRule="auto"/>
        <w:ind w:left="357" w:hanging="357"/>
        <w:contextualSpacing/>
        <w:jc w:val="both"/>
        <w:rPr>
          <w:rFonts w:eastAsia="Calibri"/>
          <w:sz w:val="28"/>
          <w:szCs w:val="28"/>
          <w:lang w:eastAsia="en-US"/>
        </w:rPr>
      </w:pPr>
      <w:r>
        <w:rPr>
          <w:rFonts w:eastAsia="Calibri"/>
          <w:sz w:val="28"/>
          <w:szCs w:val="28"/>
          <w:lang w:eastAsia="en-US"/>
        </w:rPr>
        <w:t>Poland</w:t>
      </w:r>
      <w:r w:rsidRPr="00F27EC7">
        <w:rPr>
          <w:rFonts w:eastAsia="Calibri"/>
          <w:sz w:val="28"/>
          <w:szCs w:val="28"/>
          <w:lang w:eastAsia="en-US"/>
        </w:rPr>
        <w:t xml:space="preserve">, BOP Analytic Presentation and International Investment Position. International Monetary Fund. - [Електронний ресурс]. – Режим доступу: </w:t>
      </w:r>
      <w:hyperlink r:id="rId46" w:history="1">
        <w:r w:rsidRPr="00F27EC7">
          <w:rPr>
            <w:rFonts w:eastAsia="Calibri"/>
            <w:color w:val="0000FF"/>
            <w:sz w:val="28"/>
            <w:szCs w:val="28"/>
            <w:u w:val="single"/>
            <w:lang w:eastAsia="en-US"/>
          </w:rPr>
          <w:t>http://data.imf.org/?sk=7A51304B-6426-40C0-83DD-CA473CA1FD52&amp;sId=1542635306163</w:t>
        </w:r>
      </w:hyperlink>
    </w:p>
    <w:p w:rsidR="00F27EC7" w:rsidRPr="00F27EC7" w:rsidRDefault="00F27EC7" w:rsidP="00D9440D">
      <w:pPr>
        <w:numPr>
          <w:ilvl w:val="0"/>
          <w:numId w:val="9"/>
        </w:numPr>
        <w:spacing w:line="348" w:lineRule="auto"/>
        <w:ind w:left="357" w:hanging="357"/>
        <w:contextualSpacing/>
        <w:jc w:val="both"/>
        <w:rPr>
          <w:rFonts w:eastAsia="Calibri"/>
          <w:sz w:val="28"/>
          <w:szCs w:val="28"/>
          <w:lang w:eastAsia="en-US"/>
        </w:rPr>
      </w:pPr>
      <w:r>
        <w:rPr>
          <w:rFonts w:eastAsia="Calibri"/>
          <w:sz w:val="28"/>
          <w:szCs w:val="28"/>
          <w:lang w:eastAsia="en-US"/>
        </w:rPr>
        <w:t>Slovac Republic</w:t>
      </w:r>
      <w:r w:rsidRPr="00F27EC7">
        <w:rPr>
          <w:rFonts w:eastAsia="Calibri"/>
          <w:sz w:val="28"/>
          <w:szCs w:val="28"/>
          <w:lang w:eastAsia="en-US"/>
        </w:rPr>
        <w:t xml:space="preserve">, Current Account. International Monetary Fund. - [Електронний ресурс]. – Режим доступу: </w:t>
      </w:r>
      <w:hyperlink r:id="rId47" w:history="1">
        <w:r w:rsidRPr="00F27EC7">
          <w:rPr>
            <w:rFonts w:eastAsia="Calibri"/>
            <w:color w:val="0000FF"/>
            <w:sz w:val="28"/>
            <w:szCs w:val="28"/>
            <w:u w:val="single"/>
            <w:lang w:eastAsia="en-US"/>
          </w:rPr>
          <w:t>http://data.imf.org/?sk=7A51304B-6426-40C0-83DD-CA473CA1FD52&amp;sId=1542635306163</w:t>
        </w:r>
      </w:hyperlink>
    </w:p>
    <w:p w:rsidR="00F27EC7" w:rsidRPr="00F27EC7" w:rsidRDefault="00F27EC7" w:rsidP="00D9440D">
      <w:pPr>
        <w:numPr>
          <w:ilvl w:val="0"/>
          <w:numId w:val="9"/>
        </w:numPr>
        <w:spacing w:line="348" w:lineRule="auto"/>
        <w:ind w:left="357" w:hanging="357"/>
        <w:contextualSpacing/>
        <w:jc w:val="both"/>
        <w:rPr>
          <w:rFonts w:eastAsia="Calibri"/>
          <w:sz w:val="28"/>
          <w:szCs w:val="28"/>
          <w:lang w:eastAsia="en-US"/>
        </w:rPr>
      </w:pPr>
      <w:r>
        <w:rPr>
          <w:rFonts w:eastAsia="Calibri"/>
          <w:sz w:val="28"/>
          <w:szCs w:val="28"/>
          <w:lang w:eastAsia="en-US"/>
        </w:rPr>
        <w:t>Poland</w:t>
      </w:r>
      <w:r w:rsidRPr="00F27EC7">
        <w:rPr>
          <w:rFonts w:eastAsia="Calibri"/>
          <w:sz w:val="28"/>
          <w:szCs w:val="28"/>
          <w:lang w:eastAsia="en-US"/>
        </w:rPr>
        <w:t xml:space="preserve">, Current Account. International Monetary Fund. -[Електронний ресурс]. – Режим доступу: </w:t>
      </w:r>
      <w:hyperlink r:id="rId48" w:history="1">
        <w:r w:rsidRPr="00F27EC7">
          <w:rPr>
            <w:rFonts w:eastAsia="Calibri"/>
            <w:color w:val="0000FF"/>
            <w:sz w:val="28"/>
            <w:szCs w:val="28"/>
            <w:u w:val="single"/>
            <w:lang w:eastAsia="en-US"/>
          </w:rPr>
          <w:t>http://data.imf.org/?sk=7A51304B-6426-40C0-83DD-CA473CA1FD52&amp;sId=1542635306163</w:t>
        </w:r>
      </w:hyperlink>
    </w:p>
    <w:p w:rsidR="00F27EC7" w:rsidRPr="00F27EC7" w:rsidRDefault="00F27EC7" w:rsidP="00D9440D">
      <w:pPr>
        <w:numPr>
          <w:ilvl w:val="0"/>
          <w:numId w:val="9"/>
        </w:numPr>
        <w:spacing w:line="348" w:lineRule="auto"/>
        <w:ind w:left="357" w:hanging="357"/>
        <w:contextualSpacing/>
        <w:jc w:val="both"/>
        <w:rPr>
          <w:rFonts w:eastAsia="Calibri"/>
          <w:sz w:val="28"/>
          <w:szCs w:val="28"/>
          <w:lang w:eastAsia="en-US"/>
        </w:rPr>
      </w:pPr>
      <w:r>
        <w:rPr>
          <w:rFonts w:eastAsia="Calibri"/>
          <w:sz w:val="28"/>
          <w:szCs w:val="28"/>
          <w:lang w:eastAsia="en-US"/>
        </w:rPr>
        <w:t>Slovac Republic</w:t>
      </w:r>
      <w:r w:rsidRPr="00F27EC7">
        <w:rPr>
          <w:rFonts w:eastAsia="Calibri"/>
          <w:sz w:val="28"/>
          <w:szCs w:val="28"/>
          <w:lang w:eastAsia="en-US"/>
        </w:rPr>
        <w:t xml:space="preserve">, Trade Balance. International Monetary Fund. - [Електронний ресурс]. – Режим доступу: </w:t>
      </w:r>
      <w:hyperlink r:id="rId49" w:history="1">
        <w:r w:rsidRPr="00F27EC7">
          <w:rPr>
            <w:rFonts w:eastAsia="Calibri"/>
            <w:color w:val="0000FF"/>
            <w:sz w:val="28"/>
            <w:szCs w:val="28"/>
            <w:u w:val="single"/>
            <w:lang w:eastAsia="en-US"/>
          </w:rPr>
          <w:t>http://data.imf.org/?sk=7A51304B-6426-40C0-83DD-CA473CA1FD52&amp;sId=1542635306163</w:t>
        </w:r>
      </w:hyperlink>
    </w:p>
    <w:p w:rsidR="00F27EC7" w:rsidRPr="00F27EC7" w:rsidRDefault="00F27EC7" w:rsidP="00D9440D">
      <w:pPr>
        <w:numPr>
          <w:ilvl w:val="0"/>
          <w:numId w:val="9"/>
        </w:numPr>
        <w:spacing w:line="348" w:lineRule="auto"/>
        <w:ind w:left="357" w:hanging="357"/>
        <w:contextualSpacing/>
        <w:jc w:val="both"/>
        <w:rPr>
          <w:rFonts w:eastAsia="Calibri"/>
          <w:sz w:val="28"/>
          <w:szCs w:val="28"/>
          <w:lang w:eastAsia="en-US"/>
        </w:rPr>
      </w:pPr>
      <w:r>
        <w:rPr>
          <w:rFonts w:eastAsia="Calibri"/>
          <w:sz w:val="28"/>
          <w:szCs w:val="28"/>
          <w:lang w:eastAsia="en-US"/>
        </w:rPr>
        <w:t>Poland</w:t>
      </w:r>
      <w:r w:rsidRPr="00F27EC7">
        <w:rPr>
          <w:rFonts w:eastAsia="Calibri"/>
          <w:sz w:val="28"/>
          <w:szCs w:val="28"/>
          <w:lang w:eastAsia="en-US"/>
        </w:rPr>
        <w:t xml:space="preserve">, Trade Balance. International Monetary Fund. - [Електронний ресурс]. – Режим доступу: </w:t>
      </w:r>
      <w:hyperlink r:id="rId50" w:history="1">
        <w:r w:rsidRPr="00F27EC7">
          <w:rPr>
            <w:rFonts w:eastAsia="Calibri"/>
            <w:color w:val="0000FF"/>
            <w:sz w:val="28"/>
            <w:szCs w:val="28"/>
            <w:u w:val="single"/>
            <w:lang w:eastAsia="en-US"/>
          </w:rPr>
          <w:t>http://data.imf.org/?sk=7A51304B-6426-40C0-83DD-CA473CA1FD52&amp;sId=1542635306163</w:t>
        </w:r>
      </w:hyperlink>
    </w:p>
    <w:p w:rsidR="00F27EC7" w:rsidRPr="00F27EC7" w:rsidRDefault="00F27EC7" w:rsidP="00D9440D">
      <w:pPr>
        <w:numPr>
          <w:ilvl w:val="0"/>
          <w:numId w:val="9"/>
        </w:numPr>
        <w:spacing w:line="348" w:lineRule="auto"/>
        <w:ind w:left="357" w:hanging="357"/>
        <w:contextualSpacing/>
        <w:jc w:val="both"/>
        <w:rPr>
          <w:rFonts w:eastAsia="Calibri"/>
          <w:sz w:val="28"/>
          <w:szCs w:val="28"/>
          <w:lang w:eastAsia="en-US"/>
        </w:rPr>
      </w:pPr>
      <w:r>
        <w:rPr>
          <w:rFonts w:eastAsia="Calibri"/>
          <w:sz w:val="28"/>
          <w:szCs w:val="28"/>
          <w:lang w:eastAsia="en-US"/>
        </w:rPr>
        <w:t>Slovac Republic</w:t>
      </w:r>
      <w:r w:rsidRPr="00F27EC7">
        <w:rPr>
          <w:rFonts w:eastAsia="Calibri"/>
          <w:sz w:val="28"/>
          <w:szCs w:val="28"/>
          <w:lang w:eastAsia="en-US"/>
        </w:rPr>
        <w:t xml:space="preserve">, Balance of Service. International Monetary Fund. -[Електронний ресурс]. – Режим доступу: </w:t>
      </w:r>
      <w:hyperlink r:id="rId51" w:history="1">
        <w:r w:rsidRPr="00F27EC7">
          <w:rPr>
            <w:rFonts w:eastAsia="Calibri"/>
            <w:color w:val="0000FF"/>
            <w:sz w:val="28"/>
            <w:szCs w:val="28"/>
            <w:u w:val="single"/>
            <w:lang w:eastAsia="en-US"/>
          </w:rPr>
          <w:t>http://data.imf.org/?sk=7A51304B-6426-40C0-83DD-CA473CA1FD52&amp;sId=1542635306163</w:t>
        </w:r>
      </w:hyperlink>
    </w:p>
    <w:p w:rsidR="00F27EC7" w:rsidRPr="00F27EC7" w:rsidRDefault="00F27EC7" w:rsidP="00D9440D">
      <w:pPr>
        <w:numPr>
          <w:ilvl w:val="0"/>
          <w:numId w:val="9"/>
        </w:numPr>
        <w:spacing w:line="348" w:lineRule="auto"/>
        <w:ind w:left="357" w:hanging="357"/>
        <w:contextualSpacing/>
        <w:jc w:val="both"/>
        <w:rPr>
          <w:rFonts w:eastAsia="Calibri"/>
          <w:sz w:val="28"/>
          <w:szCs w:val="28"/>
          <w:lang w:eastAsia="en-US"/>
        </w:rPr>
      </w:pPr>
      <w:r>
        <w:rPr>
          <w:rFonts w:eastAsia="Calibri"/>
          <w:sz w:val="28"/>
          <w:szCs w:val="28"/>
          <w:lang w:eastAsia="en-US"/>
        </w:rPr>
        <w:t>Poland</w:t>
      </w:r>
      <w:r w:rsidRPr="00F27EC7">
        <w:rPr>
          <w:rFonts w:eastAsia="Calibri"/>
          <w:sz w:val="28"/>
          <w:szCs w:val="28"/>
          <w:lang w:eastAsia="en-US"/>
        </w:rPr>
        <w:t xml:space="preserve">, Balance of Service. International Monetary Fund. - [Електронний ресурс]. – Режим доступу: </w:t>
      </w:r>
      <w:hyperlink r:id="rId52" w:history="1">
        <w:r w:rsidRPr="00F27EC7">
          <w:rPr>
            <w:rFonts w:eastAsia="Calibri"/>
            <w:color w:val="0000FF"/>
            <w:sz w:val="28"/>
            <w:szCs w:val="28"/>
            <w:u w:val="single"/>
            <w:lang w:eastAsia="en-US"/>
          </w:rPr>
          <w:t>http://data.imf.org/?sk=7A51304B-6426-40C0-83DD-CA473CA1FD52&amp;sId=1542635306163</w:t>
        </w:r>
      </w:hyperlink>
    </w:p>
    <w:p w:rsidR="00F27EC7" w:rsidRPr="00F27EC7" w:rsidRDefault="00F27EC7" w:rsidP="00D9440D">
      <w:pPr>
        <w:numPr>
          <w:ilvl w:val="0"/>
          <w:numId w:val="9"/>
        </w:numPr>
        <w:spacing w:line="348" w:lineRule="auto"/>
        <w:ind w:left="357" w:hanging="357"/>
        <w:contextualSpacing/>
        <w:jc w:val="both"/>
        <w:rPr>
          <w:rFonts w:eastAsia="Calibri"/>
          <w:sz w:val="28"/>
          <w:szCs w:val="28"/>
          <w:lang w:eastAsia="en-US"/>
        </w:rPr>
      </w:pPr>
      <w:r>
        <w:rPr>
          <w:rFonts w:eastAsia="Calibri"/>
          <w:sz w:val="28"/>
          <w:szCs w:val="28"/>
          <w:lang w:eastAsia="en-US"/>
        </w:rPr>
        <w:t>Slovac Republic</w:t>
      </w:r>
      <w:r w:rsidRPr="00F27EC7">
        <w:rPr>
          <w:rFonts w:eastAsia="Calibri"/>
          <w:sz w:val="28"/>
          <w:szCs w:val="28"/>
          <w:lang w:eastAsia="en-US"/>
        </w:rPr>
        <w:t xml:space="preserve">, Primary Income Balance. International Monetary Fund. -[Електронний ресурс]. – Режим доступу: </w:t>
      </w:r>
      <w:hyperlink r:id="rId53" w:history="1">
        <w:r w:rsidRPr="00F27EC7">
          <w:rPr>
            <w:rFonts w:eastAsia="Calibri"/>
            <w:color w:val="0000FF"/>
            <w:sz w:val="28"/>
            <w:szCs w:val="28"/>
            <w:u w:val="single"/>
            <w:lang w:eastAsia="en-US"/>
          </w:rPr>
          <w:t>http://data.imf.org/?sk=7A51304B-6426-40C0-83DD-CA473CA1FD52&amp;sId=1542635306163</w:t>
        </w:r>
      </w:hyperlink>
    </w:p>
    <w:p w:rsidR="00F27EC7" w:rsidRPr="00F27EC7" w:rsidRDefault="00F27EC7" w:rsidP="00D9440D">
      <w:pPr>
        <w:numPr>
          <w:ilvl w:val="0"/>
          <w:numId w:val="9"/>
        </w:numPr>
        <w:spacing w:line="348" w:lineRule="auto"/>
        <w:ind w:left="357" w:hanging="357"/>
        <w:contextualSpacing/>
        <w:jc w:val="both"/>
        <w:rPr>
          <w:rFonts w:eastAsia="Calibri"/>
          <w:sz w:val="28"/>
          <w:szCs w:val="28"/>
          <w:lang w:eastAsia="en-US"/>
        </w:rPr>
      </w:pPr>
      <w:r>
        <w:rPr>
          <w:rFonts w:eastAsia="Calibri"/>
          <w:sz w:val="28"/>
          <w:szCs w:val="28"/>
          <w:lang w:eastAsia="en-US"/>
        </w:rPr>
        <w:t>Poland</w:t>
      </w:r>
      <w:r w:rsidRPr="00F27EC7">
        <w:rPr>
          <w:rFonts w:eastAsia="Calibri"/>
          <w:sz w:val="28"/>
          <w:szCs w:val="28"/>
          <w:lang w:eastAsia="en-US"/>
        </w:rPr>
        <w:t xml:space="preserve">, Primary Income Balance. International Monetary Fund. - [Електронний ресурс]. – Режим доступу: </w:t>
      </w:r>
      <w:hyperlink r:id="rId54" w:history="1">
        <w:r w:rsidRPr="00F27EC7">
          <w:rPr>
            <w:rFonts w:eastAsia="Calibri"/>
            <w:color w:val="0000FF"/>
            <w:sz w:val="28"/>
            <w:szCs w:val="28"/>
            <w:u w:val="single"/>
            <w:lang w:eastAsia="en-US"/>
          </w:rPr>
          <w:t>http://data.imf.org/?sk=7A51304B-6426-40C0-83DD-CA473CA1FD52&amp;sId=1542635306163</w:t>
        </w:r>
      </w:hyperlink>
    </w:p>
    <w:p w:rsidR="00F27EC7" w:rsidRPr="00F27EC7" w:rsidRDefault="00F27EC7" w:rsidP="00D9440D">
      <w:pPr>
        <w:numPr>
          <w:ilvl w:val="0"/>
          <w:numId w:val="9"/>
        </w:numPr>
        <w:spacing w:line="348" w:lineRule="auto"/>
        <w:ind w:left="357" w:hanging="357"/>
        <w:contextualSpacing/>
        <w:jc w:val="both"/>
        <w:rPr>
          <w:rFonts w:eastAsia="Calibri"/>
          <w:sz w:val="28"/>
          <w:szCs w:val="28"/>
          <w:lang w:eastAsia="en-US"/>
        </w:rPr>
      </w:pPr>
      <w:r>
        <w:rPr>
          <w:rFonts w:eastAsia="Calibri"/>
          <w:sz w:val="28"/>
          <w:szCs w:val="28"/>
          <w:lang w:eastAsia="en-US"/>
        </w:rPr>
        <w:t>Slovac Republic</w:t>
      </w:r>
      <w:r w:rsidRPr="00F27EC7">
        <w:rPr>
          <w:rFonts w:eastAsia="Calibri"/>
          <w:sz w:val="28"/>
          <w:szCs w:val="28"/>
          <w:lang w:eastAsia="en-US"/>
        </w:rPr>
        <w:t xml:space="preserve">, Secondary Income Balance. International Monetary Fund. - [Електронний ресурс]. – Режим доступу: </w:t>
      </w:r>
      <w:hyperlink r:id="rId55" w:history="1">
        <w:r w:rsidRPr="00F27EC7">
          <w:rPr>
            <w:rFonts w:eastAsia="Calibri"/>
            <w:color w:val="0000FF"/>
            <w:sz w:val="28"/>
            <w:szCs w:val="28"/>
            <w:u w:val="single"/>
            <w:lang w:eastAsia="en-US"/>
          </w:rPr>
          <w:t>http://data.imf.org/?sk=7A51304B-6426-40C0-83DD-CA473CA1FD52&amp;sId=1542635306163</w:t>
        </w:r>
      </w:hyperlink>
    </w:p>
    <w:p w:rsidR="00B90172" w:rsidRPr="00CF747A" w:rsidRDefault="00F27EC7" w:rsidP="00D9440D">
      <w:pPr>
        <w:pStyle w:val="a9"/>
        <w:numPr>
          <w:ilvl w:val="0"/>
          <w:numId w:val="9"/>
        </w:numPr>
        <w:spacing w:line="348" w:lineRule="auto"/>
        <w:ind w:left="357" w:hanging="357"/>
        <w:jc w:val="both"/>
        <w:rPr>
          <w:sz w:val="28"/>
          <w:lang w:val="ru-RU"/>
        </w:rPr>
      </w:pPr>
      <w:r>
        <w:rPr>
          <w:rFonts w:eastAsia="Calibri"/>
          <w:sz w:val="28"/>
          <w:szCs w:val="28"/>
          <w:lang w:eastAsia="en-US"/>
        </w:rPr>
        <w:t>Poland</w:t>
      </w:r>
      <w:r w:rsidRPr="00F27EC7">
        <w:rPr>
          <w:rFonts w:eastAsia="Calibri"/>
          <w:sz w:val="28"/>
          <w:szCs w:val="28"/>
          <w:lang w:eastAsia="en-US"/>
        </w:rPr>
        <w:t xml:space="preserve">, Secondary Income Balance. International Monetary Fund. -[Електронний ресурс]. – Режим доступу: </w:t>
      </w:r>
      <w:hyperlink r:id="rId56" w:history="1">
        <w:r w:rsidRPr="00F27EC7">
          <w:rPr>
            <w:rFonts w:eastAsia="Calibri"/>
            <w:color w:val="0000FF"/>
            <w:sz w:val="28"/>
            <w:szCs w:val="28"/>
            <w:u w:val="single"/>
            <w:lang w:eastAsia="en-US"/>
          </w:rPr>
          <w:t>http://data.imf.org/?sk=7A51304B-6426-40C0-83DD-CA473CA1FD52&amp;sId=1542635306163</w:t>
        </w:r>
      </w:hyperlink>
    </w:p>
    <w:p w:rsidR="00CF747A" w:rsidRPr="00F27EC7" w:rsidRDefault="00CF747A" w:rsidP="00D9440D">
      <w:pPr>
        <w:numPr>
          <w:ilvl w:val="0"/>
          <w:numId w:val="9"/>
        </w:numPr>
        <w:spacing w:line="348" w:lineRule="auto"/>
        <w:ind w:left="357" w:hanging="357"/>
        <w:contextualSpacing/>
        <w:jc w:val="both"/>
        <w:rPr>
          <w:rFonts w:eastAsia="Calibri"/>
          <w:sz w:val="28"/>
          <w:szCs w:val="28"/>
          <w:lang w:eastAsia="en-US"/>
        </w:rPr>
      </w:pPr>
      <w:r>
        <w:rPr>
          <w:rFonts w:eastAsia="Calibri"/>
          <w:sz w:val="28"/>
          <w:szCs w:val="28"/>
          <w:lang w:eastAsia="en-US"/>
        </w:rPr>
        <w:t>Slovac Republic</w:t>
      </w:r>
      <w:r w:rsidRPr="00F27EC7">
        <w:rPr>
          <w:rFonts w:eastAsia="Calibri"/>
          <w:sz w:val="28"/>
          <w:szCs w:val="28"/>
          <w:lang w:eastAsia="en-US"/>
        </w:rPr>
        <w:t xml:space="preserve">, </w:t>
      </w:r>
      <w:r>
        <w:rPr>
          <w:rFonts w:eastAsia="Calibri"/>
          <w:sz w:val="28"/>
          <w:szCs w:val="28"/>
          <w:lang w:val="en-US" w:eastAsia="en-US"/>
        </w:rPr>
        <w:t>Financial Account</w:t>
      </w:r>
      <w:r w:rsidRPr="00F27EC7">
        <w:rPr>
          <w:rFonts w:eastAsia="Calibri"/>
          <w:sz w:val="28"/>
          <w:szCs w:val="28"/>
          <w:lang w:eastAsia="en-US"/>
        </w:rPr>
        <w:t xml:space="preserve">. International Monetary Fund. - [Електронний ресурс]. – Режим доступу: </w:t>
      </w:r>
      <w:hyperlink r:id="rId57" w:history="1">
        <w:r w:rsidRPr="00F27EC7">
          <w:rPr>
            <w:rFonts w:eastAsia="Calibri"/>
            <w:color w:val="0000FF"/>
            <w:sz w:val="28"/>
            <w:szCs w:val="28"/>
            <w:u w:val="single"/>
            <w:lang w:eastAsia="en-US"/>
          </w:rPr>
          <w:t>http://data.imf.org/?sk=7A51304B-6426-40C0-83DD-CA473CA1FD52&amp;sId=1542635306163</w:t>
        </w:r>
      </w:hyperlink>
    </w:p>
    <w:p w:rsidR="00CF747A" w:rsidRPr="00D9440D" w:rsidRDefault="00CF747A" w:rsidP="00D9440D">
      <w:pPr>
        <w:pStyle w:val="a9"/>
        <w:numPr>
          <w:ilvl w:val="0"/>
          <w:numId w:val="9"/>
        </w:numPr>
        <w:spacing w:line="348" w:lineRule="auto"/>
        <w:ind w:left="357" w:hanging="357"/>
        <w:jc w:val="both"/>
        <w:rPr>
          <w:sz w:val="28"/>
          <w:lang w:val="ru-RU"/>
        </w:rPr>
      </w:pPr>
      <w:r>
        <w:rPr>
          <w:rFonts w:eastAsia="Calibri"/>
          <w:sz w:val="28"/>
          <w:szCs w:val="28"/>
          <w:lang w:eastAsia="en-US"/>
        </w:rPr>
        <w:t>Poland</w:t>
      </w:r>
      <w:r w:rsidRPr="00F27EC7">
        <w:rPr>
          <w:rFonts w:eastAsia="Calibri"/>
          <w:sz w:val="28"/>
          <w:szCs w:val="28"/>
          <w:lang w:eastAsia="en-US"/>
        </w:rPr>
        <w:t xml:space="preserve">, </w:t>
      </w:r>
      <w:r w:rsidRPr="00CF747A">
        <w:rPr>
          <w:rFonts w:eastAsia="Calibri"/>
          <w:sz w:val="28"/>
          <w:szCs w:val="28"/>
          <w:lang w:eastAsia="en-US"/>
        </w:rPr>
        <w:t>Financial Account</w:t>
      </w:r>
      <w:r w:rsidRPr="00F27EC7">
        <w:rPr>
          <w:rFonts w:eastAsia="Calibri"/>
          <w:sz w:val="28"/>
          <w:szCs w:val="28"/>
          <w:lang w:eastAsia="en-US"/>
        </w:rPr>
        <w:t xml:space="preserve">. International Monetary Fund. -[Електронний ресурс]. – Режим доступу: </w:t>
      </w:r>
      <w:hyperlink r:id="rId58" w:history="1">
        <w:r w:rsidRPr="00F27EC7">
          <w:rPr>
            <w:rFonts w:eastAsia="Calibri"/>
            <w:color w:val="0000FF"/>
            <w:sz w:val="28"/>
            <w:szCs w:val="28"/>
            <w:u w:val="single"/>
            <w:lang w:eastAsia="en-US"/>
          </w:rPr>
          <w:t>http://data.imf.org/?sk=7A51304B-6426-40C0-83DD-CA473CA1FD52&amp;sId=1542635306163</w:t>
        </w:r>
      </w:hyperlink>
    </w:p>
    <w:p w:rsidR="00D9440D" w:rsidRPr="00F27EC7" w:rsidRDefault="00D9440D" w:rsidP="00D9440D">
      <w:pPr>
        <w:numPr>
          <w:ilvl w:val="0"/>
          <w:numId w:val="9"/>
        </w:numPr>
        <w:spacing w:line="348" w:lineRule="auto"/>
        <w:ind w:left="357" w:hanging="357"/>
        <w:contextualSpacing/>
        <w:jc w:val="both"/>
        <w:rPr>
          <w:rFonts w:eastAsia="Calibri"/>
          <w:sz w:val="28"/>
          <w:szCs w:val="28"/>
          <w:lang w:eastAsia="en-US"/>
        </w:rPr>
      </w:pPr>
      <w:r>
        <w:rPr>
          <w:rFonts w:eastAsia="Calibri"/>
          <w:sz w:val="28"/>
          <w:szCs w:val="28"/>
          <w:lang w:eastAsia="en-US"/>
        </w:rPr>
        <w:t>Slovac Republic</w:t>
      </w:r>
      <w:r w:rsidRPr="00F27EC7">
        <w:rPr>
          <w:rFonts w:eastAsia="Calibri"/>
          <w:sz w:val="28"/>
          <w:szCs w:val="28"/>
          <w:lang w:eastAsia="en-US"/>
        </w:rPr>
        <w:t xml:space="preserve">, </w:t>
      </w:r>
      <w:r>
        <w:rPr>
          <w:rFonts w:eastAsia="Calibri"/>
          <w:sz w:val="28"/>
          <w:szCs w:val="28"/>
          <w:lang w:val="en-US" w:eastAsia="en-US"/>
        </w:rPr>
        <w:t>Official Reserves</w:t>
      </w:r>
      <w:r w:rsidRPr="00F27EC7">
        <w:rPr>
          <w:rFonts w:eastAsia="Calibri"/>
          <w:sz w:val="28"/>
          <w:szCs w:val="28"/>
          <w:lang w:eastAsia="en-US"/>
        </w:rPr>
        <w:t xml:space="preserve">. International Monetary Fund. - [Електронний ресурс]. – Режим доступу: </w:t>
      </w:r>
      <w:hyperlink r:id="rId59" w:history="1">
        <w:r w:rsidRPr="00F27EC7">
          <w:rPr>
            <w:rFonts w:eastAsia="Calibri"/>
            <w:color w:val="0000FF"/>
            <w:sz w:val="28"/>
            <w:szCs w:val="28"/>
            <w:u w:val="single"/>
            <w:lang w:eastAsia="en-US"/>
          </w:rPr>
          <w:t>http://data.imf.org/?sk=7A51304B-6426-40C0-83DD-CA473CA1FD52&amp;sId=1542635306163</w:t>
        </w:r>
      </w:hyperlink>
    </w:p>
    <w:p w:rsidR="00D9440D" w:rsidRPr="00F27EC7" w:rsidRDefault="00D9440D" w:rsidP="00D9440D">
      <w:pPr>
        <w:pStyle w:val="a9"/>
        <w:numPr>
          <w:ilvl w:val="0"/>
          <w:numId w:val="9"/>
        </w:numPr>
        <w:spacing w:line="348" w:lineRule="auto"/>
        <w:ind w:left="357" w:hanging="357"/>
        <w:jc w:val="both"/>
        <w:rPr>
          <w:sz w:val="28"/>
          <w:lang w:val="ru-RU"/>
        </w:rPr>
      </w:pPr>
      <w:r>
        <w:rPr>
          <w:rFonts w:eastAsia="Calibri"/>
          <w:sz w:val="28"/>
          <w:szCs w:val="28"/>
          <w:lang w:eastAsia="en-US"/>
        </w:rPr>
        <w:t>Poland</w:t>
      </w:r>
      <w:r w:rsidRPr="00F27EC7">
        <w:rPr>
          <w:rFonts w:eastAsia="Calibri"/>
          <w:sz w:val="28"/>
          <w:szCs w:val="28"/>
          <w:lang w:eastAsia="en-US"/>
        </w:rPr>
        <w:t xml:space="preserve">, </w:t>
      </w:r>
      <w:r w:rsidRPr="00D9440D">
        <w:rPr>
          <w:rFonts w:eastAsia="Calibri"/>
          <w:sz w:val="28"/>
          <w:szCs w:val="28"/>
          <w:lang w:eastAsia="en-US"/>
        </w:rPr>
        <w:t>Official Reserves.</w:t>
      </w:r>
      <w:r w:rsidRPr="00F27EC7">
        <w:rPr>
          <w:rFonts w:eastAsia="Calibri"/>
          <w:sz w:val="28"/>
          <w:szCs w:val="28"/>
          <w:lang w:eastAsia="en-US"/>
        </w:rPr>
        <w:t xml:space="preserve">. International Monetary Fund. -[Електронний ресурс]. – Режим доступу: </w:t>
      </w:r>
      <w:hyperlink r:id="rId60" w:history="1">
        <w:r w:rsidRPr="00F27EC7">
          <w:rPr>
            <w:rFonts w:eastAsia="Calibri"/>
            <w:color w:val="0000FF"/>
            <w:sz w:val="28"/>
            <w:szCs w:val="28"/>
            <w:u w:val="single"/>
            <w:lang w:eastAsia="en-US"/>
          </w:rPr>
          <w:t>http://data.imf.org/?sk=7A51304B-6426-40C0-83DD-CA473CA1FD52&amp;sId=1542635306163</w:t>
        </w:r>
      </w:hyperlink>
    </w:p>
    <w:p w:rsidR="00D9440D" w:rsidRPr="00F27EC7" w:rsidRDefault="00D9440D" w:rsidP="00D9440D">
      <w:pPr>
        <w:pStyle w:val="a9"/>
        <w:spacing w:line="360" w:lineRule="auto"/>
        <w:ind w:left="360"/>
        <w:jc w:val="both"/>
        <w:rPr>
          <w:sz w:val="28"/>
          <w:lang w:val="ru-RU"/>
        </w:rPr>
      </w:pPr>
    </w:p>
    <w:p w:rsidR="00294E85" w:rsidRDefault="00294E85" w:rsidP="002D234D">
      <w:pPr>
        <w:spacing w:line="360" w:lineRule="auto"/>
        <w:ind w:firstLine="709"/>
        <w:jc w:val="both"/>
        <w:rPr>
          <w:sz w:val="28"/>
        </w:rPr>
      </w:pPr>
    </w:p>
    <w:p w:rsidR="00294E85" w:rsidRDefault="00294E85" w:rsidP="002D234D">
      <w:pPr>
        <w:spacing w:line="360" w:lineRule="auto"/>
        <w:ind w:firstLine="709"/>
        <w:jc w:val="both"/>
        <w:rPr>
          <w:sz w:val="28"/>
        </w:rPr>
      </w:pPr>
    </w:p>
    <w:p w:rsidR="00294E85" w:rsidRDefault="00294E85" w:rsidP="002D234D">
      <w:pPr>
        <w:spacing w:line="360" w:lineRule="auto"/>
        <w:ind w:firstLine="709"/>
        <w:jc w:val="both"/>
        <w:rPr>
          <w:sz w:val="28"/>
        </w:rPr>
      </w:pPr>
    </w:p>
    <w:p w:rsidR="00294E85" w:rsidRDefault="00294E85" w:rsidP="002D234D">
      <w:pPr>
        <w:spacing w:line="360" w:lineRule="auto"/>
        <w:ind w:firstLine="709"/>
        <w:jc w:val="both"/>
        <w:rPr>
          <w:sz w:val="28"/>
          <w:lang w:val="en-US"/>
        </w:rPr>
      </w:pPr>
    </w:p>
    <w:p w:rsidR="00D9440D" w:rsidRPr="00D9440D" w:rsidRDefault="00D9440D" w:rsidP="002D234D">
      <w:pPr>
        <w:spacing w:line="360" w:lineRule="auto"/>
        <w:ind w:firstLine="709"/>
        <w:jc w:val="both"/>
        <w:rPr>
          <w:sz w:val="28"/>
          <w:lang w:val="en-US"/>
        </w:rPr>
      </w:pPr>
    </w:p>
    <w:p w:rsidR="00294E85" w:rsidRDefault="00294E85" w:rsidP="002D234D">
      <w:pPr>
        <w:spacing w:line="360" w:lineRule="auto"/>
        <w:ind w:firstLine="709"/>
        <w:jc w:val="both"/>
        <w:rPr>
          <w:sz w:val="28"/>
        </w:rPr>
      </w:pPr>
    </w:p>
    <w:p w:rsidR="000726C7" w:rsidRPr="000726C7" w:rsidRDefault="000726C7" w:rsidP="000726C7">
      <w:pPr>
        <w:spacing w:line="360" w:lineRule="auto"/>
        <w:ind w:firstLine="709"/>
        <w:jc w:val="center"/>
        <w:rPr>
          <w:b/>
          <w:sz w:val="28"/>
        </w:rPr>
      </w:pPr>
      <w:r w:rsidRPr="000726C7">
        <w:rPr>
          <w:b/>
          <w:sz w:val="28"/>
        </w:rPr>
        <w:t>ДОДАТКИ</w:t>
      </w:r>
    </w:p>
    <w:p w:rsidR="009E691E" w:rsidRDefault="009E691E" w:rsidP="000726C7">
      <w:pPr>
        <w:spacing w:line="360" w:lineRule="auto"/>
        <w:ind w:firstLine="709"/>
        <w:jc w:val="center"/>
        <w:rPr>
          <w:sz w:val="28"/>
        </w:rPr>
      </w:pPr>
    </w:p>
    <w:p w:rsidR="000726C7" w:rsidRDefault="000726C7" w:rsidP="000726C7">
      <w:pPr>
        <w:spacing w:line="360" w:lineRule="auto"/>
        <w:ind w:firstLine="709"/>
        <w:jc w:val="right"/>
        <w:rPr>
          <w:b/>
          <w:sz w:val="28"/>
        </w:rPr>
      </w:pPr>
      <w:r w:rsidRPr="000726C7">
        <w:rPr>
          <w:b/>
          <w:sz w:val="28"/>
        </w:rPr>
        <w:t>Таблиця А.1</w:t>
      </w:r>
    </w:p>
    <w:p w:rsidR="000726C7" w:rsidRDefault="000726C7" w:rsidP="000726C7">
      <w:pPr>
        <w:spacing w:line="360" w:lineRule="auto"/>
        <w:ind w:firstLine="709"/>
        <w:jc w:val="center"/>
        <w:rPr>
          <w:b/>
          <w:sz w:val="28"/>
        </w:rPr>
      </w:pPr>
      <w:r>
        <w:rPr>
          <w:b/>
          <w:sz w:val="28"/>
        </w:rPr>
        <w:t>Статистичні дані для регресійної моделі Польщі</w:t>
      </w:r>
    </w:p>
    <w:tbl>
      <w:tblPr>
        <w:tblW w:w="9381" w:type="dxa"/>
        <w:tblLook w:val="04A0" w:firstRow="1" w:lastRow="0" w:firstColumn="1" w:lastColumn="0" w:noHBand="0" w:noVBand="1"/>
      </w:tblPr>
      <w:tblGrid>
        <w:gridCol w:w="736"/>
        <w:gridCol w:w="1729"/>
        <w:gridCol w:w="1729"/>
        <w:gridCol w:w="1729"/>
        <w:gridCol w:w="1729"/>
        <w:gridCol w:w="1729"/>
      </w:tblGrid>
      <w:tr w:rsidR="000726C7" w:rsidRPr="000726C7" w:rsidTr="000726C7">
        <w:trPr>
          <w:trHeight w:val="300"/>
        </w:trPr>
        <w:tc>
          <w:tcPr>
            <w:tcW w:w="736" w:type="dxa"/>
            <w:tcBorders>
              <w:top w:val="single" w:sz="4" w:space="0" w:color="auto"/>
              <w:left w:val="single" w:sz="4" w:space="0" w:color="auto"/>
              <w:bottom w:val="single" w:sz="4" w:space="0" w:color="auto"/>
              <w:right w:val="single" w:sz="4" w:space="0" w:color="auto"/>
            </w:tcBorders>
            <w:shd w:val="clear" w:color="auto" w:fill="auto"/>
            <w:vAlign w:val="center"/>
          </w:tcPr>
          <w:p w:rsidR="000726C7" w:rsidRPr="000726C7" w:rsidRDefault="000726C7" w:rsidP="000726C7">
            <w:pPr>
              <w:jc w:val="right"/>
              <w:rPr>
                <w:color w:val="000000"/>
                <w:sz w:val="26"/>
                <w:szCs w:val="26"/>
                <w:lang w:eastAsia="en-US"/>
              </w:rPr>
            </w:pPr>
            <w:r w:rsidRPr="000726C7">
              <w:rPr>
                <w:color w:val="000000"/>
                <w:sz w:val="26"/>
                <w:szCs w:val="26"/>
                <w:lang w:eastAsia="en-US"/>
              </w:rPr>
              <w:t>Рік</w:t>
            </w:r>
          </w:p>
        </w:tc>
        <w:tc>
          <w:tcPr>
            <w:tcW w:w="1729" w:type="dxa"/>
            <w:tcBorders>
              <w:top w:val="single" w:sz="4" w:space="0" w:color="auto"/>
              <w:left w:val="nil"/>
              <w:bottom w:val="single" w:sz="4" w:space="0" w:color="auto"/>
              <w:right w:val="single" w:sz="4" w:space="0" w:color="auto"/>
            </w:tcBorders>
            <w:shd w:val="clear" w:color="auto" w:fill="auto"/>
            <w:vAlign w:val="center"/>
          </w:tcPr>
          <w:p w:rsidR="000726C7" w:rsidRPr="000726C7" w:rsidRDefault="000726C7" w:rsidP="000726C7">
            <w:pPr>
              <w:jc w:val="right"/>
              <w:rPr>
                <w:color w:val="000000"/>
                <w:sz w:val="26"/>
                <w:szCs w:val="26"/>
                <w:lang w:eastAsia="en-US"/>
              </w:rPr>
            </w:pPr>
            <w:r w:rsidRPr="000726C7">
              <w:rPr>
                <w:color w:val="000000"/>
                <w:sz w:val="26"/>
                <w:szCs w:val="26"/>
                <w:lang w:eastAsia="en-US"/>
              </w:rPr>
              <w:t>Експорт товарів, млрд дол США</w:t>
            </w:r>
          </w:p>
        </w:tc>
        <w:tc>
          <w:tcPr>
            <w:tcW w:w="1729" w:type="dxa"/>
            <w:tcBorders>
              <w:top w:val="single" w:sz="4" w:space="0" w:color="auto"/>
              <w:left w:val="nil"/>
              <w:bottom w:val="single" w:sz="4" w:space="0" w:color="auto"/>
              <w:right w:val="single" w:sz="4" w:space="0" w:color="auto"/>
            </w:tcBorders>
            <w:shd w:val="clear" w:color="auto" w:fill="auto"/>
            <w:vAlign w:val="center"/>
          </w:tcPr>
          <w:p w:rsidR="000726C7" w:rsidRPr="000726C7" w:rsidRDefault="000726C7" w:rsidP="000726C7">
            <w:pPr>
              <w:jc w:val="right"/>
              <w:rPr>
                <w:color w:val="000000"/>
                <w:sz w:val="26"/>
                <w:szCs w:val="26"/>
                <w:lang w:eastAsia="en-US"/>
              </w:rPr>
            </w:pPr>
            <w:r w:rsidRPr="000726C7">
              <w:rPr>
                <w:color w:val="000000"/>
                <w:sz w:val="26"/>
                <w:szCs w:val="26"/>
                <w:lang w:eastAsia="en-US"/>
              </w:rPr>
              <w:t>ВВП, млрд дол США</w:t>
            </w:r>
          </w:p>
        </w:tc>
        <w:tc>
          <w:tcPr>
            <w:tcW w:w="1729" w:type="dxa"/>
            <w:tcBorders>
              <w:top w:val="single" w:sz="4" w:space="0" w:color="auto"/>
              <w:left w:val="nil"/>
              <w:bottom w:val="single" w:sz="4" w:space="0" w:color="auto"/>
              <w:right w:val="single" w:sz="4" w:space="0" w:color="auto"/>
            </w:tcBorders>
            <w:shd w:val="clear" w:color="auto" w:fill="auto"/>
            <w:vAlign w:val="center"/>
          </w:tcPr>
          <w:p w:rsidR="000726C7" w:rsidRPr="000726C7" w:rsidRDefault="000726C7" w:rsidP="000726C7">
            <w:pPr>
              <w:jc w:val="right"/>
              <w:rPr>
                <w:color w:val="000000"/>
                <w:sz w:val="26"/>
                <w:szCs w:val="26"/>
                <w:lang w:eastAsia="en-US"/>
              </w:rPr>
            </w:pPr>
            <w:r w:rsidRPr="000726C7">
              <w:rPr>
                <w:color w:val="000000"/>
                <w:sz w:val="26"/>
                <w:szCs w:val="26"/>
                <w:lang w:eastAsia="en-US"/>
              </w:rPr>
              <w:t>Рівень інфляції, %</w:t>
            </w:r>
          </w:p>
        </w:tc>
        <w:tc>
          <w:tcPr>
            <w:tcW w:w="1729" w:type="dxa"/>
            <w:tcBorders>
              <w:top w:val="single" w:sz="4" w:space="0" w:color="auto"/>
              <w:left w:val="nil"/>
              <w:bottom w:val="single" w:sz="4" w:space="0" w:color="auto"/>
              <w:right w:val="single" w:sz="4" w:space="0" w:color="auto"/>
            </w:tcBorders>
            <w:shd w:val="clear" w:color="auto" w:fill="auto"/>
            <w:vAlign w:val="center"/>
          </w:tcPr>
          <w:p w:rsidR="000726C7" w:rsidRPr="000726C7" w:rsidRDefault="000726C7" w:rsidP="000726C7">
            <w:pPr>
              <w:jc w:val="right"/>
              <w:rPr>
                <w:color w:val="000000"/>
                <w:sz w:val="26"/>
                <w:szCs w:val="26"/>
                <w:lang w:eastAsia="en-US"/>
              </w:rPr>
            </w:pPr>
            <w:r w:rsidRPr="000726C7">
              <w:rPr>
                <w:color w:val="000000"/>
                <w:sz w:val="26"/>
                <w:szCs w:val="26"/>
                <w:lang w:eastAsia="en-US"/>
              </w:rPr>
              <w:t>Притік ПІІ, млрд дол США</w:t>
            </w:r>
          </w:p>
        </w:tc>
        <w:tc>
          <w:tcPr>
            <w:tcW w:w="1729" w:type="dxa"/>
            <w:tcBorders>
              <w:top w:val="single" w:sz="4" w:space="0" w:color="auto"/>
              <w:left w:val="nil"/>
              <w:bottom w:val="single" w:sz="4" w:space="0" w:color="auto"/>
              <w:right w:val="single" w:sz="4" w:space="0" w:color="auto"/>
            </w:tcBorders>
            <w:shd w:val="clear" w:color="auto" w:fill="FFFFFF" w:themeFill="background1"/>
            <w:vAlign w:val="center"/>
          </w:tcPr>
          <w:p w:rsidR="000726C7" w:rsidRPr="00B538EE" w:rsidRDefault="000726C7" w:rsidP="000726C7">
            <w:pPr>
              <w:jc w:val="right"/>
              <w:rPr>
                <w:color w:val="000000"/>
                <w:sz w:val="26"/>
                <w:szCs w:val="26"/>
                <w:lang w:val="en-US" w:eastAsia="en-US"/>
              </w:rPr>
            </w:pPr>
            <w:r w:rsidRPr="000726C7">
              <w:rPr>
                <w:color w:val="000000"/>
                <w:sz w:val="26"/>
                <w:szCs w:val="26"/>
                <w:lang w:eastAsia="en-US"/>
              </w:rPr>
              <w:t xml:space="preserve">Валютний курс, </w:t>
            </w:r>
            <w:r w:rsidR="00B538EE">
              <w:rPr>
                <w:color w:val="000000"/>
                <w:sz w:val="26"/>
                <w:szCs w:val="26"/>
                <w:lang w:eastAsia="en-US"/>
              </w:rPr>
              <w:t>USD:</w:t>
            </w:r>
            <w:r w:rsidR="00B538EE">
              <w:rPr>
                <w:color w:val="000000"/>
                <w:sz w:val="26"/>
                <w:szCs w:val="26"/>
                <w:lang w:val="en-US" w:eastAsia="en-US"/>
              </w:rPr>
              <w:t>LCU</w:t>
            </w:r>
          </w:p>
        </w:tc>
      </w:tr>
      <w:tr w:rsidR="000726C7" w:rsidRPr="000726C7" w:rsidTr="00B538EE">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2006</w:t>
            </w:r>
          </w:p>
        </w:tc>
        <w:tc>
          <w:tcPr>
            <w:tcW w:w="1729" w:type="dxa"/>
            <w:tcBorders>
              <w:top w:val="single" w:sz="4" w:space="0" w:color="auto"/>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108,2</w:t>
            </w:r>
          </w:p>
        </w:tc>
        <w:tc>
          <w:tcPr>
            <w:tcW w:w="1729" w:type="dxa"/>
            <w:tcBorders>
              <w:top w:val="single" w:sz="4" w:space="0" w:color="auto"/>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344,6</w:t>
            </w:r>
          </w:p>
        </w:tc>
        <w:tc>
          <w:tcPr>
            <w:tcW w:w="1729" w:type="dxa"/>
            <w:tcBorders>
              <w:top w:val="single" w:sz="4" w:space="0" w:color="auto"/>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1,285</w:t>
            </w:r>
          </w:p>
        </w:tc>
        <w:tc>
          <w:tcPr>
            <w:tcW w:w="1729" w:type="dxa"/>
            <w:tcBorders>
              <w:top w:val="single" w:sz="4" w:space="0" w:color="auto"/>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21,47</w:t>
            </w:r>
          </w:p>
        </w:tc>
        <w:tc>
          <w:tcPr>
            <w:tcW w:w="1729" w:type="dxa"/>
            <w:tcBorders>
              <w:top w:val="single" w:sz="4" w:space="0" w:color="auto"/>
              <w:left w:val="nil"/>
              <w:bottom w:val="single" w:sz="4" w:space="0" w:color="auto"/>
              <w:right w:val="single" w:sz="4" w:space="0" w:color="auto"/>
            </w:tcBorders>
            <w:shd w:val="clear" w:color="auto" w:fill="FFFFFF" w:themeFill="background1"/>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3,10</w:t>
            </w:r>
          </w:p>
        </w:tc>
      </w:tr>
      <w:tr w:rsidR="000726C7" w:rsidRPr="000726C7" w:rsidTr="00B538EE">
        <w:trPr>
          <w:trHeight w:val="34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2007</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134,7</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429</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2,459</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25,03</w:t>
            </w:r>
          </w:p>
        </w:tc>
        <w:tc>
          <w:tcPr>
            <w:tcW w:w="1729" w:type="dxa"/>
            <w:tcBorders>
              <w:top w:val="nil"/>
              <w:left w:val="nil"/>
              <w:bottom w:val="single" w:sz="4" w:space="0" w:color="auto"/>
              <w:right w:val="single" w:sz="4" w:space="0" w:color="auto"/>
            </w:tcBorders>
            <w:shd w:val="clear" w:color="auto" w:fill="FFFFFF" w:themeFill="background1"/>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2,77</w:t>
            </w:r>
          </w:p>
        </w:tc>
      </w:tr>
      <w:tr w:rsidR="000726C7" w:rsidRPr="000726C7" w:rsidTr="00B538EE">
        <w:trPr>
          <w:trHeight w:val="34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2008</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166,5</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533,6</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4,165</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14,57</w:t>
            </w:r>
          </w:p>
        </w:tc>
        <w:tc>
          <w:tcPr>
            <w:tcW w:w="1729" w:type="dxa"/>
            <w:tcBorders>
              <w:top w:val="nil"/>
              <w:left w:val="nil"/>
              <w:bottom w:val="single" w:sz="4" w:space="0" w:color="auto"/>
              <w:right w:val="single" w:sz="4" w:space="0" w:color="auto"/>
            </w:tcBorders>
            <w:shd w:val="clear" w:color="auto" w:fill="FFFFFF" w:themeFill="background1"/>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2,41</w:t>
            </w:r>
          </w:p>
        </w:tc>
      </w:tr>
      <w:tr w:rsidR="000726C7" w:rsidRPr="000726C7" w:rsidTr="00B538EE">
        <w:trPr>
          <w:trHeight w:val="34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2009</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133,3</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439,7</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3,795</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14,03</w:t>
            </w:r>
          </w:p>
        </w:tc>
        <w:tc>
          <w:tcPr>
            <w:tcW w:w="1729" w:type="dxa"/>
            <w:tcBorders>
              <w:top w:val="nil"/>
              <w:left w:val="nil"/>
              <w:bottom w:val="single" w:sz="4" w:space="0" w:color="auto"/>
              <w:right w:val="single" w:sz="4" w:space="0" w:color="auto"/>
            </w:tcBorders>
            <w:shd w:val="clear" w:color="auto" w:fill="FFFFFF" w:themeFill="background1"/>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3,12</w:t>
            </w:r>
          </w:p>
        </w:tc>
      </w:tr>
      <w:tr w:rsidR="000726C7" w:rsidRPr="000726C7" w:rsidTr="00B538EE">
        <w:trPr>
          <w:trHeight w:val="34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2010</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156</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475,7</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2,581</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18,54</w:t>
            </w:r>
          </w:p>
        </w:tc>
        <w:tc>
          <w:tcPr>
            <w:tcW w:w="1729" w:type="dxa"/>
            <w:tcBorders>
              <w:top w:val="nil"/>
              <w:left w:val="nil"/>
              <w:bottom w:val="single" w:sz="4" w:space="0" w:color="auto"/>
              <w:right w:val="single" w:sz="4" w:space="0" w:color="auto"/>
            </w:tcBorders>
            <w:shd w:val="clear" w:color="auto" w:fill="FFFFFF" w:themeFill="background1"/>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3,02</w:t>
            </w:r>
          </w:p>
        </w:tc>
      </w:tr>
      <w:tr w:rsidR="000726C7" w:rsidRPr="000726C7" w:rsidTr="00B538EE">
        <w:trPr>
          <w:trHeight w:val="34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2011</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183,6</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524,4</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4,239</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18,21</w:t>
            </w:r>
          </w:p>
        </w:tc>
        <w:tc>
          <w:tcPr>
            <w:tcW w:w="1729" w:type="dxa"/>
            <w:tcBorders>
              <w:top w:val="nil"/>
              <w:left w:val="nil"/>
              <w:bottom w:val="single" w:sz="4" w:space="0" w:color="auto"/>
              <w:right w:val="single" w:sz="4" w:space="0" w:color="auto"/>
            </w:tcBorders>
            <w:shd w:val="clear" w:color="auto" w:fill="FFFFFF" w:themeFill="background1"/>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2,96</w:t>
            </w:r>
          </w:p>
        </w:tc>
      </w:tr>
      <w:tr w:rsidR="000726C7" w:rsidRPr="000726C7" w:rsidTr="00B538EE">
        <w:trPr>
          <w:trHeight w:val="34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2012</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179,2</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495,2</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3,56</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7,18</w:t>
            </w:r>
          </w:p>
        </w:tc>
        <w:tc>
          <w:tcPr>
            <w:tcW w:w="1729" w:type="dxa"/>
            <w:tcBorders>
              <w:top w:val="nil"/>
              <w:left w:val="nil"/>
              <w:bottom w:val="single" w:sz="4" w:space="0" w:color="auto"/>
              <w:right w:val="single" w:sz="4" w:space="0" w:color="auto"/>
            </w:tcBorders>
            <w:shd w:val="clear" w:color="auto" w:fill="FFFFFF" w:themeFill="background1"/>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3,26</w:t>
            </w:r>
          </w:p>
        </w:tc>
      </w:tr>
      <w:tr w:rsidR="000726C7" w:rsidRPr="000726C7" w:rsidTr="00B538EE">
        <w:trPr>
          <w:trHeight w:val="34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2013</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193,4</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515,8</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0,992</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B538EE" w:rsidP="000726C7">
            <w:pPr>
              <w:jc w:val="right"/>
              <w:rPr>
                <w:color w:val="000000"/>
                <w:sz w:val="26"/>
                <w:szCs w:val="26"/>
                <w:lang w:eastAsia="en-US"/>
              </w:rPr>
            </w:pPr>
            <w:r>
              <w:rPr>
                <w:color w:val="000000"/>
                <w:sz w:val="26"/>
                <w:szCs w:val="26"/>
                <w:lang w:eastAsia="en-US"/>
              </w:rPr>
              <w:t>1,02</w:t>
            </w:r>
          </w:p>
        </w:tc>
        <w:tc>
          <w:tcPr>
            <w:tcW w:w="1729" w:type="dxa"/>
            <w:tcBorders>
              <w:top w:val="nil"/>
              <w:left w:val="nil"/>
              <w:bottom w:val="single" w:sz="4" w:space="0" w:color="auto"/>
              <w:right w:val="single" w:sz="4" w:space="0" w:color="auto"/>
            </w:tcBorders>
            <w:shd w:val="clear" w:color="auto" w:fill="FFFFFF" w:themeFill="background1"/>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3,16</w:t>
            </w:r>
          </w:p>
        </w:tc>
      </w:tr>
      <w:tr w:rsidR="000726C7" w:rsidRPr="000726C7" w:rsidTr="00B538EE">
        <w:trPr>
          <w:trHeight w:val="34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2014</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203</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539,1</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0,054</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20,46</w:t>
            </w:r>
          </w:p>
        </w:tc>
        <w:tc>
          <w:tcPr>
            <w:tcW w:w="1729" w:type="dxa"/>
            <w:tcBorders>
              <w:top w:val="nil"/>
              <w:left w:val="nil"/>
              <w:bottom w:val="single" w:sz="4" w:space="0" w:color="auto"/>
              <w:right w:val="single" w:sz="4" w:space="0" w:color="auto"/>
            </w:tcBorders>
            <w:shd w:val="clear" w:color="auto" w:fill="FFFFFF" w:themeFill="background1"/>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3,15</w:t>
            </w:r>
          </w:p>
        </w:tc>
      </w:tr>
      <w:tr w:rsidR="000726C7" w:rsidRPr="000726C7" w:rsidTr="00B538EE">
        <w:trPr>
          <w:trHeight w:val="34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2015</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182,1</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477,1</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-0,87</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15,6</w:t>
            </w:r>
          </w:p>
        </w:tc>
        <w:tc>
          <w:tcPr>
            <w:tcW w:w="1729" w:type="dxa"/>
            <w:tcBorders>
              <w:top w:val="nil"/>
              <w:left w:val="nil"/>
              <w:bottom w:val="single" w:sz="4" w:space="0" w:color="auto"/>
              <w:right w:val="single" w:sz="4" w:space="0" w:color="auto"/>
            </w:tcBorders>
            <w:shd w:val="clear" w:color="auto" w:fill="FFFFFF" w:themeFill="background1"/>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3,77</w:t>
            </w:r>
          </w:p>
        </w:tc>
      </w:tr>
      <w:tr w:rsidR="000726C7" w:rsidRPr="000726C7" w:rsidTr="00B538EE">
        <w:trPr>
          <w:trHeight w:val="34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2016</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187,3</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470</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-0,66</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17,75</w:t>
            </w:r>
          </w:p>
        </w:tc>
        <w:tc>
          <w:tcPr>
            <w:tcW w:w="1729" w:type="dxa"/>
            <w:tcBorders>
              <w:top w:val="nil"/>
              <w:left w:val="nil"/>
              <w:bottom w:val="single" w:sz="4" w:space="0" w:color="auto"/>
              <w:right w:val="single" w:sz="4" w:space="0" w:color="auto"/>
            </w:tcBorders>
            <w:shd w:val="clear" w:color="auto" w:fill="FFFFFF" w:themeFill="background1"/>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3,94</w:t>
            </w:r>
          </w:p>
        </w:tc>
      </w:tr>
      <w:tr w:rsidR="000726C7" w:rsidRPr="000726C7" w:rsidTr="00B538EE">
        <w:trPr>
          <w:trHeight w:val="34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2017</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215,9</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524,6</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2,076</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12</w:t>
            </w:r>
          </w:p>
        </w:tc>
        <w:tc>
          <w:tcPr>
            <w:tcW w:w="1729" w:type="dxa"/>
            <w:tcBorders>
              <w:top w:val="nil"/>
              <w:left w:val="nil"/>
              <w:bottom w:val="single" w:sz="4" w:space="0" w:color="auto"/>
              <w:right w:val="single" w:sz="4" w:space="0" w:color="auto"/>
            </w:tcBorders>
            <w:shd w:val="clear" w:color="auto" w:fill="FFFFFF" w:themeFill="background1"/>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3,78</w:t>
            </w:r>
          </w:p>
        </w:tc>
      </w:tr>
      <w:tr w:rsidR="000726C7" w:rsidRPr="000726C7" w:rsidTr="00B538EE">
        <w:trPr>
          <w:trHeight w:val="34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2018</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242,2</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588,8</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1,813</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19,2</w:t>
            </w:r>
          </w:p>
        </w:tc>
        <w:tc>
          <w:tcPr>
            <w:tcW w:w="1729" w:type="dxa"/>
            <w:tcBorders>
              <w:top w:val="nil"/>
              <w:left w:val="nil"/>
              <w:bottom w:val="single" w:sz="4" w:space="0" w:color="auto"/>
              <w:right w:val="single" w:sz="4" w:space="0" w:color="auto"/>
            </w:tcBorders>
            <w:shd w:val="clear" w:color="auto" w:fill="FFFFFF" w:themeFill="background1"/>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3,61</w:t>
            </w:r>
          </w:p>
        </w:tc>
      </w:tr>
      <w:tr w:rsidR="000726C7" w:rsidRPr="000726C7" w:rsidTr="00B538EE">
        <w:trPr>
          <w:trHeight w:val="34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2019</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246,6</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596,1</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2,227</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17,62</w:t>
            </w:r>
          </w:p>
        </w:tc>
        <w:tc>
          <w:tcPr>
            <w:tcW w:w="1729" w:type="dxa"/>
            <w:tcBorders>
              <w:top w:val="nil"/>
              <w:left w:val="nil"/>
              <w:bottom w:val="single" w:sz="4" w:space="0" w:color="auto"/>
              <w:right w:val="single" w:sz="4" w:space="0" w:color="auto"/>
            </w:tcBorders>
            <w:shd w:val="clear" w:color="auto" w:fill="FFFFFF" w:themeFill="background1"/>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3,84</w:t>
            </w:r>
          </w:p>
        </w:tc>
      </w:tr>
      <w:tr w:rsidR="000726C7" w:rsidRPr="000726C7" w:rsidTr="00B538EE">
        <w:trPr>
          <w:trHeight w:val="34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2020</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252,4</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599,4</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3,374</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19,15</w:t>
            </w:r>
          </w:p>
        </w:tc>
        <w:tc>
          <w:tcPr>
            <w:tcW w:w="1729" w:type="dxa"/>
            <w:tcBorders>
              <w:top w:val="nil"/>
              <w:left w:val="nil"/>
              <w:bottom w:val="single" w:sz="4" w:space="0" w:color="auto"/>
              <w:right w:val="single" w:sz="4" w:space="0" w:color="auto"/>
            </w:tcBorders>
            <w:shd w:val="clear" w:color="auto" w:fill="FFFFFF" w:themeFill="background1"/>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3,90</w:t>
            </w:r>
          </w:p>
        </w:tc>
      </w:tr>
      <w:tr w:rsidR="000726C7" w:rsidRPr="000726C7" w:rsidTr="00B538EE">
        <w:trPr>
          <w:trHeight w:val="34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2021</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311,6</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679,4</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5,055</w:t>
            </w:r>
          </w:p>
        </w:tc>
        <w:tc>
          <w:tcPr>
            <w:tcW w:w="1729" w:type="dxa"/>
            <w:tcBorders>
              <w:top w:val="nil"/>
              <w:left w:val="nil"/>
              <w:bottom w:val="single" w:sz="4" w:space="0" w:color="auto"/>
              <w:right w:val="single" w:sz="4" w:space="0" w:color="auto"/>
            </w:tcBorders>
            <w:shd w:val="clear" w:color="auto" w:fill="auto"/>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37,11</w:t>
            </w:r>
          </w:p>
        </w:tc>
        <w:tc>
          <w:tcPr>
            <w:tcW w:w="1729" w:type="dxa"/>
            <w:tcBorders>
              <w:top w:val="nil"/>
              <w:left w:val="nil"/>
              <w:bottom w:val="single" w:sz="4" w:space="0" w:color="auto"/>
              <w:right w:val="single" w:sz="4" w:space="0" w:color="auto"/>
            </w:tcBorders>
            <w:shd w:val="clear" w:color="auto" w:fill="FFFFFF" w:themeFill="background1"/>
            <w:vAlign w:val="center"/>
            <w:hideMark/>
          </w:tcPr>
          <w:p w:rsidR="000726C7" w:rsidRPr="000726C7" w:rsidRDefault="000726C7" w:rsidP="000726C7">
            <w:pPr>
              <w:jc w:val="right"/>
              <w:rPr>
                <w:color w:val="000000"/>
                <w:sz w:val="26"/>
                <w:szCs w:val="26"/>
                <w:lang w:eastAsia="en-US"/>
              </w:rPr>
            </w:pPr>
            <w:r w:rsidRPr="000726C7">
              <w:rPr>
                <w:color w:val="000000"/>
                <w:sz w:val="26"/>
                <w:szCs w:val="26"/>
                <w:lang w:eastAsia="en-US"/>
              </w:rPr>
              <w:t>3,86</w:t>
            </w:r>
          </w:p>
        </w:tc>
      </w:tr>
    </w:tbl>
    <w:p w:rsidR="000726C7" w:rsidRDefault="000726C7" w:rsidP="000726C7">
      <w:pPr>
        <w:spacing w:line="360" w:lineRule="auto"/>
        <w:jc w:val="both"/>
        <w:rPr>
          <w:sz w:val="28"/>
          <w:lang w:val="ru-RU"/>
        </w:rPr>
      </w:pPr>
      <w:r>
        <w:rPr>
          <w:sz w:val="28"/>
        </w:rPr>
        <w:t xml:space="preserve">Джерело: складено автором на основі даних </w:t>
      </w:r>
      <w:r w:rsidR="00294E85">
        <w:rPr>
          <w:sz w:val="28"/>
          <w:lang w:val="ru-RU"/>
        </w:rPr>
        <w:t>[1</w:t>
      </w:r>
      <w:r w:rsidR="00B45AA2" w:rsidRPr="00B45AA2">
        <w:rPr>
          <w:sz w:val="28"/>
          <w:lang w:val="ru-RU"/>
        </w:rPr>
        <w:t>2</w:t>
      </w:r>
      <w:r w:rsidRPr="000726C7">
        <w:rPr>
          <w:sz w:val="28"/>
          <w:lang w:val="ru-RU"/>
        </w:rPr>
        <w:t xml:space="preserve">] </w:t>
      </w:r>
      <w:r>
        <w:rPr>
          <w:sz w:val="28"/>
          <w:lang w:val="ru-RU"/>
        </w:rPr>
        <w:t xml:space="preserve">і </w:t>
      </w:r>
      <w:r w:rsidR="00B45AA2">
        <w:rPr>
          <w:sz w:val="28"/>
          <w:lang w:val="ru-RU"/>
        </w:rPr>
        <w:t>[13</w:t>
      </w:r>
      <w:r w:rsidRPr="000726C7">
        <w:rPr>
          <w:sz w:val="28"/>
          <w:lang w:val="ru-RU"/>
        </w:rPr>
        <w:t>]</w:t>
      </w:r>
    </w:p>
    <w:p w:rsidR="00985ED1" w:rsidRDefault="00985ED1" w:rsidP="000726C7">
      <w:pPr>
        <w:spacing w:line="360" w:lineRule="auto"/>
        <w:jc w:val="both"/>
        <w:rPr>
          <w:sz w:val="28"/>
          <w:lang w:val="ru-RU"/>
        </w:rPr>
      </w:pPr>
    </w:p>
    <w:p w:rsidR="00B538EE" w:rsidRDefault="00B538EE" w:rsidP="000726C7">
      <w:pPr>
        <w:spacing w:line="360" w:lineRule="auto"/>
        <w:jc w:val="both"/>
        <w:rPr>
          <w:sz w:val="28"/>
          <w:lang w:val="ru-RU"/>
        </w:rPr>
      </w:pPr>
    </w:p>
    <w:p w:rsidR="00B538EE" w:rsidRDefault="00B538EE" w:rsidP="000726C7">
      <w:pPr>
        <w:spacing w:line="360" w:lineRule="auto"/>
        <w:jc w:val="both"/>
        <w:rPr>
          <w:sz w:val="28"/>
          <w:lang w:val="ru-RU"/>
        </w:rPr>
      </w:pPr>
    </w:p>
    <w:p w:rsidR="00B538EE" w:rsidRDefault="00B538EE" w:rsidP="000726C7">
      <w:pPr>
        <w:spacing w:line="360" w:lineRule="auto"/>
        <w:jc w:val="both"/>
        <w:rPr>
          <w:sz w:val="28"/>
          <w:lang w:val="ru-RU"/>
        </w:rPr>
      </w:pPr>
    </w:p>
    <w:p w:rsidR="00B538EE" w:rsidRDefault="00B538EE" w:rsidP="000726C7">
      <w:pPr>
        <w:spacing w:line="360" w:lineRule="auto"/>
        <w:jc w:val="both"/>
        <w:rPr>
          <w:sz w:val="28"/>
          <w:lang w:val="ru-RU"/>
        </w:rPr>
      </w:pPr>
    </w:p>
    <w:p w:rsidR="00B538EE" w:rsidRDefault="00B538EE" w:rsidP="000726C7">
      <w:pPr>
        <w:spacing w:line="360" w:lineRule="auto"/>
        <w:jc w:val="both"/>
        <w:rPr>
          <w:sz w:val="28"/>
          <w:lang w:val="ru-RU"/>
        </w:rPr>
      </w:pPr>
    </w:p>
    <w:p w:rsidR="00B538EE" w:rsidRDefault="00B538EE" w:rsidP="000726C7">
      <w:pPr>
        <w:spacing w:line="360" w:lineRule="auto"/>
        <w:jc w:val="both"/>
        <w:rPr>
          <w:sz w:val="28"/>
          <w:lang w:val="ru-RU"/>
        </w:rPr>
      </w:pPr>
    </w:p>
    <w:p w:rsidR="00B538EE" w:rsidRDefault="00B538EE" w:rsidP="000726C7">
      <w:pPr>
        <w:spacing w:line="360" w:lineRule="auto"/>
        <w:jc w:val="both"/>
        <w:rPr>
          <w:sz w:val="28"/>
          <w:lang w:val="ru-RU"/>
        </w:rPr>
      </w:pPr>
    </w:p>
    <w:p w:rsidR="00B538EE" w:rsidRDefault="00B538EE" w:rsidP="000726C7">
      <w:pPr>
        <w:spacing w:line="360" w:lineRule="auto"/>
        <w:jc w:val="both"/>
        <w:rPr>
          <w:sz w:val="28"/>
          <w:lang w:val="ru-RU"/>
        </w:rPr>
      </w:pPr>
    </w:p>
    <w:p w:rsidR="00B538EE" w:rsidRDefault="00B538EE" w:rsidP="000726C7">
      <w:pPr>
        <w:spacing w:line="360" w:lineRule="auto"/>
        <w:jc w:val="both"/>
        <w:rPr>
          <w:sz w:val="28"/>
          <w:lang w:val="ru-RU"/>
        </w:rPr>
      </w:pPr>
    </w:p>
    <w:p w:rsidR="00B538EE" w:rsidRDefault="00B538EE" w:rsidP="000726C7">
      <w:pPr>
        <w:spacing w:line="360" w:lineRule="auto"/>
        <w:jc w:val="both"/>
        <w:rPr>
          <w:sz w:val="28"/>
          <w:lang w:val="ru-RU"/>
        </w:rPr>
      </w:pPr>
    </w:p>
    <w:p w:rsidR="00B538EE" w:rsidRDefault="00B538EE" w:rsidP="000726C7">
      <w:pPr>
        <w:spacing w:line="360" w:lineRule="auto"/>
        <w:jc w:val="both"/>
        <w:rPr>
          <w:sz w:val="28"/>
          <w:lang w:val="ru-RU"/>
        </w:rPr>
      </w:pPr>
    </w:p>
    <w:p w:rsidR="00985ED1" w:rsidRPr="00985ED1" w:rsidRDefault="00985ED1" w:rsidP="00985ED1">
      <w:pPr>
        <w:spacing w:line="360" w:lineRule="auto"/>
        <w:jc w:val="right"/>
        <w:rPr>
          <w:b/>
          <w:sz w:val="28"/>
          <w:lang w:val="ru-RU"/>
        </w:rPr>
      </w:pPr>
      <w:r w:rsidRPr="00985ED1">
        <w:rPr>
          <w:b/>
          <w:sz w:val="28"/>
          <w:lang w:val="ru-RU"/>
        </w:rPr>
        <w:t>Таблиця А.2</w:t>
      </w:r>
    </w:p>
    <w:p w:rsidR="00985ED1" w:rsidRDefault="00985ED1" w:rsidP="00985ED1">
      <w:pPr>
        <w:spacing w:line="360" w:lineRule="auto"/>
        <w:ind w:firstLine="709"/>
        <w:jc w:val="center"/>
        <w:rPr>
          <w:b/>
          <w:sz w:val="28"/>
        </w:rPr>
      </w:pPr>
      <w:r>
        <w:rPr>
          <w:b/>
          <w:sz w:val="28"/>
        </w:rPr>
        <w:t>Статистичні дані для регресійної моделі Словаччини</w:t>
      </w:r>
    </w:p>
    <w:tbl>
      <w:tblPr>
        <w:tblW w:w="9381" w:type="dxa"/>
        <w:tblLook w:val="04A0" w:firstRow="1" w:lastRow="0" w:firstColumn="1" w:lastColumn="0" w:noHBand="0" w:noVBand="1"/>
      </w:tblPr>
      <w:tblGrid>
        <w:gridCol w:w="736"/>
        <w:gridCol w:w="1729"/>
        <w:gridCol w:w="1729"/>
        <w:gridCol w:w="1729"/>
        <w:gridCol w:w="1729"/>
        <w:gridCol w:w="1729"/>
      </w:tblGrid>
      <w:tr w:rsidR="00B538EE" w:rsidRPr="00B538EE" w:rsidTr="00B538EE">
        <w:trPr>
          <w:trHeight w:val="300"/>
        </w:trPr>
        <w:tc>
          <w:tcPr>
            <w:tcW w:w="736" w:type="dxa"/>
            <w:tcBorders>
              <w:top w:val="single" w:sz="4" w:space="0" w:color="auto"/>
              <w:left w:val="single" w:sz="4" w:space="0" w:color="auto"/>
              <w:bottom w:val="single" w:sz="4" w:space="0" w:color="auto"/>
              <w:right w:val="single" w:sz="4" w:space="0" w:color="auto"/>
            </w:tcBorders>
            <w:shd w:val="clear" w:color="auto" w:fill="auto"/>
            <w:vAlign w:val="center"/>
          </w:tcPr>
          <w:p w:rsidR="00B538EE" w:rsidRPr="00B538EE" w:rsidRDefault="00B538EE" w:rsidP="00B538EE">
            <w:pPr>
              <w:jc w:val="right"/>
              <w:rPr>
                <w:color w:val="000000"/>
                <w:sz w:val="26"/>
                <w:szCs w:val="26"/>
                <w:lang w:eastAsia="en-US"/>
              </w:rPr>
            </w:pPr>
            <w:r>
              <w:rPr>
                <w:color w:val="000000"/>
                <w:sz w:val="26"/>
                <w:szCs w:val="26"/>
                <w:lang w:eastAsia="en-US"/>
              </w:rPr>
              <w:t>Рік</w:t>
            </w:r>
          </w:p>
        </w:tc>
        <w:tc>
          <w:tcPr>
            <w:tcW w:w="1729" w:type="dxa"/>
            <w:tcBorders>
              <w:top w:val="single" w:sz="4" w:space="0" w:color="auto"/>
              <w:left w:val="nil"/>
              <w:bottom w:val="single" w:sz="4" w:space="0" w:color="auto"/>
              <w:right w:val="single" w:sz="4" w:space="0" w:color="auto"/>
            </w:tcBorders>
            <w:shd w:val="clear" w:color="auto" w:fill="auto"/>
            <w:vAlign w:val="center"/>
          </w:tcPr>
          <w:p w:rsidR="00B538EE" w:rsidRPr="00B538EE" w:rsidRDefault="00B538EE" w:rsidP="00B538EE">
            <w:pPr>
              <w:jc w:val="right"/>
              <w:rPr>
                <w:color w:val="000000"/>
                <w:sz w:val="26"/>
                <w:szCs w:val="26"/>
                <w:lang w:val="ru-RU" w:eastAsia="en-US"/>
              </w:rPr>
            </w:pPr>
            <w:r w:rsidRPr="000726C7">
              <w:rPr>
                <w:color w:val="000000"/>
                <w:sz w:val="26"/>
                <w:szCs w:val="26"/>
                <w:lang w:eastAsia="en-US"/>
              </w:rPr>
              <w:t>Експорт товарів, млрд дол США</w:t>
            </w:r>
          </w:p>
        </w:tc>
        <w:tc>
          <w:tcPr>
            <w:tcW w:w="1729" w:type="dxa"/>
            <w:tcBorders>
              <w:top w:val="single" w:sz="4" w:space="0" w:color="auto"/>
              <w:left w:val="nil"/>
              <w:bottom w:val="single" w:sz="4" w:space="0" w:color="auto"/>
              <w:right w:val="single" w:sz="4" w:space="0" w:color="auto"/>
            </w:tcBorders>
            <w:shd w:val="clear" w:color="auto" w:fill="auto"/>
            <w:vAlign w:val="center"/>
          </w:tcPr>
          <w:p w:rsidR="00B538EE" w:rsidRPr="00B538EE" w:rsidRDefault="00B538EE" w:rsidP="00B538EE">
            <w:pPr>
              <w:jc w:val="right"/>
              <w:rPr>
                <w:color w:val="000000"/>
                <w:sz w:val="26"/>
                <w:szCs w:val="26"/>
                <w:lang w:val="ru-RU" w:eastAsia="en-US"/>
              </w:rPr>
            </w:pPr>
            <w:r w:rsidRPr="000726C7">
              <w:rPr>
                <w:color w:val="000000"/>
                <w:sz w:val="26"/>
                <w:szCs w:val="26"/>
                <w:lang w:eastAsia="en-US"/>
              </w:rPr>
              <w:t>ВВП, млрд дол США</w:t>
            </w:r>
          </w:p>
        </w:tc>
        <w:tc>
          <w:tcPr>
            <w:tcW w:w="1729" w:type="dxa"/>
            <w:tcBorders>
              <w:top w:val="single" w:sz="4" w:space="0" w:color="auto"/>
              <w:left w:val="nil"/>
              <w:bottom w:val="single" w:sz="4" w:space="0" w:color="auto"/>
              <w:right w:val="single" w:sz="4" w:space="0" w:color="auto"/>
            </w:tcBorders>
            <w:shd w:val="clear" w:color="auto" w:fill="auto"/>
            <w:vAlign w:val="center"/>
          </w:tcPr>
          <w:p w:rsidR="00B538EE" w:rsidRPr="00B538EE" w:rsidRDefault="00B538EE" w:rsidP="00B538EE">
            <w:pPr>
              <w:jc w:val="right"/>
              <w:rPr>
                <w:color w:val="000000"/>
                <w:sz w:val="26"/>
                <w:szCs w:val="26"/>
                <w:lang w:val="ru-RU" w:eastAsia="en-US"/>
              </w:rPr>
            </w:pPr>
            <w:r w:rsidRPr="000726C7">
              <w:rPr>
                <w:color w:val="000000"/>
                <w:sz w:val="26"/>
                <w:szCs w:val="26"/>
                <w:lang w:eastAsia="en-US"/>
              </w:rPr>
              <w:t>Рівень інфляції, %</w:t>
            </w:r>
          </w:p>
        </w:tc>
        <w:tc>
          <w:tcPr>
            <w:tcW w:w="1729" w:type="dxa"/>
            <w:tcBorders>
              <w:top w:val="single" w:sz="4" w:space="0" w:color="auto"/>
              <w:left w:val="nil"/>
              <w:bottom w:val="single" w:sz="4" w:space="0" w:color="auto"/>
              <w:right w:val="single" w:sz="4" w:space="0" w:color="auto"/>
            </w:tcBorders>
            <w:shd w:val="clear" w:color="auto" w:fill="auto"/>
            <w:vAlign w:val="center"/>
          </w:tcPr>
          <w:p w:rsidR="00B538EE" w:rsidRPr="00B538EE" w:rsidRDefault="00B538EE" w:rsidP="00B538EE">
            <w:pPr>
              <w:jc w:val="right"/>
              <w:rPr>
                <w:color w:val="000000"/>
                <w:sz w:val="26"/>
                <w:szCs w:val="26"/>
                <w:lang w:val="ru-RU" w:eastAsia="en-US"/>
              </w:rPr>
            </w:pPr>
            <w:r w:rsidRPr="000726C7">
              <w:rPr>
                <w:color w:val="000000"/>
                <w:sz w:val="26"/>
                <w:szCs w:val="26"/>
                <w:lang w:eastAsia="en-US"/>
              </w:rPr>
              <w:t>Притік ПІІ, млрд дол США</w:t>
            </w:r>
          </w:p>
        </w:tc>
        <w:tc>
          <w:tcPr>
            <w:tcW w:w="1729" w:type="dxa"/>
            <w:tcBorders>
              <w:top w:val="single" w:sz="4" w:space="0" w:color="auto"/>
              <w:left w:val="nil"/>
              <w:bottom w:val="single" w:sz="4" w:space="0" w:color="auto"/>
              <w:right w:val="single" w:sz="4" w:space="0" w:color="auto"/>
            </w:tcBorders>
            <w:shd w:val="clear" w:color="auto" w:fill="auto"/>
            <w:vAlign w:val="center"/>
          </w:tcPr>
          <w:p w:rsidR="00B538EE" w:rsidRPr="00B538EE" w:rsidRDefault="00B538EE" w:rsidP="00B538EE">
            <w:pPr>
              <w:jc w:val="right"/>
              <w:rPr>
                <w:color w:val="000000"/>
                <w:sz w:val="26"/>
                <w:szCs w:val="26"/>
                <w:lang w:val="en-US" w:eastAsia="en-US"/>
              </w:rPr>
            </w:pPr>
            <w:r w:rsidRPr="000726C7">
              <w:rPr>
                <w:color w:val="000000"/>
                <w:sz w:val="26"/>
                <w:szCs w:val="26"/>
                <w:lang w:eastAsia="en-US"/>
              </w:rPr>
              <w:t xml:space="preserve">Валютний курс, </w:t>
            </w:r>
            <w:r>
              <w:rPr>
                <w:color w:val="000000"/>
                <w:sz w:val="26"/>
                <w:szCs w:val="26"/>
                <w:lang w:eastAsia="en-US"/>
              </w:rPr>
              <w:t>USD:</w:t>
            </w:r>
            <w:r>
              <w:rPr>
                <w:color w:val="000000"/>
                <w:sz w:val="26"/>
                <w:szCs w:val="26"/>
                <w:lang w:val="en-US" w:eastAsia="en-US"/>
              </w:rPr>
              <w:t>LCU</w:t>
            </w:r>
          </w:p>
        </w:tc>
      </w:tr>
      <w:tr w:rsidR="00B538EE" w:rsidRPr="00985ED1" w:rsidTr="00B538EE">
        <w:trPr>
          <w:trHeight w:val="300"/>
        </w:trPr>
        <w:tc>
          <w:tcPr>
            <w:tcW w:w="7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2006</w:t>
            </w:r>
          </w:p>
        </w:tc>
        <w:tc>
          <w:tcPr>
            <w:tcW w:w="1729" w:type="dxa"/>
            <w:tcBorders>
              <w:top w:val="single" w:sz="4" w:space="0" w:color="auto"/>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49,96</w:t>
            </w:r>
          </w:p>
        </w:tc>
        <w:tc>
          <w:tcPr>
            <w:tcW w:w="1729" w:type="dxa"/>
            <w:tcBorders>
              <w:top w:val="single" w:sz="4" w:space="0" w:color="auto"/>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70,77</w:t>
            </w:r>
          </w:p>
        </w:tc>
        <w:tc>
          <w:tcPr>
            <w:tcW w:w="1729" w:type="dxa"/>
            <w:tcBorders>
              <w:top w:val="single" w:sz="4" w:space="0" w:color="auto"/>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4,483</w:t>
            </w:r>
          </w:p>
        </w:tc>
        <w:tc>
          <w:tcPr>
            <w:tcW w:w="1729" w:type="dxa"/>
            <w:tcBorders>
              <w:top w:val="single" w:sz="4" w:space="0" w:color="auto"/>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5,701</w:t>
            </w:r>
          </w:p>
        </w:tc>
        <w:tc>
          <w:tcPr>
            <w:tcW w:w="1729" w:type="dxa"/>
            <w:tcBorders>
              <w:top w:val="single" w:sz="4" w:space="0" w:color="auto"/>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29,70</w:t>
            </w:r>
          </w:p>
        </w:tc>
      </w:tr>
      <w:tr w:rsidR="00B538EE" w:rsidRPr="00985ED1" w:rsidTr="00B538EE">
        <w:trPr>
          <w:trHeight w:val="30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2007</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63,36</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86,56</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2,757</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5,058</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24,69</w:t>
            </w:r>
          </w:p>
        </w:tc>
      </w:tr>
      <w:tr w:rsidR="00B538EE" w:rsidRPr="00985ED1" w:rsidTr="00B538EE">
        <w:trPr>
          <w:trHeight w:val="30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2008</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71,35</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100,9</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4,598</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4,641</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21,36</w:t>
            </w:r>
          </w:p>
        </w:tc>
      </w:tr>
      <w:tr w:rsidR="00B538EE" w:rsidRPr="00985ED1" w:rsidTr="00B538EE">
        <w:trPr>
          <w:trHeight w:val="30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2009</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53,62</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89,4</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1,615</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1,521</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0,72</w:t>
            </w:r>
          </w:p>
        </w:tc>
      </w:tr>
      <w:tr w:rsidR="00B538EE" w:rsidRPr="00985ED1" w:rsidTr="00B538EE">
        <w:trPr>
          <w:trHeight w:val="30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2010</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61,62</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91,16</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0,957</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2,116</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0,75</w:t>
            </w:r>
          </w:p>
        </w:tc>
      </w:tr>
      <w:tr w:rsidR="00B538EE" w:rsidRPr="00985ED1" w:rsidTr="00B538EE">
        <w:trPr>
          <w:trHeight w:val="30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2011</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76,07</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99,92</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3,919</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5,432</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0,72</w:t>
            </w:r>
          </w:p>
        </w:tc>
      </w:tr>
      <w:tr w:rsidR="00B538EE" w:rsidRPr="00985ED1" w:rsidTr="00B538EE">
        <w:trPr>
          <w:trHeight w:val="30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2012</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77,28</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94,62</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3,606</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1,777</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0,78</w:t>
            </w:r>
          </w:p>
        </w:tc>
      </w:tr>
      <w:tr w:rsidR="00B538EE" w:rsidRPr="00985ED1" w:rsidTr="00B538EE">
        <w:trPr>
          <w:trHeight w:val="30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2013</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82,91</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98,94</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1,4</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1,004</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0,75</w:t>
            </w:r>
          </w:p>
        </w:tc>
      </w:tr>
      <w:tr w:rsidR="00B538EE" w:rsidRPr="00985ED1" w:rsidTr="00B538EE">
        <w:trPr>
          <w:trHeight w:val="30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2014</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83,14</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101,4</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-0,08</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-0,36</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0,75</w:t>
            </w:r>
          </w:p>
        </w:tc>
      </w:tr>
      <w:tr w:rsidR="00B538EE" w:rsidRPr="00985ED1" w:rsidTr="00B538EE">
        <w:trPr>
          <w:trHeight w:val="30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2015</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71,63</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88,9</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-0,33</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1,52</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0,90</w:t>
            </w:r>
          </w:p>
        </w:tc>
      </w:tr>
      <w:tr w:rsidR="00B538EE" w:rsidRPr="00985ED1" w:rsidTr="00B538EE">
        <w:trPr>
          <w:trHeight w:val="30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2016</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73,78</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89,95</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-0,52</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4,743</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0,90</w:t>
            </w:r>
          </w:p>
        </w:tc>
      </w:tr>
      <w:tr w:rsidR="00B538EE" w:rsidRPr="00985ED1" w:rsidTr="00B538EE">
        <w:trPr>
          <w:trHeight w:val="30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2017</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79,7</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95,65</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1,312</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4,226</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0,89</w:t>
            </w:r>
          </w:p>
        </w:tc>
      </w:tr>
      <w:tr w:rsidR="00B538EE" w:rsidRPr="00985ED1" w:rsidTr="00B538EE">
        <w:trPr>
          <w:trHeight w:val="30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2018</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88,7</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106,1</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2,514</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2,251</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0,85</w:t>
            </w:r>
          </w:p>
        </w:tc>
      </w:tr>
      <w:tr w:rsidR="00B538EE" w:rsidRPr="00985ED1" w:rsidTr="00B538EE">
        <w:trPr>
          <w:trHeight w:val="30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2019</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84,57</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105,7</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2,665</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2,28</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0,89</w:t>
            </w:r>
          </w:p>
        </w:tc>
      </w:tr>
      <w:tr w:rsidR="00B538EE" w:rsidRPr="00985ED1" w:rsidTr="00B538EE">
        <w:trPr>
          <w:trHeight w:val="30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2020</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80,21</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106,7</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1,937</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-1,14</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0,88</w:t>
            </w:r>
          </w:p>
        </w:tc>
      </w:tr>
      <w:tr w:rsidR="00B538EE" w:rsidRPr="00985ED1" w:rsidTr="00B538EE">
        <w:trPr>
          <w:trHeight w:val="300"/>
        </w:trPr>
        <w:tc>
          <w:tcPr>
            <w:tcW w:w="736" w:type="dxa"/>
            <w:tcBorders>
              <w:top w:val="nil"/>
              <w:left w:val="single" w:sz="4" w:space="0" w:color="auto"/>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2021</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96,12</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116,5</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3,15</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0,971</w:t>
            </w:r>
          </w:p>
        </w:tc>
        <w:tc>
          <w:tcPr>
            <w:tcW w:w="1729" w:type="dxa"/>
            <w:tcBorders>
              <w:top w:val="nil"/>
              <w:left w:val="nil"/>
              <w:bottom w:val="single" w:sz="4" w:space="0" w:color="auto"/>
              <w:right w:val="single" w:sz="4" w:space="0" w:color="auto"/>
            </w:tcBorders>
            <w:shd w:val="clear" w:color="auto" w:fill="auto"/>
            <w:vAlign w:val="center"/>
            <w:hideMark/>
          </w:tcPr>
          <w:p w:rsidR="00B538EE" w:rsidRPr="00985ED1" w:rsidRDefault="00B538EE" w:rsidP="00B538EE">
            <w:pPr>
              <w:jc w:val="right"/>
              <w:rPr>
                <w:color w:val="000000"/>
                <w:sz w:val="26"/>
                <w:szCs w:val="26"/>
                <w:lang w:val="en-US" w:eastAsia="en-US"/>
              </w:rPr>
            </w:pPr>
            <w:r w:rsidRPr="00985ED1">
              <w:rPr>
                <w:color w:val="000000"/>
                <w:sz w:val="26"/>
                <w:szCs w:val="26"/>
                <w:lang w:val="en-US" w:eastAsia="en-US"/>
              </w:rPr>
              <w:t>0,85</w:t>
            </w:r>
          </w:p>
        </w:tc>
      </w:tr>
    </w:tbl>
    <w:p w:rsidR="00B538EE" w:rsidRDefault="00B538EE" w:rsidP="00B538EE">
      <w:pPr>
        <w:spacing w:line="360" w:lineRule="auto"/>
        <w:jc w:val="both"/>
        <w:rPr>
          <w:sz w:val="28"/>
          <w:lang w:val="ru-RU"/>
        </w:rPr>
      </w:pPr>
      <w:r>
        <w:rPr>
          <w:sz w:val="28"/>
        </w:rPr>
        <w:t xml:space="preserve">Джерело: складено автором на основі даних </w:t>
      </w:r>
      <w:r w:rsidR="00B45AA2">
        <w:rPr>
          <w:sz w:val="28"/>
          <w:lang w:val="ru-RU"/>
        </w:rPr>
        <w:t>[12</w:t>
      </w:r>
      <w:r w:rsidRPr="000726C7">
        <w:rPr>
          <w:sz w:val="28"/>
          <w:lang w:val="ru-RU"/>
        </w:rPr>
        <w:t xml:space="preserve">] </w:t>
      </w:r>
      <w:r>
        <w:rPr>
          <w:sz w:val="28"/>
          <w:lang w:val="ru-RU"/>
        </w:rPr>
        <w:t xml:space="preserve">і </w:t>
      </w:r>
      <w:r w:rsidR="00B45AA2">
        <w:rPr>
          <w:sz w:val="28"/>
          <w:lang w:val="ru-RU"/>
        </w:rPr>
        <w:t>[13</w:t>
      </w:r>
      <w:r w:rsidRPr="000726C7">
        <w:rPr>
          <w:sz w:val="28"/>
          <w:lang w:val="ru-RU"/>
        </w:rPr>
        <w:t>]</w:t>
      </w:r>
    </w:p>
    <w:p w:rsidR="00985ED1" w:rsidRPr="00B538EE" w:rsidRDefault="00985ED1" w:rsidP="00B538EE">
      <w:pPr>
        <w:spacing w:line="360" w:lineRule="auto"/>
        <w:jc w:val="both"/>
        <w:rPr>
          <w:sz w:val="28"/>
          <w:lang w:val="ru-RU"/>
        </w:rPr>
      </w:pPr>
    </w:p>
    <w:sectPr w:rsidR="00985ED1" w:rsidRPr="00B538EE" w:rsidSect="009F443C">
      <w:headerReference w:type="default" r:id="rId61"/>
      <w:pgSz w:w="11906" w:h="16838" w:code="9"/>
      <w:pgMar w:top="1134" w:right="851" w:bottom="1134" w:left="1701" w:header="567"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2549" w:rsidRDefault="00D02549" w:rsidP="007068EF">
      <w:r>
        <w:separator/>
      </w:r>
    </w:p>
  </w:endnote>
  <w:endnote w:type="continuationSeparator" w:id="0">
    <w:p w:rsidR="00D02549" w:rsidRDefault="00D02549" w:rsidP="007068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libri Light">
    <w:altName w:val="Calibri"/>
    <w:charset w:val="00"/>
    <w:family w:val="swiss"/>
    <w:pitch w:val="variable"/>
    <w:sig w:usb0="00000001"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2549" w:rsidRDefault="00D02549" w:rsidP="007068EF">
      <w:r>
        <w:separator/>
      </w:r>
    </w:p>
  </w:footnote>
  <w:footnote w:type="continuationSeparator" w:id="0">
    <w:p w:rsidR="00D02549" w:rsidRDefault="00D02549" w:rsidP="007068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8354286"/>
      <w:docPartObj>
        <w:docPartGallery w:val="Page Numbers (Top of Page)"/>
        <w:docPartUnique/>
      </w:docPartObj>
    </w:sdtPr>
    <w:sdtEndPr>
      <w:rPr>
        <w:rFonts w:ascii="Times New Roman" w:hAnsi="Times New Roman" w:cs="Times New Roman"/>
        <w:sz w:val="24"/>
      </w:rPr>
    </w:sdtEndPr>
    <w:sdtContent>
      <w:p w:rsidR="009F443C" w:rsidRPr="007068EF" w:rsidRDefault="009F443C">
        <w:pPr>
          <w:pStyle w:val="a3"/>
          <w:jc w:val="right"/>
          <w:rPr>
            <w:rFonts w:ascii="Times New Roman" w:hAnsi="Times New Roman" w:cs="Times New Roman"/>
            <w:sz w:val="24"/>
          </w:rPr>
        </w:pPr>
        <w:r w:rsidRPr="007068EF">
          <w:rPr>
            <w:rFonts w:ascii="Times New Roman" w:hAnsi="Times New Roman" w:cs="Times New Roman"/>
            <w:sz w:val="24"/>
          </w:rPr>
          <w:fldChar w:fldCharType="begin"/>
        </w:r>
        <w:r w:rsidRPr="007068EF">
          <w:rPr>
            <w:rFonts w:ascii="Times New Roman" w:hAnsi="Times New Roman" w:cs="Times New Roman"/>
            <w:sz w:val="24"/>
          </w:rPr>
          <w:instrText>PAGE   \* MERGEFORMAT</w:instrText>
        </w:r>
        <w:r w:rsidRPr="007068EF">
          <w:rPr>
            <w:rFonts w:ascii="Times New Roman" w:hAnsi="Times New Roman" w:cs="Times New Roman"/>
            <w:sz w:val="24"/>
          </w:rPr>
          <w:fldChar w:fldCharType="separate"/>
        </w:r>
        <w:r w:rsidR="00D9440D" w:rsidRPr="00D9440D">
          <w:rPr>
            <w:rFonts w:ascii="Times New Roman" w:hAnsi="Times New Roman" w:cs="Times New Roman"/>
            <w:noProof/>
            <w:sz w:val="24"/>
            <w:lang w:val="ru-RU"/>
          </w:rPr>
          <w:t>43</w:t>
        </w:r>
        <w:r w:rsidRPr="007068EF">
          <w:rPr>
            <w:rFonts w:ascii="Times New Roman" w:hAnsi="Times New Roman" w:cs="Times New Roman"/>
            <w:sz w:val="24"/>
          </w:rPr>
          <w:fldChar w:fldCharType="end"/>
        </w:r>
      </w:p>
    </w:sdtContent>
  </w:sdt>
  <w:p w:rsidR="009F443C" w:rsidRDefault="009F443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74479C"/>
    <w:multiLevelType w:val="hybridMultilevel"/>
    <w:tmpl w:val="A37098A8"/>
    <w:lvl w:ilvl="0" w:tplc="94D074FC">
      <w:start w:val="1"/>
      <w:numFmt w:val="decimal"/>
      <w:lvlText w:val="%1."/>
      <w:lvlJc w:val="left"/>
      <w:pPr>
        <w:ind w:left="360" w:hanging="360"/>
      </w:pPr>
      <w:rPr>
        <w:rFonts w:hint="default"/>
        <w:sz w:val="28"/>
        <w:szCs w:val="24"/>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nsid w:val="397F7500"/>
    <w:multiLevelType w:val="hybridMultilevel"/>
    <w:tmpl w:val="A36E60F8"/>
    <w:lvl w:ilvl="0" w:tplc="04090001">
      <w:start w:val="10"/>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7710F18"/>
    <w:multiLevelType w:val="hybridMultilevel"/>
    <w:tmpl w:val="2F7C05FC"/>
    <w:lvl w:ilvl="0" w:tplc="04090001">
      <w:start w:val="10"/>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7721104"/>
    <w:multiLevelType w:val="hybridMultilevel"/>
    <w:tmpl w:val="E7FEBE80"/>
    <w:lvl w:ilvl="0" w:tplc="0419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4EC2281D"/>
    <w:multiLevelType w:val="hybridMultilevel"/>
    <w:tmpl w:val="180870AC"/>
    <w:lvl w:ilvl="0" w:tplc="853A7BC8">
      <w:start w:val="1"/>
      <w:numFmt w:val="decimal"/>
      <w:lvlText w:val="%1."/>
      <w:lvlJc w:val="left"/>
      <w:pPr>
        <w:ind w:left="1729" w:hanging="10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61F37A04"/>
    <w:multiLevelType w:val="hybridMultilevel"/>
    <w:tmpl w:val="4DB474FE"/>
    <w:lvl w:ilvl="0" w:tplc="ACB08FBA">
      <w:start w:val="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2B905B5"/>
    <w:multiLevelType w:val="hybridMultilevel"/>
    <w:tmpl w:val="1BA4C618"/>
    <w:lvl w:ilvl="0" w:tplc="94D074FC">
      <w:start w:val="1"/>
      <w:numFmt w:val="decimal"/>
      <w:lvlText w:val="%1."/>
      <w:lvlJc w:val="left"/>
      <w:pPr>
        <w:ind w:left="360" w:hanging="360"/>
      </w:pPr>
      <w:rPr>
        <w:rFonts w:hint="default"/>
        <w:sz w:val="28"/>
        <w:szCs w:val="24"/>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7">
    <w:nsid w:val="73B255A3"/>
    <w:multiLevelType w:val="hybridMultilevel"/>
    <w:tmpl w:val="64AEBF04"/>
    <w:lvl w:ilvl="0" w:tplc="04090001">
      <w:start w:val="10"/>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B123562"/>
    <w:multiLevelType w:val="hybridMultilevel"/>
    <w:tmpl w:val="78DAE672"/>
    <w:lvl w:ilvl="0" w:tplc="3F3C44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2"/>
  </w:num>
  <w:num w:numId="4">
    <w:abstractNumId w:val="5"/>
  </w:num>
  <w:num w:numId="5">
    <w:abstractNumId w:val="8"/>
  </w:num>
  <w:num w:numId="6">
    <w:abstractNumId w:val="6"/>
  </w:num>
  <w:num w:numId="7">
    <w:abstractNumId w:val="3"/>
  </w:num>
  <w:num w:numId="8">
    <w:abstractNumId w:val="4"/>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4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09B"/>
    <w:rsid w:val="00021142"/>
    <w:rsid w:val="000304B7"/>
    <w:rsid w:val="0003209C"/>
    <w:rsid w:val="000516E5"/>
    <w:rsid w:val="00053D00"/>
    <w:rsid w:val="000608CE"/>
    <w:rsid w:val="00062335"/>
    <w:rsid w:val="00067C49"/>
    <w:rsid w:val="000723F0"/>
    <w:rsid w:val="000726C7"/>
    <w:rsid w:val="00073FB6"/>
    <w:rsid w:val="000740E4"/>
    <w:rsid w:val="00080C7F"/>
    <w:rsid w:val="000830D4"/>
    <w:rsid w:val="000979CE"/>
    <w:rsid w:val="000D27B1"/>
    <w:rsid w:val="000E5A35"/>
    <w:rsid w:val="00110181"/>
    <w:rsid w:val="00112679"/>
    <w:rsid w:val="00112795"/>
    <w:rsid w:val="00113052"/>
    <w:rsid w:val="001448C9"/>
    <w:rsid w:val="00153FA4"/>
    <w:rsid w:val="001620C9"/>
    <w:rsid w:val="001702D4"/>
    <w:rsid w:val="00173860"/>
    <w:rsid w:val="001901B9"/>
    <w:rsid w:val="001A4546"/>
    <w:rsid w:val="001A5122"/>
    <w:rsid w:val="001D5F5D"/>
    <w:rsid w:val="001E6680"/>
    <w:rsid w:val="001F0CD0"/>
    <w:rsid w:val="0021294D"/>
    <w:rsid w:val="00221759"/>
    <w:rsid w:val="002274E2"/>
    <w:rsid w:val="00255F3E"/>
    <w:rsid w:val="00265CFF"/>
    <w:rsid w:val="00266690"/>
    <w:rsid w:val="00266E1D"/>
    <w:rsid w:val="00274309"/>
    <w:rsid w:val="00274D5F"/>
    <w:rsid w:val="00281916"/>
    <w:rsid w:val="0029345C"/>
    <w:rsid w:val="00294E85"/>
    <w:rsid w:val="002B48A8"/>
    <w:rsid w:val="002B5898"/>
    <w:rsid w:val="002B6A4C"/>
    <w:rsid w:val="002C014C"/>
    <w:rsid w:val="002D121F"/>
    <w:rsid w:val="002D1290"/>
    <w:rsid w:val="002D234D"/>
    <w:rsid w:val="002D285F"/>
    <w:rsid w:val="002E7FED"/>
    <w:rsid w:val="0030049E"/>
    <w:rsid w:val="00300964"/>
    <w:rsid w:val="003023BE"/>
    <w:rsid w:val="003028C1"/>
    <w:rsid w:val="00315F61"/>
    <w:rsid w:val="00321CB5"/>
    <w:rsid w:val="003226D1"/>
    <w:rsid w:val="00334BB0"/>
    <w:rsid w:val="003413AF"/>
    <w:rsid w:val="00341DA3"/>
    <w:rsid w:val="0035130D"/>
    <w:rsid w:val="00360CB4"/>
    <w:rsid w:val="0036194B"/>
    <w:rsid w:val="0038242E"/>
    <w:rsid w:val="003A43F5"/>
    <w:rsid w:val="003B4571"/>
    <w:rsid w:val="003B4AA6"/>
    <w:rsid w:val="003C4E60"/>
    <w:rsid w:val="003D0AC1"/>
    <w:rsid w:val="003D3D70"/>
    <w:rsid w:val="003D678C"/>
    <w:rsid w:val="003E2EAF"/>
    <w:rsid w:val="003E34CF"/>
    <w:rsid w:val="003E47F4"/>
    <w:rsid w:val="004046B4"/>
    <w:rsid w:val="004261E3"/>
    <w:rsid w:val="00431626"/>
    <w:rsid w:val="00434B13"/>
    <w:rsid w:val="00442484"/>
    <w:rsid w:val="0044509C"/>
    <w:rsid w:val="0045460E"/>
    <w:rsid w:val="00463606"/>
    <w:rsid w:val="00491A1F"/>
    <w:rsid w:val="004A024C"/>
    <w:rsid w:val="004A2E33"/>
    <w:rsid w:val="004A4CEC"/>
    <w:rsid w:val="004A7654"/>
    <w:rsid w:val="004B4CE5"/>
    <w:rsid w:val="004B6248"/>
    <w:rsid w:val="004D5FD8"/>
    <w:rsid w:val="004E0274"/>
    <w:rsid w:val="004E1650"/>
    <w:rsid w:val="004E2E01"/>
    <w:rsid w:val="00502B4A"/>
    <w:rsid w:val="0051284C"/>
    <w:rsid w:val="0053362C"/>
    <w:rsid w:val="00540657"/>
    <w:rsid w:val="00551D6F"/>
    <w:rsid w:val="00552F60"/>
    <w:rsid w:val="0055337D"/>
    <w:rsid w:val="00571398"/>
    <w:rsid w:val="00580CAC"/>
    <w:rsid w:val="00591B32"/>
    <w:rsid w:val="0059308C"/>
    <w:rsid w:val="005D257A"/>
    <w:rsid w:val="005D6109"/>
    <w:rsid w:val="005E33C2"/>
    <w:rsid w:val="005F3527"/>
    <w:rsid w:val="005F4AE0"/>
    <w:rsid w:val="005F67E8"/>
    <w:rsid w:val="005F7B6E"/>
    <w:rsid w:val="00607E67"/>
    <w:rsid w:val="00610159"/>
    <w:rsid w:val="00634134"/>
    <w:rsid w:val="00650DCC"/>
    <w:rsid w:val="00671488"/>
    <w:rsid w:val="00675DD5"/>
    <w:rsid w:val="00681BEB"/>
    <w:rsid w:val="00684918"/>
    <w:rsid w:val="00685DCA"/>
    <w:rsid w:val="00690C41"/>
    <w:rsid w:val="00696F1A"/>
    <w:rsid w:val="006A7353"/>
    <w:rsid w:val="006A76F0"/>
    <w:rsid w:val="006B282D"/>
    <w:rsid w:val="006B58F3"/>
    <w:rsid w:val="006C00FB"/>
    <w:rsid w:val="006C6251"/>
    <w:rsid w:val="006D5381"/>
    <w:rsid w:val="006D595B"/>
    <w:rsid w:val="007068EF"/>
    <w:rsid w:val="00711153"/>
    <w:rsid w:val="00716A2D"/>
    <w:rsid w:val="007408A3"/>
    <w:rsid w:val="00744718"/>
    <w:rsid w:val="00751961"/>
    <w:rsid w:val="00751AD9"/>
    <w:rsid w:val="007520F7"/>
    <w:rsid w:val="0075456E"/>
    <w:rsid w:val="00755D1F"/>
    <w:rsid w:val="00764916"/>
    <w:rsid w:val="007675A3"/>
    <w:rsid w:val="00772C26"/>
    <w:rsid w:val="007733BB"/>
    <w:rsid w:val="0078101D"/>
    <w:rsid w:val="00782B56"/>
    <w:rsid w:val="0079776B"/>
    <w:rsid w:val="007A2B7D"/>
    <w:rsid w:val="007A7658"/>
    <w:rsid w:val="007B39E6"/>
    <w:rsid w:val="007C2110"/>
    <w:rsid w:val="007D1AD3"/>
    <w:rsid w:val="007E6386"/>
    <w:rsid w:val="00813B2B"/>
    <w:rsid w:val="00820F81"/>
    <w:rsid w:val="0082663D"/>
    <w:rsid w:val="008316AC"/>
    <w:rsid w:val="00834F8D"/>
    <w:rsid w:val="00840298"/>
    <w:rsid w:val="008427BF"/>
    <w:rsid w:val="00850E4D"/>
    <w:rsid w:val="008614BC"/>
    <w:rsid w:val="00862D6D"/>
    <w:rsid w:val="008635EC"/>
    <w:rsid w:val="00867568"/>
    <w:rsid w:val="00873085"/>
    <w:rsid w:val="00882458"/>
    <w:rsid w:val="00883181"/>
    <w:rsid w:val="008A4049"/>
    <w:rsid w:val="008A4E89"/>
    <w:rsid w:val="008B5DEF"/>
    <w:rsid w:val="008D0FAC"/>
    <w:rsid w:val="008D218C"/>
    <w:rsid w:val="008E331D"/>
    <w:rsid w:val="008E4C57"/>
    <w:rsid w:val="008F5A63"/>
    <w:rsid w:val="00901D8F"/>
    <w:rsid w:val="00902A9A"/>
    <w:rsid w:val="00914F14"/>
    <w:rsid w:val="00932511"/>
    <w:rsid w:val="00936101"/>
    <w:rsid w:val="00942ABF"/>
    <w:rsid w:val="00950E29"/>
    <w:rsid w:val="00960A30"/>
    <w:rsid w:val="00966E52"/>
    <w:rsid w:val="00974ED4"/>
    <w:rsid w:val="00985ED1"/>
    <w:rsid w:val="00987593"/>
    <w:rsid w:val="00996D82"/>
    <w:rsid w:val="009A4801"/>
    <w:rsid w:val="009A5DB0"/>
    <w:rsid w:val="009A6479"/>
    <w:rsid w:val="009B73D1"/>
    <w:rsid w:val="009D2899"/>
    <w:rsid w:val="009E691E"/>
    <w:rsid w:val="009F4232"/>
    <w:rsid w:val="009F443C"/>
    <w:rsid w:val="009F79C5"/>
    <w:rsid w:val="00A009C2"/>
    <w:rsid w:val="00A075BC"/>
    <w:rsid w:val="00A12A87"/>
    <w:rsid w:val="00A1340D"/>
    <w:rsid w:val="00A2338E"/>
    <w:rsid w:val="00A3454F"/>
    <w:rsid w:val="00A36AA8"/>
    <w:rsid w:val="00A61E92"/>
    <w:rsid w:val="00AA37E0"/>
    <w:rsid w:val="00AC1699"/>
    <w:rsid w:val="00AE02ED"/>
    <w:rsid w:val="00AE3808"/>
    <w:rsid w:val="00AF58B4"/>
    <w:rsid w:val="00AF7383"/>
    <w:rsid w:val="00B0035F"/>
    <w:rsid w:val="00B070F5"/>
    <w:rsid w:val="00B227D2"/>
    <w:rsid w:val="00B37E64"/>
    <w:rsid w:val="00B42E7C"/>
    <w:rsid w:val="00B43DCD"/>
    <w:rsid w:val="00B45AA2"/>
    <w:rsid w:val="00B502E7"/>
    <w:rsid w:val="00B537D3"/>
    <w:rsid w:val="00B538EE"/>
    <w:rsid w:val="00B60BFD"/>
    <w:rsid w:val="00B67D90"/>
    <w:rsid w:val="00B7149A"/>
    <w:rsid w:val="00B742D0"/>
    <w:rsid w:val="00B81974"/>
    <w:rsid w:val="00B823F5"/>
    <w:rsid w:val="00B83601"/>
    <w:rsid w:val="00B90172"/>
    <w:rsid w:val="00B90265"/>
    <w:rsid w:val="00BA1927"/>
    <w:rsid w:val="00BA55D7"/>
    <w:rsid w:val="00BD1E3B"/>
    <w:rsid w:val="00BD20DF"/>
    <w:rsid w:val="00BE6068"/>
    <w:rsid w:val="00BF3D8C"/>
    <w:rsid w:val="00C32C1D"/>
    <w:rsid w:val="00C47370"/>
    <w:rsid w:val="00C56A07"/>
    <w:rsid w:val="00C63752"/>
    <w:rsid w:val="00C71324"/>
    <w:rsid w:val="00C721CB"/>
    <w:rsid w:val="00C80790"/>
    <w:rsid w:val="00C8294F"/>
    <w:rsid w:val="00CE45C4"/>
    <w:rsid w:val="00CF747A"/>
    <w:rsid w:val="00D02549"/>
    <w:rsid w:val="00D07CEA"/>
    <w:rsid w:val="00D07E17"/>
    <w:rsid w:val="00D225B7"/>
    <w:rsid w:val="00D24730"/>
    <w:rsid w:val="00D40E8D"/>
    <w:rsid w:val="00D43BB8"/>
    <w:rsid w:val="00D468D2"/>
    <w:rsid w:val="00D51BFE"/>
    <w:rsid w:val="00D6509B"/>
    <w:rsid w:val="00D65A91"/>
    <w:rsid w:val="00D6795E"/>
    <w:rsid w:val="00D67A0E"/>
    <w:rsid w:val="00D70456"/>
    <w:rsid w:val="00D9440D"/>
    <w:rsid w:val="00DD50BC"/>
    <w:rsid w:val="00E005C1"/>
    <w:rsid w:val="00E02187"/>
    <w:rsid w:val="00E15849"/>
    <w:rsid w:val="00E31D0B"/>
    <w:rsid w:val="00E3634D"/>
    <w:rsid w:val="00E402B0"/>
    <w:rsid w:val="00E760F6"/>
    <w:rsid w:val="00E85AFC"/>
    <w:rsid w:val="00E92A9A"/>
    <w:rsid w:val="00EC3889"/>
    <w:rsid w:val="00EC5853"/>
    <w:rsid w:val="00EF001A"/>
    <w:rsid w:val="00EF589B"/>
    <w:rsid w:val="00F140CD"/>
    <w:rsid w:val="00F16924"/>
    <w:rsid w:val="00F21955"/>
    <w:rsid w:val="00F24056"/>
    <w:rsid w:val="00F25AE1"/>
    <w:rsid w:val="00F268DD"/>
    <w:rsid w:val="00F27EC7"/>
    <w:rsid w:val="00F42293"/>
    <w:rsid w:val="00F457B5"/>
    <w:rsid w:val="00F50092"/>
    <w:rsid w:val="00F50E5A"/>
    <w:rsid w:val="00F526C4"/>
    <w:rsid w:val="00F61979"/>
    <w:rsid w:val="00F7396F"/>
    <w:rsid w:val="00F74022"/>
    <w:rsid w:val="00F753DE"/>
    <w:rsid w:val="00F80B9C"/>
    <w:rsid w:val="00F82E01"/>
    <w:rsid w:val="00F9547A"/>
    <w:rsid w:val="00FA0FD4"/>
    <w:rsid w:val="00FB1BFF"/>
    <w:rsid w:val="00FC6576"/>
    <w:rsid w:val="00FD4CD9"/>
    <w:rsid w:val="00FD6A75"/>
    <w:rsid w:val="00FE6A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691E"/>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068EF"/>
    <w:pPr>
      <w:tabs>
        <w:tab w:val="center" w:pos="4844"/>
        <w:tab w:val="right" w:pos="9689"/>
      </w:tabs>
    </w:pPr>
    <w:rPr>
      <w:rFonts w:asciiTheme="minorHAnsi" w:eastAsiaTheme="minorHAnsi" w:hAnsiTheme="minorHAnsi" w:cstheme="minorBidi"/>
      <w:sz w:val="22"/>
      <w:szCs w:val="22"/>
      <w:lang w:val="en-US" w:eastAsia="en-US"/>
    </w:rPr>
  </w:style>
  <w:style w:type="character" w:customStyle="1" w:styleId="a4">
    <w:name w:val="Верхний колонтитул Знак"/>
    <w:basedOn w:val="a0"/>
    <w:link w:val="a3"/>
    <w:uiPriority w:val="99"/>
    <w:rsid w:val="007068EF"/>
  </w:style>
  <w:style w:type="paragraph" w:styleId="a5">
    <w:name w:val="footer"/>
    <w:basedOn w:val="a"/>
    <w:link w:val="a6"/>
    <w:uiPriority w:val="99"/>
    <w:unhideWhenUsed/>
    <w:rsid w:val="007068EF"/>
    <w:pPr>
      <w:tabs>
        <w:tab w:val="center" w:pos="4844"/>
        <w:tab w:val="right" w:pos="9689"/>
      </w:tabs>
    </w:pPr>
    <w:rPr>
      <w:rFonts w:asciiTheme="minorHAnsi" w:eastAsiaTheme="minorHAnsi" w:hAnsiTheme="minorHAnsi" w:cstheme="minorBidi"/>
      <w:sz w:val="22"/>
      <w:szCs w:val="22"/>
      <w:lang w:val="en-US" w:eastAsia="en-US"/>
    </w:rPr>
  </w:style>
  <w:style w:type="character" w:customStyle="1" w:styleId="a6">
    <w:name w:val="Нижний колонтитул Знак"/>
    <w:basedOn w:val="a0"/>
    <w:link w:val="a5"/>
    <w:uiPriority w:val="99"/>
    <w:rsid w:val="007068EF"/>
  </w:style>
  <w:style w:type="character" w:styleId="a7">
    <w:name w:val="Hyperlink"/>
    <w:basedOn w:val="a0"/>
    <w:uiPriority w:val="99"/>
    <w:unhideWhenUsed/>
    <w:rsid w:val="002D234D"/>
    <w:rPr>
      <w:color w:val="0563C1" w:themeColor="hyperlink"/>
      <w:u w:val="single"/>
    </w:rPr>
  </w:style>
  <w:style w:type="character" w:styleId="a8">
    <w:name w:val="FollowedHyperlink"/>
    <w:basedOn w:val="a0"/>
    <w:uiPriority w:val="99"/>
    <w:semiHidden/>
    <w:unhideWhenUsed/>
    <w:rsid w:val="00F526C4"/>
    <w:rPr>
      <w:color w:val="954F72" w:themeColor="followedHyperlink"/>
      <w:u w:val="single"/>
    </w:rPr>
  </w:style>
  <w:style w:type="paragraph" w:styleId="a9">
    <w:name w:val="List Paragraph"/>
    <w:basedOn w:val="a"/>
    <w:uiPriority w:val="34"/>
    <w:qFormat/>
    <w:rsid w:val="005F3527"/>
    <w:pPr>
      <w:ind w:left="720"/>
      <w:contextualSpacing/>
    </w:pPr>
  </w:style>
  <w:style w:type="character" w:styleId="aa">
    <w:name w:val="Placeholder Text"/>
    <w:basedOn w:val="a0"/>
    <w:uiPriority w:val="99"/>
    <w:semiHidden/>
    <w:rsid w:val="009A6479"/>
    <w:rPr>
      <w:color w:val="808080"/>
    </w:rPr>
  </w:style>
  <w:style w:type="paragraph" w:styleId="ab">
    <w:name w:val="Balloon Text"/>
    <w:basedOn w:val="a"/>
    <w:link w:val="ac"/>
    <w:uiPriority w:val="99"/>
    <w:semiHidden/>
    <w:unhideWhenUsed/>
    <w:rsid w:val="009F443C"/>
    <w:rPr>
      <w:rFonts w:ascii="Tahoma" w:hAnsi="Tahoma" w:cs="Tahoma"/>
      <w:sz w:val="16"/>
      <w:szCs w:val="16"/>
    </w:rPr>
  </w:style>
  <w:style w:type="character" w:customStyle="1" w:styleId="ac">
    <w:name w:val="Текст выноски Знак"/>
    <w:basedOn w:val="a0"/>
    <w:link w:val="ab"/>
    <w:uiPriority w:val="99"/>
    <w:semiHidden/>
    <w:rsid w:val="009F443C"/>
    <w:rPr>
      <w:rFonts w:ascii="Tahoma" w:eastAsia="Times New Roman" w:hAnsi="Tahoma" w:cs="Tahoma"/>
      <w:sz w:val="16"/>
      <w:szCs w:val="16"/>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691E"/>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068EF"/>
    <w:pPr>
      <w:tabs>
        <w:tab w:val="center" w:pos="4844"/>
        <w:tab w:val="right" w:pos="9689"/>
      </w:tabs>
    </w:pPr>
    <w:rPr>
      <w:rFonts w:asciiTheme="minorHAnsi" w:eastAsiaTheme="minorHAnsi" w:hAnsiTheme="minorHAnsi" w:cstheme="minorBidi"/>
      <w:sz w:val="22"/>
      <w:szCs w:val="22"/>
      <w:lang w:val="en-US" w:eastAsia="en-US"/>
    </w:rPr>
  </w:style>
  <w:style w:type="character" w:customStyle="1" w:styleId="a4">
    <w:name w:val="Верхний колонтитул Знак"/>
    <w:basedOn w:val="a0"/>
    <w:link w:val="a3"/>
    <w:uiPriority w:val="99"/>
    <w:rsid w:val="007068EF"/>
  </w:style>
  <w:style w:type="paragraph" w:styleId="a5">
    <w:name w:val="footer"/>
    <w:basedOn w:val="a"/>
    <w:link w:val="a6"/>
    <w:uiPriority w:val="99"/>
    <w:unhideWhenUsed/>
    <w:rsid w:val="007068EF"/>
    <w:pPr>
      <w:tabs>
        <w:tab w:val="center" w:pos="4844"/>
        <w:tab w:val="right" w:pos="9689"/>
      </w:tabs>
    </w:pPr>
    <w:rPr>
      <w:rFonts w:asciiTheme="minorHAnsi" w:eastAsiaTheme="minorHAnsi" w:hAnsiTheme="minorHAnsi" w:cstheme="minorBidi"/>
      <w:sz w:val="22"/>
      <w:szCs w:val="22"/>
      <w:lang w:val="en-US" w:eastAsia="en-US"/>
    </w:rPr>
  </w:style>
  <w:style w:type="character" w:customStyle="1" w:styleId="a6">
    <w:name w:val="Нижний колонтитул Знак"/>
    <w:basedOn w:val="a0"/>
    <w:link w:val="a5"/>
    <w:uiPriority w:val="99"/>
    <w:rsid w:val="007068EF"/>
  </w:style>
  <w:style w:type="character" w:styleId="a7">
    <w:name w:val="Hyperlink"/>
    <w:basedOn w:val="a0"/>
    <w:uiPriority w:val="99"/>
    <w:unhideWhenUsed/>
    <w:rsid w:val="002D234D"/>
    <w:rPr>
      <w:color w:val="0563C1" w:themeColor="hyperlink"/>
      <w:u w:val="single"/>
    </w:rPr>
  </w:style>
  <w:style w:type="character" w:styleId="a8">
    <w:name w:val="FollowedHyperlink"/>
    <w:basedOn w:val="a0"/>
    <w:uiPriority w:val="99"/>
    <w:semiHidden/>
    <w:unhideWhenUsed/>
    <w:rsid w:val="00F526C4"/>
    <w:rPr>
      <w:color w:val="954F72" w:themeColor="followedHyperlink"/>
      <w:u w:val="single"/>
    </w:rPr>
  </w:style>
  <w:style w:type="paragraph" w:styleId="a9">
    <w:name w:val="List Paragraph"/>
    <w:basedOn w:val="a"/>
    <w:uiPriority w:val="34"/>
    <w:qFormat/>
    <w:rsid w:val="005F3527"/>
    <w:pPr>
      <w:ind w:left="720"/>
      <w:contextualSpacing/>
    </w:pPr>
  </w:style>
  <w:style w:type="character" w:styleId="aa">
    <w:name w:val="Placeholder Text"/>
    <w:basedOn w:val="a0"/>
    <w:uiPriority w:val="99"/>
    <w:semiHidden/>
    <w:rsid w:val="009A6479"/>
    <w:rPr>
      <w:color w:val="808080"/>
    </w:rPr>
  </w:style>
  <w:style w:type="paragraph" w:styleId="ab">
    <w:name w:val="Balloon Text"/>
    <w:basedOn w:val="a"/>
    <w:link w:val="ac"/>
    <w:uiPriority w:val="99"/>
    <w:semiHidden/>
    <w:unhideWhenUsed/>
    <w:rsid w:val="009F443C"/>
    <w:rPr>
      <w:rFonts w:ascii="Tahoma" w:hAnsi="Tahoma" w:cs="Tahoma"/>
      <w:sz w:val="16"/>
      <w:szCs w:val="16"/>
    </w:rPr>
  </w:style>
  <w:style w:type="character" w:customStyle="1" w:styleId="ac">
    <w:name w:val="Текст выноски Знак"/>
    <w:basedOn w:val="a0"/>
    <w:link w:val="ab"/>
    <w:uiPriority w:val="99"/>
    <w:semiHidden/>
    <w:rsid w:val="009F443C"/>
    <w:rPr>
      <w:rFonts w:ascii="Tahoma" w:eastAsia="Times New Roman" w:hAnsi="Tahoma" w:cs="Tahoma"/>
      <w:sz w:val="16"/>
      <w:szCs w:val="1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51769">
      <w:bodyDiv w:val="1"/>
      <w:marLeft w:val="0"/>
      <w:marRight w:val="0"/>
      <w:marTop w:val="0"/>
      <w:marBottom w:val="0"/>
      <w:divBdr>
        <w:top w:val="none" w:sz="0" w:space="0" w:color="auto"/>
        <w:left w:val="none" w:sz="0" w:space="0" w:color="auto"/>
        <w:bottom w:val="none" w:sz="0" w:space="0" w:color="auto"/>
        <w:right w:val="none" w:sz="0" w:space="0" w:color="auto"/>
      </w:divBdr>
    </w:div>
    <w:div w:id="91122335">
      <w:bodyDiv w:val="1"/>
      <w:marLeft w:val="0"/>
      <w:marRight w:val="0"/>
      <w:marTop w:val="0"/>
      <w:marBottom w:val="0"/>
      <w:divBdr>
        <w:top w:val="none" w:sz="0" w:space="0" w:color="auto"/>
        <w:left w:val="none" w:sz="0" w:space="0" w:color="auto"/>
        <w:bottom w:val="none" w:sz="0" w:space="0" w:color="auto"/>
        <w:right w:val="none" w:sz="0" w:space="0" w:color="auto"/>
      </w:divBdr>
    </w:div>
    <w:div w:id="186331466">
      <w:bodyDiv w:val="1"/>
      <w:marLeft w:val="0"/>
      <w:marRight w:val="0"/>
      <w:marTop w:val="0"/>
      <w:marBottom w:val="0"/>
      <w:divBdr>
        <w:top w:val="none" w:sz="0" w:space="0" w:color="auto"/>
        <w:left w:val="none" w:sz="0" w:space="0" w:color="auto"/>
        <w:bottom w:val="none" w:sz="0" w:space="0" w:color="auto"/>
        <w:right w:val="none" w:sz="0" w:space="0" w:color="auto"/>
      </w:divBdr>
    </w:div>
    <w:div w:id="192882473">
      <w:bodyDiv w:val="1"/>
      <w:marLeft w:val="0"/>
      <w:marRight w:val="0"/>
      <w:marTop w:val="0"/>
      <w:marBottom w:val="0"/>
      <w:divBdr>
        <w:top w:val="none" w:sz="0" w:space="0" w:color="auto"/>
        <w:left w:val="none" w:sz="0" w:space="0" w:color="auto"/>
        <w:bottom w:val="none" w:sz="0" w:space="0" w:color="auto"/>
        <w:right w:val="none" w:sz="0" w:space="0" w:color="auto"/>
      </w:divBdr>
    </w:div>
    <w:div w:id="202905392">
      <w:bodyDiv w:val="1"/>
      <w:marLeft w:val="0"/>
      <w:marRight w:val="0"/>
      <w:marTop w:val="0"/>
      <w:marBottom w:val="0"/>
      <w:divBdr>
        <w:top w:val="none" w:sz="0" w:space="0" w:color="auto"/>
        <w:left w:val="none" w:sz="0" w:space="0" w:color="auto"/>
        <w:bottom w:val="none" w:sz="0" w:space="0" w:color="auto"/>
        <w:right w:val="none" w:sz="0" w:space="0" w:color="auto"/>
      </w:divBdr>
      <w:divsChild>
        <w:div w:id="688264063">
          <w:marLeft w:val="0"/>
          <w:marRight w:val="0"/>
          <w:marTop w:val="0"/>
          <w:marBottom w:val="0"/>
          <w:divBdr>
            <w:top w:val="none" w:sz="0" w:space="0" w:color="auto"/>
            <w:left w:val="none" w:sz="0" w:space="0" w:color="auto"/>
            <w:bottom w:val="none" w:sz="0" w:space="0" w:color="auto"/>
            <w:right w:val="none" w:sz="0" w:space="0" w:color="auto"/>
          </w:divBdr>
          <w:divsChild>
            <w:div w:id="430669150">
              <w:marLeft w:val="0"/>
              <w:marRight w:val="0"/>
              <w:marTop w:val="0"/>
              <w:marBottom w:val="0"/>
              <w:divBdr>
                <w:top w:val="none" w:sz="0" w:space="0" w:color="auto"/>
                <w:left w:val="none" w:sz="0" w:space="0" w:color="auto"/>
                <w:bottom w:val="none" w:sz="0" w:space="0" w:color="auto"/>
                <w:right w:val="none" w:sz="0" w:space="0" w:color="auto"/>
              </w:divBdr>
              <w:divsChild>
                <w:div w:id="1484271523">
                  <w:marLeft w:val="0"/>
                  <w:marRight w:val="0"/>
                  <w:marTop w:val="75"/>
                  <w:marBottom w:val="0"/>
                  <w:divBdr>
                    <w:top w:val="single" w:sz="6" w:space="0" w:color="BBBBBB"/>
                    <w:left w:val="single" w:sz="6" w:space="0" w:color="BBBBBB"/>
                    <w:bottom w:val="single" w:sz="6" w:space="0" w:color="BBBBBB"/>
                    <w:right w:val="single" w:sz="6" w:space="0" w:color="BBBBBB"/>
                  </w:divBdr>
                  <w:divsChild>
                    <w:div w:id="105396930">
                      <w:marLeft w:val="0"/>
                      <w:marRight w:val="0"/>
                      <w:marTop w:val="0"/>
                      <w:marBottom w:val="0"/>
                      <w:divBdr>
                        <w:top w:val="none" w:sz="0" w:space="0" w:color="auto"/>
                        <w:left w:val="none" w:sz="0" w:space="0" w:color="auto"/>
                        <w:bottom w:val="none" w:sz="0" w:space="0" w:color="auto"/>
                        <w:right w:val="none" w:sz="0" w:space="0" w:color="auto"/>
                      </w:divBdr>
                      <w:divsChild>
                        <w:div w:id="390664292">
                          <w:marLeft w:val="0"/>
                          <w:marRight w:val="0"/>
                          <w:marTop w:val="0"/>
                          <w:marBottom w:val="0"/>
                          <w:divBdr>
                            <w:top w:val="none" w:sz="0" w:space="0" w:color="auto"/>
                            <w:left w:val="none" w:sz="0" w:space="0" w:color="auto"/>
                            <w:bottom w:val="none" w:sz="0" w:space="0" w:color="auto"/>
                            <w:right w:val="none" w:sz="0" w:space="0" w:color="auto"/>
                          </w:divBdr>
                          <w:divsChild>
                            <w:div w:id="1822966526">
                              <w:marLeft w:val="0"/>
                              <w:marRight w:val="0"/>
                              <w:marTop w:val="0"/>
                              <w:marBottom w:val="0"/>
                              <w:divBdr>
                                <w:top w:val="none" w:sz="0" w:space="0" w:color="auto"/>
                                <w:left w:val="none" w:sz="0" w:space="0" w:color="auto"/>
                                <w:bottom w:val="none" w:sz="0" w:space="0" w:color="auto"/>
                                <w:right w:val="none" w:sz="0" w:space="0" w:color="auto"/>
                              </w:divBdr>
                            </w:div>
                          </w:divsChild>
                        </w:div>
                        <w:div w:id="622734511">
                          <w:marLeft w:val="0"/>
                          <w:marRight w:val="0"/>
                          <w:marTop w:val="0"/>
                          <w:marBottom w:val="0"/>
                          <w:divBdr>
                            <w:top w:val="none" w:sz="0" w:space="0" w:color="auto"/>
                            <w:left w:val="none" w:sz="0" w:space="0" w:color="auto"/>
                            <w:bottom w:val="none" w:sz="0" w:space="0" w:color="auto"/>
                            <w:right w:val="none" w:sz="0" w:space="0" w:color="auto"/>
                          </w:divBdr>
                        </w:div>
                        <w:div w:id="1206286304">
                          <w:marLeft w:val="0"/>
                          <w:marRight w:val="0"/>
                          <w:marTop w:val="0"/>
                          <w:marBottom w:val="195"/>
                          <w:divBdr>
                            <w:top w:val="none" w:sz="0" w:space="0" w:color="auto"/>
                            <w:left w:val="none" w:sz="0" w:space="0" w:color="auto"/>
                            <w:bottom w:val="none" w:sz="0" w:space="0" w:color="auto"/>
                            <w:right w:val="none" w:sz="0" w:space="0" w:color="auto"/>
                          </w:divBdr>
                        </w:div>
                      </w:divsChild>
                    </w:div>
                    <w:div w:id="1353261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4293330">
      <w:bodyDiv w:val="1"/>
      <w:marLeft w:val="0"/>
      <w:marRight w:val="0"/>
      <w:marTop w:val="0"/>
      <w:marBottom w:val="0"/>
      <w:divBdr>
        <w:top w:val="none" w:sz="0" w:space="0" w:color="auto"/>
        <w:left w:val="none" w:sz="0" w:space="0" w:color="auto"/>
        <w:bottom w:val="none" w:sz="0" w:space="0" w:color="auto"/>
        <w:right w:val="none" w:sz="0" w:space="0" w:color="auto"/>
      </w:divBdr>
    </w:div>
    <w:div w:id="348992487">
      <w:bodyDiv w:val="1"/>
      <w:marLeft w:val="0"/>
      <w:marRight w:val="0"/>
      <w:marTop w:val="0"/>
      <w:marBottom w:val="0"/>
      <w:divBdr>
        <w:top w:val="none" w:sz="0" w:space="0" w:color="auto"/>
        <w:left w:val="none" w:sz="0" w:space="0" w:color="auto"/>
        <w:bottom w:val="none" w:sz="0" w:space="0" w:color="auto"/>
        <w:right w:val="none" w:sz="0" w:space="0" w:color="auto"/>
      </w:divBdr>
    </w:div>
    <w:div w:id="565729247">
      <w:bodyDiv w:val="1"/>
      <w:marLeft w:val="0"/>
      <w:marRight w:val="0"/>
      <w:marTop w:val="0"/>
      <w:marBottom w:val="0"/>
      <w:divBdr>
        <w:top w:val="none" w:sz="0" w:space="0" w:color="auto"/>
        <w:left w:val="none" w:sz="0" w:space="0" w:color="auto"/>
        <w:bottom w:val="none" w:sz="0" w:space="0" w:color="auto"/>
        <w:right w:val="none" w:sz="0" w:space="0" w:color="auto"/>
      </w:divBdr>
    </w:div>
    <w:div w:id="1214122493">
      <w:bodyDiv w:val="1"/>
      <w:marLeft w:val="0"/>
      <w:marRight w:val="0"/>
      <w:marTop w:val="0"/>
      <w:marBottom w:val="0"/>
      <w:divBdr>
        <w:top w:val="none" w:sz="0" w:space="0" w:color="auto"/>
        <w:left w:val="none" w:sz="0" w:space="0" w:color="auto"/>
        <w:bottom w:val="none" w:sz="0" w:space="0" w:color="auto"/>
        <w:right w:val="none" w:sz="0" w:space="0" w:color="auto"/>
      </w:divBdr>
    </w:div>
    <w:div w:id="1446387550">
      <w:bodyDiv w:val="1"/>
      <w:marLeft w:val="0"/>
      <w:marRight w:val="0"/>
      <w:marTop w:val="0"/>
      <w:marBottom w:val="0"/>
      <w:divBdr>
        <w:top w:val="none" w:sz="0" w:space="0" w:color="auto"/>
        <w:left w:val="none" w:sz="0" w:space="0" w:color="auto"/>
        <w:bottom w:val="none" w:sz="0" w:space="0" w:color="auto"/>
        <w:right w:val="none" w:sz="0" w:space="0" w:color="auto"/>
      </w:divBdr>
    </w:div>
    <w:div w:id="1574970729">
      <w:bodyDiv w:val="1"/>
      <w:marLeft w:val="0"/>
      <w:marRight w:val="0"/>
      <w:marTop w:val="0"/>
      <w:marBottom w:val="0"/>
      <w:divBdr>
        <w:top w:val="none" w:sz="0" w:space="0" w:color="auto"/>
        <w:left w:val="none" w:sz="0" w:space="0" w:color="auto"/>
        <w:bottom w:val="none" w:sz="0" w:space="0" w:color="auto"/>
        <w:right w:val="none" w:sz="0" w:space="0" w:color="auto"/>
      </w:divBdr>
    </w:div>
    <w:div w:id="1661227169">
      <w:bodyDiv w:val="1"/>
      <w:marLeft w:val="0"/>
      <w:marRight w:val="0"/>
      <w:marTop w:val="0"/>
      <w:marBottom w:val="0"/>
      <w:divBdr>
        <w:top w:val="none" w:sz="0" w:space="0" w:color="auto"/>
        <w:left w:val="none" w:sz="0" w:space="0" w:color="auto"/>
        <w:bottom w:val="none" w:sz="0" w:space="0" w:color="auto"/>
        <w:right w:val="none" w:sz="0" w:space="0" w:color="auto"/>
      </w:divBdr>
    </w:div>
    <w:div w:id="1790971679">
      <w:bodyDiv w:val="1"/>
      <w:marLeft w:val="0"/>
      <w:marRight w:val="0"/>
      <w:marTop w:val="0"/>
      <w:marBottom w:val="0"/>
      <w:divBdr>
        <w:top w:val="none" w:sz="0" w:space="0" w:color="auto"/>
        <w:left w:val="none" w:sz="0" w:space="0" w:color="auto"/>
        <w:bottom w:val="none" w:sz="0" w:space="0" w:color="auto"/>
        <w:right w:val="none" w:sz="0" w:space="0" w:color="auto"/>
      </w:divBdr>
    </w:div>
    <w:div w:id="1878590928">
      <w:bodyDiv w:val="1"/>
      <w:marLeft w:val="0"/>
      <w:marRight w:val="0"/>
      <w:marTop w:val="0"/>
      <w:marBottom w:val="0"/>
      <w:divBdr>
        <w:top w:val="none" w:sz="0" w:space="0" w:color="auto"/>
        <w:left w:val="none" w:sz="0" w:space="0" w:color="auto"/>
        <w:bottom w:val="none" w:sz="0" w:space="0" w:color="auto"/>
        <w:right w:val="none" w:sz="0" w:space="0" w:color="auto"/>
      </w:divBdr>
    </w:div>
    <w:div w:id="1935556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hyperlink" Target="https://www.investopedia.com/terms/b/bop.asp" TargetMode="External"/><Relationship Id="rId39" Type="http://schemas.openxmlformats.org/officeDocument/2006/relationships/hyperlink" Target="https://www.investing.com/rates-bonds/world-government-bonds?maturity_from=10&amp;maturity_to=310" TargetMode="External"/><Relationship Id="rId21" Type="http://schemas.openxmlformats.org/officeDocument/2006/relationships/chart" Target="charts/chart14.xml"/><Relationship Id="rId34" Type="http://schemas.openxmlformats.org/officeDocument/2006/relationships/hyperlink" Target="http://doi.org/10.9770/jesi.2021.9.2(25)" TargetMode="External"/><Relationship Id="rId42" Type="http://schemas.openxmlformats.org/officeDocument/2006/relationships/hyperlink" Target="https://bank.gov.ua/ua/statistic/sector-external" TargetMode="External"/><Relationship Id="rId47" Type="http://schemas.openxmlformats.org/officeDocument/2006/relationships/hyperlink" Target="http://data.imf.org/?sk=7A51304B-6426-40C0-83DD-CA473CA1FD52&amp;sId=1542635306163" TargetMode="External"/><Relationship Id="rId50" Type="http://schemas.openxmlformats.org/officeDocument/2006/relationships/hyperlink" Target="http://data.imf.org/?sk=7A51304B-6426-40C0-83DD-CA473CA1FD52&amp;sId=1542635306163" TargetMode="External"/><Relationship Id="rId55" Type="http://schemas.openxmlformats.org/officeDocument/2006/relationships/hyperlink" Target="http://data.imf.org/?sk=7A51304B-6426-40C0-83DD-CA473CA1FD52&amp;sId=1542635306163"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hyperlink" Target="https://bti-project.org/fileadmin/api/content/en/downloads/reports/country_report_2022_SVK.pdf" TargetMode="External"/><Relationship Id="rId41" Type="http://schemas.openxmlformats.org/officeDocument/2006/relationships/hyperlink" Target="https://www.ukrstat.gov.ua/" TargetMode="External"/><Relationship Id="rId54" Type="http://schemas.openxmlformats.org/officeDocument/2006/relationships/hyperlink" Target="http://data.imf.org/?sk=7A51304B-6426-40C0-83DD-CA473CA1FD52&amp;sId=1542635306163"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chart" Target="charts/chart17.xml"/><Relationship Id="rId32" Type="http://schemas.openxmlformats.org/officeDocument/2006/relationships/hyperlink" Target="https://taxjustice.net/country-profiles/poland/" TargetMode="External"/><Relationship Id="rId37" Type="http://schemas.openxmlformats.org/officeDocument/2006/relationships/hyperlink" Target="https://databank.worldbank.org/reports.aspx?source=2&amp;series=NY.GDP.MKTP.CD&amp;country" TargetMode="External"/><Relationship Id="rId40" Type="http://schemas.openxmlformats.org/officeDocument/2006/relationships/hyperlink" Target="https://www.xe.com/currencyconverter/convert/?Amount=1&amp;amp;From=DKK&amp;amp;To=USD" TargetMode="External"/><Relationship Id="rId45" Type="http://schemas.openxmlformats.org/officeDocument/2006/relationships/hyperlink" Target="http://data.imf.org/?sk=7A51304B-6426-40C0-83DD-CA473CA1FD52&amp;sId=1542635306163" TargetMode="External"/><Relationship Id="rId53" Type="http://schemas.openxmlformats.org/officeDocument/2006/relationships/hyperlink" Target="http://data.imf.org/?sk=7A51304B-6426-40C0-83DD-CA473CA1FD52&amp;sId=1542635306163" TargetMode="External"/><Relationship Id="rId58" Type="http://schemas.openxmlformats.org/officeDocument/2006/relationships/hyperlink" Target="http://data.imf.org/?sk=7A51304B-6426-40C0-83DD-CA473CA1FD52&amp;sId=1542635306163" TargetMode="Externa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hyperlink" Target="https://bti-project.org/fileadmin/api/content/en/downloads/reports/country_report_2022_POL.pdf" TargetMode="External"/><Relationship Id="rId36" Type="http://schemas.openxmlformats.org/officeDocument/2006/relationships/hyperlink" Target="https://data.imf.org/?sk=7A51304B-6426-40C0-83DD-CA473CA1FD52&amp;sId=1542633711584" TargetMode="External"/><Relationship Id="rId49" Type="http://schemas.openxmlformats.org/officeDocument/2006/relationships/hyperlink" Target="http://data.imf.org/?sk=7A51304B-6426-40C0-83DD-CA473CA1FD52&amp;sId=1542635306163" TargetMode="External"/><Relationship Id="rId57" Type="http://schemas.openxmlformats.org/officeDocument/2006/relationships/hyperlink" Target="http://data.imf.org/?sk=7A51304B-6426-40C0-83DD-CA473CA1FD52&amp;sId=1542635306163" TargetMode="External"/><Relationship Id="rId61" Type="http://schemas.openxmlformats.org/officeDocument/2006/relationships/header" Target="header1.xm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hyperlink" Target="https://ssrn.com/abstract=3631765" TargetMode="External"/><Relationship Id="rId44" Type="http://schemas.openxmlformats.org/officeDocument/2006/relationships/hyperlink" Target="http://echas.vnu.edu.ua/index.php/echas/article/view/757" TargetMode="External"/><Relationship Id="rId52" Type="http://schemas.openxmlformats.org/officeDocument/2006/relationships/hyperlink" Target="http://data.imf.org/?sk=7A51304B-6426-40C0-83DD-CA473CA1FD52&amp;sId=1542635306163" TargetMode="External"/><Relationship Id="rId60" Type="http://schemas.openxmlformats.org/officeDocument/2006/relationships/hyperlink" Target="http://data.imf.org/?sk=7A51304B-6426-40C0-83DD-CA473CA1FD52&amp;sId=1542635306163"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hyperlink" Target="https://eur-lex.europa.eu/legal-content/EN/TXT/PDF/?uri=CELEX:12012E/TXT&amp;from=EN" TargetMode="External"/><Relationship Id="rId30" Type="http://schemas.openxmlformats.org/officeDocument/2006/relationships/hyperlink" Target="http://doi.org/10.26650/siyasal.2022.31.945806" TargetMode="External"/><Relationship Id="rId35" Type="http://schemas.openxmlformats.org/officeDocument/2006/relationships/hyperlink" Target="https://doi.org/10.32782/easterneurope.36-2" TargetMode="External"/><Relationship Id="rId43" Type="http://schemas.openxmlformats.org/officeDocument/2006/relationships/hyperlink" Target="https://evnuir.vnu.edu.ua/handle/123456789/19689" TargetMode="External"/><Relationship Id="rId48" Type="http://schemas.openxmlformats.org/officeDocument/2006/relationships/hyperlink" Target="http://data.imf.org/?sk=7A51304B-6426-40C0-83DD-CA473CA1FD52&amp;sId=1542635306163" TargetMode="External"/><Relationship Id="rId56" Type="http://schemas.openxmlformats.org/officeDocument/2006/relationships/hyperlink" Target="http://data.imf.org/?sk=7A51304B-6426-40C0-83DD-CA473CA1FD52&amp;sId=1542635306163" TargetMode="External"/><Relationship Id="rId8" Type="http://schemas.openxmlformats.org/officeDocument/2006/relationships/chart" Target="charts/chart1.xml"/><Relationship Id="rId51" Type="http://schemas.openxmlformats.org/officeDocument/2006/relationships/hyperlink" Target="http://data.imf.org/?sk=7A51304B-6426-40C0-83DD-CA473CA1FD52&amp;sId=1542635306163" TargetMode="External"/><Relationship Id="rId3" Type="http://schemas.microsoft.com/office/2007/relationships/stylesWithEffects" Target="stylesWithEffect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yperlink" Target="https://www.epravda.com.ua/columns/2022/10/24/692959/" TargetMode="External"/><Relationship Id="rId33" Type="http://schemas.openxmlformats.org/officeDocument/2006/relationships/hyperlink" Target="https://taxjustice.net/country-profiles/slovakia/" TargetMode="External"/><Relationship Id="rId38" Type="http://schemas.openxmlformats.org/officeDocument/2006/relationships/hyperlink" Target="https://tradingeconomics.com/country-list/lending-rate" TargetMode="External"/><Relationship Id="rId46" Type="http://schemas.openxmlformats.org/officeDocument/2006/relationships/hyperlink" Target="http://data.imf.org/?sk=7A51304B-6426-40C0-83DD-CA473CA1FD52&amp;sId=1542635306163" TargetMode="External"/><Relationship Id="rId59" Type="http://schemas.openxmlformats.org/officeDocument/2006/relationships/hyperlink" Target="http://data.imf.org/?sk=7A51304B-6426-40C0-83DD-CA473CA1FD52&amp;sId=1542635306163"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Excel_Worksheet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Excel_Worksheet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Microsoft_Excel_Worksheet17.xlsx"/><Relationship Id="rId1" Type="http://schemas.openxmlformats.org/officeDocument/2006/relationships/themeOverride" Target="../theme/themeOverride17.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Польща</a:t>
            </a:r>
          </a:p>
        </c:rich>
      </c:tx>
      <c:overlay val="1"/>
      <c:spPr>
        <a:noFill/>
        <a:ln>
          <a:noFill/>
        </a:ln>
        <a:effectLst/>
      </c:spPr>
    </c:title>
    <c:autoTitleDeleted val="0"/>
    <c:plotArea>
      <c:layout>
        <c:manualLayout>
          <c:layoutTarget val="inner"/>
          <c:xMode val="edge"/>
          <c:yMode val="edge"/>
          <c:x val="9.4822697724582183E-2"/>
          <c:y val="5.0925925925925923E-2"/>
          <c:w val="0.88163530120532685"/>
          <c:h val="0.68589822105570142"/>
        </c:manualLayout>
      </c:layout>
      <c:lineChart>
        <c:grouping val="standard"/>
        <c:varyColors val="0"/>
        <c:ser>
          <c:idx val="0"/>
          <c:order val="0"/>
          <c:tx>
            <c:strRef>
              <c:f>Лист2!$A$3</c:f>
              <c:strCache>
                <c:ptCount val="1"/>
                <c:pt idx="0">
                  <c:v>Експорт товарів</c:v>
                </c:pt>
              </c:strCache>
            </c:strRef>
          </c:tx>
          <c:spPr>
            <a:ln w="28575" cap="rnd">
              <a:solidFill>
                <a:srgbClr val="4472C4"/>
              </a:solidFill>
              <a:round/>
            </a:ln>
            <a:effectLst/>
          </c:spPr>
          <c:marker>
            <c:symbol val="square"/>
            <c:size val="5"/>
            <c:spPr>
              <a:solidFill>
                <a:srgbClr val="4472C4"/>
              </a:solidFill>
              <a:ln w="9525">
                <a:noFill/>
              </a:ln>
              <a:effectLst/>
            </c:spPr>
          </c:marker>
          <c:cat>
            <c:strRef>
              <c:f>Лист2!$B$2:$S$2</c:f>
              <c:strCache>
                <c:ptCount val="18"/>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strCache>
            </c:strRef>
          </c:cat>
          <c:val>
            <c:numRef>
              <c:f>Лист2!$B$3:$S$3</c:f>
              <c:numCache>
                <c:formatCode>#,##0</c:formatCode>
                <c:ptCount val="18"/>
                <c:pt idx="0">
                  <c:v>61666</c:v>
                </c:pt>
                <c:pt idx="1">
                  <c:v>61312</c:v>
                </c:pt>
                <c:pt idx="2">
                  <c:v>58431</c:v>
                </c:pt>
                <c:pt idx="3">
                  <c:v>60819</c:v>
                </c:pt>
                <c:pt idx="4">
                  <c:v>62456</c:v>
                </c:pt>
                <c:pt idx="5">
                  <c:v>61532</c:v>
                </c:pt>
                <c:pt idx="6">
                  <c:v>59895</c:v>
                </c:pt>
                <c:pt idx="7">
                  <c:v>62764</c:v>
                </c:pt>
                <c:pt idx="8">
                  <c:v>61938</c:v>
                </c:pt>
                <c:pt idx="9">
                  <c:v>50226</c:v>
                </c:pt>
                <c:pt idx="10">
                  <c:v>65687</c:v>
                </c:pt>
                <c:pt idx="11">
                  <c:v>74504</c:v>
                </c:pt>
                <c:pt idx="12">
                  <c:v>74732</c:v>
                </c:pt>
                <c:pt idx="13">
                  <c:v>79383</c:v>
                </c:pt>
                <c:pt idx="14">
                  <c:v>75665</c:v>
                </c:pt>
                <c:pt idx="15">
                  <c:v>81811</c:v>
                </c:pt>
                <c:pt idx="16">
                  <c:v>83016</c:v>
                </c:pt>
                <c:pt idx="17">
                  <c:v>85747</c:v>
                </c:pt>
              </c:numCache>
            </c:numRef>
          </c:val>
          <c:smooth val="0"/>
          <c:extLst xmlns:c16r2="http://schemas.microsoft.com/office/drawing/2015/06/chart">
            <c:ext xmlns:c16="http://schemas.microsoft.com/office/drawing/2014/chart" uri="{C3380CC4-5D6E-409C-BE32-E72D297353CC}">
              <c16:uniqueId val="{00000000-225A-465C-B0FA-915B053895EC}"/>
            </c:ext>
          </c:extLst>
        </c:ser>
        <c:ser>
          <c:idx val="1"/>
          <c:order val="1"/>
          <c:tx>
            <c:strRef>
              <c:f>Лист2!$A$4</c:f>
              <c:strCache>
                <c:ptCount val="1"/>
                <c:pt idx="0">
                  <c:v>Імпорт товарів</c:v>
                </c:pt>
              </c:strCache>
            </c:strRef>
          </c:tx>
          <c:spPr>
            <a:ln w="28575" cap="rnd">
              <a:solidFill>
                <a:schemeClr val="accent2"/>
              </a:solidFill>
              <a:round/>
            </a:ln>
            <a:effectLst/>
          </c:spPr>
          <c:marker>
            <c:symbol val="circle"/>
            <c:size val="7"/>
            <c:spPr>
              <a:solidFill>
                <a:schemeClr val="accent2"/>
              </a:solidFill>
              <a:ln w="9525">
                <a:solidFill>
                  <a:schemeClr val="accent2"/>
                </a:solidFill>
              </a:ln>
              <a:effectLst/>
            </c:spPr>
          </c:marker>
          <c:cat>
            <c:strRef>
              <c:f>Лист2!$B$2:$S$2</c:f>
              <c:strCache>
                <c:ptCount val="18"/>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strCache>
            </c:strRef>
          </c:cat>
          <c:val>
            <c:numRef>
              <c:f>Лист2!$B$4:$S$4</c:f>
              <c:numCache>
                <c:formatCode>#,##0</c:formatCode>
                <c:ptCount val="18"/>
                <c:pt idx="0">
                  <c:v>65076</c:v>
                </c:pt>
                <c:pt idx="1">
                  <c:v>63586</c:v>
                </c:pt>
                <c:pt idx="2">
                  <c:v>61635</c:v>
                </c:pt>
                <c:pt idx="3">
                  <c:v>65171</c:v>
                </c:pt>
                <c:pt idx="4">
                  <c:v>63466</c:v>
                </c:pt>
                <c:pt idx="5">
                  <c:v>63060</c:v>
                </c:pt>
                <c:pt idx="6">
                  <c:v>61592</c:v>
                </c:pt>
                <c:pt idx="7">
                  <c:v>63407</c:v>
                </c:pt>
                <c:pt idx="8">
                  <c:v>62749</c:v>
                </c:pt>
                <c:pt idx="9">
                  <c:v>47563</c:v>
                </c:pt>
                <c:pt idx="10">
                  <c:v>63425</c:v>
                </c:pt>
                <c:pt idx="11">
                  <c:v>70507</c:v>
                </c:pt>
                <c:pt idx="12">
                  <c:v>73341</c:v>
                </c:pt>
                <c:pt idx="13">
                  <c:v>78226</c:v>
                </c:pt>
                <c:pt idx="14">
                  <c:v>80365</c:v>
                </c:pt>
                <c:pt idx="15">
                  <c:v>88386</c:v>
                </c:pt>
                <c:pt idx="16">
                  <c:v>90859</c:v>
                </c:pt>
                <c:pt idx="17">
                  <c:v>91230</c:v>
                </c:pt>
              </c:numCache>
            </c:numRef>
          </c:val>
          <c:smooth val="0"/>
          <c:extLst xmlns:c16r2="http://schemas.microsoft.com/office/drawing/2015/06/chart">
            <c:ext xmlns:c16="http://schemas.microsoft.com/office/drawing/2014/chart" uri="{C3380CC4-5D6E-409C-BE32-E72D297353CC}">
              <c16:uniqueId val="{00000001-225A-465C-B0FA-915B053895EC}"/>
            </c:ext>
          </c:extLst>
        </c:ser>
        <c:dLbls>
          <c:showLegendKey val="0"/>
          <c:showVal val="0"/>
          <c:showCatName val="0"/>
          <c:showSerName val="0"/>
          <c:showPercent val="0"/>
          <c:showBubbleSize val="0"/>
        </c:dLbls>
        <c:marker val="1"/>
        <c:smooth val="0"/>
        <c:axId val="26888064"/>
        <c:axId val="26890240"/>
      </c:lineChart>
      <c:catAx>
        <c:axId val="26888064"/>
        <c:scaling>
          <c:orientation val="minMax"/>
        </c:scaling>
        <c:delete val="0"/>
        <c:axPos val="b"/>
        <c:numFmt formatCode="General" sourceLinked="1"/>
        <c:majorTickMark val="cross"/>
        <c:minorTickMark val="none"/>
        <c:tickLblPos val="nextTo"/>
        <c:spPr>
          <a:noFill/>
          <a:ln w="12700" cap="flat" cmpd="sng" algn="ctr">
            <a:solidFill>
              <a:sysClr val="windowText" lastClr="000000"/>
            </a:solidFill>
            <a:round/>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6890240"/>
        <c:crosses val="autoZero"/>
        <c:auto val="1"/>
        <c:lblAlgn val="ctr"/>
        <c:lblOffset val="100"/>
        <c:tickMarkSkip val="1"/>
        <c:noMultiLvlLbl val="0"/>
      </c:catAx>
      <c:valAx>
        <c:axId val="26890240"/>
        <c:scaling>
          <c:orientation val="minMax"/>
          <c:max val="95000"/>
          <c:min val="4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6888064"/>
        <c:crosses val="autoZero"/>
        <c:crossBetween val="between"/>
        <c:majorUnit val="5000"/>
      </c:valAx>
      <c:spPr>
        <a:noFill/>
        <a:ln>
          <a:noFill/>
        </a:ln>
        <a:effectLst/>
      </c:spPr>
    </c:plotArea>
    <c:legend>
      <c:legendPos val="b"/>
      <c:layout>
        <c:manualLayout>
          <c:xMode val="edge"/>
          <c:yMode val="edge"/>
          <c:x val="0.26627924318448959"/>
          <c:y val="0.91220290172061824"/>
          <c:w val="0.46744134511275975"/>
          <c:h val="7.8537839020122485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Словаччина</a:t>
            </a:r>
          </a:p>
        </c:rich>
      </c:tx>
      <c:overlay val="1"/>
      <c:spPr>
        <a:noFill/>
        <a:ln>
          <a:noFill/>
        </a:ln>
        <a:effectLst/>
      </c:spPr>
    </c:title>
    <c:autoTitleDeleted val="0"/>
    <c:plotArea>
      <c:layout>
        <c:manualLayout>
          <c:layoutTarget val="inner"/>
          <c:xMode val="edge"/>
          <c:yMode val="edge"/>
          <c:x val="9.1096007026096687E-2"/>
          <c:y val="5.0925925925925923E-2"/>
          <c:w val="0.88535443185208784"/>
          <c:h val="0.67527631962671331"/>
        </c:manualLayout>
      </c:layout>
      <c:lineChart>
        <c:grouping val="standard"/>
        <c:varyColors val="0"/>
        <c:ser>
          <c:idx val="0"/>
          <c:order val="0"/>
          <c:tx>
            <c:strRef>
              <c:f>Лист3!$A$41</c:f>
              <c:strCache>
                <c:ptCount val="1"/>
                <c:pt idx="0">
                  <c:v>Прямі інвестиції, активи</c:v>
                </c:pt>
              </c:strCache>
            </c:strRef>
          </c:tx>
          <c:spPr>
            <a:ln w="28575" cap="rnd">
              <a:solidFill>
                <a:srgbClr val="4472C4"/>
              </a:solidFill>
              <a:round/>
            </a:ln>
            <a:effectLst/>
          </c:spPr>
          <c:marker>
            <c:symbol val="square"/>
            <c:size val="5"/>
            <c:spPr>
              <a:solidFill>
                <a:srgbClr val="4472C4"/>
              </a:solidFill>
              <a:ln w="9525">
                <a:noFill/>
              </a:ln>
              <a:effectLst/>
            </c:spPr>
          </c:marker>
          <c:cat>
            <c:strRef>
              <c:f>Лист3!$B$27:$T$27</c:f>
              <c:strCache>
                <c:ptCount val="19"/>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pt idx="18">
                  <c:v>2022Q3</c:v>
                </c:pt>
              </c:strCache>
            </c:strRef>
          </c:cat>
          <c:val>
            <c:numRef>
              <c:f>Лист3!$B$29:$T$29</c:f>
              <c:numCache>
                <c:formatCode>#,##0</c:formatCode>
                <c:ptCount val="19"/>
                <c:pt idx="0">
                  <c:v>921.12155871429684</c:v>
                </c:pt>
                <c:pt idx="1">
                  <c:v>732.44255744763404</c:v>
                </c:pt>
                <c:pt idx="2">
                  <c:v>-339.4718913046043</c:v>
                </c:pt>
                <c:pt idx="3">
                  <c:v>-356.11156870000013</c:v>
                </c:pt>
                <c:pt idx="4">
                  <c:v>371.80840639999053</c:v>
                </c:pt>
                <c:pt idx="5">
                  <c:v>73.604597400000017</c:v>
                </c:pt>
                <c:pt idx="6">
                  <c:v>-359.89017308787083</c:v>
                </c:pt>
                <c:pt idx="7">
                  <c:v>-256.4345922624999</c:v>
                </c:pt>
                <c:pt idx="8">
                  <c:v>941.75624285624986</c:v>
                </c:pt>
                <c:pt idx="9">
                  <c:v>580.19347785806121</c:v>
                </c:pt>
                <c:pt idx="10">
                  <c:v>475.38776111060361</c:v>
                </c:pt>
                <c:pt idx="11">
                  <c:v>-372.44437186462744</c:v>
                </c:pt>
                <c:pt idx="12">
                  <c:v>2220.9510391809181</c:v>
                </c:pt>
                <c:pt idx="13">
                  <c:v>-964.91431275551997</c:v>
                </c:pt>
                <c:pt idx="14">
                  <c:v>-443.87892706667259</c:v>
                </c:pt>
                <c:pt idx="15">
                  <c:v>492.24781523486666</c:v>
                </c:pt>
                <c:pt idx="16">
                  <c:v>755.60809732187499</c:v>
                </c:pt>
                <c:pt idx="17">
                  <c:v>-250.14752947143307</c:v>
                </c:pt>
                <c:pt idx="18">
                  <c:v>712.99255456969286</c:v>
                </c:pt>
              </c:numCache>
            </c:numRef>
          </c:val>
          <c:smooth val="0"/>
          <c:extLst xmlns:c16r2="http://schemas.microsoft.com/office/drawing/2015/06/chart">
            <c:ext xmlns:c16="http://schemas.microsoft.com/office/drawing/2014/chart" uri="{C3380CC4-5D6E-409C-BE32-E72D297353CC}">
              <c16:uniqueId val="{00000000-ECE1-4771-8369-1543FAE52DB4}"/>
            </c:ext>
          </c:extLst>
        </c:ser>
        <c:ser>
          <c:idx val="1"/>
          <c:order val="1"/>
          <c:tx>
            <c:strRef>
              <c:f>Лист3!$A$42</c:f>
              <c:strCache>
                <c:ptCount val="1"/>
                <c:pt idx="0">
                  <c:v>Прямі інвестиції, зобов'язання</c:v>
                </c:pt>
              </c:strCache>
            </c:strRef>
          </c:tx>
          <c:spPr>
            <a:ln w="28575" cap="rnd">
              <a:solidFill>
                <a:schemeClr val="accent2"/>
              </a:solidFill>
              <a:round/>
            </a:ln>
            <a:effectLst/>
          </c:spPr>
          <c:marker>
            <c:symbol val="circle"/>
            <c:size val="7"/>
            <c:spPr>
              <a:solidFill>
                <a:schemeClr val="accent2"/>
              </a:solidFill>
              <a:ln w="9525">
                <a:solidFill>
                  <a:schemeClr val="accent2"/>
                </a:solidFill>
              </a:ln>
              <a:effectLst/>
            </c:spPr>
          </c:marker>
          <c:cat>
            <c:strRef>
              <c:f>Лист3!$B$27:$T$27</c:f>
              <c:strCache>
                <c:ptCount val="19"/>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pt idx="18">
                  <c:v>2022Q3</c:v>
                </c:pt>
              </c:strCache>
            </c:strRef>
          </c:cat>
          <c:val>
            <c:numRef>
              <c:f>Лист3!$B$30:$T$30</c:f>
              <c:numCache>
                <c:formatCode>#,##0</c:formatCode>
                <c:ptCount val="19"/>
                <c:pt idx="0">
                  <c:v>1013.2548570714407</c:v>
                </c:pt>
                <c:pt idx="1">
                  <c:v>-278.39770721429147</c:v>
                </c:pt>
                <c:pt idx="2">
                  <c:v>780.71743655074374</c:v>
                </c:pt>
                <c:pt idx="3">
                  <c:v>735.27624566250017</c:v>
                </c:pt>
                <c:pt idx="4">
                  <c:v>677.49447177141133</c:v>
                </c:pt>
                <c:pt idx="5">
                  <c:v>0.17754460000000002</c:v>
                </c:pt>
                <c:pt idx="6">
                  <c:v>557.8048051787755</c:v>
                </c:pt>
                <c:pt idx="7">
                  <c:v>1044.3344327312498</c:v>
                </c:pt>
                <c:pt idx="8">
                  <c:v>924.73556862499981</c:v>
                </c:pt>
                <c:pt idx="9">
                  <c:v>-208.6230236516117</c:v>
                </c:pt>
                <c:pt idx="10">
                  <c:v>-1487.4890093681743</c:v>
                </c:pt>
                <c:pt idx="11">
                  <c:v>-370.32697709539656</c:v>
                </c:pt>
                <c:pt idx="12">
                  <c:v>1420.8816165333117</c:v>
                </c:pt>
                <c:pt idx="13">
                  <c:v>-679.16173722219719</c:v>
                </c:pt>
                <c:pt idx="14">
                  <c:v>-62.618954313637197</c:v>
                </c:pt>
                <c:pt idx="15">
                  <c:v>291.80261576667743</c:v>
                </c:pt>
                <c:pt idx="16">
                  <c:v>1209.7455719125001</c:v>
                </c:pt>
                <c:pt idx="17">
                  <c:v>377.81425508095913</c:v>
                </c:pt>
                <c:pt idx="18">
                  <c:v>1671.4881466605964</c:v>
                </c:pt>
              </c:numCache>
            </c:numRef>
          </c:val>
          <c:smooth val="0"/>
          <c:extLst xmlns:c16r2="http://schemas.microsoft.com/office/drawing/2015/06/chart">
            <c:ext xmlns:c16="http://schemas.microsoft.com/office/drawing/2014/chart" uri="{C3380CC4-5D6E-409C-BE32-E72D297353CC}">
              <c16:uniqueId val="{00000001-ECE1-4771-8369-1543FAE52DB4}"/>
            </c:ext>
          </c:extLst>
        </c:ser>
        <c:dLbls>
          <c:showLegendKey val="0"/>
          <c:showVal val="0"/>
          <c:showCatName val="0"/>
          <c:showSerName val="0"/>
          <c:showPercent val="0"/>
          <c:showBubbleSize val="0"/>
        </c:dLbls>
        <c:marker val="1"/>
        <c:smooth val="0"/>
        <c:axId val="91503616"/>
        <c:axId val="91505792"/>
      </c:lineChart>
      <c:catAx>
        <c:axId val="91503616"/>
        <c:scaling>
          <c:orientation val="minMax"/>
        </c:scaling>
        <c:delete val="0"/>
        <c:axPos val="b"/>
        <c:numFmt formatCode="General" sourceLinked="1"/>
        <c:majorTickMark val="cross"/>
        <c:minorTickMark val="none"/>
        <c:tickLblPos val="low"/>
        <c:spPr>
          <a:noFill/>
          <a:ln w="12700" cap="flat" cmpd="sng" algn="ctr">
            <a:solidFill>
              <a:sysClr val="windowText" lastClr="000000"/>
            </a:solidFill>
            <a:round/>
            <a:tailEnd type="triangle"/>
          </a:ln>
          <a:effectLst/>
        </c:spPr>
        <c:txPr>
          <a:bodyPr rot="-3780000" spcFirstLastPara="1" vertOverflow="ellipsis"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1505792"/>
        <c:crosses val="autoZero"/>
        <c:auto val="1"/>
        <c:lblAlgn val="ctr"/>
        <c:lblOffset val="100"/>
        <c:tickMarkSkip val="1"/>
        <c:noMultiLvlLbl val="0"/>
      </c:catAx>
      <c:valAx>
        <c:axId val="91505792"/>
        <c:scaling>
          <c:orientation val="minMax"/>
          <c:max val="3200"/>
          <c:min val="-2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1503616"/>
        <c:crosses val="autoZero"/>
        <c:crossBetween val="between"/>
        <c:majorUnit val="500"/>
      </c:valAx>
      <c:spPr>
        <a:noFill/>
        <a:ln>
          <a:noFill/>
        </a:ln>
        <a:effectLst/>
      </c:spPr>
    </c:plotArea>
    <c:legend>
      <c:legendPos val="b"/>
      <c:layout>
        <c:manualLayout>
          <c:xMode val="edge"/>
          <c:yMode val="edge"/>
          <c:x val="0.13709704880338897"/>
          <c:y val="0.92146216097987754"/>
          <c:w val="0.72580590239322207"/>
          <c:h val="7.8537839020122485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Польща</a:t>
            </a:r>
          </a:p>
        </c:rich>
      </c:tx>
      <c:overlay val="1"/>
      <c:spPr>
        <a:noFill/>
        <a:ln>
          <a:noFill/>
        </a:ln>
        <a:effectLst/>
      </c:spPr>
    </c:title>
    <c:autoTitleDeleted val="0"/>
    <c:plotArea>
      <c:layout/>
      <c:lineChart>
        <c:grouping val="standard"/>
        <c:varyColors val="0"/>
        <c:ser>
          <c:idx val="0"/>
          <c:order val="0"/>
          <c:tx>
            <c:strRef>
              <c:f>Лист3!$A$18</c:f>
              <c:strCache>
                <c:ptCount val="1"/>
                <c:pt idx="0">
                  <c:v>Портфельні інвестиції, активи</c:v>
                </c:pt>
              </c:strCache>
            </c:strRef>
          </c:tx>
          <c:spPr>
            <a:ln w="28575" cap="rnd">
              <a:solidFill>
                <a:srgbClr val="4472C4"/>
              </a:solidFill>
              <a:round/>
            </a:ln>
            <a:effectLst/>
          </c:spPr>
          <c:marker>
            <c:symbol val="square"/>
            <c:size val="5"/>
            <c:spPr>
              <a:solidFill>
                <a:srgbClr val="4472C4"/>
              </a:solidFill>
              <a:ln w="9525">
                <a:noFill/>
              </a:ln>
              <a:effectLst/>
            </c:spPr>
          </c:marker>
          <c:cat>
            <c:strRef>
              <c:f>Лист3!$B$1:$S$1</c:f>
              <c:strCache>
                <c:ptCount val="18"/>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strCache>
            </c:strRef>
          </c:cat>
          <c:val>
            <c:numRef>
              <c:f>Лист3!$B$5:$S$5</c:f>
              <c:numCache>
                <c:formatCode>#,##0</c:formatCode>
                <c:ptCount val="18"/>
                <c:pt idx="0">
                  <c:v>1273</c:v>
                </c:pt>
                <c:pt idx="1">
                  <c:v>-668</c:v>
                </c:pt>
                <c:pt idx="2">
                  <c:v>616</c:v>
                </c:pt>
                <c:pt idx="3">
                  <c:v>-591</c:v>
                </c:pt>
                <c:pt idx="4">
                  <c:v>1003</c:v>
                </c:pt>
                <c:pt idx="5">
                  <c:v>-129</c:v>
                </c:pt>
                <c:pt idx="6">
                  <c:v>-954</c:v>
                </c:pt>
                <c:pt idx="7">
                  <c:v>-203</c:v>
                </c:pt>
                <c:pt idx="8">
                  <c:v>-851</c:v>
                </c:pt>
                <c:pt idx="9">
                  <c:v>2541</c:v>
                </c:pt>
                <c:pt idx="10">
                  <c:v>1055</c:v>
                </c:pt>
                <c:pt idx="11">
                  <c:v>-7020</c:v>
                </c:pt>
                <c:pt idx="12">
                  <c:v>3041</c:v>
                </c:pt>
                <c:pt idx="13">
                  <c:v>1138</c:v>
                </c:pt>
                <c:pt idx="14">
                  <c:v>700</c:v>
                </c:pt>
                <c:pt idx="15">
                  <c:v>115</c:v>
                </c:pt>
                <c:pt idx="16">
                  <c:v>-830</c:v>
                </c:pt>
                <c:pt idx="17">
                  <c:v>-12</c:v>
                </c:pt>
              </c:numCache>
            </c:numRef>
          </c:val>
          <c:smooth val="0"/>
          <c:extLst xmlns:c16r2="http://schemas.microsoft.com/office/drawing/2015/06/chart">
            <c:ext xmlns:c16="http://schemas.microsoft.com/office/drawing/2014/chart" uri="{C3380CC4-5D6E-409C-BE32-E72D297353CC}">
              <c16:uniqueId val="{00000000-5E25-45FD-B711-C0BA0410B921}"/>
            </c:ext>
          </c:extLst>
        </c:ser>
        <c:ser>
          <c:idx val="1"/>
          <c:order val="1"/>
          <c:tx>
            <c:strRef>
              <c:f>Лист3!$A$19</c:f>
              <c:strCache>
                <c:ptCount val="1"/>
                <c:pt idx="0">
                  <c:v>Портфельні інвестиції, зобов'язання</c:v>
                </c:pt>
              </c:strCache>
            </c:strRef>
          </c:tx>
          <c:spPr>
            <a:ln w="28575" cap="rnd">
              <a:solidFill>
                <a:schemeClr val="accent2"/>
              </a:solidFill>
              <a:round/>
            </a:ln>
            <a:effectLst/>
          </c:spPr>
          <c:marker>
            <c:symbol val="circle"/>
            <c:size val="7"/>
            <c:spPr>
              <a:solidFill>
                <a:schemeClr val="accent2"/>
              </a:solidFill>
              <a:ln w="9525">
                <a:solidFill>
                  <a:schemeClr val="accent2"/>
                </a:solidFill>
              </a:ln>
              <a:effectLst/>
            </c:spPr>
          </c:marker>
          <c:cat>
            <c:strRef>
              <c:f>Лист3!$B$1:$S$1</c:f>
              <c:strCache>
                <c:ptCount val="18"/>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strCache>
            </c:strRef>
          </c:cat>
          <c:val>
            <c:numRef>
              <c:f>Лист3!$B$6:$S$6</c:f>
              <c:numCache>
                <c:formatCode>#,##0</c:formatCode>
                <c:ptCount val="18"/>
                <c:pt idx="0">
                  <c:v>1177</c:v>
                </c:pt>
                <c:pt idx="1">
                  <c:v>-3346</c:v>
                </c:pt>
                <c:pt idx="2">
                  <c:v>-1197</c:v>
                </c:pt>
                <c:pt idx="3">
                  <c:v>-426</c:v>
                </c:pt>
                <c:pt idx="4">
                  <c:v>-2757</c:v>
                </c:pt>
                <c:pt idx="5">
                  <c:v>-1254</c:v>
                </c:pt>
                <c:pt idx="6">
                  <c:v>-4669</c:v>
                </c:pt>
                <c:pt idx="7">
                  <c:v>-3701</c:v>
                </c:pt>
                <c:pt idx="8">
                  <c:v>-1480</c:v>
                </c:pt>
                <c:pt idx="9">
                  <c:v>-8755</c:v>
                </c:pt>
                <c:pt idx="10">
                  <c:v>274</c:v>
                </c:pt>
                <c:pt idx="11">
                  <c:v>-1125</c:v>
                </c:pt>
                <c:pt idx="12">
                  <c:v>-3144</c:v>
                </c:pt>
                <c:pt idx="13">
                  <c:v>-3303</c:v>
                </c:pt>
                <c:pt idx="14">
                  <c:v>1454</c:v>
                </c:pt>
                <c:pt idx="15">
                  <c:v>-1482</c:v>
                </c:pt>
                <c:pt idx="16">
                  <c:v>-3022</c:v>
                </c:pt>
                <c:pt idx="17">
                  <c:v>4782</c:v>
                </c:pt>
              </c:numCache>
            </c:numRef>
          </c:val>
          <c:smooth val="0"/>
          <c:extLst xmlns:c16r2="http://schemas.microsoft.com/office/drawing/2015/06/chart">
            <c:ext xmlns:c16="http://schemas.microsoft.com/office/drawing/2014/chart" uri="{C3380CC4-5D6E-409C-BE32-E72D297353CC}">
              <c16:uniqueId val="{00000001-5E25-45FD-B711-C0BA0410B921}"/>
            </c:ext>
          </c:extLst>
        </c:ser>
        <c:dLbls>
          <c:showLegendKey val="0"/>
          <c:showVal val="0"/>
          <c:showCatName val="0"/>
          <c:showSerName val="0"/>
          <c:showPercent val="0"/>
          <c:showBubbleSize val="0"/>
        </c:dLbls>
        <c:marker val="1"/>
        <c:smooth val="0"/>
        <c:axId val="91748608"/>
        <c:axId val="91804032"/>
      </c:lineChart>
      <c:catAx>
        <c:axId val="91748608"/>
        <c:scaling>
          <c:orientation val="minMax"/>
        </c:scaling>
        <c:delete val="0"/>
        <c:axPos val="b"/>
        <c:numFmt formatCode="General" sourceLinked="1"/>
        <c:majorTickMark val="cross"/>
        <c:minorTickMark val="none"/>
        <c:tickLblPos val="low"/>
        <c:spPr>
          <a:noFill/>
          <a:ln w="12700" cap="flat" cmpd="sng" algn="ctr">
            <a:solidFill>
              <a:sysClr val="windowText" lastClr="000000"/>
            </a:solidFill>
            <a:round/>
            <a:tailEnd type="triangle"/>
          </a:ln>
          <a:effectLst/>
        </c:spPr>
        <c:txPr>
          <a:bodyPr rot="-2160000" spcFirstLastPara="1" vertOverflow="ellipsis"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1804032"/>
        <c:crosses val="autoZero"/>
        <c:auto val="1"/>
        <c:lblAlgn val="ctr"/>
        <c:lblOffset val="100"/>
        <c:tickMarkSkip val="1"/>
        <c:noMultiLvlLbl val="0"/>
      </c:catAx>
      <c:valAx>
        <c:axId val="91804032"/>
        <c:scaling>
          <c:orientation val="minMax"/>
          <c:max val="8000"/>
          <c:min val="-1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1748608"/>
        <c:crosses val="autoZero"/>
        <c:crossBetween val="between"/>
        <c:majorUnit val="1000"/>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Словаччина</a:t>
            </a:r>
          </a:p>
        </c:rich>
      </c:tx>
      <c:overlay val="1"/>
      <c:spPr>
        <a:noFill/>
        <a:ln>
          <a:noFill/>
        </a:ln>
        <a:effectLst/>
      </c:spPr>
    </c:title>
    <c:autoTitleDeleted val="0"/>
    <c:plotArea>
      <c:layout/>
      <c:lineChart>
        <c:grouping val="standard"/>
        <c:varyColors val="0"/>
        <c:ser>
          <c:idx val="0"/>
          <c:order val="0"/>
          <c:tx>
            <c:strRef>
              <c:f>Лист3!$A$44</c:f>
              <c:strCache>
                <c:ptCount val="1"/>
                <c:pt idx="0">
                  <c:v>Портфельні інвестиції, активи</c:v>
                </c:pt>
              </c:strCache>
            </c:strRef>
          </c:tx>
          <c:spPr>
            <a:ln w="28575" cap="rnd">
              <a:solidFill>
                <a:srgbClr val="4472C4"/>
              </a:solidFill>
              <a:round/>
            </a:ln>
            <a:effectLst/>
          </c:spPr>
          <c:marker>
            <c:symbol val="square"/>
            <c:size val="5"/>
            <c:spPr>
              <a:solidFill>
                <a:srgbClr val="4472C4"/>
              </a:solidFill>
              <a:ln w="9525">
                <a:noFill/>
              </a:ln>
              <a:effectLst/>
            </c:spPr>
          </c:marker>
          <c:cat>
            <c:strRef>
              <c:f>Лист3!$B$27:$T$27</c:f>
              <c:strCache>
                <c:ptCount val="19"/>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pt idx="18">
                  <c:v>2022Q3</c:v>
                </c:pt>
              </c:strCache>
            </c:strRef>
          </c:cat>
          <c:val>
            <c:numRef>
              <c:f>Лист3!$B$31:$T$31</c:f>
              <c:numCache>
                <c:formatCode>#,##0</c:formatCode>
                <c:ptCount val="19"/>
                <c:pt idx="0">
                  <c:v>1108.136678571442</c:v>
                </c:pt>
                <c:pt idx="1">
                  <c:v>949.14131333335297</c:v>
                </c:pt>
                <c:pt idx="2">
                  <c:v>1694.23125138456</c:v>
                </c:pt>
                <c:pt idx="3">
                  <c:v>1519.4483200000002</c:v>
                </c:pt>
                <c:pt idx="4">
                  <c:v>317.67526857142047</c:v>
                </c:pt>
                <c:pt idx="5">
                  <c:v>651.63363000000015</c:v>
                </c:pt>
                <c:pt idx="6">
                  <c:v>645.37138303028871</c:v>
                </c:pt>
                <c:pt idx="7">
                  <c:v>722.71895999999992</c:v>
                </c:pt>
                <c:pt idx="8">
                  <c:v>724.33796984374987</c:v>
                </c:pt>
                <c:pt idx="9">
                  <c:v>2306.9093258064386</c:v>
                </c:pt>
                <c:pt idx="10">
                  <c:v>574.16888969696674</c:v>
                </c:pt>
                <c:pt idx="11">
                  <c:v>1267.693195076964</c:v>
                </c:pt>
                <c:pt idx="12">
                  <c:v>2488.6127571428187</c:v>
                </c:pt>
                <c:pt idx="13">
                  <c:v>2397.5805088888005</c:v>
                </c:pt>
                <c:pt idx="14">
                  <c:v>1430.2362016666855</c:v>
                </c:pt>
                <c:pt idx="15">
                  <c:v>1111.6213889394351</c:v>
                </c:pt>
                <c:pt idx="16">
                  <c:v>1470.4160471875</c:v>
                </c:pt>
                <c:pt idx="17">
                  <c:v>1236.3808100000222</c:v>
                </c:pt>
                <c:pt idx="18">
                  <c:v>225.45847969696837</c:v>
                </c:pt>
              </c:numCache>
            </c:numRef>
          </c:val>
          <c:smooth val="0"/>
          <c:extLst xmlns:c16r2="http://schemas.microsoft.com/office/drawing/2015/06/chart">
            <c:ext xmlns:c16="http://schemas.microsoft.com/office/drawing/2014/chart" uri="{C3380CC4-5D6E-409C-BE32-E72D297353CC}">
              <c16:uniqueId val="{00000000-8277-405B-9FD9-95469F27E56F}"/>
            </c:ext>
          </c:extLst>
        </c:ser>
        <c:ser>
          <c:idx val="1"/>
          <c:order val="1"/>
          <c:tx>
            <c:strRef>
              <c:f>Лист3!$A$45</c:f>
              <c:strCache>
                <c:ptCount val="1"/>
                <c:pt idx="0">
                  <c:v>Портфельні інвестиції, зобов'язання</c:v>
                </c:pt>
              </c:strCache>
            </c:strRef>
          </c:tx>
          <c:spPr>
            <a:ln w="28575" cap="rnd">
              <a:solidFill>
                <a:schemeClr val="accent2"/>
              </a:solidFill>
              <a:round/>
            </a:ln>
            <a:effectLst/>
          </c:spPr>
          <c:marker>
            <c:symbol val="circle"/>
            <c:size val="7"/>
            <c:spPr>
              <a:solidFill>
                <a:schemeClr val="accent2"/>
              </a:solidFill>
              <a:ln w="9525">
                <a:solidFill>
                  <a:schemeClr val="accent2"/>
                </a:solidFill>
              </a:ln>
              <a:effectLst/>
            </c:spPr>
          </c:marker>
          <c:cat>
            <c:strRef>
              <c:f>Лист3!$B$27:$T$27</c:f>
              <c:strCache>
                <c:ptCount val="19"/>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pt idx="18">
                  <c:v>2022Q3</c:v>
                </c:pt>
              </c:strCache>
            </c:strRef>
          </c:cat>
          <c:val>
            <c:numRef>
              <c:f>Лист3!$B$32:$T$32</c:f>
              <c:numCache>
                <c:formatCode>#,##0</c:formatCode>
                <c:ptCount val="19"/>
                <c:pt idx="0">
                  <c:v>466.36390000000563</c:v>
                </c:pt>
                <c:pt idx="1">
                  <c:v>1252.7330866666925</c:v>
                </c:pt>
                <c:pt idx="2">
                  <c:v>75.588599999997527</c:v>
                </c:pt>
                <c:pt idx="3">
                  <c:v>-927.96836250000024</c:v>
                </c:pt>
                <c:pt idx="4">
                  <c:v>779.59350857140873</c:v>
                </c:pt>
                <c:pt idx="5">
                  <c:v>1201.0105600000002</c:v>
                </c:pt>
                <c:pt idx="6">
                  <c:v>-109.74871727272483</c:v>
                </c:pt>
                <c:pt idx="7">
                  <c:v>110.82133562499997</c:v>
                </c:pt>
                <c:pt idx="8">
                  <c:v>-893.04509328124971</c:v>
                </c:pt>
                <c:pt idx="9">
                  <c:v>4779.2508696773921</c:v>
                </c:pt>
                <c:pt idx="10">
                  <c:v>-936.1805043939346</c:v>
                </c:pt>
                <c:pt idx="11">
                  <c:v>-1326.7416689231197</c:v>
                </c:pt>
                <c:pt idx="12">
                  <c:v>-250.48781999999616</c:v>
                </c:pt>
                <c:pt idx="13">
                  <c:v>2156.5322044443651</c:v>
                </c:pt>
                <c:pt idx="14">
                  <c:v>-219.13863833333627</c:v>
                </c:pt>
                <c:pt idx="15">
                  <c:v>-125.21607045455009</c:v>
                </c:pt>
                <c:pt idx="16">
                  <c:v>-117.10384875</c:v>
                </c:pt>
                <c:pt idx="17">
                  <c:v>-423.09285619048381</c:v>
                </c:pt>
                <c:pt idx="18">
                  <c:v>-153.86358060605971</c:v>
                </c:pt>
              </c:numCache>
            </c:numRef>
          </c:val>
          <c:smooth val="0"/>
          <c:extLst xmlns:c16r2="http://schemas.microsoft.com/office/drawing/2015/06/chart">
            <c:ext xmlns:c16="http://schemas.microsoft.com/office/drawing/2014/chart" uri="{C3380CC4-5D6E-409C-BE32-E72D297353CC}">
              <c16:uniqueId val="{00000001-8277-405B-9FD9-95469F27E56F}"/>
            </c:ext>
          </c:extLst>
        </c:ser>
        <c:dLbls>
          <c:showLegendKey val="0"/>
          <c:showVal val="0"/>
          <c:showCatName val="0"/>
          <c:showSerName val="0"/>
          <c:showPercent val="0"/>
          <c:showBubbleSize val="0"/>
        </c:dLbls>
        <c:marker val="1"/>
        <c:smooth val="0"/>
        <c:axId val="92145152"/>
        <c:axId val="92147072"/>
      </c:lineChart>
      <c:catAx>
        <c:axId val="92145152"/>
        <c:scaling>
          <c:orientation val="minMax"/>
        </c:scaling>
        <c:delete val="0"/>
        <c:axPos val="b"/>
        <c:numFmt formatCode="General" sourceLinked="1"/>
        <c:majorTickMark val="cross"/>
        <c:minorTickMark val="none"/>
        <c:tickLblPos val="low"/>
        <c:spPr>
          <a:noFill/>
          <a:ln w="12700" cap="flat" cmpd="sng" algn="ctr">
            <a:solidFill>
              <a:sysClr val="windowText" lastClr="000000"/>
            </a:solidFill>
            <a:round/>
            <a:tailEnd type="triangle"/>
          </a:ln>
          <a:effectLst/>
        </c:spPr>
        <c:txPr>
          <a:bodyPr rot="-2220000" spcFirstLastPara="1" vertOverflow="ellipsis"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2147072"/>
        <c:crosses val="autoZero"/>
        <c:auto val="1"/>
        <c:lblAlgn val="ctr"/>
        <c:lblOffset val="100"/>
        <c:tickMarkSkip val="1"/>
        <c:noMultiLvlLbl val="0"/>
      </c:catAx>
      <c:valAx>
        <c:axId val="92147072"/>
        <c:scaling>
          <c:orientation val="minMax"/>
          <c:max val="8000"/>
          <c:min val="-3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2145152"/>
        <c:crosses val="autoZero"/>
        <c:crossBetween val="between"/>
        <c:majorUnit val="1000"/>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Польща</a:t>
            </a:r>
          </a:p>
        </c:rich>
      </c:tx>
      <c:overlay val="1"/>
      <c:spPr>
        <a:noFill/>
        <a:ln>
          <a:noFill/>
        </a:ln>
        <a:effectLst/>
      </c:spPr>
    </c:title>
    <c:autoTitleDeleted val="0"/>
    <c:plotArea>
      <c:layout>
        <c:manualLayout>
          <c:layoutTarget val="inner"/>
          <c:xMode val="edge"/>
          <c:yMode val="edge"/>
          <c:x val="9.4842995851035047E-2"/>
          <c:y val="5.0925925925925923E-2"/>
          <c:w val="0.88160996358383603"/>
          <c:h val="0.67990594925634296"/>
        </c:manualLayout>
      </c:layout>
      <c:lineChart>
        <c:grouping val="standard"/>
        <c:varyColors val="0"/>
        <c:ser>
          <c:idx val="0"/>
          <c:order val="0"/>
          <c:tx>
            <c:strRef>
              <c:f>Лист3!$A$21</c:f>
              <c:strCache>
                <c:ptCount val="1"/>
                <c:pt idx="0">
                  <c:v>Інші інвестиції, активи</c:v>
                </c:pt>
              </c:strCache>
            </c:strRef>
          </c:tx>
          <c:spPr>
            <a:ln w="28575" cap="rnd">
              <a:solidFill>
                <a:srgbClr val="4472C4"/>
              </a:solidFill>
              <a:round/>
            </a:ln>
            <a:effectLst/>
          </c:spPr>
          <c:marker>
            <c:symbol val="square"/>
            <c:size val="5"/>
            <c:spPr>
              <a:solidFill>
                <a:srgbClr val="4472C4"/>
              </a:solidFill>
              <a:ln w="9525">
                <a:noFill/>
              </a:ln>
              <a:effectLst/>
            </c:spPr>
          </c:marker>
          <c:cat>
            <c:strRef>
              <c:f>Лист3!$B$1:$S$1</c:f>
              <c:strCache>
                <c:ptCount val="18"/>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strCache>
            </c:strRef>
          </c:cat>
          <c:val>
            <c:numRef>
              <c:f>Лист3!$B$7:$S$7</c:f>
              <c:numCache>
                <c:formatCode>#,##0</c:formatCode>
                <c:ptCount val="18"/>
                <c:pt idx="0">
                  <c:v>76</c:v>
                </c:pt>
                <c:pt idx="1">
                  <c:v>4245</c:v>
                </c:pt>
                <c:pt idx="2">
                  <c:v>-364</c:v>
                </c:pt>
                <c:pt idx="3">
                  <c:v>2053</c:v>
                </c:pt>
                <c:pt idx="4">
                  <c:v>-74</c:v>
                </c:pt>
                <c:pt idx="5">
                  <c:v>-1623</c:v>
                </c:pt>
                <c:pt idx="6">
                  <c:v>2876</c:v>
                </c:pt>
                <c:pt idx="7">
                  <c:v>262</c:v>
                </c:pt>
                <c:pt idx="8">
                  <c:v>6281</c:v>
                </c:pt>
                <c:pt idx="9">
                  <c:v>-4171</c:v>
                </c:pt>
                <c:pt idx="10">
                  <c:v>391</c:v>
                </c:pt>
                <c:pt idx="11">
                  <c:v>12806</c:v>
                </c:pt>
                <c:pt idx="12">
                  <c:v>-1049</c:v>
                </c:pt>
                <c:pt idx="13">
                  <c:v>648</c:v>
                </c:pt>
                <c:pt idx="14">
                  <c:v>6068</c:v>
                </c:pt>
                <c:pt idx="15">
                  <c:v>6622</c:v>
                </c:pt>
                <c:pt idx="16">
                  <c:v>11145</c:v>
                </c:pt>
                <c:pt idx="17">
                  <c:v>6021</c:v>
                </c:pt>
              </c:numCache>
            </c:numRef>
          </c:val>
          <c:smooth val="0"/>
          <c:extLst xmlns:c16r2="http://schemas.microsoft.com/office/drawing/2015/06/chart">
            <c:ext xmlns:c16="http://schemas.microsoft.com/office/drawing/2014/chart" uri="{C3380CC4-5D6E-409C-BE32-E72D297353CC}">
              <c16:uniqueId val="{00000000-DA84-442F-9B2B-1555C1066339}"/>
            </c:ext>
          </c:extLst>
        </c:ser>
        <c:ser>
          <c:idx val="1"/>
          <c:order val="1"/>
          <c:tx>
            <c:strRef>
              <c:f>Лист3!$A$22</c:f>
              <c:strCache>
                <c:ptCount val="1"/>
                <c:pt idx="0">
                  <c:v>Інші інвестиції, зобов'язання</c:v>
                </c:pt>
              </c:strCache>
            </c:strRef>
          </c:tx>
          <c:spPr>
            <a:ln w="28575" cap="rnd">
              <a:solidFill>
                <a:schemeClr val="accent2"/>
              </a:solidFill>
              <a:round/>
            </a:ln>
            <a:effectLst/>
          </c:spPr>
          <c:marker>
            <c:symbol val="circle"/>
            <c:size val="7"/>
            <c:spPr>
              <a:solidFill>
                <a:schemeClr val="accent2"/>
              </a:solidFill>
              <a:ln w="9525">
                <a:solidFill>
                  <a:schemeClr val="accent2"/>
                </a:solidFill>
              </a:ln>
              <a:effectLst/>
            </c:spPr>
          </c:marker>
          <c:cat>
            <c:strRef>
              <c:f>Лист3!$B$1:$S$1</c:f>
              <c:strCache>
                <c:ptCount val="18"/>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strCache>
            </c:strRef>
          </c:cat>
          <c:val>
            <c:numRef>
              <c:f>Лист3!$B$8:$S$8</c:f>
              <c:numCache>
                <c:formatCode>#,##0</c:formatCode>
                <c:ptCount val="18"/>
                <c:pt idx="0">
                  <c:v>2029</c:v>
                </c:pt>
                <c:pt idx="1">
                  <c:v>-4388</c:v>
                </c:pt>
                <c:pt idx="2">
                  <c:v>2160</c:v>
                </c:pt>
                <c:pt idx="3">
                  <c:v>419</c:v>
                </c:pt>
                <c:pt idx="4">
                  <c:v>-5661</c:v>
                </c:pt>
                <c:pt idx="5">
                  <c:v>1994</c:v>
                </c:pt>
                <c:pt idx="6">
                  <c:v>5256</c:v>
                </c:pt>
                <c:pt idx="7">
                  <c:v>2672</c:v>
                </c:pt>
                <c:pt idx="8">
                  <c:v>-7511</c:v>
                </c:pt>
                <c:pt idx="9">
                  <c:v>4176</c:v>
                </c:pt>
                <c:pt idx="10">
                  <c:v>2309</c:v>
                </c:pt>
                <c:pt idx="11">
                  <c:v>6144</c:v>
                </c:pt>
                <c:pt idx="12">
                  <c:v>3429</c:v>
                </c:pt>
                <c:pt idx="13">
                  <c:v>665</c:v>
                </c:pt>
                <c:pt idx="14">
                  <c:v>6767.7656571318867</c:v>
                </c:pt>
                <c:pt idx="15">
                  <c:v>5153</c:v>
                </c:pt>
                <c:pt idx="16">
                  <c:v>7092</c:v>
                </c:pt>
                <c:pt idx="17">
                  <c:v>3351</c:v>
                </c:pt>
              </c:numCache>
            </c:numRef>
          </c:val>
          <c:smooth val="0"/>
          <c:extLst xmlns:c16r2="http://schemas.microsoft.com/office/drawing/2015/06/chart">
            <c:ext xmlns:c16="http://schemas.microsoft.com/office/drawing/2014/chart" uri="{C3380CC4-5D6E-409C-BE32-E72D297353CC}">
              <c16:uniqueId val="{00000001-DA84-442F-9B2B-1555C1066339}"/>
            </c:ext>
          </c:extLst>
        </c:ser>
        <c:dLbls>
          <c:showLegendKey val="0"/>
          <c:showVal val="0"/>
          <c:showCatName val="0"/>
          <c:showSerName val="0"/>
          <c:showPercent val="0"/>
          <c:showBubbleSize val="0"/>
        </c:dLbls>
        <c:marker val="1"/>
        <c:smooth val="0"/>
        <c:axId val="92259072"/>
        <c:axId val="92260992"/>
      </c:lineChart>
      <c:catAx>
        <c:axId val="92259072"/>
        <c:scaling>
          <c:orientation val="minMax"/>
        </c:scaling>
        <c:delete val="0"/>
        <c:axPos val="b"/>
        <c:numFmt formatCode="General" sourceLinked="1"/>
        <c:majorTickMark val="cross"/>
        <c:minorTickMark val="none"/>
        <c:tickLblPos val="low"/>
        <c:spPr>
          <a:noFill/>
          <a:ln w="12700" cap="flat" cmpd="sng" algn="ctr">
            <a:solidFill>
              <a:sysClr val="windowText" lastClr="000000"/>
            </a:solidFill>
            <a:round/>
            <a:tailEnd type="triangle"/>
          </a:ln>
          <a:effectLst/>
        </c:spPr>
        <c:txPr>
          <a:bodyPr rot="-3780000" spcFirstLastPara="1" vertOverflow="ellipsis"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2260992"/>
        <c:crosses val="autoZero"/>
        <c:auto val="1"/>
        <c:lblAlgn val="ctr"/>
        <c:lblOffset val="100"/>
        <c:tickMarkSkip val="1"/>
        <c:noMultiLvlLbl val="0"/>
      </c:catAx>
      <c:valAx>
        <c:axId val="92260992"/>
        <c:scaling>
          <c:orientation val="minMax"/>
          <c:max val="20000"/>
          <c:min val="-15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2259072"/>
        <c:crosses val="autoZero"/>
        <c:crossBetween val="between"/>
        <c:majorUnit val="3000"/>
      </c:valAx>
      <c:spPr>
        <a:noFill/>
        <a:ln>
          <a:noFill/>
        </a:ln>
        <a:effectLst/>
      </c:spPr>
    </c:plotArea>
    <c:legend>
      <c:legendPos val="b"/>
      <c:layout>
        <c:manualLayout>
          <c:xMode val="edge"/>
          <c:yMode val="edge"/>
          <c:x val="0.15238576019269132"/>
          <c:y val="0.92146216097987754"/>
          <c:w val="0.69094719951186667"/>
          <c:h val="7.8537839020122485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Словаччина</a:t>
            </a:r>
          </a:p>
        </c:rich>
      </c:tx>
      <c:overlay val="1"/>
      <c:spPr>
        <a:noFill/>
        <a:ln>
          <a:noFill/>
        </a:ln>
        <a:effectLst/>
      </c:spPr>
    </c:title>
    <c:autoTitleDeleted val="0"/>
    <c:plotArea>
      <c:layout>
        <c:manualLayout>
          <c:layoutTarget val="inner"/>
          <c:xMode val="edge"/>
          <c:yMode val="edge"/>
          <c:x val="0.10251114064312623"/>
          <c:y val="5.0925925925925923E-2"/>
          <c:w val="0.87389889581409019"/>
          <c:h val="0.66138743073782447"/>
        </c:manualLayout>
      </c:layout>
      <c:lineChart>
        <c:grouping val="standard"/>
        <c:varyColors val="0"/>
        <c:ser>
          <c:idx val="0"/>
          <c:order val="0"/>
          <c:tx>
            <c:strRef>
              <c:f>Лист3!$A$47</c:f>
              <c:strCache>
                <c:ptCount val="1"/>
                <c:pt idx="0">
                  <c:v>Інші інвестиції, активи</c:v>
                </c:pt>
              </c:strCache>
            </c:strRef>
          </c:tx>
          <c:spPr>
            <a:ln w="28575" cap="rnd">
              <a:solidFill>
                <a:srgbClr val="4472C4"/>
              </a:solidFill>
              <a:round/>
            </a:ln>
            <a:effectLst/>
          </c:spPr>
          <c:marker>
            <c:symbol val="square"/>
            <c:size val="5"/>
            <c:spPr>
              <a:solidFill>
                <a:srgbClr val="4472C4"/>
              </a:solidFill>
              <a:ln w="9525">
                <a:noFill/>
              </a:ln>
              <a:effectLst/>
            </c:spPr>
          </c:marker>
          <c:cat>
            <c:strRef>
              <c:f>Лист3!$B$27:$T$27</c:f>
              <c:strCache>
                <c:ptCount val="19"/>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pt idx="18">
                  <c:v>2022Q3</c:v>
                </c:pt>
              </c:strCache>
            </c:strRef>
          </c:cat>
          <c:val>
            <c:numRef>
              <c:f>Лист3!$B$33:$T$33</c:f>
              <c:numCache>
                <c:formatCode>#,##0</c:formatCode>
                <c:ptCount val="19"/>
                <c:pt idx="0">
                  <c:v>-1030.6949493571551</c:v>
                </c:pt>
                <c:pt idx="1">
                  <c:v>318.11246776667321</c:v>
                </c:pt>
                <c:pt idx="2">
                  <c:v>-141.51465111691846</c:v>
                </c:pt>
                <c:pt idx="3">
                  <c:v>3503.8601531750005</c:v>
                </c:pt>
                <c:pt idx="4">
                  <c:v>-1898.2647625142374</c:v>
                </c:pt>
                <c:pt idx="5">
                  <c:v>1435.1626712000002</c:v>
                </c:pt>
                <c:pt idx="6">
                  <c:v>-541.94183455453344</c:v>
                </c:pt>
                <c:pt idx="7">
                  <c:v>294.38840872499992</c:v>
                </c:pt>
                <c:pt idx="8">
                  <c:v>503.53563041406238</c:v>
                </c:pt>
                <c:pt idx="9">
                  <c:v>2995.6184085419181</c:v>
                </c:pt>
                <c:pt idx="10">
                  <c:v>-2362.0118171136246</c:v>
                </c:pt>
                <c:pt idx="11">
                  <c:v>-925.29077806772216</c:v>
                </c:pt>
                <c:pt idx="12">
                  <c:v>-3225.6505765999505</c:v>
                </c:pt>
                <c:pt idx="13">
                  <c:v>1727.2696698888251</c:v>
                </c:pt>
                <c:pt idx="14">
                  <c:v>-2340.9829838515461</c:v>
                </c:pt>
                <c:pt idx="15">
                  <c:v>22281.459876222034</c:v>
                </c:pt>
                <c:pt idx="16">
                  <c:v>8180.9702168468748</c:v>
                </c:pt>
                <c:pt idx="17">
                  <c:v>-9844.572274266844</c:v>
                </c:pt>
                <c:pt idx="18">
                  <c:v>-16836.345082751417</c:v>
                </c:pt>
              </c:numCache>
            </c:numRef>
          </c:val>
          <c:smooth val="0"/>
          <c:extLst xmlns:c16r2="http://schemas.microsoft.com/office/drawing/2015/06/chart">
            <c:ext xmlns:c16="http://schemas.microsoft.com/office/drawing/2014/chart" uri="{C3380CC4-5D6E-409C-BE32-E72D297353CC}">
              <c16:uniqueId val="{00000000-0F62-4234-A1CA-17405DB4E949}"/>
            </c:ext>
          </c:extLst>
        </c:ser>
        <c:ser>
          <c:idx val="1"/>
          <c:order val="1"/>
          <c:tx>
            <c:strRef>
              <c:f>Лист3!$A$48</c:f>
              <c:strCache>
                <c:ptCount val="1"/>
                <c:pt idx="0">
                  <c:v>Інші інвестиції, зобов'язання</c:v>
                </c:pt>
              </c:strCache>
            </c:strRef>
          </c:tx>
          <c:spPr>
            <a:ln w="28575" cap="rnd">
              <a:solidFill>
                <a:schemeClr val="accent2"/>
              </a:solidFill>
              <a:round/>
            </a:ln>
            <a:effectLst/>
          </c:spPr>
          <c:marker>
            <c:symbol val="circle"/>
            <c:size val="7"/>
            <c:spPr>
              <a:solidFill>
                <a:schemeClr val="accent2"/>
              </a:solidFill>
              <a:ln w="9525">
                <a:solidFill>
                  <a:schemeClr val="accent2"/>
                </a:solidFill>
              </a:ln>
              <a:effectLst/>
            </c:spPr>
          </c:marker>
          <c:cat>
            <c:strRef>
              <c:f>Лист3!$B$27:$T$27</c:f>
              <c:strCache>
                <c:ptCount val="19"/>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pt idx="18">
                  <c:v>2022Q3</c:v>
                </c:pt>
              </c:strCache>
            </c:strRef>
          </c:cat>
          <c:val>
            <c:numRef>
              <c:f>Лист3!$B$34:$T$34</c:f>
              <c:numCache>
                <c:formatCode>#,##0</c:formatCode>
                <c:ptCount val="19"/>
                <c:pt idx="0">
                  <c:v>1261.8941767143008</c:v>
                </c:pt>
                <c:pt idx="1">
                  <c:v>1423.9872043000294</c:v>
                </c:pt>
                <c:pt idx="2">
                  <c:v>2402.6964524491518</c:v>
                </c:pt>
                <c:pt idx="3">
                  <c:v>4956.320114962502</c:v>
                </c:pt>
                <c:pt idx="4">
                  <c:v>-2739.8850203427874</c:v>
                </c:pt>
                <c:pt idx="5">
                  <c:v>1697.4387460000003</c:v>
                </c:pt>
                <c:pt idx="6">
                  <c:v>861.82876698785969</c:v>
                </c:pt>
                <c:pt idx="7">
                  <c:v>668.23715433124983</c:v>
                </c:pt>
                <c:pt idx="8">
                  <c:v>1843.1782512796872</c:v>
                </c:pt>
                <c:pt idx="9">
                  <c:v>2035.402233858053</c:v>
                </c:pt>
                <c:pt idx="10">
                  <c:v>404.11109908484644</c:v>
                </c:pt>
                <c:pt idx="11">
                  <c:v>1631.8003995938989</c:v>
                </c:pt>
                <c:pt idx="12">
                  <c:v>-748.58146449522667</c:v>
                </c:pt>
                <c:pt idx="13">
                  <c:v>1737.1310657554916</c:v>
                </c:pt>
                <c:pt idx="14">
                  <c:v>2304.1928627214261</c:v>
                </c:pt>
                <c:pt idx="15">
                  <c:v>23471.847319343291</c:v>
                </c:pt>
                <c:pt idx="16">
                  <c:v>11738.5301793375</c:v>
                </c:pt>
                <c:pt idx="17">
                  <c:v>-7270.5558249239402</c:v>
                </c:pt>
                <c:pt idx="18">
                  <c:v>-15697.784795084757</c:v>
                </c:pt>
              </c:numCache>
            </c:numRef>
          </c:val>
          <c:smooth val="0"/>
          <c:extLst xmlns:c16r2="http://schemas.microsoft.com/office/drawing/2015/06/chart">
            <c:ext xmlns:c16="http://schemas.microsoft.com/office/drawing/2014/chart" uri="{C3380CC4-5D6E-409C-BE32-E72D297353CC}">
              <c16:uniqueId val="{00000001-0F62-4234-A1CA-17405DB4E949}"/>
            </c:ext>
          </c:extLst>
        </c:ser>
        <c:dLbls>
          <c:showLegendKey val="0"/>
          <c:showVal val="0"/>
          <c:showCatName val="0"/>
          <c:showSerName val="0"/>
          <c:showPercent val="0"/>
          <c:showBubbleSize val="0"/>
        </c:dLbls>
        <c:marker val="1"/>
        <c:smooth val="0"/>
        <c:axId val="131158016"/>
        <c:axId val="131159936"/>
      </c:lineChart>
      <c:catAx>
        <c:axId val="131158016"/>
        <c:scaling>
          <c:orientation val="minMax"/>
        </c:scaling>
        <c:delete val="0"/>
        <c:axPos val="b"/>
        <c:numFmt formatCode="General" sourceLinked="1"/>
        <c:majorTickMark val="cross"/>
        <c:minorTickMark val="none"/>
        <c:tickLblPos val="low"/>
        <c:spPr>
          <a:noFill/>
          <a:ln w="12700" cap="flat" cmpd="sng" algn="ctr">
            <a:solidFill>
              <a:sysClr val="windowText" lastClr="000000"/>
            </a:solidFill>
            <a:round/>
            <a:tailEnd type="triangle"/>
          </a:ln>
          <a:effectLst/>
        </c:spPr>
        <c:txPr>
          <a:bodyPr rot="-3780000" spcFirstLastPara="1" vertOverflow="ellipsis"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31159936"/>
        <c:crosses val="autoZero"/>
        <c:auto val="1"/>
        <c:lblAlgn val="ctr"/>
        <c:lblOffset val="100"/>
        <c:tickMarkSkip val="1"/>
        <c:noMultiLvlLbl val="0"/>
      </c:catAx>
      <c:valAx>
        <c:axId val="131159936"/>
        <c:scaling>
          <c:orientation val="minMax"/>
          <c:max val="25000"/>
          <c:min val="-2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31158016"/>
        <c:crosses val="autoZero"/>
        <c:crossBetween val="between"/>
        <c:majorUnit val="4000"/>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3586742668402408E-2"/>
          <c:y val="5.0925925925925923E-2"/>
          <c:w val="0.89287125626150665"/>
          <c:h val="0.7139348206474192"/>
        </c:manualLayout>
      </c:layout>
      <c:lineChart>
        <c:grouping val="standard"/>
        <c:varyColors val="0"/>
        <c:ser>
          <c:idx val="0"/>
          <c:order val="0"/>
          <c:tx>
            <c:strRef>
              <c:f>Лист3!$A$64</c:f>
              <c:strCache>
                <c:ptCount val="1"/>
                <c:pt idx="0">
                  <c:v>Експорт до Польщі</c:v>
                </c:pt>
              </c:strCache>
            </c:strRef>
          </c:tx>
          <c:spPr>
            <a:ln w="28575" cap="rnd">
              <a:solidFill>
                <a:srgbClr val="4472C4"/>
              </a:solidFill>
              <a:round/>
            </a:ln>
            <a:effectLst/>
          </c:spPr>
          <c:marker>
            <c:symbol val="circle"/>
            <c:size val="7"/>
            <c:spPr>
              <a:solidFill>
                <a:srgbClr val="4472C4"/>
              </a:solidFill>
              <a:ln w="9525">
                <a:noFill/>
              </a:ln>
              <a:effectLst/>
            </c:spPr>
          </c:marker>
          <c:cat>
            <c:numRef>
              <c:f>Лист3!$B$63:$F$63</c:f>
              <c:numCache>
                <c:formatCode>General</c:formatCode>
                <c:ptCount val="5"/>
                <c:pt idx="0">
                  <c:v>2018</c:v>
                </c:pt>
                <c:pt idx="1">
                  <c:v>2019</c:v>
                </c:pt>
                <c:pt idx="2">
                  <c:v>2020</c:v>
                </c:pt>
                <c:pt idx="3">
                  <c:v>2021</c:v>
                </c:pt>
                <c:pt idx="4">
                  <c:v>2022</c:v>
                </c:pt>
              </c:numCache>
            </c:numRef>
          </c:cat>
          <c:val>
            <c:numRef>
              <c:f>Лист3!$B$64:$F$64</c:f>
              <c:numCache>
                <c:formatCode>#,##0</c:formatCode>
                <c:ptCount val="5"/>
                <c:pt idx="0">
                  <c:v>3257.248</c:v>
                </c:pt>
                <c:pt idx="1">
                  <c:v>3295.846</c:v>
                </c:pt>
                <c:pt idx="2">
                  <c:v>3272.68309077</c:v>
                </c:pt>
                <c:pt idx="3">
                  <c:v>5227.4131023700002</c:v>
                </c:pt>
                <c:pt idx="4">
                  <c:v>5985</c:v>
                </c:pt>
              </c:numCache>
            </c:numRef>
          </c:val>
          <c:smooth val="0"/>
          <c:extLst xmlns:c16r2="http://schemas.microsoft.com/office/drawing/2015/06/chart">
            <c:ext xmlns:c16="http://schemas.microsoft.com/office/drawing/2014/chart" uri="{C3380CC4-5D6E-409C-BE32-E72D297353CC}">
              <c16:uniqueId val="{00000000-7BE3-4299-AC89-53ED36B6B788}"/>
            </c:ext>
          </c:extLst>
        </c:ser>
        <c:ser>
          <c:idx val="1"/>
          <c:order val="1"/>
          <c:tx>
            <c:strRef>
              <c:f>Лист3!$A$65</c:f>
              <c:strCache>
                <c:ptCount val="1"/>
                <c:pt idx="0">
                  <c:v>Експорт до Словаччини</c:v>
                </c:pt>
              </c:strCache>
            </c:strRef>
          </c:tx>
          <c:spPr>
            <a:ln w="28575" cap="rnd">
              <a:solidFill>
                <a:schemeClr val="accent2"/>
              </a:solidFill>
              <a:round/>
            </a:ln>
            <a:effectLst/>
          </c:spPr>
          <c:marker>
            <c:symbol val="square"/>
            <c:size val="7"/>
            <c:spPr>
              <a:solidFill>
                <a:schemeClr val="accent2"/>
              </a:solidFill>
              <a:ln w="9525">
                <a:solidFill>
                  <a:schemeClr val="accent2"/>
                </a:solidFill>
              </a:ln>
              <a:effectLst/>
            </c:spPr>
          </c:marker>
          <c:cat>
            <c:numRef>
              <c:f>Лист3!$B$63:$F$63</c:f>
              <c:numCache>
                <c:formatCode>General</c:formatCode>
                <c:ptCount val="5"/>
                <c:pt idx="0">
                  <c:v>2018</c:v>
                </c:pt>
                <c:pt idx="1">
                  <c:v>2019</c:v>
                </c:pt>
                <c:pt idx="2">
                  <c:v>2020</c:v>
                </c:pt>
                <c:pt idx="3">
                  <c:v>2021</c:v>
                </c:pt>
                <c:pt idx="4">
                  <c:v>2022</c:v>
                </c:pt>
              </c:numCache>
            </c:numRef>
          </c:cat>
          <c:val>
            <c:numRef>
              <c:f>Лист3!$B$65:$F$65</c:f>
              <c:numCache>
                <c:formatCode>#,##0</c:formatCode>
                <c:ptCount val="5"/>
                <c:pt idx="0">
                  <c:v>863.92600000000004</c:v>
                </c:pt>
                <c:pt idx="1">
                  <c:v>709.62</c:v>
                </c:pt>
                <c:pt idx="2">
                  <c:v>446.75953207000003</c:v>
                </c:pt>
                <c:pt idx="3">
                  <c:v>999.27514615000007</c:v>
                </c:pt>
                <c:pt idx="4">
                  <c:v>1434</c:v>
                </c:pt>
              </c:numCache>
            </c:numRef>
          </c:val>
          <c:smooth val="0"/>
          <c:extLst xmlns:c16r2="http://schemas.microsoft.com/office/drawing/2015/06/chart">
            <c:ext xmlns:c16="http://schemas.microsoft.com/office/drawing/2014/chart" uri="{C3380CC4-5D6E-409C-BE32-E72D297353CC}">
              <c16:uniqueId val="{00000001-7BE3-4299-AC89-53ED36B6B788}"/>
            </c:ext>
          </c:extLst>
        </c:ser>
        <c:ser>
          <c:idx val="2"/>
          <c:order val="2"/>
          <c:tx>
            <c:strRef>
              <c:f>Лист3!$A$66</c:f>
              <c:strCache>
                <c:ptCount val="1"/>
                <c:pt idx="0">
                  <c:v>Імпорт з Польщі</c:v>
                </c:pt>
              </c:strCache>
            </c:strRef>
          </c:tx>
          <c:spPr>
            <a:ln w="28575" cap="rnd">
              <a:solidFill>
                <a:schemeClr val="accent3"/>
              </a:solidFill>
              <a:round/>
            </a:ln>
            <a:effectLst/>
          </c:spPr>
          <c:marker>
            <c:symbol val="diamond"/>
            <c:size val="7"/>
            <c:spPr>
              <a:solidFill>
                <a:schemeClr val="accent3"/>
              </a:solidFill>
              <a:ln w="9525">
                <a:solidFill>
                  <a:schemeClr val="accent3"/>
                </a:solidFill>
              </a:ln>
              <a:effectLst/>
            </c:spPr>
          </c:marker>
          <c:cat>
            <c:numRef>
              <c:f>Лист3!$B$63:$F$63</c:f>
              <c:numCache>
                <c:formatCode>General</c:formatCode>
                <c:ptCount val="5"/>
                <c:pt idx="0">
                  <c:v>2018</c:v>
                </c:pt>
                <c:pt idx="1">
                  <c:v>2019</c:v>
                </c:pt>
                <c:pt idx="2">
                  <c:v>2020</c:v>
                </c:pt>
                <c:pt idx="3">
                  <c:v>2021</c:v>
                </c:pt>
                <c:pt idx="4">
                  <c:v>2022</c:v>
                </c:pt>
              </c:numCache>
            </c:numRef>
          </c:cat>
          <c:val>
            <c:numRef>
              <c:f>Лист3!$B$66:$F$66</c:f>
              <c:numCache>
                <c:formatCode>#,##0</c:formatCode>
                <c:ptCount val="5"/>
                <c:pt idx="0">
                  <c:v>3641.9209999999998</c:v>
                </c:pt>
                <c:pt idx="1">
                  <c:v>4109.0829999999996</c:v>
                </c:pt>
                <c:pt idx="2">
                  <c:v>4140.9117529300001</c:v>
                </c:pt>
                <c:pt idx="3">
                  <c:v>4962.5000636999994</c:v>
                </c:pt>
                <c:pt idx="4">
                  <c:v>5230</c:v>
                </c:pt>
              </c:numCache>
            </c:numRef>
          </c:val>
          <c:smooth val="0"/>
          <c:extLst xmlns:c16r2="http://schemas.microsoft.com/office/drawing/2015/06/chart">
            <c:ext xmlns:c16="http://schemas.microsoft.com/office/drawing/2014/chart" uri="{C3380CC4-5D6E-409C-BE32-E72D297353CC}">
              <c16:uniqueId val="{00000002-7BE3-4299-AC89-53ED36B6B788}"/>
            </c:ext>
          </c:extLst>
        </c:ser>
        <c:ser>
          <c:idx val="3"/>
          <c:order val="3"/>
          <c:tx>
            <c:strRef>
              <c:f>Лист3!$A$67</c:f>
              <c:strCache>
                <c:ptCount val="1"/>
                <c:pt idx="0">
                  <c:v>Імпорт зі Словаччини</c:v>
                </c:pt>
              </c:strCache>
            </c:strRef>
          </c:tx>
          <c:spPr>
            <a:ln w="28575" cap="rnd">
              <a:solidFill>
                <a:schemeClr val="accent4"/>
              </a:solidFill>
              <a:round/>
            </a:ln>
            <a:effectLst/>
          </c:spPr>
          <c:marker>
            <c:symbol val="triangle"/>
            <c:size val="7"/>
            <c:spPr>
              <a:solidFill>
                <a:schemeClr val="accent4"/>
              </a:solidFill>
              <a:ln w="9525">
                <a:solidFill>
                  <a:schemeClr val="accent4"/>
                </a:solidFill>
              </a:ln>
              <a:effectLst/>
            </c:spPr>
          </c:marker>
          <c:cat>
            <c:numRef>
              <c:f>Лист3!$B$63:$F$63</c:f>
              <c:numCache>
                <c:formatCode>General</c:formatCode>
                <c:ptCount val="5"/>
                <c:pt idx="0">
                  <c:v>2018</c:v>
                </c:pt>
                <c:pt idx="1">
                  <c:v>2019</c:v>
                </c:pt>
                <c:pt idx="2">
                  <c:v>2020</c:v>
                </c:pt>
                <c:pt idx="3">
                  <c:v>2021</c:v>
                </c:pt>
                <c:pt idx="4">
                  <c:v>2022</c:v>
                </c:pt>
              </c:numCache>
            </c:numRef>
          </c:cat>
          <c:val>
            <c:numRef>
              <c:f>Лист3!$B$67:$F$67</c:f>
              <c:numCache>
                <c:formatCode>#,##0</c:formatCode>
                <c:ptCount val="5"/>
                <c:pt idx="0">
                  <c:v>525.87900000000002</c:v>
                </c:pt>
                <c:pt idx="1">
                  <c:v>651.80499999999995</c:v>
                </c:pt>
                <c:pt idx="2">
                  <c:v>1143.4015379300001</c:v>
                </c:pt>
                <c:pt idx="3">
                  <c:v>923.21355643000004</c:v>
                </c:pt>
                <c:pt idx="4" formatCode="General">
                  <c:v>966</c:v>
                </c:pt>
              </c:numCache>
            </c:numRef>
          </c:val>
          <c:smooth val="0"/>
          <c:extLst xmlns:c16r2="http://schemas.microsoft.com/office/drawing/2015/06/chart">
            <c:ext xmlns:c16="http://schemas.microsoft.com/office/drawing/2014/chart" uri="{C3380CC4-5D6E-409C-BE32-E72D297353CC}">
              <c16:uniqueId val="{00000003-7BE3-4299-AC89-53ED36B6B788}"/>
            </c:ext>
          </c:extLst>
        </c:ser>
        <c:dLbls>
          <c:showLegendKey val="0"/>
          <c:showVal val="0"/>
          <c:showCatName val="0"/>
          <c:showSerName val="0"/>
          <c:showPercent val="0"/>
          <c:showBubbleSize val="0"/>
        </c:dLbls>
        <c:marker val="1"/>
        <c:smooth val="0"/>
        <c:axId val="131413504"/>
        <c:axId val="131415424"/>
      </c:lineChart>
      <c:catAx>
        <c:axId val="131413504"/>
        <c:scaling>
          <c:orientation val="minMax"/>
        </c:scaling>
        <c:delete val="0"/>
        <c:axPos val="b"/>
        <c:numFmt formatCode="General" sourceLinked="1"/>
        <c:majorTickMark val="cross"/>
        <c:minorTickMark val="none"/>
        <c:tickLblPos val="low"/>
        <c:spPr>
          <a:noFill/>
          <a:ln w="12700" cap="flat" cmpd="sng" algn="ctr">
            <a:solidFill>
              <a:sysClr val="windowText" lastClr="000000"/>
            </a:solidFill>
            <a:round/>
            <a:tailEnd type="triangle"/>
          </a:ln>
          <a:effectLst/>
        </c:spPr>
        <c:txPr>
          <a:bodyPr rot="0" spcFirstLastPara="1" vertOverflow="ellipsis"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31415424"/>
        <c:crosses val="autoZero"/>
        <c:auto val="1"/>
        <c:lblAlgn val="ctr"/>
        <c:lblOffset val="100"/>
        <c:tickMarkSkip val="1"/>
        <c:noMultiLvlLbl val="0"/>
      </c:catAx>
      <c:valAx>
        <c:axId val="131415424"/>
        <c:scaling>
          <c:orientation val="minMax"/>
          <c:max val="6000"/>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31413504"/>
        <c:crosses val="autoZero"/>
        <c:crossBetween val="between"/>
        <c:majorUnit val="500"/>
      </c:valAx>
      <c:spPr>
        <a:noFill/>
        <a:ln>
          <a:noFill/>
        </a:ln>
        <a:effectLst/>
      </c:spPr>
    </c:plotArea>
    <c:legend>
      <c:legendPos val="b"/>
      <c:layout>
        <c:manualLayout>
          <c:xMode val="edge"/>
          <c:yMode val="edge"/>
          <c:x val="1.0165021507143068E-3"/>
          <c:y val="0.8498687664041995"/>
          <c:w val="0.99796682718031038"/>
          <c:h val="0.1501312335958005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375703519582034E-2"/>
          <c:y val="5.0925925925925923E-2"/>
          <c:w val="0.89265300126139602"/>
          <c:h val="0.74171259842519699"/>
        </c:manualLayout>
      </c:layout>
      <c:lineChart>
        <c:grouping val="standard"/>
        <c:varyColors val="0"/>
        <c:ser>
          <c:idx val="0"/>
          <c:order val="0"/>
          <c:tx>
            <c:strRef>
              <c:f>Лист3!$A$79</c:f>
              <c:strCache>
                <c:ptCount val="1"/>
                <c:pt idx="0">
                  <c:v>Експорт до Польщі</c:v>
                </c:pt>
              </c:strCache>
            </c:strRef>
          </c:tx>
          <c:spPr>
            <a:ln w="28575" cap="rnd">
              <a:solidFill>
                <a:srgbClr val="4472C4"/>
              </a:solidFill>
              <a:round/>
            </a:ln>
            <a:effectLst/>
          </c:spPr>
          <c:marker>
            <c:symbol val="circle"/>
            <c:size val="7"/>
            <c:spPr>
              <a:solidFill>
                <a:srgbClr val="4472C4"/>
              </a:solidFill>
              <a:ln w="9525">
                <a:noFill/>
              </a:ln>
              <a:effectLst/>
            </c:spPr>
          </c:marker>
          <c:cat>
            <c:numRef>
              <c:f>Лист3!$B$78:$F$78</c:f>
              <c:numCache>
                <c:formatCode>General</c:formatCode>
                <c:ptCount val="5"/>
                <c:pt idx="0">
                  <c:v>2017</c:v>
                </c:pt>
                <c:pt idx="1">
                  <c:v>2018</c:v>
                </c:pt>
                <c:pt idx="2">
                  <c:v>2019</c:v>
                </c:pt>
                <c:pt idx="3">
                  <c:v>2020</c:v>
                </c:pt>
                <c:pt idx="4">
                  <c:v>2021</c:v>
                </c:pt>
              </c:numCache>
            </c:numRef>
          </c:cat>
          <c:val>
            <c:numRef>
              <c:f>Лист3!$B$79:$F$79</c:f>
              <c:numCache>
                <c:formatCode>#,##0</c:formatCode>
                <c:ptCount val="5"/>
                <c:pt idx="0">
                  <c:v>296.31315000000001</c:v>
                </c:pt>
                <c:pt idx="1">
                  <c:v>350.18159000000003</c:v>
                </c:pt>
                <c:pt idx="2">
                  <c:v>420.85934000000003</c:v>
                </c:pt>
                <c:pt idx="3">
                  <c:v>440.96859000000001</c:v>
                </c:pt>
                <c:pt idx="4">
                  <c:v>477.58332000000001</c:v>
                </c:pt>
              </c:numCache>
            </c:numRef>
          </c:val>
          <c:smooth val="0"/>
          <c:extLst xmlns:c16r2="http://schemas.microsoft.com/office/drawing/2015/06/chart">
            <c:ext xmlns:c16="http://schemas.microsoft.com/office/drawing/2014/chart" uri="{C3380CC4-5D6E-409C-BE32-E72D297353CC}">
              <c16:uniqueId val="{00000000-F6BE-4A1A-AA21-CFF89895E570}"/>
            </c:ext>
          </c:extLst>
        </c:ser>
        <c:ser>
          <c:idx val="1"/>
          <c:order val="1"/>
          <c:tx>
            <c:strRef>
              <c:f>Лист3!$A$80</c:f>
              <c:strCache>
                <c:ptCount val="1"/>
                <c:pt idx="0">
                  <c:v>Експорт до Словаччини</c:v>
                </c:pt>
              </c:strCache>
            </c:strRef>
          </c:tx>
          <c:spPr>
            <a:ln w="28575" cap="rnd">
              <a:solidFill>
                <a:schemeClr val="accent2"/>
              </a:solidFill>
              <a:round/>
            </a:ln>
            <a:effectLst/>
          </c:spPr>
          <c:marker>
            <c:symbol val="square"/>
            <c:size val="7"/>
            <c:spPr>
              <a:solidFill>
                <a:schemeClr val="accent2"/>
              </a:solidFill>
              <a:ln w="9525">
                <a:solidFill>
                  <a:schemeClr val="accent2"/>
                </a:solidFill>
              </a:ln>
              <a:effectLst/>
            </c:spPr>
          </c:marker>
          <c:cat>
            <c:numRef>
              <c:f>Лист3!$B$78:$F$78</c:f>
              <c:numCache>
                <c:formatCode>General</c:formatCode>
                <c:ptCount val="5"/>
                <c:pt idx="0">
                  <c:v>2017</c:v>
                </c:pt>
                <c:pt idx="1">
                  <c:v>2018</c:v>
                </c:pt>
                <c:pt idx="2">
                  <c:v>2019</c:v>
                </c:pt>
                <c:pt idx="3">
                  <c:v>2020</c:v>
                </c:pt>
                <c:pt idx="4">
                  <c:v>2021</c:v>
                </c:pt>
              </c:numCache>
            </c:numRef>
          </c:cat>
          <c:val>
            <c:numRef>
              <c:f>Лист3!$B$80:$F$80</c:f>
              <c:numCache>
                <c:formatCode>#,##0</c:formatCode>
                <c:ptCount val="5"/>
                <c:pt idx="0">
                  <c:v>40.94117</c:v>
                </c:pt>
                <c:pt idx="1">
                  <c:v>44.557540000000003</c:v>
                </c:pt>
                <c:pt idx="2">
                  <c:v>58.56597</c:v>
                </c:pt>
                <c:pt idx="3">
                  <c:v>52.416339999999998</c:v>
                </c:pt>
                <c:pt idx="4">
                  <c:v>48.935499999999998</c:v>
                </c:pt>
              </c:numCache>
            </c:numRef>
          </c:val>
          <c:smooth val="0"/>
          <c:extLst xmlns:c16r2="http://schemas.microsoft.com/office/drawing/2015/06/chart">
            <c:ext xmlns:c16="http://schemas.microsoft.com/office/drawing/2014/chart" uri="{C3380CC4-5D6E-409C-BE32-E72D297353CC}">
              <c16:uniqueId val="{00000001-F6BE-4A1A-AA21-CFF89895E570}"/>
            </c:ext>
          </c:extLst>
        </c:ser>
        <c:ser>
          <c:idx val="2"/>
          <c:order val="2"/>
          <c:tx>
            <c:strRef>
              <c:f>Лист3!$A$81</c:f>
              <c:strCache>
                <c:ptCount val="1"/>
                <c:pt idx="0">
                  <c:v>Імпорт з Польщі</c:v>
                </c:pt>
              </c:strCache>
            </c:strRef>
          </c:tx>
          <c:spPr>
            <a:ln w="28575" cap="rnd">
              <a:solidFill>
                <a:schemeClr val="accent3"/>
              </a:solidFill>
              <a:round/>
            </a:ln>
            <a:effectLst/>
          </c:spPr>
          <c:marker>
            <c:symbol val="diamond"/>
            <c:size val="7"/>
            <c:spPr>
              <a:solidFill>
                <a:schemeClr val="accent3"/>
              </a:solidFill>
              <a:ln w="12700">
                <a:solidFill>
                  <a:schemeClr val="accent3"/>
                </a:solidFill>
              </a:ln>
              <a:effectLst/>
            </c:spPr>
          </c:marker>
          <c:cat>
            <c:numRef>
              <c:f>Лист3!$B$78:$F$78</c:f>
              <c:numCache>
                <c:formatCode>General</c:formatCode>
                <c:ptCount val="5"/>
                <c:pt idx="0">
                  <c:v>2017</c:v>
                </c:pt>
                <c:pt idx="1">
                  <c:v>2018</c:v>
                </c:pt>
                <c:pt idx="2">
                  <c:v>2019</c:v>
                </c:pt>
                <c:pt idx="3">
                  <c:v>2020</c:v>
                </c:pt>
                <c:pt idx="4">
                  <c:v>2021</c:v>
                </c:pt>
              </c:numCache>
            </c:numRef>
          </c:cat>
          <c:val>
            <c:numRef>
              <c:f>Лист3!$B$81:$F$81</c:f>
              <c:numCache>
                <c:formatCode>#,##0</c:formatCode>
                <c:ptCount val="5"/>
                <c:pt idx="0">
                  <c:v>150.24098999999998</c:v>
                </c:pt>
                <c:pt idx="1">
                  <c:v>196.12932000000001</c:v>
                </c:pt>
                <c:pt idx="2">
                  <c:v>242.48117000000002</c:v>
                </c:pt>
                <c:pt idx="3">
                  <c:v>201.00301000000002</c:v>
                </c:pt>
                <c:pt idx="4">
                  <c:v>285.04290000000003</c:v>
                </c:pt>
              </c:numCache>
            </c:numRef>
          </c:val>
          <c:smooth val="0"/>
          <c:extLst xmlns:c16r2="http://schemas.microsoft.com/office/drawing/2015/06/chart">
            <c:ext xmlns:c16="http://schemas.microsoft.com/office/drawing/2014/chart" uri="{C3380CC4-5D6E-409C-BE32-E72D297353CC}">
              <c16:uniqueId val="{00000002-F6BE-4A1A-AA21-CFF89895E570}"/>
            </c:ext>
          </c:extLst>
        </c:ser>
        <c:ser>
          <c:idx val="3"/>
          <c:order val="3"/>
          <c:tx>
            <c:strRef>
              <c:f>Лист3!$A$82</c:f>
              <c:strCache>
                <c:ptCount val="1"/>
                <c:pt idx="0">
                  <c:v>Імпорт зі Словаччини</c:v>
                </c:pt>
              </c:strCache>
            </c:strRef>
          </c:tx>
          <c:spPr>
            <a:ln w="28575" cap="rnd">
              <a:solidFill>
                <a:schemeClr val="accent4"/>
              </a:solidFill>
              <a:round/>
            </a:ln>
            <a:effectLst/>
          </c:spPr>
          <c:marker>
            <c:symbol val="triangle"/>
            <c:size val="7"/>
            <c:spPr>
              <a:solidFill>
                <a:schemeClr val="accent4"/>
              </a:solidFill>
              <a:ln w="9525">
                <a:solidFill>
                  <a:schemeClr val="accent4"/>
                </a:solidFill>
              </a:ln>
              <a:effectLst/>
            </c:spPr>
          </c:marker>
          <c:cat>
            <c:numRef>
              <c:f>Лист3!$B$78:$F$78</c:f>
              <c:numCache>
                <c:formatCode>General</c:formatCode>
                <c:ptCount val="5"/>
                <c:pt idx="0">
                  <c:v>2017</c:v>
                </c:pt>
                <c:pt idx="1">
                  <c:v>2018</c:v>
                </c:pt>
                <c:pt idx="2">
                  <c:v>2019</c:v>
                </c:pt>
                <c:pt idx="3">
                  <c:v>2020</c:v>
                </c:pt>
                <c:pt idx="4">
                  <c:v>2021</c:v>
                </c:pt>
              </c:numCache>
            </c:numRef>
          </c:cat>
          <c:val>
            <c:numRef>
              <c:f>Лист3!$B$82:$F$82</c:f>
              <c:numCache>
                <c:formatCode>#,##0</c:formatCode>
                <c:ptCount val="5"/>
                <c:pt idx="0">
                  <c:v>108.25993</c:v>
                </c:pt>
                <c:pt idx="1">
                  <c:v>118.41241000000001</c:v>
                </c:pt>
                <c:pt idx="2">
                  <c:v>89.330740000000006</c:v>
                </c:pt>
                <c:pt idx="3">
                  <c:v>24.07151</c:v>
                </c:pt>
                <c:pt idx="4">
                  <c:v>39.42615</c:v>
                </c:pt>
              </c:numCache>
            </c:numRef>
          </c:val>
          <c:smooth val="0"/>
          <c:extLst xmlns:c16r2="http://schemas.microsoft.com/office/drawing/2015/06/chart">
            <c:ext xmlns:c16="http://schemas.microsoft.com/office/drawing/2014/chart" uri="{C3380CC4-5D6E-409C-BE32-E72D297353CC}">
              <c16:uniqueId val="{00000003-F6BE-4A1A-AA21-CFF89895E570}"/>
            </c:ext>
          </c:extLst>
        </c:ser>
        <c:dLbls>
          <c:showLegendKey val="0"/>
          <c:showVal val="0"/>
          <c:showCatName val="0"/>
          <c:showSerName val="0"/>
          <c:showPercent val="0"/>
          <c:showBubbleSize val="0"/>
        </c:dLbls>
        <c:marker val="1"/>
        <c:smooth val="0"/>
        <c:axId val="131496576"/>
        <c:axId val="131666688"/>
      </c:lineChart>
      <c:catAx>
        <c:axId val="131496576"/>
        <c:scaling>
          <c:orientation val="minMax"/>
        </c:scaling>
        <c:delete val="0"/>
        <c:axPos val="b"/>
        <c:numFmt formatCode="General" sourceLinked="1"/>
        <c:majorTickMark val="cross"/>
        <c:minorTickMark val="none"/>
        <c:tickLblPos val="low"/>
        <c:spPr>
          <a:noFill/>
          <a:ln w="12700" cap="flat" cmpd="sng" algn="ctr">
            <a:solidFill>
              <a:sysClr val="windowText" lastClr="000000"/>
            </a:solidFill>
            <a:round/>
            <a:tailEnd type="triangle"/>
          </a:ln>
          <a:effectLst/>
        </c:spPr>
        <c:txPr>
          <a:bodyPr rot="0" spcFirstLastPara="1" vertOverflow="ellipsis"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31666688"/>
        <c:crosses val="autoZero"/>
        <c:auto val="1"/>
        <c:lblAlgn val="ctr"/>
        <c:lblOffset val="100"/>
        <c:tickMarkSkip val="1"/>
        <c:noMultiLvlLbl val="0"/>
      </c:catAx>
      <c:valAx>
        <c:axId val="131666688"/>
        <c:scaling>
          <c:orientation val="minMax"/>
          <c:max val="600"/>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31496576"/>
        <c:crosses val="autoZero"/>
        <c:crossBetween val="between"/>
        <c:majorUnit val="100"/>
      </c:valAx>
      <c:spPr>
        <a:noFill/>
        <a:ln>
          <a:noFill/>
        </a:ln>
        <a:effectLst/>
      </c:spPr>
    </c:plotArea>
    <c:legend>
      <c:legendPos val="b"/>
      <c:layout>
        <c:manualLayout>
          <c:xMode val="edge"/>
          <c:yMode val="edge"/>
          <c:x val="0"/>
          <c:y val="0.8498687664041995"/>
          <c:w val="0.99785545785974694"/>
          <c:h val="0.1501312335958005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375703519582034E-2"/>
          <c:y val="5.0925925925925923E-2"/>
          <c:w val="0.89265300126139602"/>
          <c:h val="0.74171259842519699"/>
        </c:manualLayout>
      </c:layout>
      <c:lineChart>
        <c:grouping val="standard"/>
        <c:varyColors val="0"/>
        <c:ser>
          <c:idx val="0"/>
          <c:order val="0"/>
          <c:tx>
            <c:strRef>
              <c:f>Лист3!$A$88</c:f>
              <c:strCache>
                <c:ptCount val="1"/>
                <c:pt idx="0">
                  <c:v>Польща</c:v>
                </c:pt>
              </c:strCache>
            </c:strRef>
          </c:tx>
          <c:spPr>
            <a:ln w="28575" cap="rnd">
              <a:solidFill>
                <a:srgbClr val="4472C4"/>
              </a:solidFill>
              <a:round/>
            </a:ln>
            <a:effectLst/>
          </c:spPr>
          <c:marker>
            <c:symbol val="circle"/>
            <c:size val="7"/>
            <c:spPr>
              <a:solidFill>
                <a:srgbClr val="4472C4"/>
              </a:solidFill>
              <a:ln w="9525">
                <a:noFill/>
              </a:ln>
              <a:effectLst/>
            </c:spPr>
          </c:marker>
          <c:cat>
            <c:numRef>
              <c:f>Лист3!$B$87:$F$87</c:f>
              <c:numCache>
                <c:formatCode>General</c:formatCode>
                <c:ptCount val="5"/>
                <c:pt idx="0">
                  <c:v>2017</c:v>
                </c:pt>
                <c:pt idx="1">
                  <c:v>2018</c:v>
                </c:pt>
                <c:pt idx="2">
                  <c:v>2019</c:v>
                </c:pt>
                <c:pt idx="3">
                  <c:v>2020</c:v>
                </c:pt>
                <c:pt idx="4">
                  <c:v>2021</c:v>
                </c:pt>
              </c:numCache>
            </c:numRef>
          </c:cat>
          <c:val>
            <c:numRef>
              <c:f>Лист3!$B$88:$F$88</c:f>
              <c:numCache>
                <c:formatCode>0</c:formatCode>
                <c:ptCount val="5"/>
                <c:pt idx="0">
                  <c:v>141.04952756415329</c:v>
                </c:pt>
                <c:pt idx="1">
                  <c:v>143.22689466833998</c:v>
                </c:pt>
                <c:pt idx="2">
                  <c:v>211.19431147216025</c:v>
                </c:pt>
                <c:pt idx="3">
                  <c:v>129.29894467992705</c:v>
                </c:pt>
                <c:pt idx="4">
                  <c:v>227.88451872738861</c:v>
                </c:pt>
              </c:numCache>
            </c:numRef>
          </c:val>
          <c:smooth val="0"/>
          <c:extLst xmlns:c16r2="http://schemas.microsoft.com/office/drawing/2015/06/chart">
            <c:ext xmlns:c16="http://schemas.microsoft.com/office/drawing/2014/chart" uri="{C3380CC4-5D6E-409C-BE32-E72D297353CC}">
              <c16:uniqueId val="{00000000-2A71-42A5-8ACD-D6839C0DB074}"/>
            </c:ext>
          </c:extLst>
        </c:ser>
        <c:ser>
          <c:idx val="1"/>
          <c:order val="1"/>
          <c:tx>
            <c:strRef>
              <c:f>Лист3!$A$89</c:f>
              <c:strCache>
                <c:ptCount val="1"/>
                <c:pt idx="0">
                  <c:v>Словаччина</c:v>
                </c:pt>
              </c:strCache>
            </c:strRef>
          </c:tx>
          <c:spPr>
            <a:ln w="28575" cap="rnd">
              <a:solidFill>
                <a:schemeClr val="accent2"/>
              </a:solidFill>
              <a:round/>
            </a:ln>
            <a:effectLst/>
          </c:spPr>
          <c:marker>
            <c:symbol val="square"/>
            <c:size val="7"/>
            <c:spPr>
              <a:solidFill>
                <a:schemeClr val="accent2"/>
              </a:solidFill>
              <a:ln w="9525">
                <a:solidFill>
                  <a:schemeClr val="accent2"/>
                </a:solidFill>
              </a:ln>
              <a:effectLst/>
            </c:spPr>
          </c:marker>
          <c:cat>
            <c:numRef>
              <c:f>Лист3!$B$87:$F$87</c:f>
              <c:numCache>
                <c:formatCode>General</c:formatCode>
                <c:ptCount val="5"/>
                <c:pt idx="0">
                  <c:v>2017</c:v>
                </c:pt>
                <c:pt idx="1">
                  <c:v>2018</c:v>
                </c:pt>
                <c:pt idx="2">
                  <c:v>2019</c:v>
                </c:pt>
                <c:pt idx="3">
                  <c:v>2020</c:v>
                </c:pt>
                <c:pt idx="4">
                  <c:v>2021</c:v>
                </c:pt>
              </c:numCache>
            </c:numRef>
          </c:cat>
          <c:val>
            <c:numRef>
              <c:f>Лист3!$B$89:$F$89</c:f>
              <c:numCache>
                <c:formatCode>0</c:formatCode>
                <c:ptCount val="5"/>
                <c:pt idx="0">
                  <c:v>12.818052905948253</c:v>
                </c:pt>
                <c:pt idx="1">
                  <c:v>-28.125043180219254</c:v>
                </c:pt>
                <c:pt idx="2">
                  <c:v>45.998738331802144</c:v>
                </c:pt>
                <c:pt idx="3">
                  <c:v>22.694785029142359</c:v>
                </c:pt>
                <c:pt idx="4">
                  <c:v>76.615902854384075</c:v>
                </c:pt>
              </c:numCache>
            </c:numRef>
          </c:val>
          <c:smooth val="0"/>
          <c:extLst xmlns:c16r2="http://schemas.microsoft.com/office/drawing/2015/06/chart">
            <c:ext xmlns:c16="http://schemas.microsoft.com/office/drawing/2014/chart" uri="{C3380CC4-5D6E-409C-BE32-E72D297353CC}">
              <c16:uniqueId val="{00000001-2A71-42A5-8ACD-D6839C0DB074}"/>
            </c:ext>
          </c:extLst>
        </c:ser>
        <c:dLbls>
          <c:showLegendKey val="0"/>
          <c:showVal val="0"/>
          <c:showCatName val="0"/>
          <c:showSerName val="0"/>
          <c:showPercent val="0"/>
          <c:showBubbleSize val="0"/>
        </c:dLbls>
        <c:marker val="1"/>
        <c:smooth val="0"/>
        <c:axId val="131712512"/>
        <c:axId val="131714432"/>
      </c:lineChart>
      <c:catAx>
        <c:axId val="131712512"/>
        <c:scaling>
          <c:orientation val="minMax"/>
        </c:scaling>
        <c:delete val="0"/>
        <c:axPos val="b"/>
        <c:numFmt formatCode="General" sourceLinked="1"/>
        <c:majorTickMark val="cross"/>
        <c:minorTickMark val="none"/>
        <c:tickLblPos val="low"/>
        <c:spPr>
          <a:noFill/>
          <a:ln w="12700" cap="flat" cmpd="sng" algn="ctr">
            <a:solidFill>
              <a:sysClr val="windowText" lastClr="000000"/>
            </a:solidFill>
            <a:round/>
            <a:tailEnd type="triangle"/>
          </a:ln>
          <a:effectLst/>
        </c:spPr>
        <c:txPr>
          <a:bodyPr rot="0" spcFirstLastPara="1" vertOverflow="ellipsis"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31714432"/>
        <c:crosses val="autoZero"/>
        <c:auto val="1"/>
        <c:lblAlgn val="ctr"/>
        <c:lblOffset val="100"/>
        <c:tickMarkSkip val="1"/>
        <c:noMultiLvlLbl val="0"/>
      </c:catAx>
      <c:valAx>
        <c:axId val="131714432"/>
        <c:scaling>
          <c:orientation val="minMax"/>
          <c:max val="300"/>
          <c:min val="-1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31712512"/>
        <c:crosses val="autoZero"/>
        <c:crossBetween val="between"/>
        <c:majorUnit val="50"/>
      </c:valAx>
      <c:spPr>
        <a:noFill/>
        <a:ln>
          <a:noFill/>
        </a:ln>
        <a:effectLst/>
      </c:spPr>
    </c:plotArea>
    <c:legend>
      <c:legendPos val="b"/>
      <c:layout>
        <c:manualLayout>
          <c:xMode val="edge"/>
          <c:yMode val="edge"/>
          <c:x val="0"/>
          <c:y val="0.8498687664041995"/>
          <c:w val="0.99785545785974694"/>
          <c:h val="0.1501312335958005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Словаччина</a:t>
            </a:r>
          </a:p>
        </c:rich>
      </c:tx>
      <c:overlay val="1"/>
      <c:spPr>
        <a:noFill/>
        <a:ln>
          <a:noFill/>
        </a:ln>
        <a:effectLst/>
      </c:spPr>
    </c:title>
    <c:autoTitleDeleted val="0"/>
    <c:plotArea>
      <c:layout>
        <c:manualLayout>
          <c:layoutTarget val="inner"/>
          <c:xMode val="edge"/>
          <c:yMode val="edge"/>
          <c:x val="9.4822697724582183E-2"/>
          <c:y val="5.0925925925925923E-2"/>
          <c:w val="0.88163530120532685"/>
          <c:h val="0.6951574803149605"/>
        </c:manualLayout>
      </c:layout>
      <c:lineChart>
        <c:grouping val="standard"/>
        <c:varyColors val="0"/>
        <c:ser>
          <c:idx val="0"/>
          <c:order val="0"/>
          <c:tx>
            <c:strRef>
              <c:f>Лист2!$A$5</c:f>
              <c:strCache>
                <c:ptCount val="1"/>
                <c:pt idx="0">
                  <c:v>Експорт товарів</c:v>
                </c:pt>
              </c:strCache>
            </c:strRef>
          </c:tx>
          <c:spPr>
            <a:ln w="28575" cap="rnd">
              <a:solidFill>
                <a:srgbClr val="4472C4"/>
              </a:solidFill>
              <a:round/>
            </a:ln>
            <a:effectLst/>
          </c:spPr>
          <c:marker>
            <c:symbol val="square"/>
            <c:size val="5"/>
            <c:spPr>
              <a:solidFill>
                <a:srgbClr val="4472C4"/>
              </a:solidFill>
              <a:ln w="9525">
                <a:noFill/>
              </a:ln>
              <a:effectLst/>
            </c:spPr>
          </c:marker>
          <c:cat>
            <c:strRef>
              <c:f>Лист2!$B$2:$T$2</c:f>
              <c:strCache>
                <c:ptCount val="19"/>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pt idx="18">
                  <c:v>2022Q3</c:v>
                </c:pt>
              </c:strCache>
            </c:strRef>
          </c:cat>
          <c:val>
            <c:numRef>
              <c:f>Лист2!$B$5:$T$5</c:f>
              <c:numCache>
                <c:formatCode>#,##0</c:formatCode>
                <c:ptCount val="19"/>
                <c:pt idx="0">
                  <c:v>22291.716255643125</c:v>
                </c:pt>
                <c:pt idx="1">
                  <c:v>22776.84887932428</c:v>
                </c:pt>
                <c:pt idx="2">
                  <c:v>20899.062903331622</c:v>
                </c:pt>
                <c:pt idx="3">
                  <c:v>22736.626535800006</c:v>
                </c:pt>
                <c:pt idx="4">
                  <c:v>22258.084082970865</c:v>
                </c:pt>
                <c:pt idx="5">
                  <c:v>21223.335384400005</c:v>
                </c:pt>
                <c:pt idx="6">
                  <c:v>19455.42976071472</c:v>
                </c:pt>
                <c:pt idx="7">
                  <c:v>21634.251078874997</c:v>
                </c:pt>
                <c:pt idx="8">
                  <c:v>20059.997014310931</c:v>
                </c:pt>
                <c:pt idx="9">
                  <c:v>14836.679437238625</c:v>
                </c:pt>
                <c:pt idx="10">
                  <c:v>21134.7617379605</c:v>
                </c:pt>
                <c:pt idx="11">
                  <c:v>24176.862004899242</c:v>
                </c:pt>
                <c:pt idx="12">
                  <c:v>24335.638718523434</c:v>
                </c:pt>
                <c:pt idx="13">
                  <c:v>24180.631032065772</c:v>
                </c:pt>
                <c:pt idx="14">
                  <c:v>22008.567324807867</c:v>
                </c:pt>
                <c:pt idx="15">
                  <c:v>25594.354626185795</c:v>
                </c:pt>
                <c:pt idx="16">
                  <c:v>26002.293810215626</c:v>
                </c:pt>
                <c:pt idx="17">
                  <c:v>25282.746179824266</c:v>
                </c:pt>
                <c:pt idx="18">
                  <c:v>23052.950310027139</c:v>
                </c:pt>
              </c:numCache>
            </c:numRef>
          </c:val>
          <c:smooth val="0"/>
          <c:extLst xmlns:c16r2="http://schemas.microsoft.com/office/drawing/2015/06/chart">
            <c:ext xmlns:c16="http://schemas.microsoft.com/office/drawing/2014/chart" uri="{C3380CC4-5D6E-409C-BE32-E72D297353CC}">
              <c16:uniqueId val="{00000000-3CD6-4FBC-A1BD-55C36D42B1ED}"/>
            </c:ext>
          </c:extLst>
        </c:ser>
        <c:ser>
          <c:idx val="1"/>
          <c:order val="1"/>
          <c:tx>
            <c:strRef>
              <c:f>Лист2!$A$6</c:f>
              <c:strCache>
                <c:ptCount val="1"/>
                <c:pt idx="0">
                  <c:v>Імпорт товарів</c:v>
                </c:pt>
              </c:strCache>
            </c:strRef>
          </c:tx>
          <c:spPr>
            <a:ln w="28575" cap="rnd">
              <a:solidFill>
                <a:schemeClr val="accent2"/>
              </a:solidFill>
              <a:round/>
            </a:ln>
            <a:effectLst/>
          </c:spPr>
          <c:marker>
            <c:symbol val="circle"/>
            <c:size val="7"/>
            <c:spPr>
              <a:solidFill>
                <a:schemeClr val="accent2"/>
              </a:solidFill>
              <a:ln w="9525">
                <a:solidFill>
                  <a:schemeClr val="accent2"/>
                </a:solidFill>
              </a:ln>
              <a:effectLst/>
            </c:spPr>
          </c:marker>
          <c:cat>
            <c:strRef>
              <c:f>Лист2!$B$2:$T$2</c:f>
              <c:strCache>
                <c:ptCount val="19"/>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pt idx="18">
                  <c:v>2022Q3</c:v>
                </c:pt>
              </c:strCache>
            </c:strRef>
          </c:cat>
          <c:val>
            <c:numRef>
              <c:f>Лист2!$B$6:$T$6</c:f>
              <c:numCache>
                <c:formatCode>#,##0</c:formatCode>
                <c:ptCount val="19"/>
                <c:pt idx="0">
                  <c:v>22267.053300214553</c:v>
                </c:pt>
                <c:pt idx="1">
                  <c:v>22246.711872809981</c:v>
                </c:pt>
                <c:pt idx="2">
                  <c:v>21089.21358549162</c:v>
                </c:pt>
                <c:pt idx="3">
                  <c:v>23353.008689812505</c:v>
                </c:pt>
                <c:pt idx="4">
                  <c:v>22082.68690125658</c:v>
                </c:pt>
                <c:pt idx="5">
                  <c:v>21544.628183200006</c:v>
                </c:pt>
                <c:pt idx="6">
                  <c:v>20429.769309957122</c:v>
                </c:pt>
                <c:pt idx="7">
                  <c:v>21775.267630362494</c:v>
                </c:pt>
                <c:pt idx="8">
                  <c:v>20819.772301364057</c:v>
                </c:pt>
                <c:pt idx="9">
                  <c:v>14746.047473670884</c:v>
                </c:pt>
                <c:pt idx="10">
                  <c:v>19936.262497728687</c:v>
                </c:pt>
                <c:pt idx="11">
                  <c:v>23465.141802893068</c:v>
                </c:pt>
                <c:pt idx="12">
                  <c:v>23442.54421605678</c:v>
                </c:pt>
                <c:pt idx="13">
                  <c:v>24374.91548311021</c:v>
                </c:pt>
                <c:pt idx="14">
                  <c:v>22821.533951473029</c:v>
                </c:pt>
                <c:pt idx="15">
                  <c:v>26054.500242828235</c:v>
                </c:pt>
                <c:pt idx="16">
                  <c:v>27863.693136628124</c:v>
                </c:pt>
                <c:pt idx="17">
                  <c:v>26538.682524757616</c:v>
                </c:pt>
                <c:pt idx="18">
                  <c:v>24512.816622678645</c:v>
                </c:pt>
              </c:numCache>
            </c:numRef>
          </c:val>
          <c:smooth val="0"/>
          <c:extLst xmlns:c16r2="http://schemas.microsoft.com/office/drawing/2015/06/chart">
            <c:ext xmlns:c16="http://schemas.microsoft.com/office/drawing/2014/chart" uri="{C3380CC4-5D6E-409C-BE32-E72D297353CC}">
              <c16:uniqueId val="{00000001-3CD6-4FBC-A1BD-55C36D42B1ED}"/>
            </c:ext>
          </c:extLst>
        </c:ser>
        <c:dLbls>
          <c:showLegendKey val="0"/>
          <c:showVal val="0"/>
          <c:showCatName val="0"/>
          <c:showSerName val="0"/>
          <c:showPercent val="0"/>
          <c:showBubbleSize val="0"/>
        </c:dLbls>
        <c:marker val="1"/>
        <c:smooth val="0"/>
        <c:axId val="26932736"/>
        <c:axId val="26934656"/>
      </c:lineChart>
      <c:catAx>
        <c:axId val="26932736"/>
        <c:scaling>
          <c:orientation val="minMax"/>
        </c:scaling>
        <c:delete val="0"/>
        <c:axPos val="b"/>
        <c:numFmt formatCode="General" sourceLinked="1"/>
        <c:majorTickMark val="cross"/>
        <c:minorTickMark val="none"/>
        <c:tickLblPos val="nextTo"/>
        <c:spPr>
          <a:noFill/>
          <a:ln w="12700" cap="flat" cmpd="sng" algn="ctr">
            <a:solidFill>
              <a:sysClr val="windowText" lastClr="000000"/>
            </a:solidFill>
            <a:round/>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6934656"/>
        <c:crosses val="autoZero"/>
        <c:auto val="1"/>
        <c:lblAlgn val="ctr"/>
        <c:lblOffset val="100"/>
        <c:tickMarkSkip val="1"/>
        <c:noMultiLvlLbl val="0"/>
      </c:catAx>
      <c:valAx>
        <c:axId val="26934656"/>
        <c:scaling>
          <c:orientation val="minMax"/>
          <c:max val="29000"/>
          <c:min val="12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6932736"/>
        <c:crosses val="autoZero"/>
        <c:crossBetween val="between"/>
        <c:majorUnit val="1500"/>
      </c:valAx>
      <c:spPr>
        <a:noFill/>
        <a:ln>
          <a:noFill/>
        </a:ln>
        <a:effectLst/>
      </c:spPr>
    </c:plotArea>
    <c:legend>
      <c:legendPos val="b"/>
      <c:layout>
        <c:manualLayout>
          <c:xMode val="edge"/>
          <c:yMode val="edge"/>
          <c:x val="0.21573674077257196"/>
          <c:y val="0.91220290172061824"/>
          <c:w val="0.56852634993659501"/>
          <c:h val="7.8537839020122485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Польща</a:t>
            </a:r>
          </a:p>
        </c:rich>
      </c:tx>
      <c:overlay val="1"/>
      <c:spPr>
        <a:noFill/>
        <a:ln>
          <a:noFill/>
        </a:ln>
        <a:effectLst/>
      </c:spPr>
    </c:title>
    <c:autoTitleDeleted val="0"/>
    <c:plotArea>
      <c:layout>
        <c:manualLayout>
          <c:layoutTarget val="inner"/>
          <c:xMode val="edge"/>
          <c:yMode val="edge"/>
          <c:x val="9.4822697724582183E-2"/>
          <c:y val="5.0925925925925923E-2"/>
          <c:w val="0.88163530120532685"/>
          <c:h val="0.69052785068533096"/>
        </c:manualLayout>
      </c:layout>
      <c:lineChart>
        <c:grouping val="standard"/>
        <c:varyColors val="0"/>
        <c:ser>
          <c:idx val="0"/>
          <c:order val="0"/>
          <c:tx>
            <c:strRef>
              <c:f>Лист2!$A$7</c:f>
              <c:strCache>
                <c:ptCount val="1"/>
                <c:pt idx="0">
                  <c:v>Експорт послуг</c:v>
                </c:pt>
              </c:strCache>
            </c:strRef>
          </c:tx>
          <c:spPr>
            <a:ln w="28575" cap="rnd">
              <a:solidFill>
                <a:srgbClr val="4472C4"/>
              </a:solidFill>
              <a:round/>
            </a:ln>
            <a:effectLst/>
          </c:spPr>
          <c:marker>
            <c:symbol val="square"/>
            <c:size val="5"/>
            <c:spPr>
              <a:solidFill>
                <a:srgbClr val="4472C4"/>
              </a:solidFill>
              <a:ln w="9525">
                <a:noFill/>
              </a:ln>
              <a:effectLst/>
            </c:spPr>
          </c:marker>
          <c:cat>
            <c:strRef>
              <c:f>Лист2!$B$2:$S$2</c:f>
              <c:strCache>
                <c:ptCount val="18"/>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strCache>
            </c:strRef>
          </c:cat>
          <c:val>
            <c:numRef>
              <c:f>Лист2!$B$7:$S$7</c:f>
              <c:numCache>
                <c:formatCode>#,##0</c:formatCode>
                <c:ptCount val="18"/>
                <c:pt idx="0">
                  <c:v>16193</c:v>
                </c:pt>
                <c:pt idx="1">
                  <c:v>17090</c:v>
                </c:pt>
                <c:pt idx="2">
                  <c:v>17205</c:v>
                </c:pt>
                <c:pt idx="3">
                  <c:v>17848</c:v>
                </c:pt>
                <c:pt idx="4">
                  <c:v>16189</c:v>
                </c:pt>
                <c:pt idx="5">
                  <c:v>17533</c:v>
                </c:pt>
                <c:pt idx="6">
                  <c:v>18116</c:v>
                </c:pt>
                <c:pt idx="7">
                  <c:v>18597</c:v>
                </c:pt>
                <c:pt idx="8">
                  <c:v>16840</c:v>
                </c:pt>
                <c:pt idx="9">
                  <c:v>13955</c:v>
                </c:pt>
                <c:pt idx="10">
                  <c:v>16952</c:v>
                </c:pt>
                <c:pt idx="11">
                  <c:v>18865</c:v>
                </c:pt>
                <c:pt idx="12">
                  <c:v>18059</c:v>
                </c:pt>
                <c:pt idx="13">
                  <c:v>19979</c:v>
                </c:pt>
                <c:pt idx="14">
                  <c:v>20917</c:v>
                </c:pt>
                <c:pt idx="15">
                  <c:v>22169</c:v>
                </c:pt>
                <c:pt idx="16">
                  <c:v>20444</c:v>
                </c:pt>
                <c:pt idx="17">
                  <c:v>23296</c:v>
                </c:pt>
              </c:numCache>
            </c:numRef>
          </c:val>
          <c:smooth val="0"/>
          <c:extLst xmlns:c16r2="http://schemas.microsoft.com/office/drawing/2015/06/chart">
            <c:ext xmlns:c16="http://schemas.microsoft.com/office/drawing/2014/chart" uri="{C3380CC4-5D6E-409C-BE32-E72D297353CC}">
              <c16:uniqueId val="{00000000-329D-437A-95AB-B7190D49BD74}"/>
            </c:ext>
          </c:extLst>
        </c:ser>
        <c:ser>
          <c:idx val="1"/>
          <c:order val="1"/>
          <c:tx>
            <c:strRef>
              <c:f>Лист2!$A$8</c:f>
              <c:strCache>
                <c:ptCount val="1"/>
                <c:pt idx="0">
                  <c:v>Імпорт послуг</c:v>
                </c:pt>
              </c:strCache>
            </c:strRef>
          </c:tx>
          <c:spPr>
            <a:ln w="28575" cap="rnd">
              <a:solidFill>
                <a:schemeClr val="accent2"/>
              </a:solidFill>
              <a:round/>
            </a:ln>
            <a:effectLst/>
          </c:spPr>
          <c:marker>
            <c:symbol val="circle"/>
            <c:size val="7"/>
            <c:spPr>
              <a:solidFill>
                <a:schemeClr val="accent2"/>
              </a:solidFill>
              <a:ln w="9525">
                <a:solidFill>
                  <a:schemeClr val="accent2"/>
                </a:solidFill>
              </a:ln>
              <a:effectLst/>
            </c:spPr>
          </c:marker>
          <c:cat>
            <c:strRef>
              <c:f>Лист2!$B$2:$S$2</c:f>
              <c:strCache>
                <c:ptCount val="18"/>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strCache>
            </c:strRef>
          </c:cat>
          <c:val>
            <c:numRef>
              <c:f>Лист2!$B$8:$S$8</c:f>
              <c:numCache>
                <c:formatCode>#,##0</c:formatCode>
                <c:ptCount val="18"/>
                <c:pt idx="0">
                  <c:v>9740</c:v>
                </c:pt>
                <c:pt idx="1">
                  <c:v>10364</c:v>
                </c:pt>
                <c:pt idx="2">
                  <c:v>11329</c:v>
                </c:pt>
                <c:pt idx="3">
                  <c:v>11563</c:v>
                </c:pt>
                <c:pt idx="4">
                  <c:v>9612</c:v>
                </c:pt>
                <c:pt idx="5">
                  <c:v>10703</c:v>
                </c:pt>
                <c:pt idx="6">
                  <c:v>11462</c:v>
                </c:pt>
                <c:pt idx="7">
                  <c:v>11715</c:v>
                </c:pt>
                <c:pt idx="8">
                  <c:v>9774</c:v>
                </c:pt>
                <c:pt idx="9">
                  <c:v>8355</c:v>
                </c:pt>
                <c:pt idx="10">
                  <c:v>10317</c:v>
                </c:pt>
                <c:pt idx="11">
                  <c:v>11958</c:v>
                </c:pt>
                <c:pt idx="12">
                  <c:v>10350</c:v>
                </c:pt>
                <c:pt idx="13">
                  <c:v>11577</c:v>
                </c:pt>
                <c:pt idx="14">
                  <c:v>13099</c:v>
                </c:pt>
                <c:pt idx="15">
                  <c:v>14416</c:v>
                </c:pt>
                <c:pt idx="16">
                  <c:v>12421</c:v>
                </c:pt>
                <c:pt idx="17">
                  <c:v>13198</c:v>
                </c:pt>
              </c:numCache>
            </c:numRef>
          </c:val>
          <c:smooth val="0"/>
          <c:extLst xmlns:c16r2="http://schemas.microsoft.com/office/drawing/2015/06/chart">
            <c:ext xmlns:c16="http://schemas.microsoft.com/office/drawing/2014/chart" uri="{C3380CC4-5D6E-409C-BE32-E72D297353CC}">
              <c16:uniqueId val="{00000001-329D-437A-95AB-B7190D49BD74}"/>
            </c:ext>
          </c:extLst>
        </c:ser>
        <c:dLbls>
          <c:showLegendKey val="0"/>
          <c:showVal val="0"/>
          <c:showCatName val="0"/>
          <c:showSerName val="0"/>
          <c:showPercent val="0"/>
          <c:showBubbleSize val="0"/>
        </c:dLbls>
        <c:marker val="1"/>
        <c:smooth val="0"/>
        <c:axId val="28852992"/>
        <c:axId val="28854912"/>
      </c:lineChart>
      <c:catAx>
        <c:axId val="28852992"/>
        <c:scaling>
          <c:orientation val="minMax"/>
        </c:scaling>
        <c:delete val="0"/>
        <c:axPos val="b"/>
        <c:numFmt formatCode="General" sourceLinked="1"/>
        <c:majorTickMark val="cross"/>
        <c:minorTickMark val="none"/>
        <c:tickLblPos val="nextTo"/>
        <c:spPr>
          <a:noFill/>
          <a:ln w="12700" cap="flat" cmpd="sng" algn="ctr">
            <a:solidFill>
              <a:sysClr val="windowText" lastClr="000000"/>
            </a:solidFill>
            <a:round/>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8854912"/>
        <c:crosses val="autoZero"/>
        <c:auto val="1"/>
        <c:lblAlgn val="ctr"/>
        <c:lblOffset val="100"/>
        <c:tickMarkSkip val="1"/>
        <c:noMultiLvlLbl val="0"/>
      </c:catAx>
      <c:valAx>
        <c:axId val="28854912"/>
        <c:scaling>
          <c:orientation val="minMax"/>
          <c:max val="25000"/>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8852992"/>
        <c:crosses val="autoZero"/>
        <c:crossBetween val="between"/>
        <c:majorUnit val="2000"/>
      </c:valAx>
      <c:spPr>
        <a:noFill/>
        <a:ln>
          <a:noFill/>
        </a:ln>
        <a:effectLst/>
      </c:spPr>
    </c:plotArea>
    <c:legend>
      <c:legendPos val="b"/>
      <c:layout>
        <c:manualLayout>
          <c:xMode val="edge"/>
          <c:yMode val="edge"/>
          <c:x val="0.26627924318448959"/>
          <c:y val="0.92146216097987754"/>
          <c:w val="0.46744134511275975"/>
          <c:h val="7.8537839020122485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Словаччина</a:t>
            </a:r>
          </a:p>
        </c:rich>
      </c:tx>
      <c:overlay val="1"/>
      <c:spPr>
        <a:noFill/>
        <a:ln>
          <a:noFill/>
        </a:ln>
        <a:effectLst/>
      </c:spPr>
    </c:title>
    <c:autoTitleDeleted val="0"/>
    <c:plotArea>
      <c:layout>
        <c:manualLayout>
          <c:layoutTarget val="inner"/>
          <c:xMode val="edge"/>
          <c:yMode val="edge"/>
          <c:x val="8.3586742668402408E-2"/>
          <c:y val="5.0925925925925923E-2"/>
          <c:w val="0.89287125626150665"/>
          <c:h val="0.68126859142607177"/>
        </c:manualLayout>
      </c:layout>
      <c:lineChart>
        <c:grouping val="standard"/>
        <c:varyColors val="0"/>
        <c:ser>
          <c:idx val="0"/>
          <c:order val="0"/>
          <c:tx>
            <c:strRef>
              <c:f>Лист2!$A$9</c:f>
              <c:strCache>
                <c:ptCount val="1"/>
                <c:pt idx="0">
                  <c:v>Експорт послуг</c:v>
                </c:pt>
              </c:strCache>
            </c:strRef>
          </c:tx>
          <c:spPr>
            <a:ln w="28575" cap="rnd">
              <a:solidFill>
                <a:srgbClr val="4472C4"/>
              </a:solidFill>
              <a:round/>
            </a:ln>
            <a:effectLst/>
          </c:spPr>
          <c:marker>
            <c:symbol val="square"/>
            <c:size val="5"/>
            <c:spPr>
              <a:solidFill>
                <a:srgbClr val="4472C4"/>
              </a:solidFill>
              <a:ln w="9525">
                <a:noFill/>
              </a:ln>
              <a:effectLst/>
            </c:spPr>
          </c:marker>
          <c:cat>
            <c:strRef>
              <c:f>Лист2!$B$2:$T$2</c:f>
              <c:strCache>
                <c:ptCount val="19"/>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pt idx="18">
                  <c:v>2022Q3</c:v>
                </c:pt>
              </c:strCache>
            </c:strRef>
          </c:cat>
          <c:val>
            <c:numRef>
              <c:f>Лист2!$B$9:$T$9</c:f>
              <c:numCache>
                <c:formatCode>#,##0</c:formatCode>
                <c:ptCount val="19"/>
                <c:pt idx="0">
                  <c:v>2752.920042357176</c:v>
                </c:pt>
                <c:pt idx="1">
                  <c:v>3052.3388550762534</c:v>
                </c:pt>
                <c:pt idx="2">
                  <c:v>3213.4818711783569</c:v>
                </c:pt>
                <c:pt idx="3">
                  <c:v>3039.5449623000009</c:v>
                </c:pt>
                <c:pt idx="4">
                  <c:v>2759.6394927999299</c:v>
                </c:pt>
                <c:pt idx="5">
                  <c:v>3138.0322593000005</c:v>
                </c:pt>
                <c:pt idx="6">
                  <c:v>3239.2773120302313</c:v>
                </c:pt>
                <c:pt idx="7">
                  <c:v>3150.6483576062492</c:v>
                </c:pt>
                <c:pt idx="8">
                  <c:v>2678.2895389046871</c:v>
                </c:pt>
                <c:pt idx="9">
                  <c:v>2137.773056148375</c:v>
                </c:pt>
                <c:pt idx="10">
                  <c:v>2892.5920303105913</c:v>
                </c:pt>
                <c:pt idx="11">
                  <c:v>2629.0301122831615</c:v>
                </c:pt>
                <c:pt idx="12">
                  <c:v>2472.5051493237715</c:v>
                </c:pt>
                <c:pt idx="13">
                  <c:v>2636.0917166221252</c:v>
                </c:pt>
                <c:pt idx="14">
                  <c:v>3146.7966613106478</c:v>
                </c:pt>
                <c:pt idx="15">
                  <c:v>3055.611746241022</c:v>
                </c:pt>
                <c:pt idx="16">
                  <c:v>2930.5125981249998</c:v>
                </c:pt>
                <c:pt idx="17">
                  <c:v>2896.6071854238617</c:v>
                </c:pt>
                <c:pt idx="18">
                  <c:v>3403.8228949030104</c:v>
                </c:pt>
              </c:numCache>
            </c:numRef>
          </c:val>
          <c:smooth val="0"/>
          <c:extLst xmlns:c16r2="http://schemas.microsoft.com/office/drawing/2015/06/chart">
            <c:ext xmlns:c16="http://schemas.microsoft.com/office/drawing/2014/chart" uri="{C3380CC4-5D6E-409C-BE32-E72D297353CC}">
              <c16:uniqueId val="{00000000-3B53-4243-80AA-BB11EB135F38}"/>
            </c:ext>
          </c:extLst>
        </c:ser>
        <c:ser>
          <c:idx val="1"/>
          <c:order val="1"/>
          <c:tx>
            <c:strRef>
              <c:f>Лист2!$A$10</c:f>
              <c:strCache>
                <c:ptCount val="1"/>
                <c:pt idx="0">
                  <c:v>Імпорт послуг</c:v>
                </c:pt>
              </c:strCache>
            </c:strRef>
          </c:tx>
          <c:spPr>
            <a:ln w="28575" cap="rnd">
              <a:solidFill>
                <a:schemeClr val="accent2"/>
              </a:solidFill>
              <a:round/>
            </a:ln>
            <a:effectLst/>
          </c:spPr>
          <c:marker>
            <c:symbol val="circle"/>
            <c:size val="7"/>
            <c:spPr>
              <a:solidFill>
                <a:schemeClr val="accent2"/>
              </a:solidFill>
              <a:ln w="9525">
                <a:solidFill>
                  <a:schemeClr val="accent2"/>
                </a:solidFill>
              </a:ln>
              <a:effectLst/>
            </c:spPr>
          </c:marker>
          <c:cat>
            <c:strRef>
              <c:f>Лист2!$B$2:$T$2</c:f>
              <c:strCache>
                <c:ptCount val="19"/>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pt idx="18">
                  <c:v>2022Q3</c:v>
                </c:pt>
              </c:strCache>
            </c:strRef>
          </c:cat>
          <c:val>
            <c:numRef>
              <c:f>Лист2!$B$10:$T$10</c:f>
              <c:numCache>
                <c:formatCode>#,##0</c:formatCode>
                <c:ptCount val="19"/>
                <c:pt idx="0">
                  <c:v>2516.9920276428875</c:v>
                </c:pt>
                <c:pt idx="1">
                  <c:v>2698.9904394571986</c:v>
                </c:pt>
                <c:pt idx="2">
                  <c:v>2764.7716609568329</c:v>
                </c:pt>
                <c:pt idx="3">
                  <c:v>2978.5136359250005</c:v>
                </c:pt>
                <c:pt idx="4">
                  <c:v>2490.5752413713649</c:v>
                </c:pt>
                <c:pt idx="5">
                  <c:v>2681.6089170000005</c:v>
                </c:pt>
                <c:pt idx="6">
                  <c:v>2772.5895168635748</c:v>
                </c:pt>
                <c:pt idx="7">
                  <c:v>2978.2110236374992</c:v>
                </c:pt>
                <c:pt idx="8">
                  <c:v>2352.8270339312498</c:v>
                </c:pt>
                <c:pt idx="9">
                  <c:v>1879.6833761870862</c:v>
                </c:pt>
                <c:pt idx="10">
                  <c:v>2387.2988602545333</c:v>
                </c:pt>
                <c:pt idx="11">
                  <c:v>2626.9974133047003</c:v>
                </c:pt>
                <c:pt idx="12">
                  <c:v>2355.5361327713922</c:v>
                </c:pt>
                <c:pt idx="13">
                  <c:v>2537.0677708443509</c:v>
                </c:pt>
                <c:pt idx="14">
                  <c:v>2775.7615866151887</c:v>
                </c:pt>
                <c:pt idx="15">
                  <c:v>2996.5097609864747</c:v>
                </c:pt>
                <c:pt idx="16">
                  <c:v>2801.9810289625002</c:v>
                </c:pt>
                <c:pt idx="17">
                  <c:v>2859.7329502095754</c:v>
                </c:pt>
                <c:pt idx="18">
                  <c:v>3353.5654910545259</c:v>
                </c:pt>
              </c:numCache>
            </c:numRef>
          </c:val>
          <c:smooth val="0"/>
          <c:extLst xmlns:c16r2="http://schemas.microsoft.com/office/drawing/2015/06/chart">
            <c:ext xmlns:c16="http://schemas.microsoft.com/office/drawing/2014/chart" uri="{C3380CC4-5D6E-409C-BE32-E72D297353CC}">
              <c16:uniqueId val="{00000001-3B53-4243-80AA-BB11EB135F38}"/>
            </c:ext>
          </c:extLst>
        </c:ser>
        <c:dLbls>
          <c:showLegendKey val="0"/>
          <c:showVal val="0"/>
          <c:showCatName val="0"/>
          <c:showSerName val="0"/>
          <c:showPercent val="0"/>
          <c:showBubbleSize val="0"/>
        </c:dLbls>
        <c:marker val="1"/>
        <c:smooth val="0"/>
        <c:axId val="80674816"/>
        <c:axId val="80676736"/>
      </c:lineChart>
      <c:catAx>
        <c:axId val="80674816"/>
        <c:scaling>
          <c:orientation val="minMax"/>
        </c:scaling>
        <c:delete val="0"/>
        <c:axPos val="b"/>
        <c:numFmt formatCode="General" sourceLinked="1"/>
        <c:majorTickMark val="cross"/>
        <c:minorTickMark val="none"/>
        <c:tickLblPos val="nextTo"/>
        <c:spPr>
          <a:noFill/>
          <a:ln w="12700" cap="flat" cmpd="sng" algn="ctr">
            <a:solidFill>
              <a:sysClr val="windowText" lastClr="000000"/>
            </a:solidFill>
            <a:round/>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0676736"/>
        <c:crosses val="autoZero"/>
        <c:auto val="1"/>
        <c:lblAlgn val="ctr"/>
        <c:lblOffset val="100"/>
        <c:tickMarkSkip val="1"/>
        <c:noMultiLvlLbl val="0"/>
      </c:catAx>
      <c:valAx>
        <c:axId val="80676736"/>
        <c:scaling>
          <c:orientation val="minMax"/>
          <c:max val="4000"/>
          <c:min val="1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0674816"/>
        <c:crosses val="autoZero"/>
        <c:crossBetween val="between"/>
        <c:majorUnit val="300"/>
      </c:valAx>
      <c:spPr>
        <a:noFill/>
        <a:ln>
          <a:noFill/>
        </a:ln>
        <a:effectLst/>
      </c:spPr>
    </c:plotArea>
    <c:legend>
      <c:legendPos val="b"/>
      <c:layout>
        <c:manualLayout>
          <c:xMode val="edge"/>
          <c:yMode val="edge"/>
          <c:x val="0.21573674077257196"/>
          <c:y val="0.92146216097987754"/>
          <c:w val="0.56852634993659501"/>
          <c:h val="7.8537839020122485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Польща</a:t>
            </a:r>
          </a:p>
        </c:rich>
      </c:tx>
      <c:overlay val="1"/>
      <c:spPr>
        <a:noFill/>
        <a:ln>
          <a:noFill/>
        </a:ln>
        <a:effectLst/>
      </c:spPr>
    </c:title>
    <c:autoTitleDeleted val="0"/>
    <c:plotArea>
      <c:layout>
        <c:manualLayout>
          <c:layoutTarget val="inner"/>
          <c:xMode val="edge"/>
          <c:yMode val="edge"/>
          <c:x val="9.5189398457000807E-2"/>
          <c:y val="5.0925925925925923E-2"/>
          <c:w val="0.88117755825156086"/>
          <c:h val="0.69052785068533096"/>
        </c:manualLayout>
      </c:layout>
      <c:lineChart>
        <c:grouping val="standard"/>
        <c:varyColors val="0"/>
        <c:ser>
          <c:idx val="0"/>
          <c:order val="0"/>
          <c:tx>
            <c:strRef>
              <c:f>Лист2!$A$11</c:f>
              <c:strCache>
                <c:ptCount val="1"/>
                <c:pt idx="0">
                  <c:v>Первинні доходи, надходження</c:v>
                </c:pt>
              </c:strCache>
            </c:strRef>
          </c:tx>
          <c:spPr>
            <a:ln w="28575" cap="rnd">
              <a:solidFill>
                <a:srgbClr val="4472C4"/>
              </a:solidFill>
              <a:round/>
            </a:ln>
            <a:effectLst/>
          </c:spPr>
          <c:marker>
            <c:symbol val="square"/>
            <c:size val="5"/>
            <c:spPr>
              <a:solidFill>
                <a:srgbClr val="4472C4"/>
              </a:solidFill>
              <a:ln w="9525">
                <a:noFill/>
              </a:ln>
              <a:effectLst/>
            </c:spPr>
          </c:marker>
          <c:cat>
            <c:strRef>
              <c:f>Лист2!$B$2:$S$2</c:f>
              <c:strCache>
                <c:ptCount val="18"/>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strCache>
            </c:strRef>
          </c:cat>
          <c:val>
            <c:numRef>
              <c:f>Лист2!$B$11:$S$11</c:f>
              <c:numCache>
                <c:formatCode>#,##0</c:formatCode>
                <c:ptCount val="18"/>
                <c:pt idx="0">
                  <c:v>3663</c:v>
                </c:pt>
                <c:pt idx="1">
                  <c:v>3145</c:v>
                </c:pt>
                <c:pt idx="2">
                  <c:v>2586</c:v>
                </c:pt>
                <c:pt idx="3">
                  <c:v>5187</c:v>
                </c:pt>
                <c:pt idx="4">
                  <c:v>3218</c:v>
                </c:pt>
                <c:pt idx="5">
                  <c:v>3182</c:v>
                </c:pt>
                <c:pt idx="6">
                  <c:v>2342</c:v>
                </c:pt>
                <c:pt idx="7">
                  <c:v>5510</c:v>
                </c:pt>
                <c:pt idx="8">
                  <c:v>2720</c:v>
                </c:pt>
                <c:pt idx="9">
                  <c:v>2311</c:v>
                </c:pt>
                <c:pt idx="10">
                  <c:v>2045</c:v>
                </c:pt>
                <c:pt idx="11">
                  <c:v>5651</c:v>
                </c:pt>
                <c:pt idx="12">
                  <c:v>3474</c:v>
                </c:pt>
                <c:pt idx="13">
                  <c:v>3004</c:v>
                </c:pt>
                <c:pt idx="14">
                  <c:v>2599</c:v>
                </c:pt>
                <c:pt idx="15">
                  <c:v>5542</c:v>
                </c:pt>
                <c:pt idx="16">
                  <c:v>3300</c:v>
                </c:pt>
                <c:pt idx="17">
                  <c:v>3083</c:v>
                </c:pt>
              </c:numCache>
            </c:numRef>
          </c:val>
          <c:smooth val="0"/>
          <c:extLst xmlns:c16r2="http://schemas.microsoft.com/office/drawing/2015/06/chart">
            <c:ext xmlns:c16="http://schemas.microsoft.com/office/drawing/2014/chart" uri="{C3380CC4-5D6E-409C-BE32-E72D297353CC}">
              <c16:uniqueId val="{00000000-52E5-4384-A51C-14A3D211C008}"/>
            </c:ext>
          </c:extLst>
        </c:ser>
        <c:ser>
          <c:idx val="1"/>
          <c:order val="1"/>
          <c:tx>
            <c:strRef>
              <c:f>Лист2!$A$12</c:f>
              <c:strCache>
                <c:ptCount val="1"/>
                <c:pt idx="0">
                  <c:v>Первинні доходи, виплати</c:v>
                </c:pt>
              </c:strCache>
            </c:strRef>
          </c:tx>
          <c:spPr>
            <a:ln w="28575" cap="rnd">
              <a:solidFill>
                <a:schemeClr val="accent2"/>
              </a:solidFill>
              <a:round/>
            </a:ln>
            <a:effectLst/>
          </c:spPr>
          <c:marker>
            <c:symbol val="circle"/>
            <c:size val="7"/>
            <c:spPr>
              <a:solidFill>
                <a:schemeClr val="accent2"/>
              </a:solidFill>
              <a:ln w="9525">
                <a:solidFill>
                  <a:schemeClr val="accent2"/>
                </a:solidFill>
              </a:ln>
              <a:effectLst/>
            </c:spPr>
          </c:marker>
          <c:cat>
            <c:strRef>
              <c:f>Лист2!$B$2:$S$2</c:f>
              <c:strCache>
                <c:ptCount val="18"/>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strCache>
            </c:strRef>
          </c:cat>
          <c:val>
            <c:numRef>
              <c:f>Лист2!$B$12:$S$12</c:f>
              <c:numCache>
                <c:formatCode>#,##0</c:formatCode>
                <c:ptCount val="18"/>
                <c:pt idx="0">
                  <c:v>9367</c:v>
                </c:pt>
                <c:pt idx="1">
                  <c:v>10346</c:v>
                </c:pt>
                <c:pt idx="2">
                  <c:v>10773</c:v>
                </c:pt>
                <c:pt idx="3">
                  <c:v>8948</c:v>
                </c:pt>
                <c:pt idx="4">
                  <c:v>9330</c:v>
                </c:pt>
                <c:pt idx="5">
                  <c:v>10463</c:v>
                </c:pt>
                <c:pt idx="6">
                  <c:v>10009</c:v>
                </c:pt>
                <c:pt idx="7">
                  <c:v>9359</c:v>
                </c:pt>
                <c:pt idx="8">
                  <c:v>7528</c:v>
                </c:pt>
                <c:pt idx="9">
                  <c:v>7885</c:v>
                </c:pt>
                <c:pt idx="10">
                  <c:v>10048</c:v>
                </c:pt>
                <c:pt idx="11">
                  <c:v>10063</c:v>
                </c:pt>
                <c:pt idx="12">
                  <c:v>11583</c:v>
                </c:pt>
                <c:pt idx="13">
                  <c:v>11741</c:v>
                </c:pt>
                <c:pt idx="14">
                  <c:v>12054</c:v>
                </c:pt>
                <c:pt idx="15">
                  <c:v>11321</c:v>
                </c:pt>
                <c:pt idx="16">
                  <c:v>11262</c:v>
                </c:pt>
                <c:pt idx="17">
                  <c:v>12264</c:v>
                </c:pt>
              </c:numCache>
            </c:numRef>
          </c:val>
          <c:smooth val="0"/>
          <c:extLst xmlns:c16r2="http://schemas.microsoft.com/office/drawing/2015/06/chart">
            <c:ext xmlns:c16="http://schemas.microsoft.com/office/drawing/2014/chart" uri="{C3380CC4-5D6E-409C-BE32-E72D297353CC}">
              <c16:uniqueId val="{00000001-52E5-4384-A51C-14A3D211C008}"/>
            </c:ext>
          </c:extLst>
        </c:ser>
        <c:dLbls>
          <c:showLegendKey val="0"/>
          <c:showVal val="0"/>
          <c:showCatName val="0"/>
          <c:showSerName val="0"/>
          <c:showPercent val="0"/>
          <c:showBubbleSize val="0"/>
        </c:dLbls>
        <c:marker val="1"/>
        <c:smooth val="0"/>
        <c:axId val="29023232"/>
        <c:axId val="81003648"/>
      </c:lineChart>
      <c:catAx>
        <c:axId val="29023232"/>
        <c:scaling>
          <c:orientation val="minMax"/>
        </c:scaling>
        <c:delete val="0"/>
        <c:axPos val="b"/>
        <c:numFmt formatCode="General" sourceLinked="1"/>
        <c:majorTickMark val="cross"/>
        <c:minorTickMark val="none"/>
        <c:tickLblPos val="nextTo"/>
        <c:spPr>
          <a:noFill/>
          <a:ln w="12700" cap="flat" cmpd="sng" algn="ctr">
            <a:solidFill>
              <a:sysClr val="windowText" lastClr="000000"/>
            </a:solidFill>
            <a:round/>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1003648"/>
        <c:crosses val="autoZero"/>
        <c:auto val="1"/>
        <c:lblAlgn val="ctr"/>
        <c:lblOffset val="100"/>
        <c:tickMarkSkip val="1"/>
        <c:noMultiLvlLbl val="0"/>
      </c:catAx>
      <c:valAx>
        <c:axId val="81003648"/>
        <c:scaling>
          <c:orientation val="minMax"/>
          <c:max val="14000"/>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9023232"/>
        <c:crosses val="autoZero"/>
        <c:crossBetween val="between"/>
        <c:majorUnit val="1000"/>
      </c:valAx>
      <c:spPr>
        <a:noFill/>
        <a:ln>
          <a:noFill/>
        </a:ln>
        <a:effectLst/>
      </c:spPr>
    </c:plotArea>
    <c:legend>
      <c:legendPos val="b"/>
      <c:layout>
        <c:manualLayout>
          <c:xMode val="edge"/>
          <c:yMode val="edge"/>
          <c:x val="0.11885915162957192"/>
          <c:y val="0.92146216097987754"/>
          <c:w val="0.76228152757089707"/>
          <c:h val="7.8537839020122485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Словаччина</a:t>
            </a:r>
          </a:p>
        </c:rich>
      </c:tx>
      <c:overlay val="1"/>
      <c:spPr>
        <a:noFill/>
        <a:ln>
          <a:noFill/>
        </a:ln>
        <a:effectLst/>
      </c:spPr>
    </c:title>
    <c:autoTitleDeleted val="0"/>
    <c:plotArea>
      <c:layout>
        <c:manualLayout>
          <c:layoutTarget val="inner"/>
          <c:xMode val="edge"/>
          <c:yMode val="edge"/>
          <c:x val="8.375703519582034E-2"/>
          <c:y val="5.0925925925925923E-2"/>
          <c:w val="0.89265300126139602"/>
          <c:h val="0.70904636920384956"/>
        </c:manualLayout>
      </c:layout>
      <c:lineChart>
        <c:grouping val="standard"/>
        <c:varyColors val="0"/>
        <c:ser>
          <c:idx val="0"/>
          <c:order val="0"/>
          <c:tx>
            <c:strRef>
              <c:f>Лист2!$A$13</c:f>
              <c:strCache>
                <c:ptCount val="1"/>
                <c:pt idx="0">
                  <c:v>Первинні доходи, надходження</c:v>
                </c:pt>
              </c:strCache>
            </c:strRef>
          </c:tx>
          <c:spPr>
            <a:ln w="28575" cap="rnd">
              <a:solidFill>
                <a:srgbClr val="4472C4"/>
              </a:solidFill>
              <a:round/>
            </a:ln>
            <a:effectLst/>
          </c:spPr>
          <c:marker>
            <c:symbol val="square"/>
            <c:size val="5"/>
            <c:spPr>
              <a:solidFill>
                <a:srgbClr val="4472C4"/>
              </a:solidFill>
              <a:ln w="9525">
                <a:noFill/>
              </a:ln>
              <a:effectLst/>
            </c:spPr>
          </c:marker>
          <c:cat>
            <c:strRef>
              <c:f>Лист2!$B$2:$S$2</c:f>
              <c:strCache>
                <c:ptCount val="18"/>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strCache>
            </c:strRef>
          </c:cat>
          <c:val>
            <c:numRef>
              <c:f>Лист2!$B$13:$T$13</c:f>
              <c:numCache>
                <c:formatCode>#,##0</c:formatCode>
                <c:ptCount val="19"/>
                <c:pt idx="0">
                  <c:v>1340.6462483571588</c:v>
                </c:pt>
                <c:pt idx="1">
                  <c:v>1079.4188820000222</c:v>
                </c:pt>
                <c:pt idx="2">
                  <c:v>996.09726758765976</c:v>
                </c:pt>
                <c:pt idx="3">
                  <c:v>953.90810297500025</c:v>
                </c:pt>
                <c:pt idx="4">
                  <c:v>1383.1617538285363</c:v>
                </c:pt>
                <c:pt idx="5">
                  <c:v>1041.8305891000002</c:v>
                </c:pt>
                <c:pt idx="6">
                  <c:v>1077.7824410272488</c:v>
                </c:pt>
                <c:pt idx="7">
                  <c:v>1012.7929756687498</c:v>
                </c:pt>
                <c:pt idx="8">
                  <c:v>1320.0615679374998</c:v>
                </c:pt>
                <c:pt idx="9">
                  <c:v>1006.6098889935427</c:v>
                </c:pt>
                <c:pt idx="10">
                  <c:v>1067.5298202863582</c:v>
                </c:pt>
                <c:pt idx="11">
                  <c:v>1002.1766626092632</c:v>
                </c:pt>
                <c:pt idx="12">
                  <c:v>1388.8591765142644</c:v>
                </c:pt>
                <c:pt idx="13">
                  <c:v>986.03347235551917</c:v>
                </c:pt>
                <c:pt idx="14">
                  <c:v>1006.3049025606194</c:v>
                </c:pt>
                <c:pt idx="15">
                  <c:v>917.73774026821582</c:v>
                </c:pt>
                <c:pt idx="16">
                  <c:v>1333.1858156968751</c:v>
                </c:pt>
                <c:pt idx="17">
                  <c:v>993.26211554763688</c:v>
                </c:pt>
                <c:pt idx="18">
                  <c:v>967.39309600605498</c:v>
                </c:pt>
              </c:numCache>
            </c:numRef>
          </c:val>
          <c:smooth val="0"/>
          <c:extLst xmlns:c16r2="http://schemas.microsoft.com/office/drawing/2015/06/chart">
            <c:ext xmlns:c16="http://schemas.microsoft.com/office/drawing/2014/chart" uri="{C3380CC4-5D6E-409C-BE32-E72D297353CC}">
              <c16:uniqueId val="{00000000-2D75-4214-8E8C-09308261CEFF}"/>
            </c:ext>
          </c:extLst>
        </c:ser>
        <c:ser>
          <c:idx val="1"/>
          <c:order val="1"/>
          <c:tx>
            <c:strRef>
              <c:f>Лист2!$A$14</c:f>
              <c:strCache>
                <c:ptCount val="1"/>
                <c:pt idx="0">
                  <c:v>Первинні доходи, виплати</c:v>
                </c:pt>
              </c:strCache>
            </c:strRef>
          </c:tx>
          <c:spPr>
            <a:ln w="28575" cap="rnd">
              <a:solidFill>
                <a:schemeClr val="accent2"/>
              </a:solidFill>
              <a:round/>
            </a:ln>
            <a:effectLst/>
          </c:spPr>
          <c:marker>
            <c:symbol val="circle"/>
            <c:size val="7"/>
            <c:spPr>
              <a:solidFill>
                <a:schemeClr val="accent2"/>
              </a:solidFill>
              <a:ln w="9525">
                <a:solidFill>
                  <a:schemeClr val="accent2"/>
                </a:solidFill>
              </a:ln>
              <a:effectLst/>
            </c:spPr>
          </c:marker>
          <c:cat>
            <c:strRef>
              <c:f>Лист2!$B$2:$S$2</c:f>
              <c:strCache>
                <c:ptCount val="18"/>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strCache>
            </c:strRef>
          </c:cat>
          <c:val>
            <c:numRef>
              <c:f>Лист2!$B$14:$T$14</c:f>
              <c:numCache>
                <c:formatCode>#,##0</c:formatCode>
                <c:ptCount val="19"/>
                <c:pt idx="0">
                  <c:v>1606.4921095714478</c:v>
                </c:pt>
                <c:pt idx="1">
                  <c:v>1555.349029300032</c:v>
                </c:pt>
                <c:pt idx="2">
                  <c:v>1528.0363409168733</c:v>
                </c:pt>
                <c:pt idx="3">
                  <c:v>1559.0998488375003</c:v>
                </c:pt>
                <c:pt idx="4">
                  <c:v>1752.7042962285268</c:v>
                </c:pt>
                <c:pt idx="5">
                  <c:v>1759.3546160000003</c:v>
                </c:pt>
                <c:pt idx="6">
                  <c:v>1708.756393548447</c:v>
                </c:pt>
                <c:pt idx="7">
                  <c:v>1750.8519998687495</c:v>
                </c:pt>
                <c:pt idx="8">
                  <c:v>1270.1474152796873</c:v>
                </c:pt>
                <c:pt idx="9">
                  <c:v>1193.4546753096706</c:v>
                </c:pt>
                <c:pt idx="10">
                  <c:v>1398.5384189787808</c:v>
                </c:pt>
                <c:pt idx="11">
                  <c:v>1417.644110387738</c:v>
                </c:pt>
                <c:pt idx="12">
                  <c:v>1451.1835341523586</c:v>
                </c:pt>
                <c:pt idx="13">
                  <c:v>1463.6781035555014</c:v>
                </c:pt>
                <c:pt idx="14">
                  <c:v>1440.2866375485041</c:v>
                </c:pt>
                <c:pt idx="15">
                  <c:v>1730.2024992940032</c:v>
                </c:pt>
                <c:pt idx="16">
                  <c:v>1578.9076033062502</c:v>
                </c:pt>
                <c:pt idx="17">
                  <c:v>1529.7383210047894</c:v>
                </c:pt>
                <c:pt idx="18">
                  <c:v>1430.9423762030219</c:v>
                </c:pt>
              </c:numCache>
            </c:numRef>
          </c:val>
          <c:smooth val="0"/>
          <c:extLst xmlns:c16r2="http://schemas.microsoft.com/office/drawing/2015/06/chart">
            <c:ext xmlns:c16="http://schemas.microsoft.com/office/drawing/2014/chart" uri="{C3380CC4-5D6E-409C-BE32-E72D297353CC}">
              <c16:uniqueId val="{00000001-2D75-4214-8E8C-09308261CEFF}"/>
            </c:ext>
          </c:extLst>
        </c:ser>
        <c:dLbls>
          <c:showLegendKey val="0"/>
          <c:showVal val="0"/>
          <c:showCatName val="0"/>
          <c:showSerName val="0"/>
          <c:showPercent val="0"/>
          <c:showBubbleSize val="0"/>
        </c:dLbls>
        <c:marker val="1"/>
        <c:smooth val="0"/>
        <c:axId val="80996608"/>
        <c:axId val="80998784"/>
      </c:lineChart>
      <c:catAx>
        <c:axId val="80996608"/>
        <c:scaling>
          <c:orientation val="minMax"/>
        </c:scaling>
        <c:delete val="0"/>
        <c:axPos val="b"/>
        <c:numFmt formatCode="General" sourceLinked="1"/>
        <c:majorTickMark val="cross"/>
        <c:minorTickMark val="none"/>
        <c:tickLblPos val="nextTo"/>
        <c:spPr>
          <a:noFill/>
          <a:ln w="12700" cap="flat" cmpd="sng" algn="ctr">
            <a:solidFill>
              <a:sysClr val="windowText" lastClr="000000"/>
            </a:solidFill>
            <a:round/>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0998784"/>
        <c:crosses val="autoZero"/>
        <c:auto val="1"/>
        <c:lblAlgn val="ctr"/>
        <c:lblOffset val="100"/>
        <c:tickMarkSkip val="1"/>
        <c:noMultiLvlLbl val="0"/>
      </c:catAx>
      <c:valAx>
        <c:axId val="80998784"/>
        <c:scaling>
          <c:orientation val="minMax"/>
          <c:max val="2500"/>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0996608"/>
        <c:crosses val="autoZero"/>
        <c:crossBetween val="between"/>
        <c:majorUnit val="200"/>
      </c:valAx>
      <c:spPr>
        <a:noFill/>
        <a:ln>
          <a:noFill/>
        </a:ln>
        <a:effectLst/>
      </c:spPr>
    </c:plotArea>
    <c:legend>
      <c:legendPos val="b"/>
      <c:layout>
        <c:manualLayout>
          <c:xMode val="edge"/>
          <c:yMode val="edge"/>
          <c:x val="0.11955400277946171"/>
          <c:y val="0.92146216097987754"/>
          <c:w val="0.76089199444107658"/>
          <c:h val="7.8537839020122485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Польща</a:t>
            </a:r>
          </a:p>
        </c:rich>
      </c:tx>
      <c:overlay val="1"/>
      <c:spPr>
        <a:noFill/>
        <a:ln>
          <a:noFill/>
        </a:ln>
        <a:effectLst/>
      </c:spPr>
    </c:title>
    <c:autoTitleDeleted val="0"/>
    <c:plotArea>
      <c:layout>
        <c:manualLayout>
          <c:layoutTarget val="inner"/>
          <c:xMode val="edge"/>
          <c:yMode val="edge"/>
          <c:x val="8.360463558131441E-2"/>
          <c:y val="5.0925925925925923E-2"/>
          <c:w val="0.89284832385355661"/>
          <c:h val="0.6951574803149605"/>
        </c:manualLayout>
      </c:layout>
      <c:lineChart>
        <c:grouping val="standard"/>
        <c:varyColors val="0"/>
        <c:ser>
          <c:idx val="0"/>
          <c:order val="0"/>
          <c:tx>
            <c:strRef>
              <c:f>Лист2!$A$15</c:f>
              <c:strCache>
                <c:ptCount val="1"/>
                <c:pt idx="0">
                  <c:v>Вторинні доходи, надходження</c:v>
                </c:pt>
              </c:strCache>
            </c:strRef>
          </c:tx>
          <c:spPr>
            <a:ln w="28575" cap="rnd">
              <a:solidFill>
                <a:srgbClr val="4472C4"/>
              </a:solidFill>
              <a:round/>
            </a:ln>
            <a:effectLst/>
          </c:spPr>
          <c:marker>
            <c:symbol val="square"/>
            <c:size val="5"/>
            <c:spPr>
              <a:solidFill>
                <a:srgbClr val="4472C4"/>
              </a:solidFill>
              <a:ln w="9525">
                <a:noFill/>
              </a:ln>
              <a:effectLst/>
            </c:spPr>
          </c:marker>
          <c:cat>
            <c:strRef>
              <c:f>Лист2!$B$2:$S$2</c:f>
              <c:strCache>
                <c:ptCount val="18"/>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strCache>
            </c:strRef>
          </c:cat>
          <c:val>
            <c:numRef>
              <c:f>Лист2!$B$15:$S$15</c:f>
              <c:numCache>
                <c:formatCode>#,##0</c:formatCode>
                <c:ptCount val="18"/>
                <c:pt idx="0">
                  <c:v>2359</c:v>
                </c:pt>
                <c:pt idx="1">
                  <c:v>2385</c:v>
                </c:pt>
                <c:pt idx="2">
                  <c:v>2473</c:v>
                </c:pt>
                <c:pt idx="3">
                  <c:v>2678</c:v>
                </c:pt>
                <c:pt idx="4">
                  <c:v>2270</c:v>
                </c:pt>
                <c:pt idx="5">
                  <c:v>2486</c:v>
                </c:pt>
                <c:pt idx="6">
                  <c:v>2594</c:v>
                </c:pt>
                <c:pt idx="7">
                  <c:v>2750</c:v>
                </c:pt>
                <c:pt idx="8">
                  <c:v>2302</c:v>
                </c:pt>
                <c:pt idx="9">
                  <c:v>4071</c:v>
                </c:pt>
                <c:pt idx="10">
                  <c:v>2877</c:v>
                </c:pt>
                <c:pt idx="11">
                  <c:v>3589</c:v>
                </c:pt>
                <c:pt idx="12">
                  <c:v>2660</c:v>
                </c:pt>
                <c:pt idx="13">
                  <c:v>2848</c:v>
                </c:pt>
                <c:pt idx="14">
                  <c:v>2740</c:v>
                </c:pt>
                <c:pt idx="15">
                  <c:v>3079</c:v>
                </c:pt>
                <c:pt idx="16">
                  <c:v>2585</c:v>
                </c:pt>
                <c:pt idx="17">
                  <c:v>2973</c:v>
                </c:pt>
              </c:numCache>
            </c:numRef>
          </c:val>
          <c:smooth val="0"/>
          <c:extLst xmlns:c16r2="http://schemas.microsoft.com/office/drawing/2015/06/chart">
            <c:ext xmlns:c16="http://schemas.microsoft.com/office/drawing/2014/chart" uri="{C3380CC4-5D6E-409C-BE32-E72D297353CC}">
              <c16:uniqueId val="{00000000-D74A-44D7-AE75-A18E17E32DF1}"/>
            </c:ext>
          </c:extLst>
        </c:ser>
        <c:ser>
          <c:idx val="1"/>
          <c:order val="1"/>
          <c:tx>
            <c:strRef>
              <c:f>Лист2!$A$16</c:f>
              <c:strCache>
                <c:ptCount val="1"/>
                <c:pt idx="0">
                  <c:v>Вторинні доходи, виплати</c:v>
                </c:pt>
              </c:strCache>
            </c:strRef>
          </c:tx>
          <c:spPr>
            <a:ln w="28575" cap="rnd">
              <a:solidFill>
                <a:schemeClr val="accent2"/>
              </a:solidFill>
              <a:round/>
            </a:ln>
            <a:effectLst/>
          </c:spPr>
          <c:marker>
            <c:symbol val="circle"/>
            <c:size val="7"/>
            <c:spPr>
              <a:solidFill>
                <a:schemeClr val="accent2"/>
              </a:solidFill>
              <a:ln w="9525">
                <a:solidFill>
                  <a:schemeClr val="accent2"/>
                </a:solidFill>
              </a:ln>
              <a:effectLst/>
            </c:spPr>
          </c:marker>
          <c:cat>
            <c:strRef>
              <c:f>Лист2!$B$2:$S$2</c:f>
              <c:strCache>
                <c:ptCount val="18"/>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strCache>
            </c:strRef>
          </c:cat>
          <c:val>
            <c:numRef>
              <c:f>Лист2!$B$16:$S$16</c:f>
              <c:numCache>
                <c:formatCode>#,##0</c:formatCode>
                <c:ptCount val="18"/>
                <c:pt idx="0">
                  <c:v>2087</c:v>
                </c:pt>
                <c:pt idx="1">
                  <c:v>1834</c:v>
                </c:pt>
                <c:pt idx="2">
                  <c:v>2260</c:v>
                </c:pt>
                <c:pt idx="3">
                  <c:v>2313</c:v>
                </c:pt>
                <c:pt idx="4">
                  <c:v>2924</c:v>
                </c:pt>
                <c:pt idx="5">
                  <c:v>1890</c:v>
                </c:pt>
                <c:pt idx="6">
                  <c:v>2141</c:v>
                </c:pt>
                <c:pt idx="7">
                  <c:v>1746</c:v>
                </c:pt>
                <c:pt idx="8">
                  <c:v>2617</c:v>
                </c:pt>
                <c:pt idx="9">
                  <c:v>2270</c:v>
                </c:pt>
                <c:pt idx="10">
                  <c:v>1838</c:v>
                </c:pt>
                <c:pt idx="11">
                  <c:v>2872</c:v>
                </c:pt>
                <c:pt idx="12">
                  <c:v>3314</c:v>
                </c:pt>
                <c:pt idx="13">
                  <c:v>2533</c:v>
                </c:pt>
                <c:pt idx="14">
                  <c:v>2367</c:v>
                </c:pt>
                <c:pt idx="15">
                  <c:v>3550</c:v>
                </c:pt>
                <c:pt idx="16">
                  <c:v>3101</c:v>
                </c:pt>
                <c:pt idx="17">
                  <c:v>3450</c:v>
                </c:pt>
              </c:numCache>
            </c:numRef>
          </c:val>
          <c:smooth val="0"/>
          <c:extLst xmlns:c16r2="http://schemas.microsoft.com/office/drawing/2015/06/chart">
            <c:ext xmlns:c16="http://schemas.microsoft.com/office/drawing/2014/chart" uri="{C3380CC4-5D6E-409C-BE32-E72D297353CC}">
              <c16:uniqueId val="{00000001-D74A-44D7-AE75-A18E17E32DF1}"/>
            </c:ext>
          </c:extLst>
        </c:ser>
        <c:dLbls>
          <c:showLegendKey val="0"/>
          <c:showVal val="0"/>
          <c:showCatName val="0"/>
          <c:showSerName val="0"/>
          <c:showPercent val="0"/>
          <c:showBubbleSize val="0"/>
        </c:dLbls>
        <c:marker val="1"/>
        <c:smooth val="0"/>
        <c:axId val="81274368"/>
        <c:axId val="81276288"/>
      </c:lineChart>
      <c:catAx>
        <c:axId val="81274368"/>
        <c:scaling>
          <c:orientation val="minMax"/>
        </c:scaling>
        <c:delete val="0"/>
        <c:axPos val="b"/>
        <c:numFmt formatCode="General" sourceLinked="1"/>
        <c:majorTickMark val="cross"/>
        <c:minorTickMark val="none"/>
        <c:tickLblPos val="nextTo"/>
        <c:spPr>
          <a:noFill/>
          <a:ln w="12700" cap="flat" cmpd="sng" algn="ctr">
            <a:solidFill>
              <a:sysClr val="windowText" lastClr="000000"/>
            </a:solidFill>
            <a:round/>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1276288"/>
        <c:crosses val="autoZero"/>
        <c:auto val="1"/>
        <c:lblAlgn val="ctr"/>
        <c:lblOffset val="100"/>
        <c:tickMarkSkip val="1"/>
        <c:noMultiLvlLbl val="0"/>
      </c:catAx>
      <c:valAx>
        <c:axId val="81276288"/>
        <c:scaling>
          <c:orientation val="minMax"/>
          <c:max val="5000"/>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1274368"/>
        <c:crosses val="autoZero"/>
        <c:crossBetween val="between"/>
      </c:valAx>
      <c:spPr>
        <a:noFill/>
        <a:ln>
          <a:noFill/>
        </a:ln>
        <a:effectLst/>
      </c:spPr>
    </c:plotArea>
    <c:legend>
      <c:legendPos val="b"/>
      <c:layout>
        <c:manualLayout>
          <c:xMode val="edge"/>
          <c:yMode val="edge"/>
          <c:x val="0.12111960531316975"/>
          <c:y val="0.92146216097987754"/>
          <c:w val="0.75776078937366054"/>
          <c:h val="7.8537839020122485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Словаччина</a:t>
            </a:r>
          </a:p>
        </c:rich>
      </c:tx>
      <c:overlay val="1"/>
      <c:spPr>
        <a:noFill/>
        <a:ln>
          <a:noFill/>
        </a:ln>
        <a:effectLst/>
      </c:spPr>
    </c:title>
    <c:autoTitleDeleted val="0"/>
    <c:plotArea>
      <c:layout>
        <c:manualLayout>
          <c:layoutTarget val="inner"/>
          <c:xMode val="edge"/>
          <c:yMode val="edge"/>
          <c:x val="8.390999143154157E-2"/>
          <c:y val="5.0925925925925923E-2"/>
          <c:w val="0.89245696527702001"/>
          <c:h val="0.67663896179644212"/>
        </c:manualLayout>
      </c:layout>
      <c:lineChart>
        <c:grouping val="standard"/>
        <c:varyColors val="0"/>
        <c:ser>
          <c:idx val="0"/>
          <c:order val="0"/>
          <c:tx>
            <c:strRef>
              <c:f>Лист2!$A$17</c:f>
              <c:strCache>
                <c:ptCount val="1"/>
                <c:pt idx="0">
                  <c:v>Вторинні доходи, надходження</c:v>
                </c:pt>
              </c:strCache>
            </c:strRef>
          </c:tx>
          <c:spPr>
            <a:ln w="28575" cap="rnd">
              <a:solidFill>
                <a:srgbClr val="4472C4"/>
              </a:solidFill>
              <a:round/>
            </a:ln>
            <a:effectLst/>
          </c:spPr>
          <c:marker>
            <c:symbol val="square"/>
            <c:size val="5"/>
            <c:spPr>
              <a:solidFill>
                <a:srgbClr val="4472C4"/>
              </a:solidFill>
              <a:ln w="9525">
                <a:noFill/>
              </a:ln>
              <a:effectLst/>
            </c:spPr>
          </c:marker>
          <c:cat>
            <c:strRef>
              <c:f>Лист2!$B$2:$T$2</c:f>
              <c:strCache>
                <c:ptCount val="19"/>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pt idx="18">
                  <c:v>2022Q3</c:v>
                </c:pt>
              </c:strCache>
            </c:strRef>
          </c:cat>
          <c:val>
            <c:numRef>
              <c:f>Лист2!$B$17:$T$17</c:f>
              <c:numCache>
                <c:formatCode>#,##0</c:formatCode>
                <c:ptCount val="19"/>
                <c:pt idx="0">
                  <c:v>192.2835322857166</c:v>
                </c:pt>
                <c:pt idx="1">
                  <c:v>235.63749700476677</c:v>
                </c:pt>
                <c:pt idx="2">
                  <c:v>417.70144069844787</c:v>
                </c:pt>
                <c:pt idx="3">
                  <c:v>340.24365212500004</c:v>
                </c:pt>
                <c:pt idx="4">
                  <c:v>190.61311154285232</c:v>
                </c:pt>
                <c:pt idx="5">
                  <c:v>439.35658670000009</c:v>
                </c:pt>
                <c:pt idx="6">
                  <c:v>278.67612230605442</c:v>
                </c:pt>
                <c:pt idx="7">
                  <c:v>417.69126021249991</c:v>
                </c:pt>
                <c:pt idx="8">
                  <c:v>223.31640636718745</c:v>
                </c:pt>
                <c:pt idx="9">
                  <c:v>317.37433089032078</c:v>
                </c:pt>
                <c:pt idx="10">
                  <c:v>201.71539655605957</c:v>
                </c:pt>
                <c:pt idx="11">
                  <c:v>724.47467235694648</c:v>
                </c:pt>
                <c:pt idx="12">
                  <c:v>216.71835093332999</c:v>
                </c:pt>
                <c:pt idx="13">
                  <c:v>660.46270742219781</c:v>
                </c:pt>
                <c:pt idx="14">
                  <c:v>309.39216552727686</c:v>
                </c:pt>
                <c:pt idx="15">
                  <c:v>544.45777074850503</c:v>
                </c:pt>
                <c:pt idx="16">
                  <c:v>257.07772022187498</c:v>
                </c:pt>
                <c:pt idx="17">
                  <c:v>467.14391310477032</c:v>
                </c:pt>
                <c:pt idx="18">
                  <c:v>252.66051350908944</c:v>
                </c:pt>
              </c:numCache>
            </c:numRef>
          </c:val>
          <c:smooth val="0"/>
          <c:extLst xmlns:c16r2="http://schemas.microsoft.com/office/drawing/2015/06/chart">
            <c:ext xmlns:c16="http://schemas.microsoft.com/office/drawing/2014/chart" uri="{C3380CC4-5D6E-409C-BE32-E72D297353CC}">
              <c16:uniqueId val="{00000000-302B-48B4-A9A0-8213302A6BC0}"/>
            </c:ext>
          </c:extLst>
        </c:ser>
        <c:ser>
          <c:idx val="1"/>
          <c:order val="1"/>
          <c:tx>
            <c:strRef>
              <c:f>Лист2!$A$18</c:f>
              <c:strCache>
                <c:ptCount val="1"/>
                <c:pt idx="0">
                  <c:v>Вторинні доходи, виплати</c:v>
                </c:pt>
              </c:strCache>
            </c:strRef>
          </c:tx>
          <c:spPr>
            <a:ln w="28575" cap="rnd">
              <a:solidFill>
                <a:schemeClr val="accent2"/>
              </a:solidFill>
              <a:round/>
            </a:ln>
            <a:effectLst/>
          </c:spPr>
          <c:marker>
            <c:symbol val="circle"/>
            <c:size val="7"/>
            <c:spPr>
              <a:solidFill>
                <a:schemeClr val="accent2"/>
              </a:solidFill>
              <a:ln w="9525">
                <a:solidFill>
                  <a:schemeClr val="accent2"/>
                </a:solidFill>
              </a:ln>
              <a:effectLst/>
            </c:spPr>
          </c:marker>
          <c:cat>
            <c:strRef>
              <c:f>Лист2!$B$2:$T$2</c:f>
              <c:strCache>
                <c:ptCount val="19"/>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pt idx="18">
                  <c:v>2022Q3</c:v>
                </c:pt>
              </c:strCache>
            </c:strRef>
          </c:cat>
          <c:val>
            <c:numRef>
              <c:f>Лист2!$B$18:$T$18</c:f>
              <c:numCache>
                <c:formatCode>#,##0</c:formatCode>
                <c:ptCount val="19"/>
                <c:pt idx="0">
                  <c:v>533.45441571429205</c:v>
                </c:pt>
                <c:pt idx="1">
                  <c:v>821.77813037144551</c:v>
                </c:pt>
                <c:pt idx="2">
                  <c:v>610.72797836305688</c:v>
                </c:pt>
                <c:pt idx="3">
                  <c:v>481.26288367500013</c:v>
                </c:pt>
                <c:pt idx="4">
                  <c:v>669.60653919998299</c:v>
                </c:pt>
                <c:pt idx="5">
                  <c:v>808.42461470000012</c:v>
                </c:pt>
                <c:pt idx="6">
                  <c:v>573.57770846665392</c:v>
                </c:pt>
                <c:pt idx="7">
                  <c:v>453.95009700624991</c:v>
                </c:pt>
                <c:pt idx="8">
                  <c:v>597.64333078593734</c:v>
                </c:pt>
                <c:pt idx="9">
                  <c:v>543.23777071612597</c:v>
                </c:pt>
                <c:pt idx="10">
                  <c:v>466.60106008484615</c:v>
                </c:pt>
                <c:pt idx="11">
                  <c:v>636.03079462155904</c:v>
                </c:pt>
                <c:pt idx="12">
                  <c:v>724.48210241903655</c:v>
                </c:pt>
                <c:pt idx="13">
                  <c:v>957.56227917774243</c:v>
                </c:pt>
                <c:pt idx="14">
                  <c:v>549.96253911364363</c:v>
                </c:pt>
                <c:pt idx="15">
                  <c:v>659.27804854093347</c:v>
                </c:pt>
                <c:pt idx="16">
                  <c:v>618.02117020000003</c:v>
                </c:pt>
                <c:pt idx="17">
                  <c:v>619.35939331429688</c:v>
                </c:pt>
                <c:pt idx="18">
                  <c:v>553.85854215151187</c:v>
                </c:pt>
              </c:numCache>
            </c:numRef>
          </c:val>
          <c:smooth val="0"/>
          <c:extLst xmlns:c16r2="http://schemas.microsoft.com/office/drawing/2015/06/chart">
            <c:ext xmlns:c16="http://schemas.microsoft.com/office/drawing/2014/chart" uri="{C3380CC4-5D6E-409C-BE32-E72D297353CC}">
              <c16:uniqueId val="{00000001-302B-48B4-A9A0-8213302A6BC0}"/>
            </c:ext>
          </c:extLst>
        </c:ser>
        <c:dLbls>
          <c:showLegendKey val="0"/>
          <c:showVal val="0"/>
          <c:showCatName val="0"/>
          <c:showSerName val="0"/>
          <c:showPercent val="0"/>
          <c:showBubbleSize val="0"/>
        </c:dLbls>
        <c:marker val="1"/>
        <c:smooth val="0"/>
        <c:axId val="81380096"/>
        <c:axId val="81382016"/>
      </c:lineChart>
      <c:catAx>
        <c:axId val="81380096"/>
        <c:scaling>
          <c:orientation val="minMax"/>
        </c:scaling>
        <c:delete val="0"/>
        <c:axPos val="b"/>
        <c:numFmt formatCode="General" sourceLinked="1"/>
        <c:majorTickMark val="cross"/>
        <c:minorTickMark val="none"/>
        <c:tickLblPos val="nextTo"/>
        <c:spPr>
          <a:noFill/>
          <a:ln w="12700" cap="flat" cmpd="sng" algn="ctr">
            <a:solidFill>
              <a:sysClr val="windowText" lastClr="000000"/>
            </a:solidFill>
            <a:round/>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1382016"/>
        <c:crosses val="autoZero"/>
        <c:auto val="1"/>
        <c:lblAlgn val="ctr"/>
        <c:lblOffset val="100"/>
        <c:tickMarkSkip val="1"/>
        <c:noMultiLvlLbl val="0"/>
      </c:catAx>
      <c:valAx>
        <c:axId val="81382016"/>
        <c:scaling>
          <c:orientation val="minMax"/>
          <c:max val="1200"/>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1380096"/>
        <c:crosses val="autoZero"/>
        <c:crossBetween val="between"/>
        <c:majorUnit val="100"/>
      </c:valAx>
      <c:spPr>
        <a:noFill/>
        <a:ln>
          <a:noFill/>
        </a:ln>
        <a:effectLst/>
      </c:spPr>
    </c:plotArea>
    <c:legend>
      <c:legendPos val="b"/>
      <c:layout>
        <c:manualLayout>
          <c:xMode val="edge"/>
          <c:yMode val="edge"/>
          <c:x val="0.11973579035781984"/>
          <c:y val="0.92146216097987754"/>
          <c:w val="0.76052841928436032"/>
          <c:h val="7.8537839020122485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Польща</a:t>
            </a:r>
          </a:p>
        </c:rich>
      </c:tx>
      <c:overlay val="1"/>
      <c:spPr>
        <a:noFill/>
        <a:ln>
          <a:noFill/>
        </a:ln>
        <a:effectLst/>
      </c:spPr>
    </c:title>
    <c:autoTitleDeleted val="0"/>
    <c:plotArea>
      <c:layout>
        <c:manualLayout>
          <c:layoutTarget val="inner"/>
          <c:xMode val="edge"/>
          <c:yMode val="edge"/>
          <c:x val="9.4842995851035047E-2"/>
          <c:y val="5.0925925925925923E-2"/>
          <c:w val="0.88160996358383603"/>
          <c:h val="0.65675780110819482"/>
        </c:manualLayout>
      </c:layout>
      <c:lineChart>
        <c:grouping val="standard"/>
        <c:varyColors val="0"/>
        <c:ser>
          <c:idx val="0"/>
          <c:order val="0"/>
          <c:tx>
            <c:strRef>
              <c:f>Лист3!$A$15</c:f>
              <c:strCache>
                <c:ptCount val="1"/>
                <c:pt idx="0">
                  <c:v>Прямі інвестиції, активи</c:v>
                </c:pt>
              </c:strCache>
            </c:strRef>
          </c:tx>
          <c:spPr>
            <a:ln w="28575" cap="rnd">
              <a:solidFill>
                <a:srgbClr val="4472C4"/>
              </a:solidFill>
              <a:round/>
            </a:ln>
            <a:effectLst/>
          </c:spPr>
          <c:marker>
            <c:symbol val="square"/>
            <c:size val="5"/>
            <c:spPr>
              <a:solidFill>
                <a:srgbClr val="4472C4"/>
              </a:solidFill>
              <a:ln w="9525">
                <a:noFill/>
              </a:ln>
              <a:effectLst/>
            </c:spPr>
          </c:marker>
          <c:cat>
            <c:strRef>
              <c:f>Лист3!$B$1:$S$1</c:f>
              <c:strCache>
                <c:ptCount val="18"/>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strCache>
            </c:strRef>
          </c:cat>
          <c:val>
            <c:numRef>
              <c:f>Лист3!$B$3:$S$3</c:f>
              <c:numCache>
                <c:formatCode>#,##0</c:formatCode>
                <c:ptCount val="18"/>
                <c:pt idx="0">
                  <c:v>1999</c:v>
                </c:pt>
                <c:pt idx="1">
                  <c:v>-834</c:v>
                </c:pt>
                <c:pt idx="2">
                  <c:v>208</c:v>
                </c:pt>
                <c:pt idx="3">
                  <c:v>1006</c:v>
                </c:pt>
                <c:pt idx="4">
                  <c:v>1153</c:v>
                </c:pt>
                <c:pt idx="5">
                  <c:v>1005</c:v>
                </c:pt>
                <c:pt idx="6">
                  <c:v>1617</c:v>
                </c:pt>
                <c:pt idx="7">
                  <c:v>1591</c:v>
                </c:pt>
                <c:pt idx="8">
                  <c:v>380</c:v>
                </c:pt>
                <c:pt idx="9">
                  <c:v>-2147</c:v>
                </c:pt>
                <c:pt idx="10">
                  <c:v>3342</c:v>
                </c:pt>
                <c:pt idx="11">
                  <c:v>3432</c:v>
                </c:pt>
                <c:pt idx="12">
                  <c:v>3188</c:v>
                </c:pt>
                <c:pt idx="13">
                  <c:v>1944</c:v>
                </c:pt>
                <c:pt idx="14">
                  <c:v>1892</c:v>
                </c:pt>
                <c:pt idx="15">
                  <c:v>2398</c:v>
                </c:pt>
                <c:pt idx="16">
                  <c:v>2607</c:v>
                </c:pt>
                <c:pt idx="17">
                  <c:v>374</c:v>
                </c:pt>
              </c:numCache>
            </c:numRef>
          </c:val>
          <c:smooth val="0"/>
          <c:extLst xmlns:c16r2="http://schemas.microsoft.com/office/drawing/2015/06/chart">
            <c:ext xmlns:c16="http://schemas.microsoft.com/office/drawing/2014/chart" uri="{C3380CC4-5D6E-409C-BE32-E72D297353CC}">
              <c16:uniqueId val="{00000000-BCEC-45E1-9CA6-5A86161F81F4}"/>
            </c:ext>
          </c:extLst>
        </c:ser>
        <c:ser>
          <c:idx val="1"/>
          <c:order val="1"/>
          <c:tx>
            <c:strRef>
              <c:f>Лист3!$A$16</c:f>
              <c:strCache>
                <c:ptCount val="1"/>
                <c:pt idx="0">
                  <c:v>Прямі інвестиції, зобов'язання</c:v>
                </c:pt>
              </c:strCache>
            </c:strRef>
          </c:tx>
          <c:spPr>
            <a:ln w="28575" cap="rnd">
              <a:solidFill>
                <a:schemeClr val="accent2"/>
              </a:solidFill>
              <a:round/>
            </a:ln>
            <a:effectLst/>
          </c:spPr>
          <c:marker>
            <c:symbol val="circle"/>
            <c:size val="7"/>
            <c:spPr>
              <a:solidFill>
                <a:schemeClr val="accent2"/>
              </a:solidFill>
              <a:ln w="9525">
                <a:solidFill>
                  <a:schemeClr val="accent2"/>
                </a:solidFill>
              </a:ln>
              <a:effectLst/>
            </c:spPr>
          </c:marker>
          <c:cat>
            <c:strRef>
              <c:f>Лист3!$B$1:$S$1</c:f>
              <c:strCache>
                <c:ptCount val="18"/>
                <c:pt idx="0">
                  <c:v>2018Q1</c:v>
                </c:pt>
                <c:pt idx="1">
                  <c:v>2018Q2</c:v>
                </c:pt>
                <c:pt idx="2">
                  <c:v>2018Q3</c:v>
                </c:pt>
                <c:pt idx="3">
                  <c:v>2018Q4</c:v>
                </c:pt>
                <c:pt idx="4">
                  <c:v>2019Q1</c:v>
                </c:pt>
                <c:pt idx="5">
                  <c:v>2019Q2</c:v>
                </c:pt>
                <c:pt idx="6">
                  <c:v>2019Q3</c:v>
                </c:pt>
                <c:pt idx="7">
                  <c:v>2019Q4</c:v>
                </c:pt>
                <c:pt idx="8">
                  <c:v>2020Q1</c:v>
                </c:pt>
                <c:pt idx="9">
                  <c:v>2020Q2</c:v>
                </c:pt>
                <c:pt idx="10">
                  <c:v>2020Q3</c:v>
                </c:pt>
                <c:pt idx="11">
                  <c:v>2020Q4</c:v>
                </c:pt>
                <c:pt idx="12">
                  <c:v>2021Q1</c:v>
                </c:pt>
                <c:pt idx="13">
                  <c:v>2021Q2</c:v>
                </c:pt>
                <c:pt idx="14">
                  <c:v>2021Q3</c:v>
                </c:pt>
                <c:pt idx="15">
                  <c:v>2021Q4</c:v>
                </c:pt>
                <c:pt idx="16">
                  <c:v>2022Q1</c:v>
                </c:pt>
                <c:pt idx="17">
                  <c:v>2022Q2</c:v>
                </c:pt>
              </c:strCache>
            </c:strRef>
          </c:cat>
          <c:val>
            <c:numRef>
              <c:f>Лист3!$B$4:$S$4</c:f>
              <c:numCache>
                <c:formatCode>#,##0</c:formatCode>
                <c:ptCount val="18"/>
                <c:pt idx="0">
                  <c:v>7554</c:v>
                </c:pt>
                <c:pt idx="1">
                  <c:v>2723</c:v>
                </c:pt>
                <c:pt idx="2">
                  <c:v>6256</c:v>
                </c:pt>
                <c:pt idx="3">
                  <c:v>2671</c:v>
                </c:pt>
                <c:pt idx="4">
                  <c:v>9522</c:v>
                </c:pt>
                <c:pt idx="5">
                  <c:v>571</c:v>
                </c:pt>
                <c:pt idx="6">
                  <c:v>6232</c:v>
                </c:pt>
                <c:pt idx="7">
                  <c:v>1294</c:v>
                </c:pt>
                <c:pt idx="8">
                  <c:v>7134</c:v>
                </c:pt>
                <c:pt idx="9">
                  <c:v>-270</c:v>
                </c:pt>
                <c:pt idx="10">
                  <c:v>6792</c:v>
                </c:pt>
                <c:pt idx="11">
                  <c:v>5495</c:v>
                </c:pt>
                <c:pt idx="12">
                  <c:v>12727</c:v>
                </c:pt>
                <c:pt idx="13">
                  <c:v>4769</c:v>
                </c:pt>
                <c:pt idx="14">
                  <c:v>11934</c:v>
                </c:pt>
                <c:pt idx="15">
                  <c:v>7683</c:v>
                </c:pt>
                <c:pt idx="16">
                  <c:v>15767</c:v>
                </c:pt>
                <c:pt idx="17">
                  <c:v>5677</c:v>
                </c:pt>
              </c:numCache>
            </c:numRef>
          </c:val>
          <c:smooth val="0"/>
          <c:extLst xmlns:c16r2="http://schemas.microsoft.com/office/drawing/2015/06/chart">
            <c:ext xmlns:c16="http://schemas.microsoft.com/office/drawing/2014/chart" uri="{C3380CC4-5D6E-409C-BE32-E72D297353CC}">
              <c16:uniqueId val="{00000001-BCEC-45E1-9CA6-5A86161F81F4}"/>
            </c:ext>
          </c:extLst>
        </c:ser>
        <c:dLbls>
          <c:showLegendKey val="0"/>
          <c:showVal val="0"/>
          <c:showCatName val="0"/>
          <c:showSerName val="0"/>
          <c:showPercent val="0"/>
          <c:showBubbleSize val="0"/>
        </c:dLbls>
        <c:marker val="1"/>
        <c:smooth val="0"/>
        <c:axId val="91611136"/>
        <c:axId val="91613056"/>
      </c:lineChart>
      <c:catAx>
        <c:axId val="91611136"/>
        <c:scaling>
          <c:orientation val="minMax"/>
        </c:scaling>
        <c:delete val="0"/>
        <c:axPos val="b"/>
        <c:numFmt formatCode="General" sourceLinked="1"/>
        <c:majorTickMark val="cross"/>
        <c:minorTickMark val="none"/>
        <c:tickLblPos val="low"/>
        <c:spPr>
          <a:noFill/>
          <a:ln w="12700" cap="flat" cmpd="sng" algn="ctr">
            <a:solidFill>
              <a:sysClr val="windowText" lastClr="000000"/>
            </a:solidFill>
            <a:round/>
            <a:tailEnd type="triangle"/>
          </a:ln>
          <a:effectLst/>
        </c:spPr>
        <c:txPr>
          <a:bodyPr rot="-3780000" spcFirstLastPara="1" vertOverflow="ellipsis"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1613056"/>
        <c:crosses val="autoZero"/>
        <c:auto val="1"/>
        <c:lblAlgn val="ctr"/>
        <c:lblOffset val="100"/>
        <c:tickMarkSkip val="1"/>
        <c:noMultiLvlLbl val="0"/>
      </c:catAx>
      <c:valAx>
        <c:axId val="91613056"/>
        <c:scaling>
          <c:orientation val="minMax"/>
          <c:max val="18000"/>
          <c:min val="-4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12700">
            <a:solidFill>
              <a:schemeClr val="tx1"/>
            </a:solidFill>
            <a:tailEnd type="triangle"/>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1611136"/>
        <c:crosses val="autoZero"/>
        <c:crossBetween val="between"/>
        <c:majorUnit val="2000"/>
      </c:valAx>
      <c:spPr>
        <a:noFill/>
        <a:ln>
          <a:noFill/>
        </a:ln>
        <a:effectLst/>
      </c:spPr>
    </c:plotArea>
    <c:legend>
      <c:legendPos val="b"/>
      <c:layout>
        <c:manualLayout>
          <c:xMode val="edge"/>
          <c:yMode val="edge"/>
          <c:x val="0.13713580675582629"/>
          <c:y val="0.92146216097987754"/>
          <c:w val="0.72572821793401265"/>
          <c:h val="7.8537839020122485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4</TotalTime>
  <Pages>15</Pages>
  <Words>9852</Words>
  <Characters>56162</Characters>
  <Application>Microsoft Office Word</Application>
  <DocSecurity>0</DocSecurity>
  <Lines>468</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65883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Кирилл Баркар</dc:creator>
  <cp:lastModifiedBy>OV</cp:lastModifiedBy>
  <cp:revision>2</cp:revision>
  <dcterms:created xsi:type="dcterms:W3CDTF">2023-06-28T08:01:00Z</dcterms:created>
  <dcterms:modified xsi:type="dcterms:W3CDTF">2023-06-28T08:01:00Z</dcterms:modified>
</cp:coreProperties>
</file>