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Одеський національний університет імені І. І. Мечникова</w:t>
      </w:r>
    </w:p>
    <w:p>
      <w:pPr>
        <w:pStyle w:val="Normal"/>
        <w:widowControl w:val="false"/>
        <w:suppressAutoHyphens w:val="true"/>
        <w:spacing w:lineRule="auto" w:line="240" w:before="0" w:after="0"/>
        <w:jc w:val="center"/>
        <w:rPr>
          <w:rFonts w:ascii="Liberation Serif" w:hAnsi="Liberation Serif" w:cs="Liberation Serif"/>
          <w:kern w:val="2"/>
          <w:sz w:val="24"/>
          <w:szCs w:val="24"/>
          <w:lang w:val="uk-UA"/>
        </w:rPr>
      </w:pPr>
      <w:r>
        <w:rPr>
          <w:rFonts w:cs="Liberation Serif" w:ascii="Liberation Serif" w:hAnsi="Liberation Serif"/>
          <w:kern w:val="2"/>
          <w:sz w:val="24"/>
          <w:szCs w:val="24"/>
          <w:lang w:val="uk-UA"/>
        </w:rPr>
      </w:r>
    </w:p>
    <w:p>
      <w:pPr>
        <w:pStyle w:val="Normal"/>
        <w:widowControl w:val="false"/>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Факультет міжнародних відносин, політології та соціології</w:t>
      </w:r>
    </w:p>
    <w:p>
      <w:pPr>
        <w:pStyle w:val="Normal"/>
        <w:widowControl w:val="false"/>
        <w:suppressAutoHyphens w:val="true"/>
        <w:spacing w:lineRule="auto" w:line="240" w:before="0" w:after="0"/>
        <w:jc w:val="center"/>
        <w:rPr>
          <w:rFonts w:ascii="Liberation Serif" w:hAnsi="Liberation Serif" w:cs="Liberation Serif"/>
          <w:kern w:val="2"/>
          <w:sz w:val="24"/>
          <w:szCs w:val="24"/>
          <w:lang w:val="uk-UA"/>
        </w:rPr>
      </w:pPr>
      <w:r>
        <w:rPr>
          <w:rFonts w:cs="Liberation Serif" w:ascii="Liberation Serif" w:hAnsi="Liberation Serif"/>
          <w:kern w:val="2"/>
          <w:sz w:val="24"/>
          <w:szCs w:val="24"/>
          <w:lang w:val="uk-UA"/>
        </w:rPr>
      </w:r>
    </w:p>
    <w:p>
      <w:pPr>
        <w:pStyle w:val="Normal"/>
        <w:widowControl w:val="false"/>
        <w:suppressAutoHyphens w:val="true"/>
        <w:spacing w:lineRule="auto" w:line="240" w:before="0" w:after="0"/>
        <w:jc w:val="center"/>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Кафедра політології</w:t>
      </w:r>
    </w:p>
    <w:p>
      <w:pPr>
        <w:pStyle w:val="Normal"/>
        <w:widowControl w:val="false"/>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jc w:val="center"/>
        <w:rPr>
          <w:rFonts w:ascii="Liberation Serif" w:hAnsi="Liberation Serif" w:cs="Liberation Serif"/>
          <w:kern w:val="2"/>
          <w:sz w:val="24"/>
          <w:szCs w:val="24"/>
          <w:lang w:val="uk-UA"/>
        </w:rPr>
      </w:pPr>
      <w:r>
        <w:rPr>
          <w:rFonts w:cs="Times New Roman CYR" w:ascii="Times New Roman CYR" w:hAnsi="Times New Roman CYR"/>
          <w:b/>
          <w:bCs/>
          <w:kern w:val="2"/>
          <w:sz w:val="28"/>
          <w:szCs w:val="28"/>
          <w:lang w:val="uk-UA"/>
        </w:rPr>
        <w:t>Дипломна робота</w:t>
      </w:r>
    </w:p>
    <w:p>
      <w:pPr>
        <w:pStyle w:val="Normal"/>
        <w:widowControl w:val="false"/>
        <w:suppressAutoHyphens w:val="true"/>
        <w:spacing w:lineRule="auto" w:line="240" w:before="0" w:after="0"/>
        <w:jc w:val="center"/>
        <w:rPr>
          <w:rFonts w:ascii="Liberation Serif" w:hAnsi="Liberation Serif" w:cs="Liberation Serif"/>
          <w:kern w:val="2"/>
          <w:sz w:val="24"/>
          <w:szCs w:val="24"/>
          <w:u w:val="single"/>
          <w:lang w:val="uk-UA"/>
        </w:rPr>
      </w:pPr>
      <w:r>
        <w:rPr>
          <w:rFonts w:cs="Times New Roman CYR" w:ascii="Times New Roman CYR" w:hAnsi="Times New Roman CYR"/>
          <w:b/>
          <w:bCs/>
          <w:kern w:val="2"/>
          <w:sz w:val="28"/>
          <w:szCs w:val="28"/>
          <w:u w:val="single"/>
          <w:lang w:val="uk-UA"/>
        </w:rPr>
        <w:t xml:space="preserve">на здобуття ступеня вищої освіти </w:t>
      </w:r>
      <w:r>
        <w:rPr>
          <w:rFonts w:cs="Times New Roman CYR" w:ascii="Times New Roman CYR" w:hAnsi="Times New Roman CYR"/>
          <w:kern w:val="2"/>
          <w:sz w:val="28"/>
          <w:szCs w:val="28"/>
          <w:u w:val="single"/>
          <w:lang w:val="uk-UA"/>
        </w:rPr>
        <w:t>«магістр</w:t>
      </w:r>
      <w:r>
        <w:rPr>
          <w:rFonts w:cs="Times New Roman CYR" w:ascii="Times New Roman CYR" w:hAnsi="Times New Roman CYR"/>
          <w:b/>
          <w:bCs/>
          <w:kern w:val="2"/>
          <w:sz w:val="28"/>
          <w:szCs w:val="28"/>
          <w:u w:val="single"/>
          <w:lang w:val="uk-UA"/>
        </w:rPr>
        <w:t>»</w:t>
      </w:r>
    </w:p>
    <w:p>
      <w:pPr>
        <w:pStyle w:val="Normal"/>
        <w:widowControl w:val="false"/>
        <w:suppressAutoHyphens w:val="true"/>
        <w:spacing w:lineRule="auto" w:line="240" w:before="0" w:after="0"/>
        <w:jc w:val="center"/>
        <w:rPr>
          <w:rFonts w:ascii="Times New Roman CYR" w:hAnsi="Times New Roman CYR" w:cs="Times New Roman CYR"/>
          <w:b/>
          <w:b/>
          <w:bCs/>
          <w:kern w:val="2"/>
          <w:sz w:val="28"/>
          <w:szCs w:val="28"/>
          <w:lang w:val="uk-UA"/>
        </w:rPr>
      </w:pPr>
      <w:r>
        <w:rPr>
          <w:rFonts w:cs="Times New Roman CYR" w:ascii="Times New Roman CYR" w:hAnsi="Times New Roman CYR"/>
          <w:b/>
          <w:bCs/>
          <w:kern w:val="2"/>
          <w:sz w:val="28"/>
          <w:szCs w:val="28"/>
          <w:lang w:val="uk-UA"/>
        </w:rPr>
      </w:r>
    </w:p>
    <w:p>
      <w:pPr>
        <w:pStyle w:val="Normal"/>
        <w:widowControl w:val="false"/>
        <w:tabs>
          <w:tab w:val="clear" w:pos="708"/>
          <w:tab w:val="left" w:pos="5940" w:leader="none"/>
        </w:tabs>
        <w:suppressAutoHyphens w:val="true"/>
        <w:spacing w:lineRule="auto" w:line="240" w:before="0" w:after="0"/>
        <w:jc w:val="center"/>
        <w:rPr>
          <w:rFonts w:ascii="Liberation Serif" w:hAnsi="Liberation Serif" w:cs="Liberation Serif"/>
          <w:b/>
          <w:b/>
          <w:kern w:val="2"/>
          <w:sz w:val="24"/>
          <w:szCs w:val="24"/>
          <w:lang w:val="uk-UA"/>
        </w:rPr>
      </w:pPr>
      <w:r>
        <w:rPr>
          <w:rFonts w:cs="Times New Roman CYR" w:ascii="Times New Roman CYR" w:hAnsi="Times New Roman CYR"/>
          <w:b/>
          <w:kern w:val="2"/>
          <w:sz w:val="28"/>
          <w:szCs w:val="28"/>
          <w:lang w:val="uk-UA"/>
        </w:rPr>
        <w:t>«Регіональні еліти в політичному процесі сучасної України: тактики та стратегії боротьби за владу</w:t>
      </w:r>
      <w:r>
        <w:rPr>
          <w:rFonts w:cs="Times New Roman CYR" w:ascii="Times New Roman CYR" w:hAnsi="Times New Roman CYR"/>
          <w:b/>
          <w:bCs/>
          <w:kern w:val="2"/>
          <w:sz w:val="28"/>
          <w:szCs w:val="28"/>
          <w:lang w:val="uk-UA"/>
        </w:rPr>
        <w:t>»</w:t>
      </w:r>
    </w:p>
    <w:p>
      <w:pPr>
        <w:pStyle w:val="Normal"/>
        <w:widowControl w:val="false"/>
        <w:tabs>
          <w:tab w:val="clear" w:pos="708"/>
          <w:tab w:val="left" w:pos="5940" w:leader="none"/>
        </w:tabs>
        <w:suppressAutoHyphens w:val="true"/>
        <w:spacing w:lineRule="auto" w:line="240" w:before="0" w:after="0"/>
        <w:jc w:val="center"/>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jc w:val="center"/>
        <w:rPr>
          <w:rFonts w:ascii="Liberation Serif" w:hAnsi="Liberation Serif" w:cs="Liberation Serif"/>
          <w:kern w:val="2"/>
          <w:sz w:val="24"/>
          <w:szCs w:val="24"/>
          <w:lang w:val="uk-UA"/>
        </w:rPr>
      </w:pPr>
      <w:r>
        <w:rPr>
          <w:rFonts w:cs="Times New Roman CYR" w:ascii="Times New Roman CYR" w:hAnsi="Times New Roman CYR"/>
          <w:kern w:val="2"/>
          <w:sz w:val="24"/>
          <w:szCs w:val="24"/>
          <w:lang w:val="uk-UA"/>
        </w:rPr>
        <w:t>«</w:t>
      </w:r>
      <w:r>
        <w:rPr>
          <w:rFonts w:ascii="Times New Roman" w:hAnsi="Times New Roman"/>
          <w:sz w:val="24"/>
          <w:szCs w:val="24"/>
          <w:lang w:val="uk-UA"/>
        </w:rPr>
        <w:t>Regional Elites in Political Process of Modern Ukraine: Tactics and strategies of the struggle for Power</w:t>
      </w:r>
      <w:r>
        <w:rPr>
          <w:rFonts w:cs="Times New Roman CYR" w:ascii="Times New Roman CYR" w:hAnsi="Times New Roman CYR"/>
          <w:kern w:val="2"/>
          <w:sz w:val="24"/>
          <w:szCs w:val="24"/>
          <w:lang w:val="uk-UA"/>
        </w:rPr>
        <w:t>»</w:t>
      </w:r>
    </w:p>
    <w:p>
      <w:pPr>
        <w:pStyle w:val="Normal"/>
        <w:widowControl w:val="false"/>
        <w:suppressAutoHyphens w:val="true"/>
        <w:spacing w:lineRule="auto" w:line="240" w:before="0" w:after="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ind w:left="3540" w:hanging="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kern w:val="2"/>
          <w:sz w:val="28"/>
          <w:szCs w:val="28"/>
          <w:lang w:val="uk-UA"/>
        </w:rPr>
        <w:t>Виконала студентка заочної форми навчання</w:t>
      </w:r>
    </w:p>
    <w:p>
      <w:pPr>
        <w:pStyle w:val="Normal"/>
        <w:widowControl w:val="false"/>
        <w:suppressAutoHyphens w:val="true"/>
        <w:spacing w:lineRule="auto" w:line="240" w:before="0" w:after="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kern w:val="2"/>
          <w:sz w:val="28"/>
          <w:szCs w:val="28"/>
          <w:lang w:val="uk-UA"/>
        </w:rPr>
        <w:t>Спеціальності 052 – «Політологія»</w:t>
      </w:r>
    </w:p>
    <w:p>
      <w:pPr>
        <w:pStyle w:val="Normal"/>
        <w:widowControl w:val="false"/>
        <w:suppressAutoHyphens w:val="true"/>
        <w:spacing w:lineRule="auto" w:line="240" w:before="0" w:after="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b/>
          <w:bCs/>
          <w:kern w:val="2"/>
          <w:sz w:val="28"/>
          <w:szCs w:val="28"/>
          <w:lang w:val="uk-UA"/>
        </w:rPr>
        <w:t>Муратова Вікторія Олегівна</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p>
    <w:p>
      <w:pPr>
        <w:pStyle w:val="Normal"/>
        <w:widowControl w:val="false"/>
        <w:suppressAutoHyphens w:val="true"/>
        <w:spacing w:lineRule="auto" w:line="240" w:before="0" w:after="0"/>
        <w:ind w:left="4956" w:hanging="0"/>
        <w:rPr>
          <w:rFonts w:ascii="Times New Roman CYR" w:hAnsi="Times New Roman CYR" w:cs="Times New Roman CYR"/>
          <w:b/>
          <w:b/>
          <w:bCs/>
          <w:kern w:val="2"/>
          <w:sz w:val="28"/>
          <w:szCs w:val="28"/>
          <w:lang w:val="uk-UA"/>
        </w:rPr>
      </w:pPr>
      <w:r>
        <w:rPr>
          <w:rFonts w:cs="Times New Roman CYR" w:ascii="Times New Roman CYR" w:hAnsi="Times New Roman CYR"/>
          <w:b/>
          <w:bCs/>
          <w:kern w:val="2"/>
          <w:sz w:val="28"/>
          <w:szCs w:val="28"/>
          <w:lang w:val="uk-UA"/>
        </w:rPr>
      </w:r>
    </w:p>
    <w:p>
      <w:pPr>
        <w:pStyle w:val="Normal"/>
        <w:widowControl w:val="false"/>
        <w:tabs>
          <w:tab w:val="clear" w:pos="708"/>
          <w:tab w:val="left" w:pos="6300" w:leader="none"/>
        </w:tabs>
        <w:suppressAutoHyphens w:val="true"/>
        <w:spacing w:lineRule="auto" w:line="240" w:before="0" w:after="0"/>
        <w:ind w:left="3540" w:right="-79" w:hanging="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kern w:val="2"/>
          <w:sz w:val="28"/>
          <w:szCs w:val="28"/>
          <w:lang w:val="uk-UA"/>
        </w:rPr>
        <w:t>Керівник: к.політ.н.,</w:t>
      </w:r>
      <w:r>
        <w:rPr>
          <w:rFonts w:cs="Liberation Serif" w:ascii="Liberation Serif" w:hAnsi="Liberation Serif"/>
          <w:kern w:val="2"/>
          <w:sz w:val="24"/>
          <w:szCs w:val="24"/>
          <w:lang w:val="uk-UA"/>
        </w:rPr>
        <w:br/>
      </w:r>
      <w:r>
        <w:rPr>
          <w:rFonts w:cs="Times New Roman CYR" w:ascii="Times New Roman CYR" w:hAnsi="Times New Roman CYR"/>
          <w:kern w:val="2"/>
          <w:sz w:val="28"/>
          <w:szCs w:val="28"/>
          <w:lang w:val="uk-UA"/>
        </w:rPr>
        <w:t xml:space="preserve">    доцент </w:t>
      </w:r>
      <w:r>
        <w:rPr>
          <w:rFonts w:cs="Times New Roman CYR" w:ascii="Times New Roman CYR" w:hAnsi="Times New Roman CYR"/>
          <w:b/>
          <w:bCs/>
          <w:kern w:val="2"/>
          <w:sz w:val="28"/>
          <w:szCs w:val="28"/>
          <w:lang w:val="uk-UA"/>
        </w:rPr>
        <w:t>Хорошилов О.Ю</w:t>
      </w:r>
      <w:r>
        <w:rPr>
          <w:rFonts w:cs="Times New Roman CYR" w:ascii="Times New Roman CYR" w:hAnsi="Times New Roman CYR"/>
          <w:kern w:val="2"/>
          <w:sz w:val="28"/>
          <w:szCs w:val="28"/>
          <w:lang w:val="uk-UA"/>
        </w:rPr>
        <w:t>.</w:t>
      </w:r>
    </w:p>
    <w:p>
      <w:pPr>
        <w:pStyle w:val="Normal"/>
        <w:widowControl w:val="false"/>
        <w:suppressAutoHyphens w:val="true"/>
        <w:spacing w:lineRule="auto" w:line="240" w:before="0" w:after="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kern w:val="2"/>
          <w:sz w:val="28"/>
          <w:szCs w:val="28"/>
          <w:lang w:val="uk-UA"/>
        </w:rPr>
        <w:t>Рецензент: к.політ.н., доцент</w:t>
      </w:r>
    </w:p>
    <w:p>
      <w:pPr>
        <w:pStyle w:val="Normal"/>
        <w:widowControl w:val="false"/>
        <w:suppressAutoHyphens w:val="true"/>
        <w:spacing w:lineRule="auto" w:line="240" w:before="0" w:after="0"/>
        <w:jc w:val="right"/>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b/>
          <w:bCs/>
          <w:kern w:val="2"/>
          <w:sz w:val="28"/>
          <w:szCs w:val="28"/>
          <w:lang w:val="uk-UA"/>
        </w:rPr>
        <w:t>Шабанов М.О.</w:t>
      </w:r>
      <w:r>
        <w:rPr>
          <w:rFonts w:cs="Times New Roman CYR" w:ascii="Times New Roman CYR" w:hAnsi="Times New Roman CYR"/>
          <w:kern w:val="2"/>
          <w:sz w:val="28"/>
          <w:szCs w:val="28"/>
          <w:lang w:val="uk-UA"/>
        </w:rPr>
        <w:t xml:space="preserve">                          </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Рекомендовано до захисту:                   Захищено на засіданні ЕК №_</w:t>
      </w:r>
      <w:r>
        <w:rPr>
          <w:rFonts w:cs="Times New Roman CYR" w:ascii="Times New Roman CYR" w:hAnsi="Times New Roman CYR"/>
          <w:kern w:val="2"/>
          <w:sz w:val="28"/>
          <w:szCs w:val="28"/>
          <w:u w:val="single"/>
          <w:lang w:val="uk-UA"/>
        </w:rPr>
        <w:t>6</w:t>
      </w:r>
      <w:r>
        <w:rPr>
          <w:rFonts w:cs="Times New Roman CYR" w:ascii="Times New Roman CYR" w:hAnsi="Times New Roman CYR"/>
          <w:kern w:val="2"/>
          <w:sz w:val="28"/>
          <w:szCs w:val="28"/>
          <w:lang w:val="uk-UA"/>
        </w:rPr>
        <w:t>_ протокол №   від</w:t>
        <w:tab/>
        <w:tab/>
        <w:tab/>
        <w:tab/>
        <w:t xml:space="preserve">    Протокол №   «____» _________2021 р., </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 _______2021 р.,  </w:t>
      </w:r>
      <w:r>
        <w:rPr>
          <w:rFonts w:cs="Liberation Serif" w:ascii="Liberation Serif" w:hAnsi="Liberation Serif"/>
          <w:kern w:val="2"/>
          <w:sz w:val="24"/>
          <w:szCs w:val="24"/>
          <w:lang w:val="uk-UA"/>
        </w:rPr>
        <w:t xml:space="preserve">               </w:t>
      </w:r>
      <w:r>
        <w:rPr>
          <w:rFonts w:cs="Times New Roman CYR" w:ascii="Times New Roman CYR" w:hAnsi="Times New Roman CYR"/>
          <w:kern w:val="2"/>
          <w:sz w:val="28"/>
          <w:szCs w:val="28"/>
          <w:lang w:val="uk-UA"/>
        </w:rPr>
        <w:t xml:space="preserve">                  Оцінка______/_________/_________</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Завідувач кафедри                                 Голова ЕК </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д.філос.н., проф.____Попков В. В.      д.політ.н., проф._______Мілова М.І.</w:t>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kern w:val="2"/>
          <w:sz w:val="28"/>
          <w:szCs w:val="28"/>
          <w:lang w:val="uk-UA"/>
        </w:rPr>
        <w:tab/>
        <w:tab/>
        <w:tab/>
        <w:t xml:space="preserve">                </w:t>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widowControl w:val="false"/>
        <w:suppressAutoHyphens w:val="true"/>
        <w:spacing w:lineRule="auto" w:line="240" w:before="0" w:after="0"/>
        <w:rPr>
          <w:rFonts w:ascii="Liberation Serif" w:hAnsi="Liberation Serif" w:cs="Liberation Serif"/>
          <w:kern w:val="2"/>
          <w:sz w:val="24"/>
          <w:szCs w:val="24"/>
          <w:lang w:val="uk-UA"/>
        </w:rPr>
      </w:pPr>
      <w:r>
        <w:rPr>
          <w:rFonts w:cs="Times New Roman CYR" w:ascii="Times New Roman CYR" w:hAnsi="Times New Roman CYR"/>
          <w:kern w:val="2"/>
          <w:sz w:val="28"/>
          <w:szCs w:val="28"/>
          <w:lang w:val="uk-UA"/>
        </w:rPr>
        <w:t xml:space="preserve">                                                   </w:t>
      </w:r>
      <w:r>
        <w:rPr>
          <w:rFonts w:cs="Times New Roman CYR" w:ascii="Times New Roman CYR" w:hAnsi="Times New Roman CYR"/>
          <w:b/>
          <w:bCs/>
          <w:kern w:val="2"/>
          <w:sz w:val="28"/>
          <w:szCs w:val="28"/>
          <w:lang w:val="uk-UA"/>
        </w:rPr>
        <w:t>Одеса – 2021</w:t>
      </w:r>
      <w:r>
        <w:br w:type="page"/>
      </w:r>
    </w:p>
    <w:p>
      <w:pPr>
        <w:pStyle w:val="Normal"/>
        <w:jc w:val="center"/>
        <w:rPr>
          <w:rFonts w:ascii="Liberation Serif" w:hAnsi="Liberation Serif" w:cs="Liberation Serif"/>
          <w:kern w:val="2"/>
          <w:sz w:val="24"/>
          <w:szCs w:val="24"/>
          <w:lang w:val="uk-UA"/>
        </w:rPr>
      </w:pPr>
      <w:r>
        <w:rPr>
          <w:rFonts w:cs="Times New Roman CYR" w:ascii="Times New Roman CYR" w:hAnsi="Times New Roman CYR"/>
          <w:b/>
          <w:bCs/>
          <w:kern w:val="2"/>
          <w:sz w:val="28"/>
          <w:szCs w:val="28"/>
          <w:lang w:val="uk-UA"/>
        </w:rPr>
        <w:t>Зміст</w:t>
      </w:r>
    </w:p>
    <w:p>
      <w:pPr>
        <w:pStyle w:val="Normal"/>
        <w:widowControl w:val="false"/>
        <w:suppressAutoHyphens w:val="true"/>
        <w:spacing w:lineRule="auto" w:line="360" w:before="0" w:after="0"/>
        <w:ind w:firstLine="567"/>
        <w:jc w:val="both"/>
        <w:rPr>
          <w:rFonts w:ascii="Times New Roman CYR" w:hAnsi="Times New Roman CYR" w:cs="Times New Roman CYR"/>
          <w:kern w:val="2"/>
          <w:sz w:val="28"/>
          <w:szCs w:val="28"/>
          <w:lang w:val="uk-UA"/>
        </w:rPr>
      </w:pPr>
      <w:r>
        <w:rPr>
          <w:rFonts w:cs="Times New Roman CYR" w:ascii="Times New Roman CYR" w:hAnsi="Times New Roman CYR"/>
          <w:b/>
          <w:bCs/>
          <w:kern w:val="2"/>
          <w:sz w:val="28"/>
          <w:szCs w:val="28"/>
          <w:lang w:val="uk-UA"/>
        </w:rPr>
        <w:t xml:space="preserve">Вступ                                                                                                                </w:t>
      </w:r>
      <w:r>
        <w:rPr>
          <w:rFonts w:cs="Times New Roman CYR" w:ascii="Times New Roman CYR" w:hAnsi="Times New Roman CYR"/>
          <w:kern w:val="2"/>
          <w:sz w:val="28"/>
          <w:szCs w:val="28"/>
          <w:lang w:val="uk-UA"/>
        </w:rPr>
        <w:t>3</w:t>
      </w:r>
    </w:p>
    <w:p>
      <w:pPr>
        <w:pStyle w:val="Normal"/>
        <w:widowControl w:val="false"/>
        <w:suppressAutoHyphens w:val="true"/>
        <w:spacing w:lineRule="auto" w:line="360" w:before="0" w:after="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r>
    </w:p>
    <w:p>
      <w:pPr>
        <w:pStyle w:val="Normal"/>
        <w:jc w:val="both"/>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t>Розділ І «Регіональні еліти в проблемному полі політичної науки»</w:t>
      </w:r>
    </w:p>
    <w:p>
      <w:pPr>
        <w:pStyle w:val="Normal"/>
        <w:rPr>
          <w:rFonts w:ascii="Times New Roman CYR" w:hAnsi="Times New Roman CYR" w:cs="Times New Roman CYR"/>
          <w:kern w:val="2"/>
          <w:sz w:val="28"/>
          <w:szCs w:val="28"/>
        </w:rPr>
      </w:pPr>
      <w:r>
        <w:rPr>
          <w:rFonts w:cs="Times New Roman CYR" w:ascii="Times New Roman CYR" w:hAnsi="Times New Roman CYR"/>
          <w:i/>
          <w:kern w:val="2"/>
          <w:sz w:val="28"/>
          <w:szCs w:val="28"/>
          <w:lang w:val="uk-UA"/>
        </w:rPr>
        <w:t>1.1 Українські науковці про специфіку діяльності регіональних політичних еліт</w:t>
      </w:r>
      <w:r>
        <w:rPr>
          <w:rFonts w:cs="Times New Roman CYR" w:ascii="Times New Roman CYR" w:hAnsi="Times New Roman CYR"/>
          <w:i/>
          <w:kern w:val="2"/>
          <w:sz w:val="28"/>
          <w:szCs w:val="28"/>
        </w:rPr>
        <w:t xml:space="preserve">                                                                                                                            </w:t>
      </w:r>
      <w:r>
        <w:rPr>
          <w:rFonts w:cs="Times New Roman CYR" w:ascii="Times New Roman CYR" w:hAnsi="Times New Roman CYR"/>
          <w:kern w:val="2"/>
          <w:sz w:val="28"/>
          <w:szCs w:val="28"/>
        </w:rPr>
        <w:t>6</w:t>
      </w:r>
    </w:p>
    <w:p>
      <w:pPr>
        <w:pStyle w:val="Normal"/>
        <w:rPr>
          <w:rFonts w:ascii="Times New Roman CYR" w:hAnsi="Times New Roman CYR" w:cs="Times New Roman CYR"/>
          <w:i/>
          <w:i/>
          <w:kern w:val="2"/>
          <w:sz w:val="28"/>
          <w:szCs w:val="28"/>
        </w:rPr>
      </w:pPr>
      <w:r>
        <w:rPr>
          <w:rFonts w:cs="Times New Roman CYR" w:ascii="Times New Roman CYR" w:hAnsi="Times New Roman CYR"/>
          <w:i/>
          <w:kern w:val="2"/>
          <w:sz w:val="28"/>
          <w:szCs w:val="28"/>
          <w:lang w:val="uk-UA"/>
        </w:rPr>
        <w:t>1.2 Етапи та джерела регіонального елітогенезу в Україні</w:t>
      </w:r>
      <w:r>
        <w:rPr>
          <w:rFonts w:cs="Times New Roman CYR" w:ascii="Times New Roman CYR" w:hAnsi="Times New Roman CYR"/>
          <w:i/>
          <w:kern w:val="2"/>
          <w:sz w:val="28"/>
          <w:szCs w:val="28"/>
        </w:rPr>
        <w:t xml:space="preserve">                            </w:t>
      </w:r>
      <w:r>
        <w:rPr>
          <w:rFonts w:cs="Times New Roman CYR" w:ascii="Times New Roman CYR" w:hAnsi="Times New Roman CYR"/>
          <w:kern w:val="2"/>
          <w:sz w:val="28"/>
          <w:szCs w:val="28"/>
        </w:rPr>
        <w:t>17</w:t>
      </w:r>
    </w:p>
    <w:p>
      <w:pPr>
        <w:pStyle w:val="Normal"/>
        <w:rPr>
          <w:rFonts w:ascii="Times New Roman CYR" w:hAnsi="Times New Roman CYR" w:cs="Times New Roman CYR"/>
          <w:i/>
          <w:i/>
          <w:kern w:val="2"/>
          <w:sz w:val="28"/>
          <w:szCs w:val="28"/>
          <w:lang w:val="uk-UA"/>
        </w:rPr>
      </w:pPr>
      <w:r>
        <w:rPr>
          <w:rFonts w:cs="Times New Roman CYR" w:ascii="Times New Roman CYR" w:hAnsi="Times New Roman CYR"/>
          <w:i/>
          <w:kern w:val="2"/>
          <w:sz w:val="28"/>
          <w:szCs w:val="28"/>
          <w:lang w:val="uk-UA"/>
        </w:rPr>
      </w:r>
    </w:p>
    <w:p>
      <w:pPr>
        <w:pStyle w:val="Normal"/>
        <w:rPr>
          <w:rFonts w:ascii="Times New Roman CYR" w:hAnsi="Times New Roman CYR" w:cs="Times New Roman CYR"/>
          <w:i/>
          <w:i/>
          <w:kern w:val="2"/>
          <w:sz w:val="28"/>
          <w:szCs w:val="28"/>
        </w:rPr>
      </w:pPr>
      <w:r>
        <w:rPr>
          <w:rFonts w:cs="Times New Roman CYR" w:ascii="Times New Roman CYR" w:hAnsi="Times New Roman CYR"/>
          <w:i/>
          <w:kern w:val="2"/>
          <w:sz w:val="28"/>
          <w:szCs w:val="28"/>
          <w:lang w:val="uk-UA"/>
        </w:rPr>
        <w:t>Висновки до розділу 1</w:t>
      </w:r>
      <w:r>
        <w:rPr>
          <w:rFonts w:cs="Times New Roman CYR" w:ascii="Times New Roman CYR" w:hAnsi="Times New Roman CYR"/>
          <w:i/>
          <w:kern w:val="2"/>
          <w:sz w:val="28"/>
          <w:szCs w:val="28"/>
        </w:rPr>
        <w:t xml:space="preserve">                                                                                           </w:t>
      </w:r>
      <w:r>
        <w:rPr>
          <w:rFonts w:cs="Times New Roman CYR" w:ascii="Times New Roman CYR" w:hAnsi="Times New Roman CYR"/>
          <w:kern w:val="2"/>
          <w:sz w:val="28"/>
          <w:szCs w:val="28"/>
        </w:rPr>
        <w:t>23</w:t>
      </w:r>
    </w:p>
    <w:p>
      <w:pPr>
        <w:pStyle w:val="Normal"/>
        <w:rPr>
          <w:rFonts w:ascii="Times New Roman CYR" w:hAnsi="Times New Roman CYR" w:cs="Times New Roman CYR"/>
          <w:i/>
          <w:i/>
          <w:kern w:val="2"/>
          <w:sz w:val="28"/>
          <w:szCs w:val="28"/>
          <w:lang w:val="uk-UA"/>
        </w:rPr>
      </w:pPr>
      <w:r>
        <w:rPr>
          <w:rFonts w:cs="Times New Roman CYR" w:ascii="Times New Roman CYR" w:hAnsi="Times New Roman CYR"/>
          <w:i/>
          <w:kern w:val="2"/>
          <w:sz w:val="28"/>
          <w:szCs w:val="28"/>
          <w:lang w:val="uk-UA"/>
        </w:rPr>
      </w:r>
    </w:p>
    <w:p>
      <w:pPr>
        <w:pStyle w:val="Normal"/>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t>Розділ ІІ «Регіональні еліти України в боротьбі за політичну владу»</w:t>
      </w:r>
    </w:p>
    <w:p>
      <w:pPr>
        <w:pStyle w:val="Normal"/>
        <w:rPr>
          <w:rFonts w:ascii="Times New Roman CYR" w:hAnsi="Times New Roman CYR" w:cs="Times New Roman CYR"/>
          <w:i/>
          <w:i/>
          <w:kern w:val="2"/>
          <w:sz w:val="28"/>
          <w:szCs w:val="28"/>
        </w:rPr>
      </w:pPr>
      <w:r>
        <w:rPr>
          <w:rFonts w:cs="Times New Roman CYR" w:ascii="Times New Roman CYR" w:hAnsi="Times New Roman CYR"/>
          <w:i/>
          <w:kern w:val="2"/>
          <w:sz w:val="28"/>
          <w:szCs w:val="28"/>
          <w:lang w:val="uk-UA"/>
        </w:rPr>
        <w:t>2.1 Політичні групи Західного регіону в боротьбі за владу</w:t>
      </w:r>
      <w:r>
        <w:rPr>
          <w:rFonts w:cs="Times New Roman CYR" w:ascii="Times New Roman CYR" w:hAnsi="Times New Roman CYR"/>
          <w:i/>
          <w:kern w:val="2"/>
          <w:sz w:val="28"/>
          <w:szCs w:val="28"/>
        </w:rPr>
        <w:t xml:space="preserve">                             </w:t>
      </w:r>
      <w:r>
        <w:rPr>
          <w:rFonts w:cs="Times New Roman CYR" w:ascii="Times New Roman CYR" w:hAnsi="Times New Roman CYR"/>
          <w:kern w:val="2"/>
          <w:sz w:val="28"/>
          <w:szCs w:val="28"/>
        </w:rPr>
        <w:t>24</w:t>
      </w:r>
    </w:p>
    <w:p>
      <w:pPr>
        <w:pStyle w:val="Normal"/>
        <w:rPr>
          <w:rFonts w:ascii="Times New Roman CYR" w:hAnsi="Times New Roman CYR" w:cs="Times New Roman CYR"/>
          <w:i/>
          <w:i/>
          <w:kern w:val="2"/>
          <w:sz w:val="28"/>
          <w:szCs w:val="28"/>
        </w:rPr>
      </w:pPr>
      <w:r>
        <w:rPr>
          <w:rFonts w:cs="Times New Roman CYR" w:ascii="Times New Roman CYR" w:hAnsi="Times New Roman CYR"/>
          <w:i/>
          <w:kern w:val="2"/>
          <w:sz w:val="28"/>
          <w:szCs w:val="28"/>
          <w:lang w:val="uk-UA"/>
        </w:rPr>
        <w:t>2.2 Олігархічні групи Центрально-Східного регіону у владній конкуренції</w:t>
      </w:r>
      <w:r>
        <w:rPr>
          <w:rFonts w:cs="Times New Roman CYR" w:ascii="Times New Roman CYR" w:hAnsi="Times New Roman CYR"/>
          <w:i/>
          <w:kern w:val="2"/>
          <w:sz w:val="28"/>
          <w:szCs w:val="28"/>
        </w:rPr>
        <w:t xml:space="preserve">    41</w:t>
      </w:r>
    </w:p>
    <w:p>
      <w:pPr>
        <w:pStyle w:val="Normal"/>
        <w:rPr>
          <w:rFonts w:ascii="Times New Roman CYR" w:hAnsi="Times New Roman CYR" w:cs="Times New Roman CYR"/>
          <w:i/>
          <w:i/>
          <w:kern w:val="2"/>
          <w:sz w:val="28"/>
          <w:szCs w:val="28"/>
          <w:lang w:val="uk-UA"/>
        </w:rPr>
      </w:pPr>
      <w:r>
        <w:rPr>
          <w:rFonts w:cs="Times New Roman CYR" w:ascii="Times New Roman CYR" w:hAnsi="Times New Roman CYR"/>
          <w:i/>
          <w:kern w:val="2"/>
          <w:sz w:val="28"/>
          <w:szCs w:val="28"/>
          <w:lang w:val="uk-UA"/>
        </w:rPr>
      </w:r>
    </w:p>
    <w:p>
      <w:pPr>
        <w:pStyle w:val="Normal"/>
        <w:rPr>
          <w:rFonts w:ascii="Times New Roman CYR" w:hAnsi="Times New Roman CYR" w:cs="Times New Roman CYR"/>
          <w:i/>
          <w:i/>
          <w:kern w:val="2"/>
          <w:sz w:val="28"/>
          <w:szCs w:val="28"/>
        </w:rPr>
      </w:pPr>
      <w:r>
        <w:rPr>
          <w:rFonts w:cs="Times New Roman CYR" w:ascii="Times New Roman CYR" w:hAnsi="Times New Roman CYR"/>
          <w:i/>
          <w:kern w:val="2"/>
          <w:sz w:val="28"/>
          <w:szCs w:val="28"/>
          <w:lang w:val="uk-UA"/>
        </w:rPr>
        <w:t>Висновки до розділу 2</w:t>
      </w:r>
      <w:r>
        <w:rPr>
          <w:rFonts w:cs="Times New Roman CYR" w:ascii="Times New Roman CYR" w:hAnsi="Times New Roman CYR"/>
          <w:i/>
          <w:kern w:val="2"/>
          <w:sz w:val="28"/>
          <w:szCs w:val="28"/>
        </w:rPr>
        <w:t xml:space="preserve">                                                                                          </w:t>
      </w:r>
      <w:r>
        <w:rPr>
          <w:rFonts w:cs="Times New Roman CYR" w:ascii="Times New Roman CYR" w:hAnsi="Times New Roman CYR"/>
          <w:kern w:val="2"/>
          <w:sz w:val="28"/>
          <w:szCs w:val="28"/>
        </w:rPr>
        <w:t>54</w:t>
      </w:r>
    </w:p>
    <w:p>
      <w:pPr>
        <w:pStyle w:val="Normal"/>
        <w:rPr>
          <w:rFonts w:ascii="Times New Roman CYR" w:hAnsi="Times New Roman CYR" w:cs="Times New Roman CYR"/>
          <w:i/>
          <w:i/>
          <w:kern w:val="2"/>
          <w:sz w:val="28"/>
          <w:szCs w:val="28"/>
          <w:lang w:val="uk-UA"/>
        </w:rPr>
      </w:pPr>
      <w:r>
        <w:rPr>
          <w:rFonts w:cs="Times New Roman CYR" w:ascii="Times New Roman CYR" w:hAnsi="Times New Roman CYR"/>
          <w:i/>
          <w:kern w:val="2"/>
          <w:sz w:val="28"/>
          <w:szCs w:val="28"/>
          <w:lang w:val="uk-UA"/>
        </w:rPr>
      </w:r>
    </w:p>
    <w:p>
      <w:pPr>
        <w:pStyle w:val="Normal"/>
        <w:rPr>
          <w:rFonts w:ascii="Times New Roman CYR" w:hAnsi="Times New Roman CYR" w:cs="Times New Roman CYR"/>
          <w:b/>
          <w:b/>
          <w:kern w:val="2"/>
          <w:sz w:val="28"/>
          <w:szCs w:val="28"/>
        </w:rPr>
      </w:pPr>
      <w:r>
        <w:rPr>
          <w:rFonts w:cs="Times New Roman CYR" w:ascii="Times New Roman CYR" w:hAnsi="Times New Roman CYR"/>
          <w:b/>
          <w:kern w:val="2"/>
          <w:sz w:val="28"/>
          <w:szCs w:val="28"/>
          <w:lang w:val="uk-UA"/>
        </w:rPr>
        <w:t>Висновки</w:t>
      </w:r>
      <w:r>
        <w:rPr>
          <w:rFonts w:cs="Times New Roman CYR" w:ascii="Times New Roman CYR" w:hAnsi="Times New Roman CYR"/>
          <w:b/>
          <w:kern w:val="2"/>
          <w:sz w:val="28"/>
          <w:szCs w:val="28"/>
        </w:rPr>
        <w:t xml:space="preserve">                                                                                                            </w:t>
      </w:r>
      <w:r>
        <w:rPr>
          <w:rFonts w:cs="Times New Roman CYR" w:ascii="Times New Roman CYR" w:hAnsi="Times New Roman CYR"/>
          <w:kern w:val="2"/>
          <w:sz w:val="28"/>
          <w:szCs w:val="28"/>
        </w:rPr>
        <w:t>56</w:t>
      </w:r>
    </w:p>
    <w:p>
      <w:pPr>
        <w:pStyle w:val="Normal"/>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r>
    </w:p>
    <w:p>
      <w:pPr>
        <w:pStyle w:val="Normal"/>
        <w:rPr>
          <w:rFonts w:ascii="Times New Roman CYR" w:hAnsi="Times New Roman CYR" w:cs="Times New Roman CYR"/>
          <w:b/>
          <w:b/>
          <w:kern w:val="2"/>
          <w:sz w:val="28"/>
          <w:szCs w:val="28"/>
        </w:rPr>
      </w:pPr>
      <w:r>
        <w:rPr>
          <w:rFonts w:cs="Times New Roman CYR" w:ascii="Times New Roman CYR" w:hAnsi="Times New Roman CYR"/>
          <w:b/>
          <w:kern w:val="2"/>
          <w:sz w:val="28"/>
          <w:szCs w:val="28"/>
          <w:lang w:val="uk-UA"/>
        </w:rPr>
        <w:t>Список використаних джерел</w:t>
      </w:r>
      <w:r>
        <w:rPr>
          <w:rFonts w:cs="Times New Roman CYR" w:ascii="Times New Roman CYR" w:hAnsi="Times New Roman CYR"/>
          <w:b/>
          <w:kern w:val="2"/>
          <w:sz w:val="28"/>
          <w:szCs w:val="28"/>
        </w:rPr>
        <w:t xml:space="preserve">                                                                       </w:t>
      </w:r>
      <w:r>
        <w:rPr>
          <w:rFonts w:cs="Times New Roman CYR" w:ascii="Times New Roman CYR" w:hAnsi="Times New Roman CYR"/>
          <w:kern w:val="2"/>
          <w:sz w:val="28"/>
          <w:szCs w:val="28"/>
        </w:rPr>
        <w:t>60</w:t>
      </w:r>
    </w:p>
    <w:p>
      <w:pPr>
        <w:pStyle w:val="Normal"/>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r>
      <w:r>
        <w:br w:type="page"/>
      </w:r>
    </w:p>
    <w:p>
      <w:pPr>
        <w:pStyle w:val="Normal"/>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r>
    </w:p>
    <w:p>
      <w:pPr>
        <w:pStyle w:val="Normal"/>
        <w:jc w:val="center"/>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t>Вступ</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b/>
          <w:kern w:val="2"/>
          <w:sz w:val="28"/>
          <w:szCs w:val="28"/>
          <w:lang w:val="uk-UA"/>
        </w:rPr>
        <w:t xml:space="preserve">Актуальність </w:t>
      </w:r>
      <w:r>
        <w:rPr>
          <w:rFonts w:cs="Times New Roman CYR" w:ascii="Times New Roman CYR" w:hAnsi="Times New Roman CYR"/>
          <w:kern w:val="2"/>
          <w:sz w:val="28"/>
          <w:szCs w:val="28"/>
          <w:lang w:val="uk-UA"/>
        </w:rPr>
        <w:t>теми даної роботи обумовлюється тими фундаментальними змінами, які відбулися в політичному житті країни, починаючи від 2014 року. На рівні суб’єктів політичного процесу ці зміни позначилися у радикальній трансформації складу тих груп політичної еліти, які змагаються за владу: частина припинила своє функціонування (група В.Ф.Януковича), інші втратили впливові позиції (група Ю.В.Тимошенко), деякі – навпаки збільшили свій потенціал (група П.О.Порошенка). До сфери політичної конкуренції увійшли і нові групові суб’єкти (група В.О.Зеленського), яким ще треба довести свою спроможність відстоювати статус частини політичної еліти України.</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На рівні структурному зазначені зміни проявилися у політиці децентралізації, що надала реальних повноважень та ресурси для функціонування регіональних еліт, які, внаслідок цього, перетворилися із потенційних на реальних суб’єктів не лише місцевої, але й загальнонаціональної політиці.</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Враховуючи наведене вище, вивчення тактик та стратегій боротьби регіональних еліт за владу, специфіка лобіювання ними інтересів «своїх» регіональних спільнот характеризується безумовною важливістю та новизною.</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i/>
          <w:kern w:val="2"/>
          <w:sz w:val="28"/>
          <w:szCs w:val="28"/>
          <w:lang w:val="uk-UA"/>
        </w:rPr>
        <w:t>Об’єктом дослідження</w:t>
      </w:r>
      <w:r>
        <w:rPr>
          <w:rFonts w:cs="Times New Roman CYR" w:ascii="Times New Roman CYR" w:hAnsi="Times New Roman CYR"/>
          <w:kern w:val="2"/>
          <w:sz w:val="28"/>
          <w:szCs w:val="28"/>
          <w:lang w:val="uk-UA"/>
        </w:rPr>
        <w:t xml:space="preserve"> даної роботи виступають регіональні еліти сучасної України, які інтерпретуються автором в якості колективних суб’єктів політичного процесу, що мають визначальний вплив на формулювання та реалізацію рішень на рівні окремих територіальних одиниць країни.</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i/>
          <w:kern w:val="2"/>
          <w:sz w:val="28"/>
          <w:szCs w:val="28"/>
          <w:lang w:val="uk-UA"/>
        </w:rPr>
        <w:t>Предметом дипломної роботи</w:t>
      </w:r>
      <w:r>
        <w:rPr>
          <w:rFonts w:cs="Times New Roman CYR" w:ascii="Times New Roman CYR" w:hAnsi="Times New Roman CYR"/>
          <w:kern w:val="2"/>
          <w:sz w:val="28"/>
          <w:szCs w:val="28"/>
          <w:lang w:val="uk-UA"/>
        </w:rPr>
        <w:t xml:space="preserve"> виступають характерні ознаки тактик та стратегій боротьби за владу регіональних еліт, які можуть бути піддані певній типологізації.</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Мета роботи полягає у виявленні основних алгоритмів політико-владної взаємодії регіональних політичних еліт.</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Досягнення зазначеної мети досягається за рахунок вирішення наступних конкретно-наукових завдань:</w:t>
      </w:r>
    </w:p>
    <w:p>
      <w:pPr>
        <w:pStyle w:val="ListParagraph"/>
        <w:numPr>
          <w:ilvl w:val="0"/>
          <w:numId w:val="1"/>
        </w:numPr>
        <w:spacing w:lineRule="auto" w:line="360"/>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Вивчення актуальної історіографії проблеми;</w:t>
      </w:r>
    </w:p>
    <w:p>
      <w:pPr>
        <w:pStyle w:val="ListParagraph"/>
        <w:numPr>
          <w:ilvl w:val="0"/>
          <w:numId w:val="1"/>
        </w:numPr>
        <w:spacing w:lineRule="auto" w:line="360"/>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Виявлення загальних рис функціонування регіональних еліт як лобістів інтересів локальних спільнот, творців «місцевих» політичних режимів та суб’єктів політико-владної взаємодії в загальнонаціональному контексті;</w:t>
      </w:r>
    </w:p>
    <w:p>
      <w:pPr>
        <w:pStyle w:val="ListParagraph"/>
        <w:numPr>
          <w:ilvl w:val="0"/>
          <w:numId w:val="1"/>
        </w:numPr>
        <w:spacing w:lineRule="auto" w:line="360"/>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Дослідження специфіки елітогенезу в Україні в хронологічних межах, починаючи від 1991 року і до сьогодення;</w:t>
      </w:r>
    </w:p>
    <w:p>
      <w:pPr>
        <w:pStyle w:val="ListParagraph"/>
        <w:numPr>
          <w:ilvl w:val="0"/>
          <w:numId w:val="1"/>
        </w:numPr>
        <w:spacing w:lineRule="auto" w:line="360"/>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Типологізації основних сценаріїв боротьби за владу, до яких вдаються різні групи регіональних еліт України.</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 xml:space="preserve">Характеризуючи </w:t>
      </w:r>
      <w:r>
        <w:rPr>
          <w:rFonts w:cs="Times New Roman CYR" w:ascii="Times New Roman CYR" w:hAnsi="Times New Roman CYR"/>
          <w:i/>
          <w:kern w:val="2"/>
          <w:sz w:val="28"/>
          <w:szCs w:val="28"/>
          <w:lang w:val="uk-UA"/>
        </w:rPr>
        <w:t>ступінь наукової розробки проблеми</w:t>
      </w:r>
      <w:r>
        <w:rPr>
          <w:rFonts w:cs="Times New Roman CYR" w:ascii="Times New Roman CYR" w:hAnsi="Times New Roman CYR"/>
          <w:kern w:val="2"/>
          <w:sz w:val="28"/>
          <w:szCs w:val="28"/>
          <w:lang w:val="uk-UA"/>
        </w:rPr>
        <w:t>, слід визнати наявність сталого інтересу до центральної проблеми дипломної роботи з боку українських політологів. За весь період існування вітчизняної політичної науки представниками різних шкіл були ретельно досліджені такі складові проблеми, як: особливості елітогенезу в Україні крізь призму регіональної специфіки (</w:t>
      </w:r>
      <w:r>
        <w:rPr>
          <w:rFonts w:ascii="Times New Roman" w:hAnsi="Times New Roman"/>
          <w:sz w:val="28"/>
          <w:szCs w:val="28"/>
          <w:lang w:val="uk-UA"/>
        </w:rPr>
        <w:t>Кармазіна М., Бевз Т., Горбатюк М., Зарич О.</w:t>
      </w:r>
      <w:r>
        <w:rPr>
          <w:rFonts w:cs="Times New Roman CYR" w:ascii="Times New Roman CYR" w:hAnsi="Times New Roman CYR"/>
          <w:kern w:val="2"/>
          <w:sz w:val="28"/>
          <w:szCs w:val="28"/>
          <w:lang w:val="uk-UA"/>
        </w:rPr>
        <w:t>), здійснення лобіювання інтересів регіональних політичних спільнот (Бушева С.М., Лубінець Д.В., Загурська-Антонюк В.Ф.), діяльності груп еліти, які висловлюють інтереси етно-національних меншин (Зан М.П., Остапець Ю.О., Піпаш В.). Перспективним напрямом досліджень, з огляду на вивчення функціонування регіональних еліт, виступають студії регіональних/місцевих режимів (Буря К.М., Бевз Т., Гнатюк В.).</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 xml:space="preserve">Основу </w:t>
      </w:r>
      <w:r>
        <w:rPr>
          <w:rFonts w:cs="Times New Roman CYR" w:ascii="Times New Roman CYR" w:hAnsi="Times New Roman CYR"/>
          <w:i/>
          <w:kern w:val="2"/>
          <w:sz w:val="28"/>
          <w:szCs w:val="28"/>
          <w:lang w:val="uk-UA"/>
        </w:rPr>
        <w:t>методології</w:t>
      </w:r>
      <w:r>
        <w:rPr>
          <w:rFonts w:cs="Times New Roman CYR" w:ascii="Times New Roman CYR" w:hAnsi="Times New Roman CYR"/>
          <w:kern w:val="2"/>
          <w:sz w:val="28"/>
          <w:szCs w:val="28"/>
          <w:lang w:val="uk-UA"/>
        </w:rPr>
        <w:t xml:space="preserve"> дипломної роботи складають принципи системності (регіональні еліти розглядаються як взаємопов’язані складові загальнонаціонального політичного класу), науковості (використовуються лише перевірені джерела інформації), неупередженості викладу авторської концепції тощо.</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 xml:space="preserve">Провідним інтелектуальним знаряддям роботи виступає </w:t>
      </w:r>
      <w:r>
        <w:rPr>
          <w:rFonts w:cs="Times New Roman CYR" w:ascii="Times New Roman CYR" w:hAnsi="Times New Roman CYR"/>
          <w:i/>
          <w:kern w:val="2"/>
          <w:sz w:val="28"/>
          <w:szCs w:val="28"/>
          <w:lang w:val="uk-UA"/>
        </w:rPr>
        <w:t>структурно-функціональний підхід</w:t>
      </w:r>
      <w:r>
        <w:rPr>
          <w:rFonts w:cs="Times New Roman CYR" w:ascii="Times New Roman CYR" w:hAnsi="Times New Roman CYR"/>
          <w:kern w:val="2"/>
          <w:sz w:val="28"/>
          <w:szCs w:val="28"/>
          <w:lang w:val="uk-UA"/>
        </w:rPr>
        <w:t>, використання якого визначено як загальним формулюванням теми роботи, так і об’єктивною природою політичного класу сучасної України, який не складає монолітного цілого, але представлений декількома конкуруючими групами/кланами політичних еліт, кожна з яких контролює електоральні та економічні ресурси конкретного регіону та спирається на певні алгоритми взаємодії із своїми контр-партнерами.</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i/>
          <w:kern w:val="2"/>
          <w:sz w:val="28"/>
          <w:szCs w:val="28"/>
          <w:lang w:val="uk-UA"/>
        </w:rPr>
        <w:t xml:space="preserve">Структура дипломної роботи </w:t>
      </w:r>
      <w:r>
        <w:rPr>
          <w:rFonts w:cs="Times New Roman CYR" w:ascii="Times New Roman CYR" w:hAnsi="Times New Roman CYR"/>
          <w:kern w:val="2"/>
          <w:sz w:val="28"/>
          <w:szCs w:val="28"/>
          <w:lang w:val="uk-UA"/>
        </w:rPr>
        <w:t>представлена вступом, двома розділами, поділеними на відповідні тематичні підрозділами, висновками та списком використаних джерел.</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У першому розділі аналізується історіографія проблеми та специфіка елітогенезу в незалежній Україні.</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Другий підрозділ присвячений виявленню специфіки  політико-владної діяльності еліт Західного та Центрально-Східного регіонів України.</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У висновках підбиваються результати дослідження в цілому.</w:t>
      </w:r>
    </w:p>
    <w:p>
      <w:pPr>
        <w:pStyle w:val="Normal"/>
        <w:spacing w:lineRule="auto" w:line="360"/>
        <w:ind w:firstLine="567"/>
        <w:jc w:val="both"/>
        <w:rPr>
          <w:rFonts w:ascii="Times New Roman CYR" w:hAnsi="Times New Roman CYR" w:cs="Times New Roman CYR"/>
          <w:kern w:val="2"/>
          <w:sz w:val="28"/>
          <w:szCs w:val="28"/>
          <w:lang w:val="uk-UA"/>
        </w:rPr>
      </w:pPr>
      <w:r>
        <w:rPr>
          <w:rFonts w:cs="Times New Roman CYR" w:ascii="Times New Roman CYR" w:hAnsi="Times New Roman CYR"/>
          <w:kern w:val="2"/>
          <w:sz w:val="28"/>
          <w:szCs w:val="28"/>
          <w:lang w:val="uk-UA"/>
        </w:rPr>
        <w:t xml:space="preserve">Список використаних джерел представлений </w:t>
      </w:r>
      <w:r>
        <w:rPr>
          <w:rFonts w:cs="Times New Roman CYR" w:ascii="Times New Roman CYR" w:hAnsi="Times New Roman CYR"/>
          <w:kern w:val="2"/>
          <w:sz w:val="28"/>
          <w:szCs w:val="28"/>
        </w:rPr>
        <w:t>46</w:t>
      </w:r>
      <w:r>
        <w:rPr>
          <w:rFonts w:cs="Times New Roman CYR" w:ascii="Times New Roman CYR" w:hAnsi="Times New Roman CYR"/>
          <w:kern w:val="2"/>
          <w:sz w:val="28"/>
          <w:szCs w:val="28"/>
          <w:lang w:val="uk-UA"/>
        </w:rPr>
        <w:t xml:space="preserve"> найменуваннями.</w:t>
      </w:r>
      <w:r>
        <w:br w:type="page"/>
      </w:r>
    </w:p>
    <w:p>
      <w:pPr>
        <w:pStyle w:val="Normal"/>
        <w:rPr>
          <w:rFonts w:ascii="Times New Roman CYR" w:hAnsi="Times New Roman CYR" w:cs="Times New Roman CYR"/>
          <w:b/>
          <w:b/>
          <w:kern w:val="2"/>
          <w:sz w:val="28"/>
          <w:szCs w:val="28"/>
          <w:lang w:val="uk-UA"/>
        </w:rPr>
      </w:pPr>
      <w:r>
        <w:rPr>
          <w:rFonts w:cs="Times New Roman CYR" w:ascii="Times New Roman CYR" w:hAnsi="Times New Roman CYR"/>
          <w:b/>
          <w:kern w:val="2"/>
          <w:sz w:val="28"/>
          <w:szCs w:val="28"/>
          <w:lang w:val="uk-UA"/>
        </w:rPr>
      </w:r>
    </w:p>
    <w:p>
      <w:pPr>
        <w:pStyle w:val="Normal"/>
        <w:jc w:val="center"/>
        <w:rPr>
          <w:rFonts w:ascii="Times New Roman" w:hAnsi="Times New Roman"/>
          <w:b/>
          <w:b/>
          <w:sz w:val="28"/>
          <w:szCs w:val="28"/>
          <w:lang w:val="uk-UA"/>
        </w:rPr>
      </w:pPr>
      <w:r>
        <w:rPr>
          <w:rFonts w:ascii="Times New Roman" w:hAnsi="Times New Roman"/>
          <w:b/>
          <w:sz w:val="28"/>
          <w:szCs w:val="28"/>
          <w:lang w:val="uk-UA"/>
        </w:rPr>
        <w:t>Висновки</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Підсумовуючи результати дослідження політичної діяльності регіональних еліт в сучасній Україні, слід зробити наступні висновки:</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 Існування регіональних еліт в Україні обумовлено об’єктивними чинниками: складною етносоціальною структурою вітчизняного суспільства, специфікою галузевої та територіальної спеціалізації української економіки, географічними чинниками тощо. Комплекс цих факторів, а також загальний курс на демократизацію, проголошений з початком незалежності та не орієнтований (на відміну від авторитаризму) на гомогенізацію правлячого класу, визначили плюральну структуру політичної еліти України.</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 Українська політологія досягла значних успіхів у справі дослідження діяльності регіональних еліт країни. Основними темами наукових студій українських вчених стали наступні: специфіка елітогенезу в країні в хронологічному та регіональному вимірах; тактики та стратегії боротьби регіональних еліт за владу; особливості лобіювання регіональними групами інтересу та впливу своїх проектів та програм в органах центральної влади; формування та функціонування місцевих політичних режимів на рівні регіонів та окремих місць України тощо. Спільною ознакою для всіх українських науковців є загальна критика по відношенню до джерел рекрутування політичних еліт, інструментарію їхньої діяльності та результатів функціонування як на місцевому, так і на загальнонаціональному рівнях.</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 Курс на реалізацію реформи з децентралізації, а також проведення адміністративної реформи в країні, починаючи з 2015 року значно підсилили роль регіональних політичних еліт як на рівні окремих локалітетів, адміністративних одиниць, так і на рівні країни в цілому. Відтепер регіональні групи на законних основах отримали право розпоряджатися матеріальними та фінансовими ресурсами «своїх» громад, повністю підпорядкували собі електоральні ресурси регіонів, отримали легальні площадки для укладання домовленостей та узгодження своїх позицій (Асоціація міст України, Конгрес місцевих та регіональних влад при Президентові України). Не зважаючи на те, що розмови про федералізацію країни прирівнюються на сьогодні до кримінального злочину, сам перебіг політичного процесу на регіональному та місцевому рівні свідчить про посилення суб’єктності регіональних політичних «гравців». Не важко спрогнозувати, що наступним кроком таких суб’єктів, які спираються у своїй діяльності на матеріальний, фінансовий та електоральний ресурс своїх громад, постане вимога відповідної реструктуризації вищого законодавчого органу країни у напрямку його двохпалатності.</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4. У найбільш загальному вигляді, свою боротьбу за політичну владу місцеві елітарні групи здійснюють, спираючись на реально існуючи регіональні ідентичності місцевих спільнот. Особливо рельєфно це простежується на прикладі Закарпаття, де до специфіки місцевого українського населення (русини) додається також і достатньо інтенсивна діяльність угорської національної меншини, яка отримує додаткову підтримку із історичної Батьківщини. Аналогічний варіант, але із ґрунтуванням на регіональну ідентичність, активно використовувався частиною еліти Донецького регіону, що, врешті-решт і спровокувало у значному ступені трагічні події 2014 року. В інших регіонах країни місцеві групи також намагаються експлуатувати регіональні форми ідентичностей, але не в такому масштабі.</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5. Достатньо поширеними для всіх регіональних еліт формами політичної боротьби за владу стали клановість та непотизм. Намагання повністю контролювати «своє» місто, або «свій» регіон провокує місцевих суб’єктів впливу на просування своїх родичів та/або клієнтів на посади в обласних та районних державних адміністраціях, в радах депутатів відповідного рівня. Не менш поширеною формою боротьби за владу є творення так званих «регіональних» політичних партій. Попре те, що такі форми організованої політичної участі не передбачені українським законодавством, в реальному політичному процесі беруть участь політичні партії із загальноукраїнським юридичним статусом, але відверто регіоналізованим політичним впливом. До таких політичних сил можна віднести, наприклад, політичну партію «Довіряй ділам», яка на сьогодні має відверто «Одеський» електоральний характер. До «регіональних» можна віднести і політичні партії національних меншин (перш за все – угорської), які впливають на політичне життя такого регіону, як Закарпаття. Специфічною формою боротьби регіональних кланів за політичну владу є використання місцевих сепаратистських рухів. Так, наприклад, з ім’ям очильника одного із кланів Закарпаття В.Балоги пов’язують підтримку такого руху, як «політичне русинство», активізація якого співпадає із намаганнями Києва приборкати явища контрабанди у згаданому вже Закарпатському регіоні. На жаль, рисою останніх семі років стало і використання недержавних озброєних угруповань в якості знаряддя політичної боротьби на місцевому рівні.</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6. Найбільш розповсюдженими сценаріями боротьби регіональних еліт за владу, на думку автора дипломної роботи, є три наступні: А) «Донецький» – спрямований на максимальне утримання «свого» регіону від проникнення інших елітарних гравців, таку ж максимальну мобілізацію своїх ресурсів для експансії на територію інших кланів та, врешті-решт, «завоювання» адміністративного центру країни з метою монопольного використання політичної влади. Б) «Закарпатський» – передбачає утримання своєї автономії від втручання центральної політичної влади та суцільний контроль над власним регіоном. У відносинах із Центром перевага віддається досягненню компромісу, іноді – шантажу, проте із уникненням відвертої конфронтації. В) «Дніпропетровський» – ґрунтується на бажанні «диверсифікувати» ризики та мати «своїх людей» в різних загальноукраїнських проектах. Цей сценарій не передбачає творення лише однієї політичної сили «свого» регіону та віддає перевагу балансуванню в складній системі стримувань та противаг інтересів інших регіональних груп еліти.</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7. Поряд із наявністю згаданих вище сценаріїв боротьби регіональних еліт за владу, загальна логіка їхньої взаємодії із широкими народними масами повністю відповідає основним тезам консервативного елітизму як наукового напрямку: регіональні еліти не бажають позбутися свого колективного привілейованого політико-економічного статусу і тому всіляко перешкоджають діяльності соціальних ліфтів та радикальному оновленню правлячого класу за рахунок вихідців із структур громадянського суспільства. Як це свідчить із викладу матеріалу роботи, навіть радикальні політичні події на зразок «Революції гідності» та електорального успіху «Слуги народу» не призвели до такого ж радикального оновлення регіональних еліт та органів влади, що контролюються ними. Одні і ті ж самі особи (окрім випадків біологічного старіння та вигнання) продовжують свою «циркуляцію» в трикутнику: місцеві органи влади – місцеві органи самоорганізації – центральний управлінський апарат. Відповідно до цього, на місцевому рівні відтворюються різноманітні зразки «змагального авторитаризму», а на рівні загальнонаціональному – «дефектної демократії».</w:t>
      </w:r>
    </w:p>
    <w:p>
      <w:pPr>
        <w:pStyle w:val="Normal"/>
        <w:spacing w:lineRule="auto" w:line="360"/>
        <w:jc w:val="both"/>
        <w:rPr>
          <w:rFonts w:ascii="Times New Roman" w:hAnsi="Times New Roman"/>
          <w:b/>
          <w:b/>
          <w:sz w:val="28"/>
          <w:szCs w:val="28"/>
          <w:lang w:val="uk-UA"/>
        </w:rPr>
      </w:pPr>
      <w:r>
        <w:rPr>
          <w:rFonts w:ascii="Times New Roman" w:hAnsi="Times New Roman"/>
          <w:b/>
          <w:sz w:val="28"/>
          <w:szCs w:val="28"/>
          <w:lang w:val="uk-UA"/>
        </w:rPr>
      </w:r>
      <w:r>
        <w:br w:type="page"/>
      </w:r>
    </w:p>
    <w:p>
      <w:pPr>
        <w:pStyle w:val="Normal"/>
        <w:rPr>
          <w:rFonts w:ascii="Times New Roman" w:hAnsi="Times New Roman"/>
          <w:b/>
          <w:b/>
          <w:sz w:val="28"/>
          <w:szCs w:val="28"/>
          <w:lang w:val="uk-UA"/>
        </w:rPr>
      </w:pPr>
      <w:r>
        <w:rPr>
          <w:rFonts w:ascii="Times New Roman" w:hAnsi="Times New Roman"/>
          <w:b/>
          <w:sz w:val="28"/>
          <w:szCs w:val="28"/>
          <w:lang w:val="uk-UA"/>
        </w:rPr>
      </w:r>
    </w:p>
    <w:p>
      <w:pPr>
        <w:pStyle w:val="Normal"/>
        <w:jc w:val="center"/>
        <w:rPr>
          <w:rFonts w:ascii="Times New Roman" w:hAnsi="Times New Roman"/>
          <w:b/>
          <w:b/>
          <w:sz w:val="28"/>
          <w:szCs w:val="28"/>
          <w:lang w:val="uk-UA"/>
        </w:rPr>
      </w:pPr>
      <w:r>
        <w:rPr>
          <w:rFonts w:ascii="Times New Roman" w:hAnsi="Times New Roman"/>
          <w:b/>
          <w:sz w:val="28"/>
          <w:szCs w:val="28"/>
          <w:lang w:val="uk-UA"/>
        </w:rPr>
        <w:t>Список використаних джерел</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 Андрущенко Т.В. Регіональна ідентичність: зміст, типи та особливості формування // Науковий журнал «Політикус». – 2019. – Вип.4. – С.93 – 97.</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hAnsi="Times New Roman"/>
          <w:sz w:val="28"/>
          <w:szCs w:val="28"/>
          <w:shd w:fill="FFFFFF" w:val="clear"/>
          <w:lang w:val="uk-UA"/>
        </w:rPr>
        <w:t xml:space="preserve">Асоціація міст України. Офіційний сайт. – Режим доступу до ресурсу: </w:t>
      </w:r>
      <w:hyperlink r:id="rId2">
        <w:r>
          <w:rPr>
            <w:rFonts w:ascii="Times New Roman" w:hAnsi="Times New Roman"/>
            <w:color w:val="000000"/>
            <w:sz w:val="28"/>
            <w:szCs w:val="28"/>
            <w:shd w:fill="FFFFFF" w:val="clear"/>
            <w:lang w:val="uk-UA"/>
          </w:rPr>
          <w:t>https://www.auc.org.ua/</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3. Ахметов Ринат //Офіційний сайт видавництва «Liga» - Режим доступу до ресурсу: </w:t>
      </w:r>
      <w:hyperlink r:id="rId3">
        <w:r>
          <w:rPr>
            <w:rFonts w:ascii="Times New Roman" w:hAnsi="Times New Roman"/>
            <w:color w:val="auto"/>
            <w:sz w:val="28"/>
            <w:szCs w:val="28"/>
            <w:lang w:val="uk-UA"/>
          </w:rPr>
          <w:t>https://file.liga.net/persons/rinat-ahmetov</w:t>
        </w:r>
      </w:hyperlink>
      <w:r>
        <w:rPr>
          <w:rFonts w:ascii="Times New Roman" w:hAnsi="Times New Roman"/>
          <w:sz w:val="28"/>
          <w:szCs w:val="28"/>
          <w:lang w:val="uk-UA"/>
        </w:rPr>
        <w:t xml:space="preserve"> </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4. Балога Виктор //Офіційний сайт видання «Liga»/ - Режим доступу до ресурсу: </w:t>
      </w:r>
      <w:hyperlink r:id="rId4">
        <w:r>
          <w:rPr>
            <w:rFonts w:ascii="Times New Roman" w:hAnsi="Times New Roman"/>
            <w:color w:val="auto"/>
            <w:sz w:val="28"/>
            <w:szCs w:val="28"/>
            <w:lang w:val="uk-UA"/>
          </w:rPr>
          <w:t>https://file.liga.net/persons/viktor-baloga</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5. Балога Віктор Іванович // Офіційний сайт видання «Чесно» - Режим доступу до ресурсу: </w:t>
      </w:r>
      <w:hyperlink r:id="rId5">
        <w:r>
          <w:rPr>
            <w:rFonts w:ascii="Times New Roman" w:hAnsi="Times New Roman"/>
            <w:color w:val="auto"/>
            <w:sz w:val="28"/>
            <w:szCs w:val="28"/>
            <w:lang w:val="uk-UA"/>
          </w:rPr>
          <w:t>https://www.chesno.org/politician/19/</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6. Бевз Т. Регіональні політичні режими Дніпропетровщини: етапи формування, специфіка функціонування та особливості трансформації //Наукові записки ІПіЕНД ім. І.Ф. Кураса. – Вип.2. – 2017 . – С.77 – 111.</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7. Буря К.М. Локальна демократія: зарубіжна концептуальність та вітчизняна політична прагматика // Науковий журнал «Політикус». – 2018. – Вип.2. – С.26 – 30.</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8. Бушева С.М. Механізм функціонування груп інтересів: інтерпретація теорій лобізму //Науковий журнал «Політикус». – 2018. – Вип.2. – С.11-14.</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9. Волинське братство – Режим доступу до ресурсу: http://volyniany.org.ua/</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10. Ворчакова І.Є. Проблеми та перспективи розвитку лобізму як політичного інституту в Україні // Науковий журнал «Політикус». – 2016. – Вип.1. – С.88 – 91.</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shd w:fill="FFFFFF" w:val="clear"/>
          <w:lang w:val="uk-UA"/>
        </w:rPr>
        <w:t>11. Ворчакова, І. (1). Регіональна політична еліта: принципи структуризації та можливості лобіювання інтересів. </w:t>
      </w:r>
      <w:r>
        <w:rPr>
          <w:rFonts w:ascii="Times New Roman" w:hAnsi="Times New Roman"/>
          <w:iCs/>
          <w:sz w:val="28"/>
          <w:szCs w:val="28"/>
          <w:shd w:fill="FFFFFF" w:val="clear"/>
          <w:lang w:val="uk-UA"/>
        </w:rPr>
        <w:t>Вісник Харківського національного університету імені В.Н. Каразіна. Серія "Питання політології» Вип.</w:t>
      </w:r>
      <w:r>
        <w:rPr>
          <w:rFonts w:ascii="Times New Roman" w:hAnsi="Times New Roman"/>
          <w:sz w:val="28"/>
          <w:szCs w:val="28"/>
          <w:shd w:fill="FFFFFF" w:val="clear"/>
          <w:lang w:val="uk-UA"/>
        </w:rPr>
        <w:t> </w:t>
      </w:r>
      <w:r>
        <w:rPr>
          <w:rFonts w:ascii="Times New Roman" w:hAnsi="Times New Roman"/>
          <w:iCs/>
          <w:sz w:val="28"/>
          <w:szCs w:val="28"/>
          <w:shd w:fill="FFFFFF" w:val="clear"/>
          <w:lang w:val="uk-UA"/>
        </w:rPr>
        <w:t>27</w:t>
      </w:r>
      <w:r>
        <w:rPr>
          <w:rFonts w:ascii="Times New Roman" w:hAnsi="Times New Roman"/>
          <w:sz w:val="28"/>
          <w:szCs w:val="28"/>
          <w:shd w:fill="FFFFFF" w:val="clear"/>
          <w:lang w:val="uk-UA"/>
        </w:rPr>
        <w:t>(1132),  - С. 82-87.</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12. Гнатюк В. Субнаціональні політичні режими в Україні на прикладі Закарпатської, Львівської та Чренівецької областей у період 2010 – 2015 рр.: інституційне вимірювання // Вісник Львівського університету. Серія філос.-політолог. студії. 2019. Випуск 27. - С. 63-70.</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13. Гончарук Г.И. </w:t>
      </w:r>
      <w:r>
        <w:rPr>
          <w:rFonts w:ascii="Times New Roman" w:hAnsi="Times New Roman"/>
          <w:sz w:val="28"/>
          <w:szCs w:val="28"/>
          <w:shd w:fill="FFFFFF" w:val="clear"/>
        </w:rPr>
        <w:t>Одесское противостояние : 1994-1998 / </w:t>
      </w:r>
      <w:hyperlink r:id="rId6">
        <w:r>
          <w:rPr>
            <w:rFonts w:ascii="Times New Roman" w:hAnsi="Times New Roman"/>
            <w:bCs/>
            <w:color w:val="000000"/>
            <w:sz w:val="28"/>
            <w:szCs w:val="28"/>
            <w:u w:val="none"/>
            <w:shd w:fill="FFFFFF" w:val="clear"/>
          </w:rPr>
          <w:t>Григорий Иванович Гончарук</w:t>
        </w:r>
      </w:hyperlink>
      <w:r>
        <w:rPr>
          <w:rFonts w:ascii="Times New Roman" w:hAnsi="Times New Roman"/>
          <w:sz w:val="28"/>
          <w:szCs w:val="28"/>
          <w:shd w:fill="FFFFFF" w:val="clear"/>
        </w:rPr>
        <w:t>; Ред. </w:t>
      </w:r>
      <w:hyperlink r:id="rId7">
        <w:r>
          <w:rPr>
            <w:rFonts w:ascii="Times New Roman" w:hAnsi="Times New Roman"/>
            <w:bCs/>
            <w:color w:val="000000"/>
            <w:sz w:val="28"/>
            <w:szCs w:val="28"/>
            <w:u w:val="none"/>
            <w:shd w:fill="FFFFFF" w:val="clear"/>
          </w:rPr>
          <w:t>А. Г. Белоус</w:t>
        </w:r>
      </w:hyperlink>
      <w:r>
        <w:rPr>
          <w:rFonts w:ascii="Times New Roman" w:hAnsi="Times New Roman"/>
          <w:sz w:val="28"/>
          <w:szCs w:val="28"/>
          <w:shd w:fill="FFFFFF" w:val="clear"/>
        </w:rPr>
        <w:t>, </w:t>
      </w:r>
      <w:hyperlink r:id="rId8">
        <w:r>
          <w:rPr>
            <w:rFonts w:ascii="Times New Roman" w:hAnsi="Times New Roman"/>
            <w:bCs/>
            <w:color w:val="000000"/>
            <w:sz w:val="28"/>
            <w:szCs w:val="28"/>
            <w:u w:val="none"/>
            <w:shd w:fill="FFFFFF" w:val="clear"/>
          </w:rPr>
          <w:t>И. А. Бурчо</w:t>
        </w:r>
      </w:hyperlink>
      <w:r>
        <w:rPr>
          <w:rFonts w:ascii="Times New Roman" w:hAnsi="Times New Roman"/>
          <w:sz w:val="28"/>
          <w:szCs w:val="28"/>
          <w:shd w:fill="FFFFFF" w:val="clear"/>
        </w:rPr>
        <w:t>.– Одесса : Астропринт, 1999.– 288 с.</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14. Єремєєва І.А., Шаповал В.А. Групи інтересів як суб’єкти політики // Науковий журнал «Політикус». – 2016. – Вип.2. – С.76 – 80.</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15. Загурська-Антонюк В.Ф. Інформаційно-комунікативний ресурс як сучасна форма політико-ідеологічного лобіювання інтересів в українських реаліях // Науковий журнал «Політикус». – 2018. – Вип.2. – С.102 – 106.</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16. Зан М.П. Політична репрезентація русинської етноідентичності на Закарпатті в українському науковому дискурсі // Науковий журнал «Політикус». – 2020. – Вип.1. – С.82 – 89.</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17. Зан М.П. Репрезентація етнополітичних партій мінори тарних груп України у форматі парламентських електоральних циклів 1998 – 2019 років // Науковий журнал «Політикус». – 2020 – Вип.4. – С.146 – 154.</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18. Зоткин А.А. «Львы» и «лисы» украинской политики. – К.: «Наукова думка», 2010. – 340 с.</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19. Кармазіна М., Бевз Т., Горбатюк М., Зарич О. Регіональні політичні еліти в Україні: особливості формування, цінності та ідентичності (кінець 1991 – 2019 рр.). – Київ: ІПіЕНД ім.. І.Ф.Кураса НАН України, 2020. – 264 с.</w:t>
      </w:r>
    </w:p>
    <w:p>
      <w:pPr>
        <w:pStyle w:val="Normal"/>
        <w:spacing w:lineRule="auto" w:line="360"/>
        <w:ind w:firstLine="567"/>
        <w:jc w:val="both"/>
        <w:rPr>
          <w:lang w:val="uk-UA"/>
        </w:rPr>
      </w:pPr>
      <w:r>
        <w:rPr>
          <w:rFonts w:ascii="Times New Roman" w:hAnsi="Times New Roman"/>
          <w:sz w:val="28"/>
          <w:szCs w:val="28"/>
          <w:lang w:val="uk-UA"/>
        </w:rPr>
        <w:t xml:space="preserve">20. Коломойський Ігор //Офіційний сайт С.Руденка – Режим доступу до ресурсу: </w:t>
      </w:r>
      <w:hyperlink r:id="rId9">
        <w:r>
          <w:rPr>
            <w:rFonts w:ascii="Times New Roman" w:hAnsi="Times New Roman"/>
            <w:color w:val="auto"/>
            <w:sz w:val="28"/>
            <w:szCs w:val="28"/>
            <w:lang w:val="uk-UA"/>
          </w:rPr>
          <w:t>https://www.rudenko.kiev.ua/persons/kolomoyskiy</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21. Конгрес місцевих та регіональних влад є важливим майданчиком для взаємодії центральної влади та місцевих громад //Офіційний сайт Президента України. – Режим доступу до ресурсу: https://www.president.gov.ua/news/kongres-miscevih-ta-regionalnih-vlad-ye-vazhlivim-majdanchik-68821</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22. Комарницький В.В. Місцеві організації політичних партій України в умовах реформи децентралізації // Науковий журнал «Політикус». – 2020. – Вип.1. – С.24 – 30.</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23. Кононов И.Ф. Донбасс и Галичина в зеркалах региональных сознаний (по материалам фокусированных групповых интервью) // </w:t>
      </w:r>
      <w:hyperlink r:id="rId10">
        <w:r>
          <w:rPr>
            <w:rFonts w:ascii="Times New Roman" w:hAnsi="Times New Roman"/>
            <w:color w:val="auto"/>
            <w:sz w:val="28"/>
            <w:szCs w:val="28"/>
            <w:lang w:val="uk-UA"/>
          </w:rPr>
          <w:t>http://www.nbuv.gov.ua/portal/Soc_Gum/Mtpsa/2009_15/Kononov.pdf</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24. Лазур В. Інтерв’ю з Борисом Філатовим //Офіційний ресурс видавництва «Радіо Свобода». – Режим доступу до ресурсу: https://www.radiosvoboda.org/a/interviu-borys-filatov/30616816.html</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25. Ланьо Михаил Иванович //Офіційний сайт інтернет-видання «Лівий Берег» - Режим доступу до ресурсу: </w:t>
      </w:r>
      <w:hyperlink r:id="rId11">
        <w:r>
          <w:rPr>
            <w:rFonts w:ascii="Times New Roman" w:hAnsi="Times New Roman"/>
            <w:color w:val="auto"/>
            <w:sz w:val="28"/>
            <w:szCs w:val="28"/>
            <w:lang w:val="uk-UA"/>
          </w:rPr>
          <w:t>https://rus.lb.ua/file/person/90_lano_mihail_ivanovich.html</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26. Лубінець Д.В. До питання про типологію українського лобізму // Науковий журнал «Політикус». – 2019. – Вип.14. – С.34 – 40.</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27. Мазур О. Теоретико-прикладні аспекти дослідження політичних режимів на локальному рівні /О. Мазур – Режим доступу до ресурсу:</w:t>
      </w:r>
      <w:r>
        <w:rPr>
          <w:rFonts w:ascii="Times New Roman" w:hAnsi="Times New Roman"/>
          <w:lang w:val="uk-UA"/>
        </w:rPr>
        <w:t xml:space="preserve"> </w:t>
      </w:r>
      <w:hyperlink r:id="rId12">
        <w:r>
          <w:rPr>
            <w:rFonts w:ascii="Times New Roman" w:hAnsi="Times New Roman"/>
            <w:color w:val="auto"/>
            <w:sz w:val="28"/>
            <w:szCs w:val="28"/>
            <w:lang w:val="uk-UA"/>
          </w:rPr>
          <w:t>https://docviewer.yandex.ua/?url=http%3A%2F%2Fwww.nbuv.gov.ua%2Fold_jrn%2Fnatural%2FVsntu%2Fpolit%2F2011_123%2F2011_123%2F123_19.pdf&amp;name=123_19.pdf&amp;lang=uk&amp;c=57cbfdeb7062</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28. Манайло-Приходько Р.Ю. Феномен «регіональних» політичних партій в Україні // Науковий журнал «Політикус». – 2016. – Вип.2. – С.93 – 97.</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29. Матола В. Розбірки в Мукачевому: Балога vs Ланьо //Офіційний сайт інтернет-видання «Лівий Берег» - Режим доступу до ресурсу: </w:t>
      </w:r>
      <w:hyperlink r:id="rId13">
        <w:r>
          <w:rPr>
            <w:rFonts w:ascii="Times New Roman" w:hAnsi="Times New Roman"/>
            <w:color w:val="auto"/>
            <w:sz w:val="28"/>
            <w:szCs w:val="28"/>
            <w:lang w:val="uk-UA"/>
          </w:rPr>
          <w:t>https://lb.ua/news/2015/07/13/310814_rozbirki_mukachevo_baloga_vs_lano.html</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30. Мацієвський Ю. Еліти в Україні до і після «помаранчевої революції» / Ю. Мацієвський // </w:t>
      </w:r>
      <w:hyperlink r:id="rId14" w:tgtFrame="Періодичне видання">
        <w:r>
          <w:rPr>
            <w:rFonts w:ascii="Times New Roman" w:hAnsi="Times New Roman"/>
            <w:color w:val="auto"/>
            <w:sz w:val="28"/>
            <w:szCs w:val="28"/>
            <w:u w:val="none"/>
            <w:lang w:val="uk-UA"/>
          </w:rPr>
          <w:t>Політичний менеджмент</w:t>
        </w:r>
      </w:hyperlink>
      <w:r>
        <w:rPr>
          <w:rFonts w:ascii="Times New Roman" w:hAnsi="Times New Roman"/>
          <w:sz w:val="28"/>
          <w:szCs w:val="28"/>
          <w:lang w:val="uk-UA"/>
        </w:rPr>
        <w:t>. - 2010. - № 2. - С. 38-55. - Режим доступу: </w:t>
      </w:r>
      <w:hyperlink r:id="rId15">
        <w:r>
          <w:rPr>
            <w:rFonts w:ascii="Times New Roman" w:hAnsi="Times New Roman"/>
            <w:color w:val="auto"/>
            <w:sz w:val="28"/>
            <w:szCs w:val="28"/>
            <w:lang w:val="uk-UA"/>
          </w:rPr>
          <w:t>http://nbuv.gov.ua/UJRN/PoMe_2010_2_6</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31. Наумкіна С.М., Ахмеров О.О. Сучасні тенденції розвитку інституту місцевого самоврядування // Науковий журнал «Політикус». – 2021. – Вип.3 – С.62 – 68.</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32. Остапець Ю.О. Участь національних меншин у виборчих процесах: світовий досвід та українська політична практика (на прикладі Закарпатської області) // Науковий журнал «Політикус». – 2016. – Вип.2. – С.105 – 109.</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33. Остапець Ю.О., Лешанич М.І. Сучасний стан та регіональна конфігурація партійної системи України // Науковий журнал «Політикус». – 2019. – Вип.2. – С.39 – 45.</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34. Петракова Є. Традиції українського «ринку влади» /Є. Петракова. //Політичний менеджмент. – 2003. –№ 3. – С. 114 – 123.</w:t>
      </w:r>
    </w:p>
    <w:p>
      <w:pPr>
        <w:pStyle w:val="Normal"/>
        <w:spacing w:lineRule="auto" w:line="360"/>
        <w:ind w:firstLine="567"/>
        <w:jc w:val="both"/>
        <w:rPr>
          <w:lang w:val="uk-UA"/>
        </w:rPr>
      </w:pPr>
      <w:r>
        <w:rPr>
          <w:rFonts w:ascii="Times New Roman" w:hAnsi="Times New Roman"/>
          <w:sz w:val="28"/>
          <w:szCs w:val="28"/>
          <w:lang w:val="uk-UA"/>
        </w:rPr>
        <w:t xml:space="preserve">35. Піпаш В. Політичний підтекст «русинського питання» на Закарпатті - Режим доступу до ресурсу: </w:t>
      </w:r>
      <w:hyperlink r:id="rId16">
        <w:r>
          <w:rPr>
            <w:rFonts w:ascii="Times New Roman" w:hAnsi="Times New Roman"/>
            <w:color w:val="auto"/>
            <w:sz w:val="28"/>
            <w:szCs w:val="28"/>
            <w:lang w:val="uk-UA"/>
          </w:rPr>
          <w:t>https://zakarpattya.net.ua/Blogs/92501-Politychnyi-pidtekst-rusynskoho-pytannia-na-Zakarpatti</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36. Політологія посткомунізму: Політологічний аналіз посткомуністичних суспільств /В. Полохало (керівник авт. колективу); Заг. ред.: Є. Бистрицький – К.: Політична думка, 1995. – 368 с.</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37. Радчук О. Занепад олігархії: як формуються нові політичні еліти в Україні //Аналітичний портал «Слово і Діло» – Режим доступу до ресурсу: </w:t>
      </w:r>
      <w:hyperlink r:id="rId17">
        <w:r>
          <w:rPr>
            <w:rFonts w:ascii="Times New Roman" w:hAnsi="Times New Roman"/>
            <w:color w:val="auto"/>
            <w:sz w:val="28"/>
            <w:szCs w:val="28"/>
            <w:lang w:val="uk-UA"/>
          </w:rPr>
          <w:t>https://www.slovoidilo.ua/2020/06/23/kolonka/aleksandr-radchuk/polityka/zanepad-oliharxiyi-yak-formuyutsya-novi-politychni-elity-ukrayini</w:t>
        </w:r>
      </w:hyperlink>
      <w:r>
        <w:rPr>
          <w:rFonts w:ascii="Times New Roman" w:hAnsi="Times New Roman"/>
          <w:sz w:val="28"/>
          <w:szCs w:val="28"/>
          <w:lang w:val="uk-UA"/>
        </w:rPr>
        <w:t xml:space="preserve"> </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38. Сергатюк Д.А. Вітчизняне політичне елітотворення (1994 – 2004): виміри проблемності // Науковий журнал «Політикус». – 2017. – Вип.4. – С.13 – 18.</w:t>
      </w:r>
    </w:p>
    <w:p>
      <w:pPr>
        <w:pStyle w:val="Normal"/>
        <w:spacing w:lineRule="auto" w:line="360"/>
        <w:ind w:firstLine="567"/>
        <w:jc w:val="both"/>
        <w:rPr>
          <w:lang w:val="uk-UA"/>
        </w:rPr>
      </w:pPr>
      <w:r>
        <w:rPr>
          <w:rFonts w:ascii="Times New Roman" w:hAnsi="Times New Roman"/>
          <w:sz w:val="28"/>
          <w:szCs w:val="28"/>
          <w:lang w:val="uk-UA"/>
        </w:rPr>
        <w:t xml:space="preserve">39. Середа С. Ахметов і нова партія: чи справді олігарх і його оточення можуть створити новий проект? //Офіційний сайт видавництва «Радіо Свобода» - Режим доступу до ресурсу: </w:t>
      </w:r>
      <w:hyperlink r:id="rId18">
        <w:r>
          <w:rPr>
            <w:rFonts w:ascii="Times New Roman" w:hAnsi="Times New Roman"/>
            <w:color w:val="auto"/>
            <w:sz w:val="28"/>
            <w:szCs w:val="28"/>
            <w:lang w:val="uk-UA"/>
          </w:rPr>
          <w:t>https://www.radiosvoboda.org/a/chy-spravdi-rinat-akhmetov-i-yoho-otochennya-stvoryuyut-novyy-proekt/31233327.html</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40. Тарута Сергій //Офіційний сайт видавництва </w:t>
      </w:r>
      <w:r>
        <w:rPr>
          <w:rFonts w:ascii="Times New Roman" w:hAnsi="Times New Roman"/>
          <w:sz w:val="28"/>
          <w:szCs w:val="28"/>
          <w:lang w:val="en-US"/>
        </w:rPr>
        <w:t>Liga</w:t>
      </w:r>
      <w:r>
        <w:rPr>
          <w:rFonts w:ascii="Times New Roman" w:hAnsi="Times New Roman"/>
          <w:sz w:val="28"/>
          <w:szCs w:val="28"/>
          <w:lang w:val="uk-UA"/>
        </w:rPr>
        <w:t>. – Режим доступу до ресурсу: https://file.liga.net/persons/sergei-taryta</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41. Рибалка С. Особливості дослідження структури влади в міських спільнотах в Україні /С. Рибалка //Актуальні проблеми політики. – 2015. Вип.55. – С.106 – 115.</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42. Руденко С. Вся Юлина Рать. Окружение Юлии Тимошенко от «А» до «Я» /Руденко С. – К.: «Саммит-Книга», 2007. – 224 с.</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43. Туровский Р.Ф. Политическая регионалистика. М.: Издательство ГУ-ВШЭ, 2006. – 780 с.</w:t>
      </w:r>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 xml:space="preserve">44. Филатов Борис //Офіційний сайт видавництва «Liga» - Режим доступу до ресурсу: </w:t>
      </w:r>
      <w:hyperlink r:id="rId19">
        <w:r>
          <w:rPr>
            <w:rFonts w:ascii="Times New Roman" w:hAnsi="Times New Roman"/>
            <w:color w:val="auto"/>
            <w:sz w:val="28"/>
            <w:szCs w:val="28"/>
            <w:lang w:val="uk-UA"/>
          </w:rPr>
          <w:t>https://file.liga.net/persons/filatov-boris</w:t>
        </w:r>
      </w:hyperlink>
    </w:p>
    <w:p>
      <w:pPr>
        <w:pStyle w:val="Normal"/>
        <w:spacing w:lineRule="auto" w:line="360"/>
        <w:ind w:firstLine="567"/>
        <w:jc w:val="both"/>
        <w:rPr>
          <w:rFonts w:ascii="Times New Roman" w:hAnsi="Times New Roman"/>
          <w:sz w:val="28"/>
          <w:szCs w:val="28"/>
          <w:lang w:val="uk-UA"/>
        </w:rPr>
      </w:pPr>
      <w:r>
        <w:rPr>
          <w:rFonts w:ascii="Times New Roman" w:hAnsi="Times New Roman"/>
          <w:sz w:val="28"/>
          <w:szCs w:val="28"/>
          <w:lang w:val="uk-UA"/>
        </w:rPr>
        <w:t>45. Хорішко Л.С. Суб’єктність елітного політичного інституту в процесах політичної модернізації // Науковий журнал «Політикус». – 2017. – Вип.4. – С.90 – 93.</w:t>
      </w:r>
    </w:p>
    <w:p>
      <w:pPr>
        <w:pStyle w:val="Normal"/>
        <w:spacing w:lineRule="auto" w:line="360" w:before="0" w:after="200"/>
        <w:ind w:firstLine="567"/>
        <w:jc w:val="both"/>
        <w:rPr>
          <w:rFonts w:ascii="Times New Roman" w:hAnsi="Times New Roman"/>
          <w:sz w:val="28"/>
          <w:szCs w:val="28"/>
          <w:lang w:val="uk-UA"/>
        </w:rPr>
      </w:pPr>
      <w:r>
        <w:rPr>
          <w:rFonts w:ascii="Times New Roman" w:hAnsi="Times New Roman"/>
          <w:sz w:val="28"/>
          <w:szCs w:val="28"/>
          <w:lang w:val="uk-UA"/>
        </w:rPr>
        <w:t>46. Яремчук В. Регіональна політична еліта: принципи та механізми формування (на прикладі Івано-Франківської області) //Політичні дослідження. – 2021. - №1. – С.70 – 89.</w:t>
      </w:r>
    </w:p>
    <w:sectPr>
      <w:headerReference w:type="default" r:id="rId20"/>
      <w:type w:val="nextPage"/>
      <w:pgSz w:w="11906" w:h="16838"/>
      <w:pgMar w:left="1701" w:right="850"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Trebuchet MS">
    <w:charset w:val="cc"/>
    <w:family w:val="roman"/>
    <w:pitch w:val="variable"/>
  </w:font>
  <w:font w:name="Times New Roman CYR">
    <w:charset w:val="cc"/>
    <w:family w:val="roman"/>
    <w:pitch w:val="variable"/>
  </w:font>
  <w:font w:name="Times New Roman CYR">
    <w:charset w:val="01"/>
    <w:family w:val="auto"/>
    <w:pitch w:val="default"/>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2"/>
      <w:jc w:val="right"/>
      <w:rPr/>
    </w:pPr>
    <w:r>
      <w:rPr/>
      <w:fldChar w:fldCharType="begin"/>
    </w:r>
    <w:r>
      <w:rPr/>
      <w:instrText> PAGE </w:instrText>
    </w:r>
    <w:r>
      <w:rPr/>
      <w:fldChar w:fldCharType="separate"/>
    </w:r>
    <w:r>
      <w:rPr/>
      <w:t>15</w:t>
    </w:r>
    <w:r>
      <w:rPr/>
      <w:fldChar w:fldCharType="end"/>
    </w:r>
  </w:p>
  <w:p>
    <w:pPr>
      <w:pStyle w:val="Style22"/>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bullet"/>
      <w:lvlText w:val="-"/>
      <w:lvlJc w:val="left"/>
      <w:pPr>
        <w:tabs>
          <w:tab w:val="num" w:pos="0"/>
        </w:tabs>
        <w:ind w:left="1002" w:hanging="360"/>
      </w:pPr>
      <w:rPr>
        <w:rFonts w:ascii="Times New Roman CYR" w:hAnsi="Times New Roman CYR" w:cs="Times New Roman CYR" w:hint="default"/>
      </w:rPr>
    </w:lvl>
    <w:lvl w:ilvl="1">
      <w:start w:val="1"/>
      <w:numFmt w:val="bullet"/>
      <w:lvlText w:val="o"/>
      <w:lvlJc w:val="left"/>
      <w:pPr>
        <w:tabs>
          <w:tab w:val="num" w:pos="0"/>
        </w:tabs>
        <w:ind w:left="1722" w:hanging="360"/>
      </w:pPr>
      <w:rPr>
        <w:rFonts w:ascii="Courier New" w:hAnsi="Courier New" w:cs="Courier New" w:hint="default"/>
      </w:rPr>
    </w:lvl>
    <w:lvl w:ilvl="2">
      <w:start w:val="1"/>
      <w:numFmt w:val="bullet"/>
      <w:lvlText w:val=""/>
      <w:lvlJc w:val="left"/>
      <w:pPr>
        <w:tabs>
          <w:tab w:val="num" w:pos="0"/>
        </w:tabs>
        <w:ind w:left="2442" w:hanging="360"/>
      </w:pPr>
      <w:rPr>
        <w:rFonts w:ascii="Wingdings" w:hAnsi="Wingdings" w:cs="Wingdings" w:hint="default"/>
      </w:rPr>
    </w:lvl>
    <w:lvl w:ilvl="3">
      <w:start w:val="1"/>
      <w:numFmt w:val="bullet"/>
      <w:lvlText w:val=""/>
      <w:lvlJc w:val="left"/>
      <w:pPr>
        <w:tabs>
          <w:tab w:val="num" w:pos="0"/>
        </w:tabs>
        <w:ind w:left="3162" w:hanging="360"/>
      </w:pPr>
      <w:rPr>
        <w:rFonts w:ascii="Symbol" w:hAnsi="Symbol" w:cs="Symbol" w:hint="default"/>
      </w:rPr>
    </w:lvl>
    <w:lvl w:ilvl="4">
      <w:start w:val="1"/>
      <w:numFmt w:val="bullet"/>
      <w:lvlText w:val="o"/>
      <w:lvlJc w:val="left"/>
      <w:pPr>
        <w:tabs>
          <w:tab w:val="num" w:pos="0"/>
        </w:tabs>
        <w:ind w:left="3882" w:hanging="360"/>
      </w:pPr>
      <w:rPr>
        <w:rFonts w:ascii="Courier New" w:hAnsi="Courier New" w:cs="Courier New" w:hint="default"/>
      </w:rPr>
    </w:lvl>
    <w:lvl w:ilvl="5">
      <w:start w:val="1"/>
      <w:numFmt w:val="bullet"/>
      <w:lvlText w:val=""/>
      <w:lvlJc w:val="left"/>
      <w:pPr>
        <w:tabs>
          <w:tab w:val="num" w:pos="0"/>
        </w:tabs>
        <w:ind w:left="4602" w:hanging="360"/>
      </w:pPr>
      <w:rPr>
        <w:rFonts w:ascii="Wingdings" w:hAnsi="Wingdings" w:cs="Wingdings" w:hint="default"/>
      </w:rPr>
    </w:lvl>
    <w:lvl w:ilvl="6">
      <w:start w:val="1"/>
      <w:numFmt w:val="bullet"/>
      <w:lvlText w:val=""/>
      <w:lvlJc w:val="left"/>
      <w:pPr>
        <w:tabs>
          <w:tab w:val="num" w:pos="0"/>
        </w:tabs>
        <w:ind w:left="5322" w:hanging="360"/>
      </w:pPr>
      <w:rPr>
        <w:rFonts w:ascii="Symbol" w:hAnsi="Symbol" w:cs="Symbol" w:hint="default"/>
      </w:rPr>
    </w:lvl>
    <w:lvl w:ilvl="7">
      <w:start w:val="1"/>
      <w:numFmt w:val="bullet"/>
      <w:lvlText w:val="o"/>
      <w:lvlJc w:val="left"/>
      <w:pPr>
        <w:tabs>
          <w:tab w:val="num" w:pos="0"/>
        </w:tabs>
        <w:ind w:left="6042" w:hanging="360"/>
      </w:pPr>
      <w:rPr>
        <w:rFonts w:ascii="Courier New" w:hAnsi="Courier New" w:cs="Courier New" w:hint="default"/>
      </w:rPr>
    </w:lvl>
    <w:lvl w:ilvl="8">
      <w:start w:val="1"/>
      <w:numFmt w:val="bullet"/>
      <w:lvlText w:val=""/>
      <w:lvlJc w:val="left"/>
      <w:pPr>
        <w:tabs>
          <w:tab w:val="num" w:pos="0"/>
        </w:tabs>
        <w:ind w:left="6762"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sz w:val="22"/>
        <w:szCs w:val="22"/>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qFormat="1"/>
    <w:lsdException w:name="heading 4" w:locked="1" w:uiPriority="0"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locked="1" w:uiPriority="0" w:semiHidden="0" w:unhideWhenUsed="0"/>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74542"/>
    <w:pPr>
      <w:widowControl/>
      <w:bidi w:val="0"/>
      <w:spacing w:lineRule="auto" w:line="276" w:before="0" w:after="200"/>
      <w:jc w:val="left"/>
    </w:pPr>
    <w:rPr>
      <w:rFonts w:ascii="Calibri" w:hAnsi="Calibri" w:eastAsia="Calibri" w:cs="Times New Roman"/>
      <w:color w:val="auto"/>
      <w:kern w:val="0"/>
      <w:sz w:val="22"/>
      <w:szCs w:val="22"/>
      <w:lang w:eastAsia="en-US" w:val="ru-RU" w:bidi="ar-SA"/>
    </w:rPr>
  </w:style>
  <w:style w:type="paragraph" w:styleId="1">
    <w:name w:val="Heading 1"/>
    <w:basedOn w:val="Normal"/>
    <w:link w:val="10"/>
    <w:uiPriority w:val="99"/>
    <w:qFormat/>
    <w:rsid w:val="005a45b4"/>
    <w:pPr>
      <w:spacing w:lineRule="auto" w:line="240" w:beforeAutospacing="1" w:afterAutospacing="1"/>
      <w:outlineLvl w:val="0"/>
    </w:pPr>
    <w:rPr>
      <w:rFonts w:ascii="Times New Roman" w:hAnsi="Times New Roman" w:eastAsia="Times New Roman"/>
      <w:b/>
      <w:bCs/>
      <w:kern w:val="2"/>
      <w:sz w:val="48"/>
      <w:szCs w:val="48"/>
      <w:lang w:eastAsia="ru-RU"/>
    </w:rPr>
  </w:style>
  <w:style w:type="paragraph" w:styleId="2">
    <w:name w:val="Heading 2"/>
    <w:basedOn w:val="Normal"/>
    <w:link w:val="20"/>
    <w:uiPriority w:val="99"/>
    <w:qFormat/>
    <w:rsid w:val="005a45b4"/>
    <w:pPr>
      <w:spacing w:lineRule="auto" w:line="240" w:beforeAutospacing="1" w:afterAutospacing="1"/>
      <w:outlineLvl w:val="1"/>
    </w:pPr>
    <w:rPr>
      <w:rFonts w:ascii="Times New Roman" w:hAnsi="Times New Roman" w:eastAsia="Times New Roman"/>
      <w:b/>
      <w:bCs/>
      <w:sz w:val="36"/>
      <w:szCs w:val="36"/>
      <w:lang w:eastAsia="ru-RU"/>
    </w:rPr>
  </w:style>
  <w:style w:type="paragraph" w:styleId="4">
    <w:name w:val="Heading 4"/>
    <w:basedOn w:val="Normal"/>
    <w:link w:val="40"/>
    <w:uiPriority w:val="99"/>
    <w:qFormat/>
    <w:rsid w:val="005a45b4"/>
    <w:pPr>
      <w:spacing w:lineRule="auto" w:line="240" w:beforeAutospacing="1" w:afterAutospacing="1"/>
      <w:outlineLvl w:val="3"/>
    </w:pPr>
    <w:rPr>
      <w:rFonts w:ascii="Times New Roman" w:hAnsi="Times New Roman" w:eastAsia="Times New Roman"/>
      <w:b/>
      <w:bCs/>
      <w:sz w:val="24"/>
      <w:szCs w:val="24"/>
      <w:lang w:eastAsia="ru-RU"/>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9"/>
    <w:qFormat/>
    <w:locked/>
    <w:rsid w:val="005a45b4"/>
    <w:rPr>
      <w:rFonts w:ascii="Times New Roman" w:hAnsi="Times New Roman" w:cs="Times New Roman"/>
      <w:b/>
      <w:bCs/>
      <w:kern w:val="2"/>
      <w:sz w:val="48"/>
      <w:szCs w:val="48"/>
      <w:lang w:eastAsia="ru-RU"/>
    </w:rPr>
  </w:style>
  <w:style w:type="character" w:styleId="21" w:customStyle="1">
    <w:name w:val="Заголовок 2 Знак"/>
    <w:basedOn w:val="DefaultParagraphFont"/>
    <w:link w:val="2"/>
    <w:uiPriority w:val="99"/>
    <w:qFormat/>
    <w:locked/>
    <w:rsid w:val="005a45b4"/>
    <w:rPr>
      <w:rFonts w:ascii="Times New Roman" w:hAnsi="Times New Roman" w:cs="Times New Roman"/>
      <w:b/>
      <w:bCs/>
      <w:sz w:val="36"/>
      <w:szCs w:val="36"/>
      <w:lang w:eastAsia="ru-RU"/>
    </w:rPr>
  </w:style>
  <w:style w:type="character" w:styleId="41" w:customStyle="1">
    <w:name w:val="Заголовок 4 Знак"/>
    <w:basedOn w:val="DefaultParagraphFont"/>
    <w:link w:val="4"/>
    <w:uiPriority w:val="99"/>
    <w:qFormat/>
    <w:locked/>
    <w:rsid w:val="005a45b4"/>
    <w:rPr>
      <w:rFonts w:ascii="Times New Roman" w:hAnsi="Times New Roman" w:cs="Times New Roman"/>
      <w:b/>
      <w:bCs/>
      <w:sz w:val="24"/>
      <w:szCs w:val="24"/>
      <w:lang w:eastAsia="ru-RU"/>
    </w:rPr>
  </w:style>
  <w:style w:type="character" w:styleId="Style11">
    <w:name w:val="Интернет-ссылка"/>
    <w:basedOn w:val="DefaultParagraphFont"/>
    <w:uiPriority w:val="99"/>
    <w:rsid w:val="005a45b4"/>
    <w:rPr>
      <w:rFonts w:cs="Times New Roman"/>
      <w:color w:val="0000FF"/>
      <w:u w:val="single"/>
    </w:rPr>
  </w:style>
  <w:style w:type="character" w:styleId="Style12" w:customStyle="1">
    <w:name w:val="Текст выноски Знак"/>
    <w:basedOn w:val="DefaultParagraphFont"/>
    <w:link w:val="a6"/>
    <w:uiPriority w:val="99"/>
    <w:semiHidden/>
    <w:qFormat/>
    <w:locked/>
    <w:rsid w:val="005a45b4"/>
    <w:rPr>
      <w:rFonts w:ascii="Tahoma" w:hAnsi="Tahoma" w:cs="Tahoma"/>
      <w:sz w:val="16"/>
      <w:szCs w:val="16"/>
    </w:rPr>
  </w:style>
  <w:style w:type="character" w:styleId="Strong">
    <w:name w:val="Strong"/>
    <w:basedOn w:val="DefaultParagraphFont"/>
    <w:uiPriority w:val="99"/>
    <w:qFormat/>
    <w:rsid w:val="00717a44"/>
    <w:rPr>
      <w:rFonts w:cs="Times New Roman"/>
      <w:b/>
      <w:bCs/>
    </w:rPr>
  </w:style>
  <w:style w:type="character" w:styleId="Lead" w:customStyle="1">
    <w:name w:val="lead"/>
    <w:basedOn w:val="DefaultParagraphFont"/>
    <w:uiPriority w:val="99"/>
    <w:qFormat/>
    <w:rsid w:val="00717a44"/>
    <w:rPr>
      <w:rFonts w:cs="Times New Roman"/>
    </w:rPr>
  </w:style>
  <w:style w:type="character" w:styleId="Style13">
    <w:name w:val="Выделение"/>
    <w:basedOn w:val="DefaultParagraphFont"/>
    <w:uiPriority w:val="99"/>
    <w:qFormat/>
    <w:rsid w:val="00717a44"/>
    <w:rPr>
      <w:rFonts w:cs="Times New Roman"/>
      <w:i/>
      <w:iCs/>
    </w:rPr>
  </w:style>
  <w:style w:type="character" w:styleId="Style14" w:customStyle="1">
    <w:name w:val="Верхний колонтитул Знак"/>
    <w:basedOn w:val="DefaultParagraphFont"/>
    <w:link w:val="aa"/>
    <w:uiPriority w:val="99"/>
    <w:qFormat/>
    <w:locked/>
    <w:rsid w:val="003e2c61"/>
    <w:rPr>
      <w:rFonts w:cs="Times New Roman"/>
    </w:rPr>
  </w:style>
  <w:style w:type="character" w:styleId="Style15" w:customStyle="1">
    <w:name w:val="Нижний колонтитул Знак"/>
    <w:basedOn w:val="DefaultParagraphFont"/>
    <w:link w:val="ac"/>
    <w:uiPriority w:val="99"/>
    <w:semiHidden/>
    <w:qFormat/>
    <w:locked/>
    <w:rsid w:val="003e2c61"/>
    <w:rPr>
      <w:rFonts w:cs="Times New Roman"/>
    </w:rPr>
  </w:style>
  <w:style w:type="character" w:styleId="A15" w:customStyle="1">
    <w:name w:val="A15"/>
    <w:uiPriority w:val="99"/>
    <w:qFormat/>
    <w:rsid w:val="00a47a41"/>
    <w:rPr>
      <w:color w:val="000000"/>
      <w:sz w:val="19"/>
    </w:rPr>
  </w:style>
  <w:style w:type="character" w:styleId="A16" w:customStyle="1">
    <w:name w:val="A16"/>
    <w:uiPriority w:val="99"/>
    <w:qFormat/>
    <w:rsid w:val="00451e19"/>
    <w:rPr>
      <w:color w:val="000000"/>
      <w:sz w:val="21"/>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ListParagraph">
    <w:name w:val="List Paragraph"/>
    <w:basedOn w:val="Normal"/>
    <w:uiPriority w:val="99"/>
    <w:qFormat/>
    <w:rsid w:val="00b63439"/>
    <w:pPr>
      <w:spacing w:before="0" w:after="200"/>
      <w:ind w:left="720" w:hanging="0"/>
      <w:contextualSpacing/>
    </w:pPr>
    <w:rPr/>
  </w:style>
  <w:style w:type="paragraph" w:styleId="NormalWeb">
    <w:name w:val="Normal (Web)"/>
    <w:basedOn w:val="Normal"/>
    <w:uiPriority w:val="99"/>
    <w:qFormat/>
    <w:rsid w:val="005a45b4"/>
    <w:pPr>
      <w:spacing w:lineRule="auto" w:line="240" w:beforeAutospacing="1" w:afterAutospacing="1"/>
    </w:pPr>
    <w:rPr>
      <w:rFonts w:ascii="Times New Roman" w:hAnsi="Times New Roman" w:eastAsia="Times New Roman"/>
      <w:sz w:val="24"/>
      <w:szCs w:val="24"/>
      <w:lang w:eastAsia="ru-RU"/>
    </w:rPr>
  </w:style>
  <w:style w:type="paragraph" w:styleId="BalloonText">
    <w:name w:val="Balloon Text"/>
    <w:basedOn w:val="Normal"/>
    <w:link w:val="a7"/>
    <w:uiPriority w:val="99"/>
    <w:semiHidden/>
    <w:qFormat/>
    <w:rsid w:val="005a45b4"/>
    <w:pPr>
      <w:spacing w:lineRule="auto" w:line="240" w:before="0" w:after="0"/>
    </w:pPr>
    <w:rPr>
      <w:rFonts w:ascii="Tahoma" w:hAnsi="Tahoma" w:cs="Tahoma"/>
      <w:sz w:val="16"/>
      <w:szCs w:val="16"/>
    </w:rPr>
  </w:style>
  <w:style w:type="paragraph" w:styleId="Style21">
    <w:name w:val="Верхний и нижний колонтитулы"/>
    <w:basedOn w:val="Normal"/>
    <w:qFormat/>
    <w:pPr/>
    <w:rPr/>
  </w:style>
  <w:style w:type="paragraph" w:styleId="Style22">
    <w:name w:val="Header"/>
    <w:basedOn w:val="Normal"/>
    <w:link w:val="ab"/>
    <w:uiPriority w:val="99"/>
    <w:rsid w:val="003e2c61"/>
    <w:pPr>
      <w:tabs>
        <w:tab w:val="clear" w:pos="708"/>
        <w:tab w:val="center" w:pos="4677" w:leader="none"/>
        <w:tab w:val="right" w:pos="9355" w:leader="none"/>
      </w:tabs>
      <w:spacing w:lineRule="auto" w:line="240" w:before="0" w:after="0"/>
    </w:pPr>
    <w:rPr/>
  </w:style>
  <w:style w:type="paragraph" w:styleId="Style23">
    <w:name w:val="Footer"/>
    <w:basedOn w:val="Normal"/>
    <w:link w:val="ad"/>
    <w:uiPriority w:val="99"/>
    <w:semiHidden/>
    <w:rsid w:val="003e2c61"/>
    <w:pPr>
      <w:tabs>
        <w:tab w:val="clear" w:pos="708"/>
        <w:tab w:val="center" w:pos="4677" w:leader="none"/>
        <w:tab w:val="right" w:pos="9355" w:leader="none"/>
      </w:tabs>
      <w:spacing w:lineRule="auto" w:line="240" w:before="0" w:after="0"/>
    </w:pPr>
    <w:rPr/>
  </w:style>
  <w:style w:type="paragraph" w:styleId="Default" w:customStyle="1">
    <w:name w:val="Default"/>
    <w:uiPriority w:val="99"/>
    <w:qFormat/>
    <w:rsid w:val="00a47a41"/>
    <w:pPr>
      <w:widowControl/>
      <w:bidi w:val="0"/>
      <w:spacing w:before="0" w:after="0"/>
      <w:jc w:val="left"/>
    </w:pPr>
    <w:rPr>
      <w:rFonts w:ascii="Trebuchet MS" w:hAnsi="Trebuchet MS" w:cs="Trebuchet MS" w:eastAsia="Calibri"/>
      <w:color w:val="000000"/>
      <w:kern w:val="0"/>
      <w:sz w:val="24"/>
      <w:szCs w:val="24"/>
      <w:lang w:eastAsia="en-US" w:val="ru-RU" w:bidi="ar-SA"/>
    </w:rPr>
  </w:style>
  <w:style w:type="paragraph" w:styleId="Western" w:customStyle="1">
    <w:name w:val="western"/>
    <w:basedOn w:val="Normal"/>
    <w:uiPriority w:val="99"/>
    <w:qFormat/>
    <w:rsid w:val="003e1ca3"/>
    <w:pPr>
      <w:spacing w:beforeAutospacing="1" w:after="142"/>
    </w:pPr>
    <w:rPr>
      <w:rFonts w:ascii="Times New Roman" w:hAnsi="Times New Roman" w:eastAsia="Times New Roman"/>
      <w:color w:val="000000"/>
      <w:sz w:val="24"/>
      <w:szCs w:val="24"/>
      <w:lang w:eastAsia="ru-RU"/>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uc.org.ua/" TargetMode="External"/><Relationship Id="rId3" Type="http://schemas.openxmlformats.org/officeDocument/2006/relationships/hyperlink" Target="https://file.liga.net/persons/rinat-ahmetov" TargetMode="External"/><Relationship Id="rId4" Type="http://schemas.openxmlformats.org/officeDocument/2006/relationships/hyperlink" Target="https://file.liga.net/persons/viktor-baloga" TargetMode="External"/><Relationship Id="rId5" Type="http://schemas.openxmlformats.org/officeDocument/2006/relationships/hyperlink" Target="https://www.chesno.org/politician/19/" TargetMode="External"/><Relationship Id="rId6" Type="http://schemas.openxmlformats.org/officeDocument/2006/relationships/hyperlink" Target="http://catalog.odnb.odessa.ua/opac/index.php?url=/auteurs/view/28210/source:default" TargetMode="External"/><Relationship Id="rId7" Type="http://schemas.openxmlformats.org/officeDocument/2006/relationships/hyperlink" Target="http://catalog.odnb.odessa.ua/opac/index.php?url=/auteurs/view/57142/source:default" TargetMode="External"/><Relationship Id="rId8" Type="http://schemas.openxmlformats.org/officeDocument/2006/relationships/hyperlink" Target="http://catalog.odnb.odessa.ua/opac/index.php?url=/auteurs/view/57143/source:default" TargetMode="External"/><Relationship Id="rId9" Type="http://schemas.openxmlformats.org/officeDocument/2006/relationships/hyperlink" Target="https://www.rudenko.kiev.ua/persons/kolomoyskiy" TargetMode="External"/><Relationship Id="rId10" Type="http://schemas.openxmlformats.org/officeDocument/2006/relationships/hyperlink" Target="http://www.nbuv.gov.ua/portal/Soc_Gum/Mtpsa/2009_15/Kononov.pdf" TargetMode="External"/><Relationship Id="rId11" Type="http://schemas.openxmlformats.org/officeDocument/2006/relationships/hyperlink" Target="https://rus.lb.ua/file/person/90_lano_mihail_ivanovich.html" TargetMode="External"/><Relationship Id="rId12" Type="http://schemas.openxmlformats.org/officeDocument/2006/relationships/hyperlink" Target="https://docviewer.yandex.ua/?url=http%3A%2F%2Fwww.nbuv.gov.ua%2Fold_jrn%2Fnatural%2FVsntu%2Fpolit%2F2011_123%2F2011_123%2F123_19.pdf&amp;name=123_19.pdf&amp;lang=uk&amp;c=57cbfdeb7062" TargetMode="External"/><Relationship Id="rId13" Type="http://schemas.openxmlformats.org/officeDocument/2006/relationships/hyperlink" Target="https://lb.ua/news/2015/07/13/310814_rozbirki_mukachevo_baloga_vs_lano.html"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488" TargetMode="External"/><Relationship Id="rId15" Type="http://schemas.openxmlformats.org/officeDocument/2006/relationships/hyperlink" Target="http://www.irbis-nbuv.gov.ua/cgi-bin/irbis_nbuv/cgiirbis_64.exe?I21DBN=LINK&amp;P21DBN=UJRN&amp;Z21ID=&amp;S21REF=10&amp;S21CNR=20&amp;S21STN=1&amp;S21FMT=ASP_meta&amp;C21COM=S&amp;2_S21P03=FILA=&amp;2_S21STR=PoMe_2010_2_6" TargetMode="External"/><Relationship Id="rId16" Type="http://schemas.openxmlformats.org/officeDocument/2006/relationships/hyperlink" Target="https://zakarpattya.net.ua/Blogs/92501-Politychnyi-pidtekst-rusynskoho-pytannia-na-Zakarpatti" TargetMode="External"/><Relationship Id="rId17" Type="http://schemas.openxmlformats.org/officeDocument/2006/relationships/hyperlink" Target="https://www.slovoidilo.ua/2020/06/23/kolonka/aleksandr-radchuk/polityka/zanepad-oliharxiyi-yak-formuyutsya-novi-politychni-elity-ukrayini" TargetMode="External"/><Relationship Id="rId18" Type="http://schemas.openxmlformats.org/officeDocument/2006/relationships/hyperlink" Target="https://www.radiosvoboda.org/a/chy-spravdi-rinat-akhmetov-i-yoho-otochennya-stvoryuyut-novyy-proekt/31233327.html" TargetMode="External"/><Relationship Id="rId19" Type="http://schemas.openxmlformats.org/officeDocument/2006/relationships/hyperlink" Target="https://file.liga.net/persons/filatov-boris" TargetMode="External"/><Relationship Id="rId20" Type="http://schemas.openxmlformats.org/officeDocument/2006/relationships/header" Target="header1.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Relationship Id="rId2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1572</TotalTime>
  <Application>LibreOffice/7.0.2.2$Windows_X86_64 LibreOffice_project/8349ace3c3162073abd90d81fd06dcfb6b36b994</Application>
  <Pages>15</Pages>
  <Words>2448</Words>
  <Characters>18023</Characters>
  <CharactersWithSpaces>21749</CharactersWithSpaces>
  <Paragraphs>112</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2021-11-04T09:07:00Z</dcterms:created>
  <dc:creator>Gigabyte</dc:creator>
  <dc:description/>
  <dc:language>ru-RU</dc:language>
  <cp:lastModifiedBy/>
  <dcterms:modified xsi:type="dcterms:W3CDTF">2022-08-23T22:13:02Z</dcterms:modified>
  <cp:revision>184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