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0E4" w:rsidRDefault="001240E4" w:rsidP="001240E4">
      <w:pPr>
        <w:pStyle w:val="Standard"/>
        <w:widowControl w:val="0"/>
        <w:suppressAutoHyphens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1240E4" w:rsidRDefault="001240E4" w:rsidP="001240E4">
      <w:pPr>
        <w:pStyle w:val="Standard"/>
        <w:widowControl w:val="0"/>
        <w:suppressAutoHyphens w:val="0"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Біологічний факультет</w:t>
      </w:r>
    </w:p>
    <w:p w:rsidR="001240E4" w:rsidRDefault="001240E4" w:rsidP="001240E4">
      <w:pPr>
        <w:pStyle w:val="Standard"/>
        <w:widowControl w:val="0"/>
        <w:suppressAutoHyphens w:val="0"/>
        <w:autoSpaceDE w:val="0"/>
        <w:spacing w:after="0" w:line="360" w:lineRule="auto"/>
        <w:ind w:firstLine="720"/>
        <w:jc w:val="center"/>
        <w:rPr>
          <w:kern w:val="0"/>
          <w:lang w:val="uk-UA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1240E4" w:rsidRDefault="001240E4" w:rsidP="001240E4">
      <w:pPr>
        <w:pStyle w:val="Standard"/>
        <w:suppressAutoHyphens w:val="0"/>
        <w:spacing w:after="0" w:line="360" w:lineRule="auto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/>
        </w:rPr>
      </w:pPr>
    </w:p>
    <w:p w:rsidR="001240E4" w:rsidRDefault="001240E4" w:rsidP="001240E4">
      <w:pPr>
        <w:pStyle w:val="Standard"/>
        <w:widowControl w:val="0"/>
        <w:suppressAutoHyphens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w w:val="150"/>
          <w:kern w:val="0"/>
          <w:sz w:val="32"/>
          <w:szCs w:val="32"/>
          <w:lang w:val="uk-UA" w:eastAsia="ru-RU"/>
        </w:rPr>
        <w:t>Дипломна робота</w:t>
      </w:r>
    </w:p>
    <w:p w:rsidR="001240E4" w:rsidRDefault="001240E4" w:rsidP="001240E4">
      <w:pPr>
        <w:pStyle w:val="Standard"/>
        <w:suppressAutoHyphens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val="uk-UA" w:eastAsia="ru-RU"/>
        </w:rPr>
        <w:t>на здобуття ступеня вищої освіти «Магістр»</w:t>
      </w:r>
    </w:p>
    <w:p w:rsidR="001240E4" w:rsidRDefault="001240E4" w:rsidP="001240E4">
      <w:pPr>
        <w:pStyle w:val="Standard"/>
        <w:suppressAutoHyphens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kern w:val="0"/>
          <w:sz w:val="32"/>
          <w:szCs w:val="32"/>
          <w:lang w:val="uk-UA" w:eastAsia="ru-RU"/>
        </w:rPr>
      </w:pPr>
    </w:p>
    <w:p w:rsidR="001240E4" w:rsidRDefault="001240E4" w:rsidP="001240E4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 тему: </w:t>
      </w:r>
    </w:p>
    <w:p w:rsidR="001240E4" w:rsidRDefault="001240E4" w:rsidP="001240E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«Чутливість клітин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>Staphylococcus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>aureus</w:t>
      </w:r>
      <w:proofErr w:type="spellEnd"/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>Escherichia</w:t>
      </w:r>
      <w:proofErr w:type="spellEnd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32"/>
          <w:szCs w:val="32"/>
          <w:lang w:val="uk-UA"/>
        </w:rPr>
        <w:t>col</w:t>
      </w:r>
      <w:r>
        <w:rPr>
          <w:rFonts w:ascii="Times New Roman" w:hAnsi="Times New Roman" w:cs="Times New Roman"/>
          <w:b/>
          <w:i/>
          <w:iCs/>
          <w:sz w:val="32"/>
          <w:szCs w:val="32"/>
          <w:lang w:val="uk-UA"/>
        </w:rPr>
        <w:t>i</w:t>
      </w:r>
      <w:proofErr w:type="spellEnd"/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32"/>
          <w:szCs w:val="32"/>
          <w:lang w:val="uk-UA"/>
        </w:rPr>
        <w:t>пиридилпорфіринів</w:t>
      </w:r>
      <w:proofErr w:type="spellEnd"/>
      <w:r>
        <w:rPr>
          <w:rFonts w:ascii="Times New Roman" w:hAnsi="Times New Roman" w:cs="Times New Roman"/>
          <w:b/>
          <w:sz w:val="32"/>
          <w:szCs w:val="32"/>
          <w:lang w:val="uk-UA"/>
        </w:rPr>
        <w:t xml:space="preserve"> та їх комплексів </w:t>
      </w:r>
    </w:p>
    <w:p w:rsidR="001240E4" w:rsidRDefault="001240E4" w:rsidP="001240E4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як компонентів LOCK-терапії»</w:t>
      </w:r>
    </w:p>
    <w:p w:rsidR="001240E4" w:rsidRPr="001240E4" w:rsidRDefault="001240E4" w:rsidP="001240E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Staphyloccocus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aureus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Escherichia coli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cell sensitivity to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pyridylporphyrins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</w:p>
    <w:p w:rsidR="001240E4" w:rsidRDefault="001240E4" w:rsidP="001240E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their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complexes as components of LOCK-therapy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студентка денної форми 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навчання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спеціальності 091 Біологія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Барліт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Ганна В’ячеславівна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Науковий керівник: 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Марія Юріївна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Рецензент: 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 доцент</w:t>
      </w:r>
    </w:p>
    <w:p w:rsidR="001240E4" w:rsidRDefault="001240E4" w:rsidP="001240E4">
      <w:pPr>
        <w:tabs>
          <w:tab w:val="left" w:pos="-5812"/>
        </w:tabs>
        <w:spacing w:after="0"/>
        <w:ind w:left="48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Майкова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Ганна Вікторівна</w:t>
      </w:r>
    </w:p>
    <w:p w:rsidR="001240E4" w:rsidRDefault="001240E4" w:rsidP="001240E4">
      <w:pPr>
        <w:spacing w:after="0"/>
        <w:ind w:left="39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0E4" w:rsidRDefault="001240E4" w:rsidP="001240E4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1240E4" w:rsidRDefault="001240E4" w:rsidP="001240E4">
      <w:pPr>
        <w:tabs>
          <w:tab w:val="left" w:pos="4536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Рекомендовано до захисту         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Захищено на засіданні ЕК № ______ </w:t>
      </w:r>
    </w:p>
    <w:p w:rsidR="001240E4" w:rsidRDefault="001240E4" w:rsidP="001240E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Протокол засідання кафедри       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Протокол № _____від _______2018 р.</w:t>
      </w:r>
    </w:p>
    <w:p w:rsidR="001240E4" w:rsidRDefault="001240E4" w:rsidP="001240E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№____від _________ 2018 р.                   Оцінка _________/_________/_______</w:t>
      </w: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color w:val="000000"/>
          <w:sz w:val="20"/>
          <w:szCs w:val="20"/>
          <w:lang w:val="uk-UA"/>
        </w:rPr>
        <w:t>(за національною шкалою, шкалою ECTS, бал)</w:t>
      </w:r>
    </w:p>
    <w:p w:rsidR="001240E4" w:rsidRDefault="001240E4" w:rsidP="001240E4">
      <w:pPr>
        <w:tabs>
          <w:tab w:val="left" w:pos="6630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Завідувач кафедри                                 Голова ЕК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</w:p>
    <w:p w:rsidR="001240E4" w:rsidRDefault="001240E4" w:rsidP="001240E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__________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Філіпова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Т.О.                     ______________          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С.В.</w:t>
      </w:r>
    </w:p>
    <w:p w:rsidR="001240E4" w:rsidRDefault="001240E4" w:rsidP="001240E4">
      <w:pPr>
        <w:spacing w:after="0" w:line="360" w:lineRule="auto"/>
        <w:ind w:left="39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2018</w:t>
      </w: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1240E4" w:rsidRDefault="001240E4" w:rsidP="001240E4">
      <w:pPr>
        <w:pStyle w:val="a3"/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Клітини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планктонній культурі є чутливими щодо дії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пиридилпорфіринових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проте,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менш чутливі. Найбільш активні сполуки щодо культур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природними порфіринами є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5-ноніл-10, 15, 20-три-(4-N-пиридил)порфірин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тозилат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цинковий комплекс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ЕДТА, як додатковий компонент </w:t>
      </w:r>
      <w:r>
        <w:rPr>
          <w:rFonts w:ascii="Times New Roman" w:hAnsi="Times New Roman" w:cs="Times New Roman"/>
          <w:sz w:val="28"/>
          <w:szCs w:val="28"/>
          <w:lang w:val="en-US"/>
        </w:rPr>
        <w:t>LOCK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-терапії, значно підсилює рівень антимікробної активності досліджуваних порфіринів щодо клітин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Взаємодія досліджуваних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ЕДТА при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впливі на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синергічною щодо клітин у складі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 нейтральною щодо планктонної культури.</w:t>
      </w:r>
    </w:p>
    <w:p w:rsidR="001240E4" w:rsidRDefault="001240E4" w:rsidP="001240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Роботу викладено на 56 сторінках, вона містить 6 таблиць та 14 рисунків. Наведено посилання на 62 джерела літератури (21 кирилицею та 41 латиницею).</w:t>
      </w:r>
    </w:p>
    <w:p w:rsidR="001240E4" w:rsidRDefault="001240E4" w:rsidP="001240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катетер-асоційовані інфекції,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пиридилпорфірини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LOCK</w:t>
      </w:r>
      <w:r>
        <w:rPr>
          <w:rFonts w:ascii="Times New Roman" w:hAnsi="Times New Roman" w:cs="Times New Roman"/>
          <w:sz w:val="28"/>
          <w:szCs w:val="28"/>
          <w:lang w:val="uk-UA"/>
        </w:rPr>
        <w:t>-терапія.</w:t>
      </w:r>
    </w:p>
    <w:p w:rsidR="001240E4" w:rsidRDefault="001240E4" w:rsidP="001240E4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Sensitivity of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Staphylococcus aureus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and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Escherichia coli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cells in planktonic culture to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pyridylporphyrins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was defined, but in the biofilm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they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are less susceptible. The most active compounds against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cultures are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5-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nonyl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>-10, 15, 20-</w:t>
      </w:r>
      <w:r>
        <w:rPr>
          <w:rFonts w:ascii="Times New Roman" w:hAnsi="Times New Roman" w:cs="Times New Roman"/>
          <w:sz w:val="28"/>
          <w:szCs w:val="28"/>
          <w:lang w:val="en-US" w:eastAsia="uk-UA"/>
        </w:rPr>
        <w:t>tri-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(4-N-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pyridyl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>
        <w:rPr>
          <w:rFonts w:ascii="Times New Roman" w:hAnsi="Times New Roman" w:cs="Times New Roman"/>
          <w:sz w:val="28"/>
          <w:szCs w:val="28"/>
          <w:lang w:val="en-US" w:eastAsia="uk-UA"/>
        </w:rPr>
        <w:t>porphyrin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tosylate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and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5</w:t>
      </w:r>
      <w:r>
        <w:rPr>
          <w:rFonts w:ascii="Times New Roman" w:hAnsi="Times New Roman" w:cs="Times New Roman"/>
          <w:sz w:val="28"/>
          <w:szCs w:val="28"/>
          <w:lang w:val="en-US" w:eastAsia="uk-UA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nonyl</w:t>
      </w:r>
      <w:proofErr w:type="spellEnd"/>
      <w:r>
        <w:rPr>
          <w:rFonts w:ascii="Times New Roman" w:hAnsi="Times New Roman" w:cs="Times New Roman"/>
          <w:sz w:val="28"/>
          <w:szCs w:val="28"/>
          <w:lang w:val="en-US" w:eastAsia="uk-UA"/>
        </w:rPr>
        <w:t>-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10, 15, 20</w:t>
      </w:r>
      <w:r>
        <w:rPr>
          <w:rFonts w:ascii="Times New Roman" w:hAnsi="Times New Roman" w:cs="Times New Roman"/>
          <w:sz w:val="28"/>
          <w:szCs w:val="28"/>
          <w:lang w:val="en-US" w:eastAsia="uk-UA"/>
        </w:rPr>
        <w:t>-three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-(4-N-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pyridyl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>)</w:t>
      </w:r>
      <w:r>
        <w:rPr>
          <w:rFonts w:ascii="Times New Roman" w:hAnsi="Times New Roman" w:cs="Times New Roman"/>
          <w:sz w:val="28"/>
          <w:szCs w:val="28"/>
          <w:lang w:val="en-US" w:eastAsia="uk-UA"/>
        </w:rPr>
        <w:t>porphyrin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uk-UA"/>
        </w:rPr>
        <w:t>tosylate</w:t>
      </w:r>
      <w:proofErr w:type="spellEnd"/>
      <w:r>
        <w:rPr>
          <w:rFonts w:ascii="Times New Roman" w:hAnsi="Times New Roman" w:cs="Times New Roman"/>
          <w:sz w:val="28"/>
          <w:szCs w:val="28"/>
          <w:lang w:val="en-US" w:eastAsia="uk-UA"/>
        </w:rPr>
        <w:t xml:space="preserve"> zinc complex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in comparison with natural porphyrin compounds. EDTA, as component of LOCK-therapy, greatly enhances antimicrobial activity of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pyridylporphyrins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against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cultures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The interaction of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pyridylporphyrin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compounds and EDTA is synergistic regarding </w:t>
      </w:r>
      <w:r>
        <w:rPr>
          <w:rFonts w:ascii="Times New Roman" w:hAnsi="Times New Roman" w:cs="Times New Roman"/>
          <w:sz w:val="28"/>
          <w:szCs w:val="28"/>
          <w:lang w:val="en-US"/>
        </w:rPr>
        <w:t>cells in the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biofilms and neutral regarding to planktonic culture.</w:t>
      </w:r>
    </w:p>
    <w:p w:rsidR="001240E4" w:rsidRDefault="001240E4" w:rsidP="001240E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Diploma thesis is expounded on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56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pages,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it contains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6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tables and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14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figures. It provides links to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62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21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and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41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1240E4" w:rsidRDefault="001240E4" w:rsidP="001240E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GB"/>
        </w:rPr>
      </w:pPr>
      <w:r>
        <w:rPr>
          <w:rFonts w:ascii="Times New Roman" w:hAnsi="Times New Roman"/>
          <w:b/>
          <w:bCs/>
          <w:iCs/>
          <w:sz w:val="28"/>
          <w:szCs w:val="28"/>
          <w:lang w:val="en-GB"/>
        </w:rPr>
        <w:t>Key words:</w:t>
      </w:r>
      <w:r>
        <w:rPr>
          <w:rFonts w:ascii="Times New Roman" w:hAnsi="Times New Roman"/>
          <w:sz w:val="28"/>
          <w:szCs w:val="28"/>
          <w:lang w:val="en-GB"/>
        </w:rPr>
        <w:t xml:space="preserve"> biofilm,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GB"/>
        </w:rPr>
        <w:t xml:space="preserve">catheter-related infections,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pyridylporphyrins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LOCK-therapy.</w:t>
      </w:r>
    </w:p>
    <w:p w:rsidR="001620BB" w:rsidRDefault="001620BB">
      <w:pPr>
        <w:rPr>
          <w:lang w:val="uk-UA"/>
        </w:rPr>
      </w:pPr>
    </w:p>
    <w:p w:rsidR="001240E4" w:rsidRDefault="001240E4">
      <w:pPr>
        <w:rPr>
          <w:lang w:val="uk-UA"/>
        </w:rPr>
      </w:pPr>
    </w:p>
    <w:p w:rsidR="001240E4" w:rsidRPr="001240E4" w:rsidRDefault="001240E4" w:rsidP="001240E4">
      <w:pPr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1240E4">
        <w:rPr>
          <w:rFonts w:ascii="Times New Roman" w:hAnsi="Times New Roman"/>
          <w:b/>
          <w:bCs/>
          <w:sz w:val="28"/>
          <w:szCs w:val="28"/>
          <w:lang w:val="en-US"/>
        </w:rPr>
        <w:lastRenderedPageBreak/>
        <w:t>ЗМІСТ</w:t>
      </w:r>
    </w:p>
    <w:tbl>
      <w:tblPr>
        <w:tblW w:w="9585" w:type="dxa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"/>
        <w:gridCol w:w="8487"/>
        <w:gridCol w:w="713"/>
      </w:tblGrid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/>
              <w:ind w:right="61"/>
              <w:jc w:val="both"/>
              <w:rPr>
                <w:rFonts w:eastAsia="Calibri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………………………………………………………………………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/>
              <w:jc w:val="both"/>
              <w:rPr>
                <w:rFonts w:eastAsia="Calibri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ОГЛЯД ЛІТЕРАТУРИ …………………………………………………...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240E4" w:rsidRPr="001240E4" w:rsidTr="001240E4">
        <w:trPr>
          <w:trHeight w:val="463"/>
        </w:trPr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 w:eastAsia="zh-CN"/>
              </w:rPr>
              <w:t>1.1. Проблеми катетер-асоційованих інфекцій у сучасній медицині..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 w:eastAsia="zh-CN"/>
              </w:rPr>
              <w:t>8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eastAsia="Calibri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1.2. Формування </w:t>
            </w:r>
            <w:proofErr w:type="spellStart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біоплівки</w:t>
            </w:r>
            <w:proofErr w:type="spellEnd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 як ключовий фактор розвитку катетер-асоційованих інфекцій…………………………………………………...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eastAsia="Calibri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1.3. Розробка нових методів профілактики та лікування катетер-асоційованих інфекцій: LOCK-терапія…………………………………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17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1.4. Розробка компонентів 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zh-CN"/>
              </w:rPr>
              <w:t>LOCK-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терапії………………………………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</w:p>
        </w:tc>
      </w:tr>
      <w:tr w:rsidR="001240E4" w:rsidRPr="001240E4" w:rsidTr="001240E4">
        <w:trPr>
          <w:trHeight w:val="475"/>
        </w:trPr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     1.4.1. Порфіринові сполуки….………………………………………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</w:p>
        </w:tc>
      </w:tr>
      <w:tr w:rsidR="001240E4" w:rsidRPr="001240E4" w:rsidTr="001240E4">
        <w:trPr>
          <w:trHeight w:val="992"/>
        </w:trPr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autoSpaceDN w:val="0"/>
              <w:snapToGrid w:val="0"/>
              <w:spacing w:after="0"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     1.4.2.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Етилендіамінтетраоцтова</w:t>
            </w:r>
            <w:proofErr w:type="spellEnd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кислота як додатковий компонент 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en-US" w:eastAsia="zh-CN"/>
              </w:rPr>
              <w:t>LOCK</w:t>
            </w:r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-терапії…………………………………………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…….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tabs>
                <w:tab w:val="center" w:pos="248"/>
              </w:tabs>
              <w:autoSpaceDE w:val="0"/>
              <w:autoSpaceDN w:val="0"/>
              <w:snapToGrid w:val="0"/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  <w:p w:rsidR="001240E4" w:rsidRPr="001240E4" w:rsidRDefault="001240E4" w:rsidP="001240E4">
            <w:pPr>
              <w:widowControl w:val="0"/>
              <w:tabs>
                <w:tab w:val="center" w:pos="248"/>
              </w:tabs>
              <w:autoSpaceDE w:val="0"/>
              <w:autoSpaceDN w:val="0"/>
              <w:snapToGrid w:val="0"/>
              <w:spacing w:after="0" w:line="360" w:lineRule="auto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22</w:t>
            </w:r>
          </w:p>
        </w:tc>
      </w:tr>
      <w:tr w:rsidR="001240E4" w:rsidRPr="001240E4" w:rsidTr="001240E4">
        <w:trPr>
          <w:trHeight w:val="439"/>
        </w:trPr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МАТЕРІАЛИ І МЕТОДИ ДОСЛІДЖЕНЬ ……………………………...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 w:line="360" w:lineRule="auto"/>
              <w:jc w:val="both"/>
              <w:rPr>
                <w:rFonts w:eastAsia="Calibri"/>
                <w:lang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Попередня підготовка культур мікроорганізмів…………………..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1240E4" w:rsidRPr="001240E4" w:rsidTr="001240E4">
        <w:trPr>
          <w:trHeight w:val="481"/>
        </w:trPr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  <w:r w:rsidRPr="001240E4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Сполуки, які були досліджені у роботі…………………………....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25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 w:line="360" w:lineRule="auto"/>
              <w:ind w:firstLine="12"/>
              <w:rPr>
                <w:rFonts w:eastAsia="Calibri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2.3. </w:t>
            </w:r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 xml:space="preserve">Визначення чутливості досліджуваних мікроорганізмів до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порфіринов</w:t>
            </w:r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их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сполук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……...…………………………………………</w:t>
            </w:r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1240E4" w:rsidRPr="001240E4" w:rsidTr="001240E4">
        <w:trPr>
          <w:trHeight w:val="843"/>
        </w:trPr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 xml:space="preserve">2.4. Метод оцінювання взаємодії між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пиридилпорфіриновими</w:t>
            </w:r>
            <w:proofErr w:type="spellEnd"/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 xml:space="preserve"> сполуками та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етилендіамінт</w:t>
            </w:r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>етраоцтовою</w:t>
            </w:r>
            <w:proofErr w:type="spellEnd"/>
            <w:r>
              <w:rPr>
                <w:rFonts w:ascii="Times New Roman" w:eastAsia="Calibri" w:hAnsi="Times New Roman" w:cs="Times New Roman"/>
                <w:bCs/>
                <w:iCs/>
                <w:sz w:val="28"/>
                <w:szCs w:val="28"/>
                <w:lang w:val="uk-UA" w:eastAsia="zh-CN"/>
              </w:rPr>
              <w:t xml:space="preserve"> кислотою…..……………..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РЕЗУЛЬТАТИ ТА ЇХ ОБГОВОРЕННЯ....……………………..………..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Чутливість клітин 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en-US" w:eastAsia="zh-CN"/>
              </w:rPr>
              <w:t>Staphylococcus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 w:eastAsia="zh-CN"/>
              </w:rPr>
              <w:t xml:space="preserve"> 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en-US" w:eastAsia="zh-CN"/>
              </w:rPr>
              <w:t>aureus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за різних умов існування до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пиридилпорф</w:t>
            </w:r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іринових</w:t>
            </w:r>
            <w:proofErr w:type="spellEnd"/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сполук</w:t>
            </w:r>
            <w:proofErr w:type="spellEnd"/>
            <w:r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…………………….……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</w:t>
            </w: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утливість клітин 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en-US" w:eastAsia="zh-CN"/>
              </w:rPr>
              <w:t>Escherichia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uk-UA" w:eastAsia="zh-CN"/>
              </w:rPr>
              <w:t xml:space="preserve"> </w:t>
            </w:r>
            <w:r w:rsidRPr="001240E4">
              <w:rPr>
                <w:rFonts w:ascii="Times New Roman" w:eastAsia="Calibri" w:hAnsi="Times New Roman" w:cs="Times New Roman"/>
                <w:bCs/>
                <w:i/>
                <w:sz w:val="28"/>
                <w:szCs w:val="28"/>
                <w:lang w:val="en-US" w:eastAsia="zh-CN"/>
              </w:rPr>
              <w:t>coli</w:t>
            </w:r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за різних умов існування до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пиридилпорфіринових</w:t>
            </w:r>
            <w:proofErr w:type="spellEnd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сполук</w:t>
            </w:r>
            <w:proofErr w:type="spellEnd"/>
            <w:r w:rsidRPr="001240E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 w:eastAsia="zh-CN"/>
              </w:rPr>
              <w:t>……………………………………..……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3.3.</w:t>
            </w: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 xml:space="preserve"> </w:t>
            </w: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Антимікробна дія </w:t>
            </w:r>
            <w:proofErr w:type="spellStart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порфіринових</w:t>
            </w:r>
            <w:proofErr w:type="spellEnd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 </w:t>
            </w:r>
            <w:proofErr w:type="spellStart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сполук</w:t>
            </w:r>
            <w:proofErr w:type="spellEnd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 у комплексі з </w:t>
            </w:r>
            <w:proofErr w:type="spellStart"/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етилендіамінтетра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оцтовою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 xml:space="preserve"> кислотою………….……………………</w:t>
            </w: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</w:t>
            </w:r>
          </w:p>
        </w:tc>
      </w:tr>
      <w:tr w:rsidR="001240E4" w:rsidRPr="001240E4" w:rsidTr="001240E4">
        <w:tc>
          <w:tcPr>
            <w:tcW w:w="3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48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240E4" w:rsidRPr="001240E4" w:rsidRDefault="001240E4" w:rsidP="001240E4">
            <w:pPr>
              <w:autoSpaceDN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3.4. Кількісне оцінювання  взаємодії </w:t>
            </w:r>
            <w:proofErr w:type="spellStart"/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порфіринових</w:t>
            </w:r>
            <w:proofErr w:type="spellEnd"/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сполук</w:t>
            </w:r>
            <w:proofErr w:type="spellEnd"/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ЕДТА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/>
              <w:jc w:val="both"/>
              <w:rPr>
                <w:rFonts w:eastAsia="Calibri"/>
                <w:lang w:eastAsia="zh-CN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УЗАГАЛЬНЕННЯ………………………………………………….……….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…………………………………………………………………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СПИСОК ЛІТЕРАТУРИ 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</w:tr>
      <w:tr w:rsidR="001240E4" w:rsidRPr="001240E4" w:rsidTr="001240E4">
        <w:tc>
          <w:tcPr>
            <w:tcW w:w="88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</w:pPr>
            <w:r w:rsidRPr="001240E4">
              <w:rPr>
                <w:rFonts w:ascii="Times New Roman" w:eastAsia="Calibri" w:hAnsi="Times New Roman" w:cs="Times New Roman"/>
                <w:sz w:val="28"/>
                <w:szCs w:val="28"/>
                <w:lang w:val="uk-UA" w:eastAsia="zh-CN"/>
              </w:rPr>
              <w:t>ДОДАТОК А ………………………………………………………………</w:t>
            </w:r>
          </w:p>
        </w:tc>
        <w:tc>
          <w:tcPr>
            <w:tcW w:w="71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240E4" w:rsidRPr="001240E4" w:rsidRDefault="001240E4" w:rsidP="001240E4">
            <w:pPr>
              <w:widowControl w:val="0"/>
              <w:autoSpaceDE w:val="0"/>
              <w:autoSpaceDN w:val="0"/>
              <w:snapToGrid w:val="0"/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240E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</w:tc>
      </w:tr>
    </w:tbl>
    <w:p w:rsidR="001240E4" w:rsidRPr="001240E4" w:rsidRDefault="001240E4" w:rsidP="001240E4">
      <w:pPr>
        <w:autoSpaceDN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Pr="001240E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1240E4" w:rsidRPr="001240E4" w:rsidRDefault="001240E4" w:rsidP="001240E4">
      <w:pPr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Відкриття бактеріальних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встановлення їх ролі у розвитку хронічних інфекційний захворювань відкрили новий напрямок досліджень у цілому ряді галузей. Ці напрямки стосуються попередження розвитку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, виявлення нових стратегій та пошуку та антибактеріальних засобів ефективних щодо мікроорганізмів у складі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[22]. </w:t>
      </w:r>
    </w:p>
    <w:p w:rsidR="001240E4" w:rsidRPr="001240E4" w:rsidRDefault="001240E4" w:rsidP="001240E4">
      <w:pPr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проблема інфекційних захворювань, що пов’язані з формуванням бактеріальних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її наслідки, розглядаються здебільшого з позиції клінічних рекомендацій щодо дотримання загальних правил асептики та антисептики [15, 20]. Дуже невелика кількість сучасних вітчизняних досліджень присвячена захворюванням, пов’язаним з утворенням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при використанні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інвазивних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пристроїв, зокрема катетерів, та їх об’єму у складі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внутрішньолікарняних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інфекцій. При цьому дані щодо основних збудників цих процесів дуже відрізняються</w:t>
      </w:r>
      <w:r w:rsidRPr="001240E4">
        <w:rPr>
          <w:rFonts w:ascii="Times New Roman" w:hAnsi="Times New Roman" w:cs="Times New Roman"/>
          <w:sz w:val="28"/>
          <w:szCs w:val="28"/>
        </w:rPr>
        <w:t xml:space="preserve"> [10, 13, 16]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. Це обумовлюється тим, що дослідження здебільшого проводяться у відділеннях, специфіка яких визначає розбіжності видового складу мікроорганізмів, що є причиною захворювань. </w:t>
      </w:r>
    </w:p>
    <w:p w:rsidR="001240E4" w:rsidRPr="001240E4" w:rsidRDefault="001240E4" w:rsidP="001240E4">
      <w:pPr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На даний час найбільш розповсюдженим методом запобігання розвитку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лікування так званих катетер-асоційованих інфекцій є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-терапія – це метод стерилізації внутрішньої поверхні катетеру за допомогою введення концентрованого розчину антибіотика у комплексі з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антикоагулянтним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препаратом після кожного використовування катетеру [33]. В Україні в деяких відділеннях лікарень за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>-розчин використовують розчин гепарину, але його протимікробна ефективність щодо не була доведена</w:t>
      </w:r>
      <w:r w:rsidRPr="001240E4">
        <w:rPr>
          <w:rFonts w:ascii="Times New Roman" w:hAnsi="Times New Roman" w:cs="Times New Roman"/>
          <w:sz w:val="28"/>
          <w:szCs w:val="28"/>
        </w:rPr>
        <w:t xml:space="preserve"> [12, 14]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. Таке явище пов’язано з відсутністю прямих рекомендацій у складі діючих уніфікованих клінічних протоколів, за якими здійснюється вітчизняна медична діяльність. </w:t>
      </w:r>
    </w:p>
    <w:p w:rsidR="001240E4" w:rsidRPr="001240E4" w:rsidRDefault="001240E4" w:rsidP="001240E4">
      <w:pPr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Резистентність мікроорганізмів у складі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заважає ефективному застосуванню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-терапії. За даними досліджень мінімальна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інгібуюча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концентрація антибіотиків для клітини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у складі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підвищена у десятки тисяч разів. Клітини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, що були вилучені з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біоплівки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, яка сформувалась на внутрішній поверхні катетера продемонстрували резистентність до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цефалоспоринів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аміноглікозидів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фторхінолонів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Pr="001240E4">
        <w:rPr>
          <w:rFonts w:ascii="Times New Roman" w:hAnsi="Times New Roman" w:cs="Times New Roman"/>
          <w:sz w:val="28"/>
          <w:szCs w:val="28"/>
        </w:rPr>
        <w:t>[58, 61]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. Таким чином, застосування антибіотиків у складі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-терапії обмежено тим, що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>-розчин, який потрапляє у кров пацієнта після кожного використовування катетеру та може призводити до ускладнень</w:t>
      </w:r>
      <w:r w:rsidRPr="001240E4">
        <w:rPr>
          <w:rFonts w:ascii="Times New Roman" w:hAnsi="Times New Roman" w:cs="Times New Roman"/>
          <w:sz w:val="28"/>
          <w:szCs w:val="28"/>
        </w:rPr>
        <w:t xml:space="preserve"> [24, 43]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40E4" w:rsidRPr="001240E4" w:rsidRDefault="001240E4" w:rsidP="001240E4">
      <w:pPr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Одними з альтернативних антибактеріальних препаратів є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пиридилпорфірини</w:t>
      </w:r>
      <w:proofErr w:type="spellEnd"/>
      <w:r w:rsidRPr="001240E4">
        <w:rPr>
          <w:rFonts w:ascii="Times New Roman" w:hAnsi="Times New Roman" w:cs="Times New Roman"/>
          <w:sz w:val="28"/>
          <w:szCs w:val="28"/>
        </w:rPr>
        <w:t xml:space="preserve">. 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Антибактеріальна дія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пиридилпорфіринів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відносно планктонної форми існування</w:t>
      </w:r>
      <w:r w:rsidRPr="001240E4">
        <w:rPr>
          <w:rFonts w:ascii="Times New Roman" w:hAnsi="Times New Roman" w:cs="Times New Roman"/>
          <w:sz w:val="28"/>
          <w:szCs w:val="28"/>
        </w:rPr>
        <w:t xml:space="preserve"> 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таких мікроорганізмів як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Pseudomonas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aeruginosa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активно досліджується</w:t>
      </w:r>
      <w:r w:rsidRPr="001240E4">
        <w:rPr>
          <w:rFonts w:ascii="Times New Roman" w:hAnsi="Times New Roman" w:cs="Times New Roman"/>
          <w:sz w:val="28"/>
          <w:szCs w:val="28"/>
        </w:rPr>
        <w:t xml:space="preserve"> [21, 28, 29]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. Вважається, що ця дія має універсальний характер, що є однією з основних вимог до антимікробного препарату у складі </w:t>
      </w:r>
      <w:r w:rsidRPr="001240E4">
        <w:rPr>
          <w:rFonts w:ascii="Times New Roman" w:hAnsi="Times New Roman" w:cs="Times New Roman"/>
          <w:sz w:val="28"/>
          <w:szCs w:val="28"/>
          <w:lang w:val="en-US"/>
        </w:rPr>
        <w:t>LOCK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>-терапії [21, 48].</w:t>
      </w:r>
    </w:p>
    <w:p w:rsidR="001240E4" w:rsidRPr="001240E4" w:rsidRDefault="001240E4" w:rsidP="001240E4">
      <w:pPr>
        <w:autoSpaceDN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було дослідити чутливість клітин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proofErr w:type="gram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1240E4"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що знаходяться у планктонній культурі та у складі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1240E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пиридилпорфіринових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240E4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 та їх цинкових комплексів.</w:t>
      </w:r>
    </w:p>
    <w:p w:rsidR="001240E4" w:rsidRPr="001240E4" w:rsidRDefault="001240E4" w:rsidP="001240E4">
      <w:pPr>
        <w:autoSpaceDN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40E4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цієї мети були поставлені наступні </w:t>
      </w:r>
      <w:r w:rsidRPr="001240E4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1240E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240E4" w:rsidRPr="001240E4" w:rsidRDefault="001240E4" w:rsidP="001240E4">
      <w:pPr>
        <w:numPr>
          <w:ilvl w:val="0"/>
          <w:numId w:val="1"/>
        </w:numPr>
        <w:autoSpaceDN w:val="0"/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Визначити рівень чутливості клітин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Staphylococcus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aureus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та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Escherichia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coli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у вигляді планктонної культури щодо досліджуваних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пиридилових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похідних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порфіринового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ряду.</w:t>
      </w:r>
    </w:p>
    <w:p w:rsidR="001240E4" w:rsidRPr="001240E4" w:rsidRDefault="001240E4" w:rsidP="001240E4">
      <w:pPr>
        <w:numPr>
          <w:ilvl w:val="0"/>
          <w:numId w:val="1"/>
        </w:numPr>
        <w:autoSpaceDN w:val="0"/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Проаналізувати чутливість клітин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Staphylococcus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aureus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та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Escherichia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coli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у складі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біоплівки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порівняно з планктонною культурою щодо досліджуваних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пиридилпорфіринів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:rsidR="001240E4" w:rsidRPr="001240E4" w:rsidRDefault="001240E4" w:rsidP="001240E4">
      <w:pPr>
        <w:numPr>
          <w:ilvl w:val="0"/>
          <w:numId w:val="1"/>
        </w:numPr>
        <w:autoSpaceDN w:val="0"/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Встановити найбільш активне похідне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пиридилпорфіринів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щодо культур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Staphylococcus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aureus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та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Escherichia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coli</w:t>
      </w: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у порівнянні з природними 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порфіриновими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сполуками (</w:t>
      </w:r>
      <w:proofErr w:type="spellStart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протопорфірином</w:t>
      </w:r>
      <w:proofErr w:type="spellEnd"/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ІХ та геміном).</w:t>
      </w:r>
    </w:p>
    <w:p w:rsidR="001240E4" w:rsidRPr="001240E4" w:rsidRDefault="001240E4" w:rsidP="001240E4">
      <w:pPr>
        <w:numPr>
          <w:ilvl w:val="0"/>
          <w:numId w:val="1"/>
        </w:numPr>
        <w:autoSpaceDN w:val="0"/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Дослідити вплив ЕДТА на рівень антимікробної активності досліджуваних порфіринів щодо клітин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Staphylococcus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aureus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та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Escherichia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coli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.</w:t>
      </w:r>
    </w:p>
    <w:p w:rsidR="001240E4" w:rsidRPr="001240E4" w:rsidRDefault="001240E4" w:rsidP="001240E4">
      <w:pPr>
        <w:numPr>
          <w:ilvl w:val="0"/>
          <w:numId w:val="1"/>
        </w:numPr>
        <w:autoSpaceDN w:val="0"/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Визначити характер взаємодії досліджуваних </w:t>
      </w:r>
      <w:proofErr w:type="spellStart"/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пиридилпорфіринів</w:t>
      </w:r>
      <w:proofErr w:type="spellEnd"/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 xml:space="preserve"> у комплексі з ЕДТА під час впливу на </w:t>
      </w:r>
      <w:r w:rsidRPr="001240E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клітини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Staphylococcus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aureus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Cs/>
          <w:sz w:val="28"/>
          <w:szCs w:val="28"/>
          <w:lang w:val="uk-UA" w:eastAsia="en-US"/>
        </w:rPr>
        <w:t>та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Escherichia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en-US" w:eastAsia="en-US"/>
        </w:rPr>
        <w:t>coli</w:t>
      </w:r>
      <w:r w:rsidRPr="001240E4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.</w:t>
      </w:r>
    </w:p>
    <w:p w:rsidR="001240E4" w:rsidRPr="001240E4" w:rsidRDefault="001240E4" w:rsidP="001240E4">
      <w:pPr>
        <w:widowControl w:val="0"/>
        <w:suppressAutoHyphens/>
        <w:autoSpaceDE w:val="0"/>
        <w:autoSpaceDN w:val="0"/>
        <w:spacing w:after="0"/>
        <w:ind w:firstLine="709"/>
        <w:jc w:val="both"/>
        <w:rPr>
          <w:rFonts w:ascii="Times New Roman" w:hAnsi="Times New Roman" w:cs="Times New Roman"/>
          <w:b/>
          <w:color w:val="000000"/>
          <w:kern w:val="3"/>
          <w:sz w:val="28"/>
          <w:szCs w:val="28"/>
          <w:lang w:val="uk-UA" w:eastAsia="zh-CN"/>
        </w:rPr>
      </w:pPr>
      <w:r w:rsidRPr="001240E4">
        <w:rPr>
          <w:rFonts w:ascii="Times New Roman" w:eastAsia="Calibri" w:hAnsi="Times New Roman" w:cs="Times New Roman"/>
          <w:b/>
          <w:bCs/>
          <w:kern w:val="3"/>
          <w:sz w:val="28"/>
          <w:szCs w:val="28"/>
          <w:lang w:val="uk-UA" w:eastAsia="zh-CN"/>
        </w:rPr>
        <w:t>Предмет дослідження</w:t>
      </w:r>
      <w:r w:rsidRPr="001240E4">
        <w:rPr>
          <w:rFonts w:ascii="Times New Roman" w:eastAsia="Calibri" w:hAnsi="Times New Roman" w:cs="Times New Roman"/>
          <w:kern w:val="3"/>
          <w:sz w:val="28"/>
          <w:szCs w:val="28"/>
          <w:lang w:val="uk-UA" w:eastAsia="zh-CN"/>
        </w:rPr>
        <w:t xml:space="preserve"> </w:t>
      </w:r>
      <w:r w:rsidRPr="001240E4">
        <w:rPr>
          <w:rFonts w:ascii="Times New Roman" w:hAnsi="Times New Roman" w:cs="Times New Roman"/>
          <w:color w:val="000000"/>
          <w:kern w:val="3"/>
          <w:sz w:val="28"/>
          <w:szCs w:val="28"/>
          <w:lang w:val="uk-UA" w:eastAsia="zh-CN"/>
        </w:rPr>
        <w:t xml:space="preserve">– протимікробна </w:t>
      </w:r>
      <w:r w:rsidRPr="001240E4">
        <w:rPr>
          <w:rFonts w:ascii="Times New Roman" w:eastAsia="Calibri" w:hAnsi="Times New Roman" w:cs="Times New Roman"/>
          <w:kern w:val="3"/>
          <w:sz w:val="28"/>
          <w:szCs w:val="28"/>
          <w:lang w:val="en-US" w:eastAsia="zh-CN"/>
        </w:rPr>
        <w:t>LOCK</w:t>
      </w:r>
      <w:r w:rsidRPr="001240E4">
        <w:rPr>
          <w:rFonts w:ascii="Times New Roman" w:eastAsia="Calibri" w:hAnsi="Times New Roman" w:cs="Times New Roman"/>
          <w:kern w:val="3"/>
          <w:sz w:val="28"/>
          <w:szCs w:val="28"/>
          <w:lang w:val="uk-UA" w:eastAsia="zh-CN"/>
        </w:rPr>
        <w:t>-терапія</w:t>
      </w:r>
      <w:r w:rsidRPr="001240E4">
        <w:rPr>
          <w:rFonts w:ascii="Times New Roman" w:hAnsi="Times New Roman" w:cs="Times New Roman"/>
          <w:color w:val="000000"/>
          <w:kern w:val="3"/>
          <w:sz w:val="28"/>
          <w:szCs w:val="28"/>
          <w:lang w:val="uk-UA" w:eastAsia="zh-CN"/>
        </w:rPr>
        <w:t>.</w:t>
      </w:r>
    </w:p>
    <w:p w:rsidR="001240E4" w:rsidRPr="001240E4" w:rsidRDefault="001240E4" w:rsidP="001240E4">
      <w:pPr>
        <w:widowControl w:val="0"/>
        <w:suppressAutoHyphens/>
        <w:autoSpaceDE w:val="0"/>
        <w:autoSpaceDN w:val="0"/>
        <w:spacing w:after="0"/>
        <w:ind w:firstLine="709"/>
        <w:jc w:val="both"/>
        <w:rPr>
          <w:rFonts w:ascii="Times New Roman" w:eastAsia="Calibri" w:hAnsi="Times New Roman" w:cs="Times New Roman"/>
          <w:bCs/>
          <w:kern w:val="3"/>
          <w:sz w:val="28"/>
          <w:szCs w:val="28"/>
          <w:shd w:val="clear" w:color="auto" w:fill="FFFF00"/>
          <w:lang w:val="uk-UA" w:eastAsia="zh-CN"/>
        </w:rPr>
      </w:pPr>
      <w:r w:rsidRPr="001240E4">
        <w:rPr>
          <w:rFonts w:ascii="Times New Roman" w:eastAsia="Calibri" w:hAnsi="Times New Roman" w:cs="Times New Roman"/>
          <w:b/>
          <w:bCs/>
          <w:kern w:val="3"/>
          <w:sz w:val="28"/>
          <w:szCs w:val="28"/>
          <w:lang w:val="uk-UA" w:eastAsia="zh-CN"/>
        </w:rPr>
        <w:t xml:space="preserve">Об’єкт дослідження </w:t>
      </w:r>
      <w:r w:rsidRPr="001240E4">
        <w:rPr>
          <w:rFonts w:ascii="Times New Roman" w:hAnsi="Times New Roman" w:cs="Times New Roman"/>
          <w:color w:val="000000"/>
          <w:kern w:val="3"/>
          <w:sz w:val="28"/>
          <w:szCs w:val="28"/>
          <w:lang w:val="uk-UA" w:eastAsia="zh-CN"/>
        </w:rPr>
        <w:t xml:space="preserve">– рівень протимікробної активності </w:t>
      </w:r>
      <w:proofErr w:type="spellStart"/>
      <w:r w:rsidRPr="001240E4">
        <w:rPr>
          <w:rFonts w:ascii="Times New Roman" w:hAnsi="Times New Roman" w:cs="Times New Roman"/>
          <w:color w:val="000000"/>
          <w:kern w:val="3"/>
          <w:sz w:val="28"/>
          <w:szCs w:val="28"/>
          <w:lang w:val="uk-UA" w:eastAsia="zh-CN"/>
        </w:rPr>
        <w:t>пиридилпорфіринів</w:t>
      </w:r>
      <w:proofErr w:type="spellEnd"/>
      <w:r w:rsidRPr="001240E4">
        <w:rPr>
          <w:rFonts w:ascii="Times New Roman" w:hAnsi="Times New Roman" w:cs="Times New Roman"/>
          <w:color w:val="000000"/>
          <w:kern w:val="3"/>
          <w:sz w:val="28"/>
          <w:szCs w:val="28"/>
          <w:lang w:val="uk-UA" w:eastAsia="zh-CN"/>
        </w:rPr>
        <w:t xml:space="preserve">, чутливість клітин 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en-US" w:eastAsia="zh-CN"/>
        </w:rPr>
        <w:t>Staphylococcus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uk-UA" w:eastAsia="zh-CN"/>
        </w:rPr>
        <w:t xml:space="preserve"> 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en-US" w:eastAsia="zh-CN"/>
        </w:rPr>
        <w:t>aureus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uk-UA" w:eastAsia="zh-CN"/>
        </w:rPr>
        <w:t xml:space="preserve"> </w:t>
      </w:r>
      <w:r w:rsidRPr="001240E4">
        <w:rPr>
          <w:rFonts w:ascii="Times New Roman" w:eastAsia="Calibri" w:hAnsi="Times New Roman" w:cs="Times New Roman"/>
          <w:iCs/>
          <w:kern w:val="3"/>
          <w:sz w:val="28"/>
          <w:szCs w:val="28"/>
          <w:lang w:val="uk-UA" w:eastAsia="zh-CN"/>
        </w:rPr>
        <w:t>та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uk-UA" w:eastAsia="zh-CN"/>
        </w:rPr>
        <w:t xml:space="preserve"> 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en-US" w:eastAsia="zh-CN"/>
        </w:rPr>
        <w:t>Escherichia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uk-UA" w:eastAsia="zh-CN"/>
        </w:rPr>
        <w:t xml:space="preserve"> </w:t>
      </w:r>
      <w:r w:rsidRPr="001240E4">
        <w:rPr>
          <w:rFonts w:ascii="Times New Roman" w:eastAsia="Calibri" w:hAnsi="Times New Roman" w:cs="Times New Roman"/>
          <w:i/>
          <w:kern w:val="3"/>
          <w:sz w:val="28"/>
          <w:szCs w:val="28"/>
          <w:lang w:val="en-US" w:eastAsia="zh-CN"/>
        </w:rPr>
        <w:t>coli</w:t>
      </w:r>
      <w:r w:rsidRPr="001240E4">
        <w:rPr>
          <w:rFonts w:ascii="Times New Roman" w:eastAsia="Calibri" w:hAnsi="Times New Roman" w:cs="Times New Roman"/>
          <w:bCs/>
          <w:kern w:val="3"/>
          <w:sz w:val="28"/>
          <w:szCs w:val="28"/>
          <w:lang w:val="uk-UA" w:eastAsia="zh-CN"/>
        </w:rPr>
        <w:t xml:space="preserve"> до окремих похідних </w:t>
      </w:r>
      <w:proofErr w:type="spellStart"/>
      <w:r w:rsidRPr="001240E4">
        <w:rPr>
          <w:rFonts w:ascii="Times New Roman" w:eastAsia="Calibri" w:hAnsi="Times New Roman" w:cs="Times New Roman"/>
          <w:bCs/>
          <w:kern w:val="3"/>
          <w:sz w:val="28"/>
          <w:szCs w:val="28"/>
          <w:lang w:val="uk-UA" w:eastAsia="zh-CN"/>
        </w:rPr>
        <w:t>порфіринового</w:t>
      </w:r>
      <w:proofErr w:type="spellEnd"/>
      <w:r w:rsidRPr="001240E4">
        <w:rPr>
          <w:rFonts w:ascii="Times New Roman" w:eastAsia="Calibri" w:hAnsi="Times New Roman" w:cs="Times New Roman"/>
          <w:bCs/>
          <w:kern w:val="3"/>
          <w:sz w:val="28"/>
          <w:szCs w:val="28"/>
          <w:lang w:val="uk-UA" w:eastAsia="zh-CN"/>
        </w:rPr>
        <w:t xml:space="preserve"> ряду.</w:t>
      </w:r>
    </w:p>
    <w:p w:rsidR="001240E4" w:rsidRDefault="001240E4">
      <w:pPr>
        <w:rPr>
          <w:lang w:val="uk-UA"/>
        </w:rPr>
      </w:pPr>
    </w:p>
    <w:p w:rsidR="001240E4" w:rsidRDefault="001240E4" w:rsidP="001240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1240E4" w:rsidRDefault="001240E4" w:rsidP="001240E4">
      <w:pPr>
        <w:pStyle w:val="a3"/>
        <w:numPr>
          <w:ilvl w:val="0"/>
          <w:numId w:val="2"/>
        </w:numPr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 клітини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вигляді планктонної культури є більш чутливими щодо дії досліджуваних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пиридилових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похідних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порфіринового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ряду, пригнічення росту планктонної культури скало 40 – 50 % у порівнянні з контролем.</w:t>
      </w:r>
    </w:p>
    <w:p w:rsidR="001240E4" w:rsidRDefault="001240E4" w:rsidP="001240E4">
      <w:pPr>
        <w:pStyle w:val="a3"/>
        <w:numPr>
          <w:ilvl w:val="0"/>
          <w:numId w:val="2"/>
        </w:numPr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Встановлено, що клітини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складі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менш чутливі до дії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пиридилпорфіринових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порівняно з планктонною культурою. Пригнічення росту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склало 25-30 % у порівнянні з контролем.</w:t>
      </w:r>
    </w:p>
    <w:p w:rsidR="001240E4" w:rsidRDefault="001240E4" w:rsidP="001240E4">
      <w:pPr>
        <w:pStyle w:val="a3"/>
        <w:numPr>
          <w:ilvl w:val="0"/>
          <w:numId w:val="2"/>
        </w:numPr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встановлено, що найбільш активними сполуками щодо культур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природними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порфіриновими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сполуками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протопорфірином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ІХ та геміном) є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5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ноніл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– 10, 15, 20 – три-(4-N-пиридил)порфірин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тозилат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цинковий комплекс 5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ноніл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– 10, 15, 20 – три-(4-N-пиридил)порфірин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uk-UA"/>
        </w:rPr>
        <w:t>тозилату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40E4" w:rsidRDefault="001240E4" w:rsidP="001240E4">
      <w:pPr>
        <w:pStyle w:val="a3"/>
        <w:numPr>
          <w:ilvl w:val="0"/>
          <w:numId w:val="2"/>
        </w:numPr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ЕДТА, як компонент </w:t>
      </w:r>
      <w:r>
        <w:rPr>
          <w:rFonts w:ascii="Times New Roman" w:hAnsi="Times New Roman" w:cs="Times New Roman"/>
          <w:sz w:val="28"/>
          <w:szCs w:val="28"/>
          <w:lang w:val="en-US"/>
        </w:rPr>
        <w:t>LOCK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-терапії значно підсилює рівень антимікробної активності досліджуваних порфіринів щодо клітин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Після додавання ЕДТА всі досліджувані речовини пригнічували ріст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75 – 85 %.</w:t>
      </w:r>
    </w:p>
    <w:p w:rsidR="001240E4" w:rsidRDefault="001240E4" w:rsidP="001240E4">
      <w:pPr>
        <w:pStyle w:val="a3"/>
        <w:numPr>
          <w:ilvl w:val="0"/>
          <w:numId w:val="2"/>
        </w:numPr>
        <w:spacing w:after="0" w:line="360" w:lineRule="auto"/>
        <w:ind w:left="0" w:firstLine="69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Взаємодія досліджуваних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пиридилпорфіринових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ЕДТА щодо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впливу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клітини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Escherichia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синергічною щодо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й нейтральною щодо планктонної культури.</w:t>
      </w: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40E4" w:rsidRDefault="001240E4" w:rsidP="001240E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СПИСОК 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цитованої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ЛІТЕРАТУРИ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Бережанский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Б. В.,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Жевнерев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А. А.</w:t>
      </w:r>
      <w:r>
        <w:rPr>
          <w:rFonts w:ascii="Times New Roman" w:hAnsi="Times New Roman" w:cs="Times New Roman"/>
          <w:sz w:val="28"/>
          <w:szCs w:val="28"/>
        </w:rPr>
        <w:t xml:space="preserve"> Катетер-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асоц</w:t>
      </w:r>
      <w:r>
        <w:rPr>
          <w:rFonts w:ascii="Times New Roman" w:hAnsi="Times New Roman" w:cs="Times New Roman"/>
          <w:sz w:val="28"/>
          <w:szCs w:val="28"/>
          <w:lang w:val="uk-UA"/>
        </w:rPr>
        <w:t>ійовані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нфекц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кровоток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// Клиническая микробиология и антимикробная химиотерапия. – 2006. – Т. 8, №2. – С. 130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144.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Бережанський Б.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Оптимизация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фармакотерапии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профилактики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связанных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центральным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венозным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катетером,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отделениях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реанимации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интенсивной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кандидата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наук: 14.00.25. – 2008. – С. 4 – 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Боронина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 Г.,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Саматова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В</w:t>
      </w:r>
      <w:r>
        <w:rPr>
          <w:rFonts w:ascii="Times New Roman" w:hAnsi="Times New Roman" w:cs="Times New Roman"/>
          <w:sz w:val="28"/>
          <w:szCs w:val="28"/>
          <w:lang w:val="uk-UA"/>
        </w:rPr>
        <w:t>. Катетер-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ассоциированн</w:t>
      </w:r>
      <w:r>
        <w:rPr>
          <w:rFonts w:ascii="Times New Roman" w:hAnsi="Times New Roman" w:cs="Times New Roman"/>
          <w:sz w:val="28"/>
          <w:szCs w:val="28"/>
        </w:rPr>
        <w:t>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инфекции кровотока в многопрофильном детском стационаре 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Scientia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Химия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Медицина.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2016. – Т. 4, №5. – С. 8 – 10.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Гостев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 В., Сидоренко С.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Бактериальн</w:t>
      </w:r>
      <w:proofErr w:type="spellEnd"/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биопленки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Журнал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инфектологии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2010. – Т. 2, №3. – С. 4 – 12.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>Знаменська</w:t>
      </w:r>
      <w:proofErr w:type="spellEnd"/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 xml:space="preserve"> Т. К., Ковальова О. М., </w:t>
      </w:r>
      <w:proofErr w:type="spellStart"/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>Похилько</w:t>
      </w:r>
      <w:proofErr w:type="spellEnd"/>
      <w:r>
        <w:rPr>
          <w:rFonts w:ascii="Times New Roman" w:hAnsi="Times New Roman" w:cs="Times New Roman"/>
          <w:bCs/>
          <w:i/>
          <w:iCs/>
          <w:color w:val="000000"/>
          <w:sz w:val="28"/>
          <w:szCs w:val="28"/>
          <w:lang w:val="uk-UA"/>
        </w:rPr>
        <w:t xml:space="preserve"> В. І.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Концептуальні підходи до забезпечення якості та безпеки медичної допомоги новонародженим //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Перинаталогія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педіатрія. – 2013. – Т. 4, №59. – С. 7 – 8.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Квашина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Ковалишена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Белянина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Комплексная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этиологическая и эпидемиологическая характеристика катетер-ассоциированных инфекций кровотока // Медицинский альманах. – 2017. – Т. 49, №4. – С. 41 – 44.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Климнюк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 І., Красій Н. І., Покришко О. 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Спектр бактерій,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виділенний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хворих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тернопільскої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університетської лікарні, та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адгезивні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// Інфекційні хвороби. – 2016. – Т. 3, №85. – С. 70 – 71.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Козлов Р. С., Голуб А.В. </w:t>
      </w:r>
      <w:r>
        <w:rPr>
          <w:rFonts w:ascii="Times New Roman" w:hAnsi="Times New Roman" w:cs="Times New Roman"/>
          <w:sz w:val="28"/>
          <w:szCs w:val="28"/>
          <w:lang w:val="uk-UA"/>
        </w:rPr>
        <w:t>Катетер-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ассоциированніе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кровотока: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предупредить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лечить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?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микробиология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антибактериальная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химиотерапия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2010. – Т. 12, №4. – С. 23 – 29.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Кочнєва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Комплексна дія протимікробних засобів на консорціум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Сandida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albicans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taphylococcus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aureus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кандидата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наук: 03.00.07. – 2014. – С. 14.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Лагун Л.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Жаворонок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Бактериальные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биопленки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роль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мочевыводящих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путей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обзор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2013. – №4. – С. 22 –26.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proofErr w:type="spellStart"/>
      <w:r>
        <w:rPr>
          <w:rFonts w:ascii="Times New Roman" w:hAnsi="Times New Roman" w:cs="Times New Roman"/>
          <w:i/>
          <w:sz w:val="28"/>
        </w:rPr>
        <w:t>Лапач</w:t>
      </w:r>
      <w:proofErr w:type="spellEnd"/>
      <w:r>
        <w:rPr>
          <w:rFonts w:ascii="Times New Roman" w:hAnsi="Times New Roman" w:cs="Times New Roman"/>
          <w:i/>
          <w:sz w:val="28"/>
        </w:rPr>
        <w:t xml:space="preserve"> С. Н., Чубенко А. В., Бабич П. Н.</w:t>
      </w:r>
      <w:r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С</w:t>
      </w:r>
      <w:proofErr w:type="spellStart"/>
      <w:r>
        <w:rPr>
          <w:rFonts w:ascii="Times New Roman" w:hAnsi="Times New Roman" w:cs="Times New Roman"/>
          <w:sz w:val="28"/>
        </w:rPr>
        <w:t>татистические</w:t>
      </w:r>
      <w:proofErr w:type="spellEnd"/>
      <w:r>
        <w:rPr>
          <w:rFonts w:ascii="Times New Roman" w:hAnsi="Times New Roman" w:cs="Times New Roman"/>
          <w:sz w:val="28"/>
        </w:rPr>
        <w:t xml:space="preserve"> методы в медико-биологических исследованиях с использованием </w:t>
      </w:r>
      <w:r>
        <w:rPr>
          <w:rFonts w:ascii="Times New Roman" w:hAnsi="Times New Roman" w:cs="Times New Roman"/>
          <w:sz w:val="28"/>
          <w:lang w:val="en-US"/>
        </w:rPr>
        <w:t>Excel</w:t>
      </w:r>
      <w:r>
        <w:rPr>
          <w:rFonts w:ascii="Times New Roman" w:hAnsi="Times New Roman" w:cs="Times New Roman"/>
          <w:sz w:val="28"/>
        </w:rPr>
        <w:t xml:space="preserve"> // Морион. – 2001. – </w:t>
      </w:r>
      <w:r>
        <w:rPr>
          <w:rFonts w:ascii="Times New Roman" w:hAnsi="Times New Roman" w:cs="Times New Roman"/>
          <w:sz w:val="28"/>
          <w:lang w:val="en-US"/>
        </w:rPr>
        <w:t>C</w:t>
      </w:r>
      <w:r>
        <w:rPr>
          <w:rFonts w:ascii="Times New Roman" w:hAnsi="Times New Roman" w:cs="Times New Roman"/>
          <w:sz w:val="28"/>
        </w:rPr>
        <w:t>. 260.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Матвеева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Ю., Власенко А. В., Яковлев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Инфекционные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осложнения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катетеризации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центральных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вен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реаниматология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2011. – №7. – С. 67.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Підгірний Я. М., Садова-Чуба З.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Етіологічна структура катетер-асоційованих інфекцій сечових шляхів у пацієнтів відділення інтенсивної терапії дитячої клініки // Біль, знеболювання та інтенсивна терапія. – 2011. – №4 – С. 35 – 36.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Похилько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 І., Ковальова О. М.,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Цвіренко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Вплив доказових технологій догляду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центральнимикатетерами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частоту несприятливих медичних подій у дітей // Вісник проблем біології і медицини. – 2014. – Т. 1, № 3. – С. 284 – 286.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Профілактика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внутрішньолікарняних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інфекцій (гігієнічні, епідеміологічні та мікробіологічні аспекти): Навчальний посібник / О.А. Шевченко, С. І. Гаркавий, Е. А. Деркачов та ін.; Під редакцією В.Ф. Москаленка. – Київ, Дніпропетровськ, 2012. – С. 182.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Садова-Чуба З. 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антибіотикорезистентності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основних збудників катетер-асоційованих інфекцій сечових шляхів у дітей, які потребують інтенсивної терапії // Біль, знеболювання та інтенсивна терапія. – 2012. – №3 – С. 72 – 77.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Салманов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Профілактика катетер-асоційований інфекцій кровотоку // Журнал заступника головного лікаря. – 2015 – №4. – С. 32 – 40.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Синетар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О.,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Брич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І.,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Лоскутова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Антибіотикостійкість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адгезивні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властивості збудників катетер-асоційованих інфекцій сечовивідних шляхів // Мікробіологічний журнал. – 2014. – Т. 6, №3. – С. 37 – 39.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Собкова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Ж.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Філоненко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 В.,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Сурмашева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Вивчення видового складу мікроорганізмів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судинних та сечових катетерах // </w:t>
      </w:r>
      <w:proofErr w:type="spellStart"/>
      <w:r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proofErr w:type="spellStart"/>
      <w:r>
        <w:rPr>
          <w:rFonts w:ascii="Times New Roman" w:hAnsi="Times New Roman" w:cs="Times New Roman"/>
          <w:sz w:val="28"/>
          <w:szCs w:val="28"/>
        </w:rPr>
        <w:t>ournal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ScienceRise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spellStart"/>
      <w:r>
        <w:rPr>
          <w:rFonts w:ascii="Times New Roman" w:hAnsi="Times New Roman" w:cs="Times New Roman"/>
          <w:sz w:val="28"/>
          <w:szCs w:val="28"/>
        </w:rPr>
        <w:t>Biological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Science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». – Т. 2. – 2017. – С. 39 – 41.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Шіфріс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Інфекції судинного доступу // Український журнал нефрології та діалізу. – 2011. – №31. – С. 69 – 74.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AdvTimes-b" w:hAnsi="AdvTimes-b" w:cs="AdvTimes-b"/>
          <w:i/>
          <w:color w:val="000000"/>
          <w:sz w:val="28"/>
          <w:szCs w:val="28"/>
          <w:lang w:val="en-US"/>
        </w:rPr>
        <w:t>Almeida</w:t>
      </w:r>
      <w:r>
        <w:rPr>
          <w:rFonts w:ascii="AdvTimes-b" w:hAnsi="AdvTimes-b" w:cs="AdvTimes-b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AdvTimes-b" w:hAnsi="AdvTimes-b" w:cs="AdvTimes-b"/>
          <w:i/>
          <w:color w:val="000000"/>
          <w:sz w:val="28"/>
          <w:szCs w:val="28"/>
          <w:lang w:val="en-US"/>
        </w:rPr>
        <w:t>A</w:t>
      </w:r>
      <w:r>
        <w:rPr>
          <w:rFonts w:ascii="AdvTimes-b" w:hAnsi="AdvTimes-b" w:cs="AdvTimes-b"/>
          <w:i/>
          <w:color w:val="000000"/>
          <w:sz w:val="28"/>
          <w:szCs w:val="28"/>
          <w:lang w:val="uk-UA"/>
        </w:rPr>
        <w:t>.,</w:t>
      </w:r>
      <w:r>
        <w:rPr>
          <w:rFonts w:ascii="AdvT001" w:hAnsi="AdvT001" w:cs="AdvT001"/>
          <w:i/>
          <w:color w:val="000000"/>
          <w:sz w:val="19"/>
          <w:szCs w:val="19"/>
          <w:lang w:val="uk-UA"/>
        </w:rPr>
        <w:t xml:space="preserve"> </w:t>
      </w:r>
      <w:r>
        <w:rPr>
          <w:rFonts w:ascii="AdvTimes-b" w:hAnsi="AdvTimes-b" w:cs="AdvTimes-b"/>
          <w:i/>
          <w:color w:val="000000"/>
          <w:sz w:val="28"/>
          <w:szCs w:val="28"/>
          <w:lang w:val="en-US"/>
        </w:rPr>
        <w:t>Cunha A.,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>
        <w:rPr>
          <w:rFonts w:ascii="AdvTimes-b" w:hAnsi="AdvTimes-b" w:cs="AdvTimes-b"/>
          <w:i/>
          <w:color w:val="000000"/>
          <w:sz w:val="28"/>
          <w:szCs w:val="28"/>
          <w:lang w:val="en-US"/>
        </w:rPr>
        <w:t>Faustino M.</w:t>
      </w:r>
      <w:r>
        <w:rPr>
          <w:rFonts w:cs="AdvTimes-b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et al.</w:t>
      </w:r>
      <w:r>
        <w:rPr>
          <w:rFonts w:cs="AdvTimes-b"/>
          <w:i/>
          <w:color w:val="000000"/>
          <w:sz w:val="28"/>
          <w:szCs w:val="28"/>
          <w:lang w:val="en-US"/>
        </w:rPr>
        <w:t xml:space="preserve"> </w:t>
      </w:r>
      <w:r>
        <w:rPr>
          <w:rFonts w:ascii="AdvTimes-b" w:hAnsi="AdvTimes-b" w:cs="AdvTimes-b"/>
          <w:color w:val="000000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orphyrins as antimicrobial photosensitizing agents // Marine drugs. – 2010. – Vol. 8. – P. 91 – 95.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Archer N.,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Mazaitis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Costerton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W. et al.</w:t>
      </w:r>
      <w:r>
        <w:rPr>
          <w:rFonts w:cs="AdvTimes-b"/>
          <w:i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Staphylococcus aureus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biofilms Properties, regulation and roles in human disease //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Landes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Bioscience. – 2011. – Vol. 2,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№5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 P. 449 – 452. 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Banin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E., Brady K. and Greenberg P.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Chelator-induced dispersal and killing of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Pseudomonas aeruginosa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cells in a biofilm // Applied and environmental microbiology. – 2006. – Vol. 72,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3. – P. 2065 – 2069.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Bookstaver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B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Williamson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J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Keith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Raad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I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Activity of novel antibiotic lock solutions in a model against isolates of catheter-related bloodstream infections // The Annals of Pharmacotherapy. – 2009. – Vol. 43. – P. 210 – 215.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Costerton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J., Stewart P., Greenberg P. </w:t>
      </w:r>
      <w:r>
        <w:rPr>
          <w:rFonts w:ascii="Times New Roman" w:hAnsi="Times New Roman" w:cs="Times New Roman"/>
          <w:sz w:val="28"/>
          <w:szCs w:val="28"/>
          <w:lang w:val="en-US"/>
        </w:rPr>
        <w:t>Bacterial Biofilms: A Common Cause of Persistent Infections // Science. – 1999. – Vol. 284. – P. 1318 – 1320.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Dutch801BT-Roman" w:hAnsi="Dutch801BT-Roman" w:cs="Dutch801BT-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Davey M. and O’Toole 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Microbial biofilms: from ecology to molecular genetics // Microbiology and molecular biology reviews. – 2000. – Vol. 64, </w:t>
      </w:r>
      <w:r>
        <w:rPr>
          <w:rFonts w:ascii="Times New Roman" w:hAnsi="Times New Roman" w:cs="Times New Roman"/>
          <w:sz w:val="28"/>
          <w:szCs w:val="28"/>
          <w:lang w:val="uk-UA"/>
        </w:rPr>
        <w:t>№6</w:t>
      </w:r>
      <w:r>
        <w:rPr>
          <w:rFonts w:ascii="Times New Roman" w:hAnsi="Times New Roman" w:cs="Times New Roman"/>
          <w:sz w:val="28"/>
          <w:szCs w:val="28"/>
          <w:lang w:val="en-US"/>
        </w:rPr>
        <w:t>. – P. 256 – 257.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Donlan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 and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Costerton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Biofilms: survival mechanisms of clinically relevant microorganisms // Clinical microbiology reviews. – 2002. – Vol. 15,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3. – P. 167 – 189.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Donnelly R., McCarron P., Cassidy M.,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Elborn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Delivery of methylene blue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meso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-tetra (n-methyl-4-pyridyl)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porphine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tetra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tosylate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from cross-linked poly(vinyl alcohol) hydrogels: a potential means of photodynamic therapy of infected wounds // Photochemistry and photobiology. – 2009. – Vol. 96. – P. 223 – 231.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Donnelly R., McCarron P., Cassidy M.,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Elborn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Delivery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photosensitisers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light through mucus: Investigations into the potential use of photodynamic </w:t>
      </w: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therapy for treatment of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Pseudomonas aeruginosa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cystic fibrosis pulmonary infection // Journal of controlled release. – 2007. – Vol. 117. – P. 217 – 226.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Eckl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Dengler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L.,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Nemmert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Eichner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A.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 closer look at dark toxicity of the photosensitizer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TMPyP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 bacteria // Photochemistry and photobiology. – 2017. – Vol. 94,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№1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 P. 165 – 172.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Estes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Theusch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J.,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Beck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A.,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Pitrak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D.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Microtiter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dish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biofilm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assay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// Journal of visualized experiments. – 2013. – Vol. 57,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4. – P. 1 – 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Finnegan S., Percival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Edta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: an antimicrobial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antibiofilm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agent for use in wound care // Advances in wound care. – 2007. – Vol. 4,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>
        <w:rPr>
          <w:rFonts w:ascii="Times New Roman" w:hAnsi="Times New Roman" w:cs="Times New Roman"/>
          <w:sz w:val="28"/>
          <w:szCs w:val="28"/>
          <w:lang w:val="en-US"/>
        </w:rPr>
        <w:t>7. – P. 415 – 419.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Fletcher S.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Catheter-related blood stream infection // British journal 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anaesthesia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2005. – Vol. 5,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3. – P. 49 – 51.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Ghasemian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A.,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Peerayeh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Bakhshi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B.,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Mirzaee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M.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The microbial surface components recognizing adhesive matrix molecules (MSCRAMMs) genes among clinical isolates of 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 xml:space="preserve">Staphylococcus aureus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from hospitalized children // Iran J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Pathol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>. – 2015. – Vol. 10, №4.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258 – 264.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Harrison, J.J., Turner, R.J., Marques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Biofilms: A new understanding 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these microbial communities is driving a revolution that may transform the science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 microbiology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American Scientist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. –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2005 – Vol.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93. – P. 508 – 515.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Hung C., Zhou Y,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Pinkner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J., Dodson K.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 xml:space="preserve">Escherichia coli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biofilms have an organized and complex extracellular matrix structure // An open access journal published by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american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society for microbiology. – 2013. – Vol. 4, №5. – P. 3 – 5. 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Issam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Hend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H., Dvorak T.,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Chaiban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H.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Optimal antimicrobial catheter lock solution, using different combinations of minocycline, EDTA, and 25-percent ethanol, rapidly eradicates organisms embedded in biofilm // Antimicrobial agents and chemotherapy. – 2007. – Vol. 51,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1. – P. 78 – 83.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Justo</w:t>
      </w:r>
      <w:proofErr w:type="spellEnd"/>
      <w:r>
        <w:rPr>
          <w:i/>
          <w:lang w:val="en-US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J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Bookstaver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B.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Antibiotic lock therapy: review of technique and logistical challenges //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Infection and Drug Resistance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– 2014. – Vol. 7. – P.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343–363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Kassab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K.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Evaluating the antitumor activity of combined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photochemotherapy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mediated by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meso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-substituted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tetracationic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porphyrin and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adriamycin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biochimica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et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biophysica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sinica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 – 2009. – Vol. 41, №11. – P. 893 – 897.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Labriola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L.,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Pochet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Any use for alternative lock solutions in the prevention of catheter-related blood stream infections? // J.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vasc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access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>. – 2017. – Vol. 14. – P. 34 – 38.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Lebeaux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Leflon-Guibout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V.,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Ghigo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J., Beloin 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In vitro activity of gentamicin, vancomycin or amikacin combined with EDTA or l-arginine as lock therapy against a wide spectrum of biofilm-forming clinical strains isolated from catheter-related infections. // Journal of Antimicrobial Chemotherapy. – 2015. – Vol. 70,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6. – P. 1704 – 1702.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BSGulliver" w:hAnsi="Times New Roman" w:cs="Times New Roman"/>
          <w:i/>
          <w:color w:val="000000"/>
          <w:sz w:val="28"/>
          <w:szCs w:val="28"/>
          <w:lang w:val="en-US"/>
        </w:rPr>
        <w:t xml:space="preserve">Lefebvre E., </w:t>
      </w:r>
      <w:proofErr w:type="spellStart"/>
      <w:r>
        <w:rPr>
          <w:rFonts w:ascii="Times New Roman" w:eastAsia="BSGulliver" w:hAnsi="Times New Roman" w:cs="Times New Roman"/>
          <w:i/>
          <w:color w:val="000000"/>
          <w:sz w:val="28"/>
          <w:szCs w:val="28"/>
          <w:lang w:val="en-US"/>
        </w:rPr>
        <w:t>Vighetto</w:t>
      </w:r>
      <w:proofErr w:type="spellEnd"/>
      <w:r>
        <w:rPr>
          <w:rFonts w:ascii="Times New Roman" w:eastAsia="BSGulliver" w:hAnsi="Times New Roman" w:cs="Times New Roman"/>
          <w:i/>
          <w:color w:val="000000"/>
          <w:sz w:val="28"/>
          <w:szCs w:val="28"/>
          <w:lang w:val="en-US"/>
        </w:rPr>
        <w:t xml:space="preserve"> C., Martino P., </w:t>
      </w:r>
      <w:proofErr w:type="spellStart"/>
      <w:r>
        <w:rPr>
          <w:rFonts w:ascii="Times New Roman" w:eastAsia="BSGulliver" w:hAnsi="Times New Roman" w:cs="Times New Roman"/>
          <w:i/>
          <w:color w:val="000000"/>
          <w:sz w:val="28"/>
          <w:szCs w:val="28"/>
          <w:lang w:val="en-US"/>
        </w:rPr>
        <w:t>Garde</w:t>
      </w:r>
      <w:proofErr w:type="spellEnd"/>
      <w:r>
        <w:rPr>
          <w:rFonts w:ascii="Times New Roman" w:eastAsia="BSGulliver" w:hAnsi="Times New Roman" w:cs="Times New Roman"/>
          <w:i/>
          <w:color w:val="000000"/>
          <w:sz w:val="28"/>
          <w:szCs w:val="28"/>
          <w:lang w:val="en-US"/>
        </w:rPr>
        <w:t xml:space="preserve"> V.</w:t>
      </w:r>
      <w:r>
        <w:rPr>
          <w:rFonts w:ascii="Times New Roman" w:eastAsia="BSGulliver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BSGulliver" w:hAnsi="Times New Roman" w:cs="Times New Roman"/>
          <w:sz w:val="28"/>
          <w:szCs w:val="28"/>
          <w:lang w:val="en-US"/>
        </w:rPr>
        <w:t xml:space="preserve">Synergistic </w:t>
      </w:r>
      <w:proofErr w:type="spellStart"/>
      <w:r>
        <w:rPr>
          <w:rFonts w:ascii="Times New Roman" w:eastAsia="BSGulliver" w:hAnsi="Times New Roman" w:cs="Times New Roman"/>
          <w:sz w:val="28"/>
          <w:szCs w:val="28"/>
          <w:lang w:val="en-US"/>
        </w:rPr>
        <w:t>antibiofilm</w:t>
      </w:r>
      <w:proofErr w:type="spellEnd"/>
      <w:r>
        <w:rPr>
          <w:rFonts w:ascii="Times New Roman" w:eastAsia="BSGulliver" w:hAnsi="Times New Roman" w:cs="Times New Roman"/>
          <w:sz w:val="28"/>
          <w:szCs w:val="28"/>
          <w:lang w:val="en-US"/>
        </w:rPr>
        <w:t xml:space="preserve"> efficacy of various commercial antiseptics, enzymes and EDTA: a study of </w:t>
      </w:r>
      <w:r>
        <w:rPr>
          <w:rFonts w:ascii="Times New Roman" w:eastAsia="BSGulliver" w:hAnsi="Times New Roman" w:cs="Times New Roman"/>
          <w:i/>
          <w:iCs/>
          <w:sz w:val="28"/>
          <w:szCs w:val="28"/>
          <w:lang w:val="en-US"/>
        </w:rPr>
        <w:t xml:space="preserve">Pseudomonas aeruginosa </w:t>
      </w:r>
      <w:r>
        <w:rPr>
          <w:rFonts w:ascii="Times New Roman" w:eastAsia="BSGulliver" w:hAnsi="Times New Roman" w:cs="Times New Roman"/>
          <w:sz w:val="28"/>
          <w:szCs w:val="28"/>
          <w:lang w:val="en-US"/>
        </w:rPr>
        <w:t xml:space="preserve">and </w:t>
      </w:r>
      <w:r>
        <w:rPr>
          <w:rFonts w:ascii="Times New Roman" w:eastAsia="BSGulliver" w:hAnsi="Times New Roman" w:cs="Times New Roman"/>
          <w:i/>
          <w:iCs/>
          <w:sz w:val="28"/>
          <w:szCs w:val="28"/>
          <w:lang w:val="en-US"/>
        </w:rPr>
        <w:t xml:space="preserve">Staphylococcus aureus </w:t>
      </w:r>
      <w:r>
        <w:rPr>
          <w:rFonts w:ascii="Times New Roman" w:eastAsia="BSGulliver" w:hAnsi="Times New Roman" w:cs="Times New Roman"/>
          <w:sz w:val="28"/>
          <w:szCs w:val="28"/>
          <w:lang w:val="en-US"/>
        </w:rPr>
        <w:t xml:space="preserve">biofilms // International journal of antimicrobial agents. – 2016. – Vol. 48, </w:t>
      </w:r>
      <w:r>
        <w:rPr>
          <w:rFonts w:ascii="Times New Roman" w:eastAsia="BSGulliver" w:hAnsi="Times New Roman" w:cs="Times New Roman"/>
          <w:sz w:val="28"/>
          <w:szCs w:val="28"/>
          <w:lang w:val="uk-UA"/>
        </w:rPr>
        <w:t>№</w:t>
      </w:r>
      <w:r>
        <w:rPr>
          <w:rFonts w:ascii="Times New Roman" w:eastAsia="BSGulliver" w:hAnsi="Times New Roman" w:cs="Times New Roman"/>
          <w:sz w:val="28"/>
          <w:szCs w:val="28"/>
          <w:lang w:val="en-US"/>
        </w:rPr>
        <w:t>3. – P. 181 – 188.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Leonidou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L.,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Gogos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C. </w:t>
      </w:r>
      <w:r>
        <w:rPr>
          <w:rFonts w:ascii="Times New Roman" w:hAnsi="Times New Roman" w:cs="Times New Roman"/>
          <w:sz w:val="28"/>
          <w:szCs w:val="28"/>
          <w:lang w:val="en-US"/>
        </w:rPr>
        <w:t>Catheter-related bloodstream infections: catheter management according to pathogen // International journal of antimicrobial agents. – 2010. – Vol. 36. – P. 26 – 32.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>Lewis K.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Persister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cells // Annual review of microbiology. – 2010. – Vol. 64, №3. – P. 57 – 72.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Liu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Z.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Lu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Q.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Fang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Jialin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In vitro and in vivo activity of EDTA and antibacterial agents against the biofilm of mucoid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Pseudomonas aeruginosa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Infection. – 2016. – Vol. 45, №1. – P. 23 – 31.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Mermel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L.,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Allon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Bouza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E., Craven D.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Cl</w:t>
      </w:r>
      <w:r>
        <w:rPr>
          <w:rFonts w:ascii="Times New Roman" w:hAnsi="Times New Roman" w:cs="Times New Roman"/>
          <w:sz w:val="28"/>
          <w:szCs w:val="28"/>
          <w:lang w:val="en-US"/>
        </w:rPr>
        <w:t>inical practice guidelines for the diagnosis and management of intravascular catheter-related infection // Clinical infectious disease. – 2009. – Vol. 49. – P. 1 – 15.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Philippova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T.,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Galkin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B.,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Zinchenko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O.,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Rusakova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et al.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The antimicrobial properties of new synthetic porphyrins //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Journal of Porphyrins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Phthalocyanines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– 2003. – Vol. 7. – P. 755 – 760.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Pittiruti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M.,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Bertoglio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Scoppettuolo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G.,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Biffi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R.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Evidence-based criteria for the choice and the clinical use of the most appropriate lock solutions for central venous catheters (excluding dialysis catheters) //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Vasc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Access. – 2016. – Vol. 17, №6. – P. 453 – 456.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lastRenderedPageBreak/>
        <w:t>Pudziuvyte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B.,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Bakiene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E.,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Bonnett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R.,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Shatunov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P.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Alterations of 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Escherichia coli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envelope as a consequence of photosensitization with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tetrakis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-ethylpyridinium-4-yl)porphyrin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tetratosylate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Photochemical and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photobiological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sciences. – 2011. – Vol. 10. – P. 1048 – 1053.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Raad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I.,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Hachem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Tcholakian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 and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Sherertz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Microtiter spectrophotometric biofilm production assay analyzed with metrological methods and uncertainty evaluation // Journal measurements. – 2002. – Vol. 46,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2. – P. 327 – 332.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Ragàs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, X., M.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Agut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, and S.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Nonell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Singlet oxygen in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Escherichia coli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: New insights for antimicrobial photodynamic therapy //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Photochemical and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photobiological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sciences.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2010. –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Free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en-US"/>
        </w:rPr>
        <w:t>Radic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en-US"/>
        </w:rPr>
        <w:t>. Biol. Med.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–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Vol.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49.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770 – 776.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Robertson E., Wolf J. and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Casadevall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EDTA inhibits biofilm formation, extracellular vesicular secretion, and shedding of the capsular polysaccharide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glucuronoxylomannan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by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Cryptococcus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neoformans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Applied and environmental microbiology. – 2012. – Vol. 78,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sz w:val="28"/>
          <w:szCs w:val="28"/>
          <w:lang w:val="en-US"/>
        </w:rPr>
        <w:t>22. – P. 7979 – 7984.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Rossi B., Feldman L., Pineda M.,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Vay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C.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Comparative in vitro efficacies of ethanol-, EDTA- and levofloxacin-based catheter lock solutions on eradication of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Stenotrophomonas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maltophilia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biofilms // Journal of medical microbiology. – 2012. – Vol. 61. – P. 1248 – 1253.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Safdar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N. and Maki D.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The pathogenesis of catheter-related bloodstream infection with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noncuffed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short-term central venous catheters // Intensive care med. – 2004. – Vol. 30. – P. 62 – 67.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Shanks 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Donegan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N., Graber M., Buckingham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Heparin stimulates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Staphylococcus aureus </w:t>
      </w:r>
      <w:r>
        <w:rPr>
          <w:rFonts w:ascii="Times New Roman" w:hAnsi="Times New Roman" w:cs="Times New Roman"/>
          <w:sz w:val="28"/>
          <w:szCs w:val="28"/>
          <w:lang w:val="en-US"/>
        </w:rPr>
        <w:t>biofilm formation // Infection and immunity. – 2005. – Vol. 73, №8. – P. 4696 – 4705.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>Stojiljkovic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I., Kumar V. and Srinivasan N.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Non-iron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metalloporphyrins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: potent antibacterial compounds that exploit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haem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>/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en-US"/>
        </w:rPr>
        <w:t>Hb</w:t>
      </w:r>
      <w:proofErr w:type="spell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uptake systems of pathogenic bacteria // Molecular microbiology. – 1999. –Vol. 31,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№ 2 –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P. 429 – 442.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Stojilkovic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I.,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Evavold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B., Kumar 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Antimicrobial properties of porphyrins // Exp.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Opin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Invest. Drugs. – 2011. – Vol. 10,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№8. – </w:t>
      </w:r>
      <w:r>
        <w:rPr>
          <w:rFonts w:ascii="Times New Roman" w:hAnsi="Times New Roman" w:cs="Times New Roman"/>
          <w:sz w:val="28"/>
          <w:szCs w:val="28"/>
          <w:lang w:val="en-US"/>
        </w:rPr>
        <w:t>P. 309 – 320.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>Sudheendra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K. R.,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Basavaraj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P. 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Analysis of antibiotic sensitivity profile of biofilm-forming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uropathogenic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Escherichia coli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J. Nat. Sc. Biol. Med. – 2018. – Vol. 9, – P. 5-9.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Tasse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J.,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Croisier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Badel-Berchoux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Chavanet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Preliminary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results of a new antibiotic susceptibility test against biofilm installation in device associated infections: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antibiofilmogram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Pathogens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en-US"/>
        </w:rPr>
        <w:t xml:space="preserve"> and disease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. – 2016. – Vol. 6. – P. 6 – 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NimbusRomNo9L-Medi" w:hAnsi="NimbusRomNo9L-Medi" w:cs="NimbusRomNo9L-Medi"/>
          <w:i/>
          <w:sz w:val="28"/>
          <w:szCs w:val="28"/>
          <w:lang w:val="en-US"/>
        </w:rPr>
        <w:t>Vale J.</w:t>
      </w:r>
      <w:r>
        <w:rPr>
          <w:rFonts w:ascii="NimbusRomNo9L-Medi" w:hAnsi="NimbusRomNo9L-Medi" w:cs="NimbusRomNo9L-Medi"/>
          <w:sz w:val="28"/>
          <w:szCs w:val="28"/>
          <w:lang w:val="en-US"/>
        </w:rPr>
        <w:t xml:space="preserve"> The use of phytochemicals with EDTA as catheter lock solutions // </w:t>
      </w:r>
      <w:proofErr w:type="spellStart"/>
      <w:r>
        <w:rPr>
          <w:rFonts w:ascii="NimbusRomNo9L-Regu" w:hAnsi="NimbusRomNo9L-Regu" w:cs="NimbusRomNo9L-Regu"/>
          <w:sz w:val="28"/>
          <w:szCs w:val="28"/>
          <w:lang w:val="en-US"/>
        </w:rPr>
        <w:t>Mestrado</w:t>
      </w:r>
      <w:proofErr w:type="spellEnd"/>
      <w:r>
        <w:rPr>
          <w:rFonts w:ascii="NimbusRomNo9L-Regu" w:hAnsi="NimbusRomNo9L-Regu" w:cs="NimbusRomNo9L-Regu"/>
          <w:sz w:val="28"/>
          <w:szCs w:val="28"/>
          <w:lang w:val="en-US"/>
        </w:rPr>
        <w:t xml:space="preserve"> </w:t>
      </w:r>
      <w:proofErr w:type="spellStart"/>
      <w:r>
        <w:rPr>
          <w:rFonts w:ascii="NimbusRomNo9L-Regu" w:hAnsi="NimbusRomNo9L-Regu" w:cs="NimbusRomNo9L-Regu"/>
          <w:sz w:val="28"/>
          <w:szCs w:val="28"/>
          <w:lang w:val="en-US"/>
        </w:rPr>
        <w:t>Integrado</w:t>
      </w:r>
      <w:proofErr w:type="spellEnd"/>
      <w:r>
        <w:rPr>
          <w:rFonts w:ascii="NimbusRomNo9L-Regu" w:hAnsi="NimbusRomNo9L-Regu" w:cs="NimbusRomNo9L-Regu"/>
          <w:sz w:val="28"/>
          <w:szCs w:val="28"/>
          <w:lang w:val="en-US"/>
        </w:rPr>
        <w:t xml:space="preserve"> </w:t>
      </w:r>
      <w:proofErr w:type="spellStart"/>
      <w:r>
        <w:rPr>
          <w:rFonts w:ascii="NimbusRomNo9L-Regu" w:hAnsi="NimbusRomNo9L-Regu" w:cs="NimbusRomNo9L-Regu"/>
          <w:sz w:val="28"/>
          <w:szCs w:val="28"/>
          <w:lang w:val="en-US"/>
        </w:rPr>
        <w:t>em</w:t>
      </w:r>
      <w:proofErr w:type="spellEnd"/>
      <w:r>
        <w:rPr>
          <w:rFonts w:ascii="NimbusRomNo9L-Regu" w:hAnsi="NimbusRomNo9L-Regu" w:cs="NimbusRomNo9L-Regu"/>
          <w:sz w:val="28"/>
          <w:szCs w:val="28"/>
          <w:lang w:val="en-US"/>
        </w:rPr>
        <w:t xml:space="preserve"> </w:t>
      </w:r>
      <w:proofErr w:type="spellStart"/>
      <w:r>
        <w:rPr>
          <w:rFonts w:ascii="NimbusRomNo9L-Regu" w:hAnsi="NimbusRomNo9L-Regu" w:cs="NimbusRomNo9L-Regu"/>
          <w:sz w:val="28"/>
          <w:szCs w:val="28"/>
          <w:lang w:val="en-US"/>
        </w:rPr>
        <w:t>Bioengenharia</w:t>
      </w:r>
      <w:proofErr w:type="spellEnd"/>
      <w:r>
        <w:rPr>
          <w:rFonts w:ascii="NimbusRomNo9L-Regu" w:hAnsi="NimbusRomNo9L-Regu" w:cs="NimbusRomNo9L-Regu"/>
          <w:sz w:val="28"/>
          <w:szCs w:val="28"/>
          <w:lang w:val="en-US"/>
        </w:rPr>
        <w:t>. – 2017. – P. 1 – 50.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Wu Y. and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Outten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W.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IscR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controls iron-dependent biofilm formation in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Escherichia coli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by regulating type I fimbria expression // Journal of bacteriology. – 2009. – Vol. 191, </w:t>
      </w:r>
      <w:r>
        <w:rPr>
          <w:rFonts w:ascii="Times New Roman" w:hAnsi="Times New Roman" w:cs="Times New Roman"/>
          <w:sz w:val="28"/>
          <w:szCs w:val="28"/>
          <w:lang w:val="uk-UA"/>
        </w:rPr>
        <w:t>№4</w:t>
      </w:r>
      <w:r>
        <w:rPr>
          <w:rFonts w:ascii="Times New Roman" w:hAnsi="Times New Roman" w:cs="Times New Roman"/>
          <w:sz w:val="28"/>
          <w:szCs w:val="28"/>
          <w:lang w:val="en-US"/>
        </w:rPr>
        <w:t>. – P. 1248 – 1257.</w:t>
      </w:r>
    </w:p>
    <w:p w:rsidR="001240E4" w:rsidRDefault="001240E4" w:rsidP="001240E4">
      <w:pPr>
        <w:pStyle w:val="a3"/>
        <w:numPr>
          <w:ilvl w:val="0"/>
          <w:numId w:val="3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Yousif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A., Jamal M. and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Raad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I. </w:t>
      </w:r>
      <w:r>
        <w:rPr>
          <w:rFonts w:ascii="Times New Roman" w:hAnsi="Times New Roman" w:cs="Times New Roman"/>
          <w:sz w:val="28"/>
          <w:szCs w:val="28"/>
          <w:lang w:val="en-US"/>
        </w:rPr>
        <w:t>Biofilm-based central line-associated bloodstream infections // Advances in Experimental Medicine and Biology. – 2015. – Vol. 1. – P. 157 – 168.</w:t>
      </w:r>
    </w:p>
    <w:p w:rsidR="001240E4" w:rsidRPr="001240E4" w:rsidRDefault="001240E4">
      <w:pPr>
        <w:rPr>
          <w:lang w:val="uk-UA"/>
        </w:rPr>
      </w:pPr>
      <w:bookmarkStart w:id="0" w:name="_GoBack"/>
      <w:bookmarkEnd w:id="0"/>
    </w:p>
    <w:sectPr w:rsidR="001240E4" w:rsidRPr="001240E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dvTimes-b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dvT001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utch801BT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SGulliver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imbusRomNo9L-Medi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imbusRomNo9L-Regu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C3419"/>
    <w:multiLevelType w:val="hybridMultilevel"/>
    <w:tmpl w:val="C3D8B1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05DFD"/>
    <w:multiLevelType w:val="hybridMultilevel"/>
    <w:tmpl w:val="C3D8B1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CC19BA"/>
    <w:multiLevelType w:val="hybridMultilevel"/>
    <w:tmpl w:val="B3CE88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9D1"/>
    <w:rsid w:val="001240E4"/>
    <w:rsid w:val="001620BB"/>
    <w:rsid w:val="009F1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0E4"/>
    <w:rPr>
      <w:rFonts w:ascii="Calibri" w:eastAsia="Times New Roman" w:hAnsi="Calibri" w:cs="Arial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40E4"/>
    <w:pPr>
      <w:ind w:left="720"/>
      <w:contextualSpacing/>
    </w:pPr>
    <w:rPr>
      <w:rFonts w:eastAsia="Calibri"/>
      <w:lang w:eastAsia="en-US"/>
    </w:rPr>
  </w:style>
  <w:style w:type="paragraph" w:customStyle="1" w:styleId="Standard">
    <w:name w:val="Standard"/>
    <w:rsid w:val="001240E4"/>
    <w:pPr>
      <w:suppressAutoHyphens/>
      <w:autoSpaceDN w:val="0"/>
      <w:spacing w:after="160" w:line="254" w:lineRule="auto"/>
    </w:pPr>
    <w:rPr>
      <w:rFonts w:ascii="Calibri" w:eastAsia="Calibri" w:hAnsi="Calibri" w:cs="Arial"/>
      <w:kern w:val="3"/>
      <w:lang w:val="ru-RU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0E4"/>
    <w:rPr>
      <w:rFonts w:ascii="Calibri" w:eastAsia="Times New Roman" w:hAnsi="Calibri" w:cs="Arial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40E4"/>
    <w:pPr>
      <w:ind w:left="720"/>
      <w:contextualSpacing/>
    </w:pPr>
    <w:rPr>
      <w:rFonts w:eastAsia="Calibri"/>
      <w:lang w:eastAsia="en-US"/>
    </w:rPr>
  </w:style>
  <w:style w:type="paragraph" w:customStyle="1" w:styleId="Standard">
    <w:name w:val="Standard"/>
    <w:rsid w:val="001240E4"/>
    <w:pPr>
      <w:suppressAutoHyphens/>
      <w:autoSpaceDN w:val="0"/>
      <w:spacing w:after="160" w:line="254" w:lineRule="auto"/>
    </w:pPr>
    <w:rPr>
      <w:rFonts w:ascii="Calibri" w:eastAsia="Calibri" w:hAnsi="Calibri" w:cs="Arial"/>
      <w:kern w:val="3"/>
      <w:lang w:val="ru-RU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36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14498</Words>
  <Characters>8264</Characters>
  <Application>Microsoft Office Word</Application>
  <DocSecurity>0</DocSecurity>
  <Lines>68</Lines>
  <Paragraphs>45</Paragraphs>
  <ScaleCrop>false</ScaleCrop>
  <Company/>
  <LinksUpToDate>false</LinksUpToDate>
  <CharactersWithSpaces>22717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2020-01-08T13:16:00Z</dcterms:created>
  <dcterms:modified xsi:type="dcterms:W3CDTF">2020-01-08T13:18:00Z</dcterms:modified>
</cp:coreProperties>
</file>