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embeddings/_____Microsoft_Excel2.xlsx" ContentType="application/vnd.openxmlformats-officedocument.spreadsheetml.sheet"/>
  <Override PartName="/word/embeddings/_____Microsoft_Excel5.xlsx" ContentType="application/vnd.openxmlformats-officedocument.spreadsheetml.sheet"/>
  <Override PartName="/word/embeddings/_____Microsoft_Excel1.xlsx" ContentType="application/vnd.openxmlformats-officedocument.spreadsheetml.sheet"/>
  <Override PartName="/word/embeddings/_____Microsoft_Excel4.xlsx" ContentType="application/vnd.openxmlformats-officedocument.spreadsheetml.sheet"/>
  <Override PartName="/word/embeddings/_____Microsoft_Excel6.xlsx" ContentType="application/vnd.openxmlformats-officedocument.spreadsheetml.sheet"/>
  <Override PartName="/word/embeddings/_____Microsoft_Excel3.xlsx" ContentType="application/vnd.openxmlformats-officedocument.spreadsheetml.sheet"/>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true"/>
        <w:numPr>
          <w:ilvl w:val="0"/>
          <w:numId w:val="0"/>
        </w:numPr>
        <w:spacing w:lineRule="auto" w:line="300" w:before="0" w:after="0"/>
        <w:jc w:val="center"/>
        <w:outlineLvl w:val="0"/>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Одеський національний університет імені </w:t>
      </w:r>
      <w:r>
        <w:rPr>
          <w:rFonts w:ascii="Times New Roman" w:hAnsi="Times New Roman"/>
          <w:caps/>
          <w:kern w:val="2"/>
          <w:sz w:val="28"/>
          <w:szCs w:val="28"/>
          <w:lang w:val="uk-UA" w:eastAsia="ru-RU"/>
        </w:rPr>
        <w:t>і. і. м</w:t>
      </w:r>
      <w:r>
        <w:rPr>
          <w:rFonts w:ascii="Times New Roman" w:hAnsi="Times New Roman"/>
          <w:kern w:val="2"/>
          <w:sz w:val="28"/>
          <w:szCs w:val="28"/>
          <w:lang w:val="uk-UA" w:eastAsia="ru-RU"/>
        </w:rPr>
        <w:t>ечникова</w:t>
      </w:r>
    </w:p>
    <w:p>
      <w:pPr>
        <w:pStyle w:val="Normal"/>
        <w:widowControl w:val="false"/>
        <w:spacing w:lineRule="auto" w:line="300" w:before="0" w:after="0"/>
        <w:jc w:val="center"/>
        <w:rPr>
          <w:rFonts w:ascii="Times New Roman" w:hAnsi="Times New Roman"/>
          <w:bCs/>
          <w:sz w:val="28"/>
          <w:szCs w:val="28"/>
          <w:lang w:val="uk-UA" w:eastAsia="ru-RU"/>
        </w:rPr>
      </w:pPr>
      <w:r>
        <w:rPr>
          <w:rFonts w:ascii="Times New Roman" w:hAnsi="Times New Roman"/>
          <w:bCs/>
          <w:sz w:val="28"/>
          <w:szCs w:val="28"/>
          <w:lang w:val="uk-UA" w:eastAsia="ru-RU"/>
        </w:rPr>
        <w:t>Факультет міжнародних відносин, політології та соціології</w:t>
      </w:r>
    </w:p>
    <w:p>
      <w:pPr>
        <w:pStyle w:val="Normal"/>
        <w:widowControl w:val="false"/>
        <w:spacing w:lineRule="auto" w:line="300" w:before="0" w:after="0"/>
        <w:jc w:val="center"/>
        <w:rPr>
          <w:rFonts w:ascii="Times New Roman" w:hAnsi="Times New Roman"/>
          <w:sz w:val="28"/>
          <w:szCs w:val="28"/>
          <w:lang w:val="uk-UA" w:eastAsia="ru-RU"/>
        </w:rPr>
      </w:pPr>
      <w:r>
        <w:rPr>
          <w:rFonts w:ascii="Times New Roman" w:hAnsi="Times New Roman"/>
          <w:sz w:val="28"/>
          <w:szCs w:val="28"/>
          <w:lang w:val="uk-UA" w:eastAsia="ru-RU"/>
        </w:rPr>
        <w:t>Кафедра світового господарства і міжнародних економічних  відносин</w:t>
      </w:r>
    </w:p>
    <w:p>
      <w:pPr>
        <w:pStyle w:val="Normal"/>
        <w:widowControl w:val="false"/>
        <w:spacing w:lineRule="auto" w:line="24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pacing w:lineRule="auto" w:line="240" w:before="0" w:after="0"/>
        <w:jc w:val="both"/>
        <w:rPr>
          <w:rFonts w:ascii="Times New Roman" w:hAnsi="Times New Roman"/>
          <w:b/>
          <w:b/>
          <w:color w:val="000000"/>
          <w:sz w:val="28"/>
          <w:szCs w:val="28"/>
          <w:lang w:val="uk-UA" w:eastAsia="ru-RU"/>
        </w:rPr>
      </w:pPr>
      <w:r>
        <w:rPr>
          <w:rFonts w:ascii="Times New Roman" w:hAnsi="Times New Roman"/>
          <w:b/>
          <w:color w:val="000000"/>
          <w:sz w:val="28"/>
          <w:szCs w:val="28"/>
          <w:lang w:val="uk-UA" w:eastAsia="ru-RU"/>
        </w:rPr>
      </w:r>
    </w:p>
    <w:p>
      <w:pPr>
        <w:pStyle w:val="Normal"/>
        <w:widowControl w:val="false"/>
        <w:spacing w:lineRule="auto" w:line="240" w:before="0" w:after="0"/>
        <w:jc w:val="both"/>
        <w:rPr>
          <w:rFonts w:ascii="Times New Roman" w:hAnsi="Times New Roman"/>
          <w:b/>
          <w:b/>
          <w:color w:val="000000"/>
          <w:sz w:val="28"/>
          <w:szCs w:val="28"/>
          <w:lang w:val="uk-UA" w:eastAsia="ru-RU"/>
        </w:rPr>
      </w:pPr>
      <w:r>
        <w:rPr>
          <w:rFonts w:ascii="Times New Roman" w:hAnsi="Times New Roman"/>
          <w:b/>
          <w:color w:val="000000"/>
          <w:sz w:val="28"/>
          <w:szCs w:val="28"/>
          <w:lang w:val="uk-UA" w:eastAsia="ru-RU"/>
        </w:rPr>
      </w:r>
    </w:p>
    <w:p>
      <w:pPr>
        <w:pStyle w:val="Normal"/>
        <w:widowControl w:val="false"/>
        <w:spacing w:lineRule="auto" w:line="240" w:before="0" w:after="0"/>
        <w:jc w:val="both"/>
        <w:rPr>
          <w:rFonts w:ascii="Times New Roman" w:hAnsi="Times New Roman"/>
          <w:b/>
          <w:b/>
          <w:color w:val="000000"/>
          <w:sz w:val="28"/>
          <w:szCs w:val="28"/>
          <w:lang w:val="uk-UA" w:eastAsia="ru-RU"/>
        </w:rPr>
      </w:pPr>
      <w:r>
        <w:rPr>
          <w:rFonts w:ascii="Times New Roman" w:hAnsi="Times New Roman"/>
          <w:b/>
          <w:color w:val="000000"/>
          <w:sz w:val="28"/>
          <w:szCs w:val="28"/>
          <w:lang w:val="uk-UA" w:eastAsia="ru-RU"/>
        </w:rPr>
      </w:r>
    </w:p>
    <w:p>
      <w:pPr>
        <w:pStyle w:val="Normal"/>
        <w:widowControl w:val="false"/>
        <w:spacing w:lineRule="auto" w:line="240" w:before="0" w:after="0"/>
        <w:jc w:val="both"/>
        <w:rPr>
          <w:rFonts w:ascii="Times New Roman" w:hAnsi="Times New Roman"/>
          <w:b/>
          <w:b/>
          <w:color w:val="000000"/>
          <w:sz w:val="28"/>
          <w:szCs w:val="28"/>
          <w:lang w:val="uk-UA" w:eastAsia="ru-RU"/>
        </w:rPr>
      </w:pPr>
      <w:r>
        <w:rPr>
          <w:rFonts w:ascii="Times New Roman" w:hAnsi="Times New Roman"/>
          <w:b/>
          <w:color w:val="000000"/>
          <w:sz w:val="28"/>
          <w:szCs w:val="28"/>
          <w:lang w:val="uk-UA" w:eastAsia="ru-RU"/>
        </w:rPr>
      </w:r>
    </w:p>
    <w:p>
      <w:pPr>
        <w:pStyle w:val="Normal"/>
        <w:widowControl w:val="false"/>
        <w:spacing w:lineRule="auto" w:line="360" w:before="0" w:after="0"/>
        <w:jc w:val="center"/>
        <w:rPr>
          <w:rFonts w:ascii="Times New Roman" w:hAnsi="Times New Roman"/>
          <w:b/>
          <w:b/>
          <w:color w:val="000000"/>
          <w:sz w:val="28"/>
          <w:szCs w:val="28"/>
          <w:lang w:val="uk-UA" w:eastAsia="ru-RU"/>
        </w:rPr>
      </w:pPr>
      <w:r>
        <w:rPr>
          <w:rFonts w:ascii="Times New Roman" w:hAnsi="Times New Roman"/>
          <w:b/>
          <w:color w:val="000000"/>
          <w:sz w:val="28"/>
          <w:szCs w:val="28"/>
          <w:lang w:val="uk-UA" w:eastAsia="ru-RU"/>
        </w:rPr>
        <w:t>ДИПЛОМНА РОБОТА</w:t>
      </w:r>
    </w:p>
    <w:p>
      <w:pPr>
        <w:pStyle w:val="Normal"/>
        <w:widowControl w:val="false"/>
        <w:spacing w:lineRule="auto" w:line="360" w:before="0" w:after="0"/>
        <w:jc w:val="center"/>
        <w:rPr>
          <w:rFonts w:ascii="Times New Roman" w:hAnsi="Times New Roman"/>
          <w:color w:val="000000"/>
          <w:sz w:val="28"/>
          <w:szCs w:val="28"/>
          <w:lang w:val="uk-UA" w:eastAsia="ru-RU"/>
        </w:rPr>
      </w:pPr>
      <w:r>
        <w:rPr>
          <w:rFonts w:ascii="Times New Roman" w:hAnsi="Times New Roman"/>
          <w:color w:val="000000"/>
          <w:sz w:val="28"/>
          <w:szCs w:val="28"/>
          <w:lang w:val="uk-UA" w:eastAsia="ru-RU"/>
        </w:rPr>
        <w:t>на здобуття ступеня вищої освіти «магістр»</w:t>
      </w:r>
    </w:p>
    <w:p>
      <w:pPr>
        <w:pStyle w:val="Normal"/>
        <w:widowControl w:val="false"/>
        <w:spacing w:lineRule="auto" w:line="360" w:before="0" w:after="0"/>
        <w:jc w:val="center"/>
        <w:rPr>
          <w:rFonts w:ascii="Times New Roman" w:hAnsi="Times New Roman"/>
          <w:b/>
          <w:b/>
          <w:color w:val="000000"/>
          <w:sz w:val="28"/>
          <w:szCs w:val="28"/>
          <w:lang w:val="uk-UA" w:eastAsia="ru-RU"/>
        </w:rPr>
      </w:pPr>
      <w:r>
        <w:rPr>
          <w:rFonts w:ascii="Times New Roman" w:hAnsi="Times New Roman"/>
          <w:b/>
          <w:color w:val="000000"/>
          <w:sz w:val="28"/>
          <w:szCs w:val="28"/>
          <w:lang w:val="uk-UA" w:eastAsia="ru-RU"/>
        </w:rPr>
        <w:t>на тему: «</w:t>
      </w:r>
      <w:r>
        <w:rPr>
          <w:rFonts w:ascii="Times New Roman" w:hAnsi="Times New Roman"/>
          <w:b/>
          <w:sz w:val="28"/>
          <w:szCs w:val="28"/>
          <w:lang w:val="uk-UA" w:eastAsia="uk-UA"/>
        </w:rPr>
        <w:t>Динаміка та структура державного боргу країн Південної Європи</w:t>
      </w:r>
      <w:r>
        <w:rPr>
          <w:rFonts w:ascii="Times New Roman" w:hAnsi="Times New Roman"/>
          <w:b/>
          <w:color w:val="000000"/>
          <w:sz w:val="28"/>
          <w:szCs w:val="28"/>
          <w:lang w:val="uk-UA" w:eastAsia="ru-RU"/>
        </w:rPr>
        <w:t xml:space="preserve">»  </w:t>
      </w:r>
    </w:p>
    <w:p>
      <w:pPr>
        <w:pStyle w:val="Normal"/>
        <w:widowControl w:val="false"/>
        <w:spacing w:lineRule="auto" w:line="360" w:before="0" w:after="0"/>
        <w:jc w:val="center"/>
        <w:rPr>
          <w:rFonts w:ascii="Times New Roman" w:hAnsi="Times New Roman"/>
          <w:bCs/>
          <w:color w:val="000000"/>
          <w:sz w:val="24"/>
          <w:szCs w:val="24"/>
          <w:lang w:val="uk-UA" w:eastAsia="ru-RU"/>
        </w:rPr>
      </w:pPr>
      <w:r>
        <w:rPr>
          <w:rFonts w:ascii="Times New Roman" w:hAnsi="Times New Roman"/>
          <w:bCs/>
          <w:color w:val="000000"/>
          <w:sz w:val="24"/>
          <w:szCs w:val="24"/>
          <w:lang w:val="uk-UA" w:eastAsia="ru-RU"/>
        </w:rPr>
        <w:t>«</w:t>
      </w:r>
      <w:r>
        <w:rPr>
          <w:rFonts w:ascii="Times New Roman" w:hAnsi="Times New Roman"/>
          <w:sz w:val="24"/>
          <w:szCs w:val="24"/>
          <w:lang w:val="uk-UA"/>
        </w:rPr>
        <w:t>Dynamics and Structure of Public Debt of Southern Europe Countries</w:t>
      </w:r>
      <w:r>
        <w:rPr>
          <w:rFonts w:ascii="Times New Roman" w:hAnsi="Times New Roman"/>
          <w:bCs/>
          <w:color w:val="000000"/>
          <w:sz w:val="24"/>
          <w:szCs w:val="24"/>
          <w:lang w:val="uk-UA" w:eastAsia="ru-RU"/>
        </w:rPr>
        <w:t xml:space="preserve">» </w:t>
      </w:r>
    </w:p>
    <w:p>
      <w:pPr>
        <w:pStyle w:val="Normal"/>
        <w:widowControl w:val="false"/>
        <w:spacing w:lineRule="auto" w:line="240" w:before="0" w:after="0"/>
        <w:jc w:val="center"/>
        <w:rPr>
          <w:rFonts w:ascii="Times New Roman" w:hAnsi="Times New Roman"/>
          <w:b/>
          <w:b/>
          <w:color w:val="000000"/>
          <w:sz w:val="28"/>
          <w:szCs w:val="28"/>
          <w:lang w:val="uk-UA" w:eastAsia="ru-RU"/>
        </w:rPr>
      </w:pPr>
      <w:r>
        <w:rPr>
          <w:rFonts w:ascii="Times New Roman" w:hAnsi="Times New Roman"/>
          <w:b/>
          <w:color w:val="000000"/>
          <w:sz w:val="28"/>
          <w:szCs w:val="28"/>
          <w:lang w:val="uk-UA" w:eastAsia="ru-RU"/>
        </w:rPr>
      </w:r>
    </w:p>
    <w:tbl>
      <w:tblPr>
        <w:tblW w:w="8022" w:type="dxa"/>
        <w:jc w:val="left"/>
        <w:tblInd w:w="1549" w:type="dxa"/>
        <w:tblLayout w:type="fixed"/>
        <w:tblCellMar>
          <w:top w:w="0" w:type="dxa"/>
          <w:left w:w="108" w:type="dxa"/>
          <w:bottom w:w="0" w:type="dxa"/>
          <w:right w:w="108" w:type="dxa"/>
        </w:tblCellMar>
        <w:tblLook w:firstRow="0" w:noVBand="0" w:lastRow="0" w:firstColumn="0" w:lastColumn="0" w:noHBand="0" w:val="0000"/>
      </w:tblPr>
      <w:tblGrid>
        <w:gridCol w:w="8022"/>
      </w:tblGrid>
      <w:tr>
        <w:trPr>
          <w:trHeight w:val="3190" w:hRule="atLeast"/>
        </w:trPr>
        <w:tc>
          <w:tcPr>
            <w:tcW w:w="8022" w:type="dxa"/>
            <w:tcBorders/>
          </w:tcPr>
          <w:p>
            <w:pPr>
              <w:pStyle w:val="Normal"/>
              <w:widowControl w:val="false"/>
              <w:tabs>
                <w:tab w:val="clear" w:pos="708"/>
                <w:tab w:val="left" w:pos="882" w:leader="none"/>
              </w:tabs>
              <w:spacing w:lineRule="auto" w:line="240" w:before="0" w:after="0"/>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tabs>
                <w:tab w:val="clear" w:pos="708"/>
                <w:tab w:val="left" w:pos="882" w:leader="none"/>
              </w:tabs>
              <w:spacing w:lineRule="auto" w:line="240" w:before="0" w:after="0"/>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pacing w:lineRule="auto" w:line="300" w:before="0" w:after="0"/>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Виконала: студентка денної форми навчання</w:t>
            </w:r>
          </w:p>
          <w:p>
            <w:pPr>
              <w:pStyle w:val="Normal"/>
              <w:widowControl w:val="false"/>
              <w:spacing w:lineRule="auto" w:line="300" w:before="0" w:after="0"/>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спеціальності 292 «Міжнародні економічні відносини</w:t>
            </w:r>
            <w:r>
              <w:rPr>
                <w:rFonts w:ascii="Times New Roman" w:hAnsi="Times New Roman"/>
                <w:color w:val="000000"/>
                <w:sz w:val="28"/>
                <w:szCs w:val="28"/>
                <w:lang w:val="uk-UA" w:eastAsia="uk-UA"/>
              </w:rPr>
              <w:t>»</w:t>
            </w:r>
          </w:p>
          <w:p>
            <w:pPr>
              <w:pStyle w:val="Normal"/>
              <w:widowControl w:val="false"/>
              <w:spacing w:lineRule="auto" w:line="300" w:before="0" w:after="0"/>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Pr>
                <w:rFonts w:eastAsia="Times New Roman" w:ascii="Times New Roman" w:hAnsi="Times New Roman"/>
                <w:sz w:val="28"/>
                <w:szCs w:val="28"/>
                <w:lang w:val="uk-UA"/>
              </w:rPr>
              <w:t>Переверзєва Анастасія Сергіївна</w:t>
            </w:r>
          </w:p>
          <w:p>
            <w:pPr>
              <w:pStyle w:val="Normal"/>
              <w:widowControl w:val="false"/>
              <w:spacing w:lineRule="auto" w:line="240" w:before="0" w:after="0"/>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pacing w:lineRule="auto" w:line="240" w:before="0" w:after="0"/>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Керівник – д.е.н., проф. Якубовський С.О.__________</w:t>
            </w:r>
          </w:p>
          <w:p>
            <w:pPr>
              <w:pStyle w:val="Normal"/>
              <w:widowControl w:val="false"/>
              <w:spacing w:lineRule="auto" w:line="240" w:before="0" w:after="0"/>
              <w:rPr>
                <w:rFonts w:ascii="Times New Roman" w:hAnsi="Times New Roman"/>
                <w:color w:val="000000"/>
                <w:sz w:val="20"/>
                <w:szCs w:val="20"/>
                <w:lang w:val="uk-UA" w:eastAsia="ru-RU"/>
              </w:rPr>
            </w:pPr>
            <w:r>
              <w:rPr>
                <w:rFonts w:ascii="Times New Roman" w:hAnsi="Times New Roman"/>
                <w:color w:val="000000"/>
                <w:sz w:val="20"/>
                <w:szCs w:val="20"/>
                <w:lang w:val="uk-UA" w:eastAsia="ru-RU"/>
              </w:rPr>
            </w:r>
          </w:p>
          <w:p>
            <w:pPr>
              <w:pStyle w:val="Normal"/>
              <w:widowControl w:val="false"/>
              <w:spacing w:lineRule="auto" w:line="240" w:before="0" w:after="0"/>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pacing w:lineRule="auto" w:line="240" w:before="0" w:after="0"/>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Рецензент – доц., д.е.н. Робул Ю. В.</w:t>
            </w:r>
          </w:p>
        </w:tc>
      </w:tr>
    </w:tbl>
    <w:p>
      <w:pPr>
        <w:pStyle w:val="Normal"/>
        <w:widowControl w:val="false"/>
        <w:spacing w:lineRule="auto" w:line="240" w:before="0" w:after="0"/>
        <w:jc w:val="center"/>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pacing w:lineRule="auto" w:line="24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pacing w:lineRule="auto" w:line="240" w:before="0" w:after="0"/>
        <w:ind w:left="-567" w:hanging="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pacing w:lineRule="auto" w:line="360" w:before="0" w:after="120"/>
        <w:ind w:left="-567" w:hanging="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Рекомендовано до захисту:                                Захищено на засіданні ЕК №  </w:t>
      </w:r>
    </w:p>
    <w:p>
      <w:pPr>
        <w:pStyle w:val="Normal"/>
        <w:widowControl w:val="false"/>
        <w:spacing w:lineRule="auto" w:line="360" w:before="0" w:after="0"/>
        <w:ind w:left="-567" w:hanging="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Протокол засідання кафедри                                протокол №__ від «__»____ 2021 р.</w:t>
      </w:r>
    </w:p>
    <w:p>
      <w:pPr>
        <w:pStyle w:val="Normal"/>
        <w:widowControl w:val="false"/>
        <w:spacing w:lineRule="auto" w:line="360" w:before="0" w:after="120"/>
        <w:ind w:left="-567" w:hanging="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 xml:space="preserve">_ від «__» _____ 2021 р.                                   Оцінка___________/______/______                         </w:t>
      </w:r>
    </w:p>
    <w:p>
      <w:pPr>
        <w:pStyle w:val="Normal"/>
        <w:widowControl w:val="false"/>
        <w:spacing w:lineRule="auto" w:line="360" w:before="0" w:after="0"/>
        <w:ind w:left="-567" w:hanging="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Завідувач кафедри______С.О. Якубовський     Голова ЕК______ С.О. Якубовський</w:t>
      </w:r>
    </w:p>
    <w:p>
      <w:pPr>
        <w:pStyle w:val="Normal"/>
        <w:widowControl w:val="false"/>
        <w:spacing w:lineRule="auto" w:line="24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pacing w:lineRule="auto" w:line="24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pacing w:lineRule="auto" w:line="24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pacing w:lineRule="auto" w:line="24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pacing w:lineRule="auto" w:line="24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pacing w:lineRule="auto" w:line="24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pacing w:lineRule="auto" w:line="24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pacing w:lineRule="auto" w:line="240" w:before="0" w:after="0"/>
        <w:jc w:val="center"/>
        <w:rPr>
          <w:rFonts w:ascii="Times New Roman" w:hAnsi="Times New Roman"/>
          <w:bCs/>
          <w:color w:val="000000"/>
          <w:sz w:val="28"/>
          <w:szCs w:val="28"/>
          <w:lang w:val="uk-UA" w:eastAsia="ru-RU"/>
        </w:rPr>
      </w:pPr>
      <w:r>
        <w:rPr>
          <w:rFonts w:ascii="Times New Roman" w:hAnsi="Times New Roman"/>
          <w:bCs/>
          <w:color w:val="000000"/>
          <w:sz w:val="28"/>
          <w:szCs w:val="28"/>
          <w:lang w:val="uk-UA" w:eastAsia="ru-RU"/>
        </w:rPr>
        <w:t>Одеса – 2021</w:t>
      </w:r>
    </w:p>
    <w:p>
      <w:pPr>
        <w:pStyle w:val="Normal"/>
        <w:widowControl w:val="false"/>
        <w:spacing w:lineRule="auto" w:line="240" w:before="0" w:after="0"/>
        <w:jc w:val="center"/>
        <w:rPr>
          <w:rFonts w:ascii="Times New Roman" w:hAnsi="Times New Roman"/>
          <w:b/>
          <w:b/>
          <w:bCs/>
          <w:color w:val="000000"/>
          <w:sz w:val="28"/>
          <w:szCs w:val="28"/>
          <w:lang w:val="uk-UA" w:eastAsia="ru-RU"/>
        </w:rPr>
      </w:pPr>
      <w:r>
        <w:rPr>
          <w:rFonts w:ascii="Times New Roman" w:hAnsi="Times New Roman"/>
          <w:b/>
          <w:bCs/>
          <w:color w:val="000000"/>
          <w:sz w:val="28"/>
          <w:szCs w:val="28"/>
          <w:lang w:val="uk-UA" w:eastAsia="ru-RU"/>
        </w:rPr>
        <w:t>ЗМІСТ</w:t>
      </w:r>
    </w:p>
    <w:p>
      <w:pPr>
        <w:pStyle w:val="Normal"/>
        <w:widowControl w:val="false"/>
        <w:spacing w:lineRule="auto" w:line="240" w:before="0" w:after="0"/>
        <w:jc w:val="center"/>
        <w:rPr>
          <w:rFonts w:ascii="Times New Roman" w:hAnsi="Times New Roman"/>
          <w:b/>
          <w:b/>
          <w:bCs/>
          <w:color w:val="000000"/>
          <w:sz w:val="28"/>
          <w:szCs w:val="28"/>
          <w:lang w:val="uk-UA" w:eastAsia="ru-RU"/>
        </w:rPr>
      </w:pPr>
      <w:r>
        <w:rPr>
          <w:rFonts w:ascii="Times New Roman" w:hAnsi="Times New Roman"/>
          <w:b/>
          <w:bCs/>
          <w:color w:val="000000"/>
          <w:sz w:val="28"/>
          <w:szCs w:val="28"/>
          <w:lang w:val="uk-UA" w:eastAsia="ru-RU"/>
        </w:rPr>
      </w:r>
    </w:p>
    <w:tbl>
      <w:tblPr>
        <w:tblW w:w="10221" w:type="dxa"/>
        <w:jc w:val="left"/>
        <w:tblInd w:w="-431" w:type="dxa"/>
        <w:tblLayout w:type="fixed"/>
        <w:tblCellMar>
          <w:top w:w="0" w:type="dxa"/>
          <w:left w:w="108" w:type="dxa"/>
          <w:bottom w:w="0" w:type="dxa"/>
          <w:right w:w="108" w:type="dxa"/>
        </w:tblCellMar>
        <w:tblLook w:firstRow="1" w:noVBand="0" w:lastRow="0" w:firstColumn="1" w:lastColumn="0" w:noHBand="0" w:val="00a0"/>
      </w:tblPr>
      <w:tblGrid>
        <w:gridCol w:w="9725"/>
        <w:gridCol w:w="495"/>
      </w:tblGrid>
      <w:tr>
        <w:trPr/>
        <w:tc>
          <w:tcPr>
            <w:tcW w:w="9725" w:type="dxa"/>
            <w:tcBorders/>
          </w:tcPr>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ВСТУП……………………………………………………………………………...</w:t>
            </w:r>
          </w:p>
        </w:tc>
        <w:tc>
          <w:tcPr>
            <w:tcW w:w="495" w:type="dxa"/>
            <w:tcBorders/>
          </w:tcPr>
          <w:p>
            <w:pPr>
              <w:pStyle w:val="Normal"/>
              <w:widowControl w:val="false"/>
              <w:spacing w:lineRule="auto" w:line="360" w:before="0" w:after="0"/>
              <w:rPr>
                <w:rFonts w:ascii="Times New Roman" w:hAnsi="Times New Roman"/>
                <w:color w:val="000000"/>
                <w:sz w:val="28"/>
                <w:szCs w:val="28"/>
                <w:lang w:val="uk-UA" w:eastAsia="ru-RU"/>
              </w:rPr>
            </w:pPr>
            <w:r>
              <w:rPr>
                <w:rFonts w:ascii="Times New Roman" w:hAnsi="Times New Roman"/>
                <w:color w:val="000000"/>
                <w:sz w:val="28"/>
                <w:szCs w:val="28"/>
                <w:lang w:val="uk-UA" w:eastAsia="ru-RU"/>
              </w:rPr>
              <w:t>3</w:t>
            </w:r>
          </w:p>
        </w:tc>
      </w:tr>
      <w:tr>
        <w:trPr/>
        <w:tc>
          <w:tcPr>
            <w:tcW w:w="9725" w:type="dxa"/>
            <w:tcBorders/>
          </w:tcPr>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РОЗДІЛ 1. ТЕОРЕТИЧНІ ОСНОВИ АНАЛІЗУ СТІЙКОСТІ ФІНАНСОВИХ СИСТЕМ ТА ДЕРЖАВНОГО БОРГУ КРАЇН………………………………..….</w:t>
            </w:r>
          </w:p>
        </w:tc>
        <w:tc>
          <w:tcPr>
            <w:tcW w:w="495" w:type="dxa"/>
            <w:tcBorders/>
          </w:tcPr>
          <w:p>
            <w:pPr>
              <w:pStyle w:val="Normal"/>
              <w:widowControl w:val="false"/>
              <w:spacing w:lineRule="auto" w:line="360" w:before="0" w:after="0"/>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pacing w:lineRule="auto" w:line="360" w:before="0" w:after="0"/>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5</w:t>
            </w:r>
          </w:p>
        </w:tc>
      </w:tr>
      <w:tr>
        <w:trPr/>
        <w:tc>
          <w:tcPr>
            <w:tcW w:w="9725" w:type="dxa"/>
            <w:tcBorders/>
          </w:tcPr>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РОЗДІЛ 2. ДОСЛІДЖЕННЯ ІНДИКАТОРІВ СТАБІЛЬНОСТІ ФІНАНСОВИХ СИСТЕМ, ЗОВНІШНЬОЕКОНОМІЧНИХ ПОЗИЦІЙ ТА ДЕРЖАВНОГО БОРГУ КРАЇН ПІВДЕННОЇ ЄВРОПИ………………………………………….….</w:t>
            </w:r>
          </w:p>
        </w:tc>
        <w:tc>
          <w:tcPr>
            <w:tcW w:w="495" w:type="dxa"/>
            <w:tcBorders/>
          </w:tcPr>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13</w:t>
            </w:r>
          </w:p>
        </w:tc>
      </w:tr>
      <w:tr>
        <w:trPr/>
        <w:tc>
          <w:tcPr>
            <w:tcW w:w="9725" w:type="dxa"/>
            <w:tcBorders/>
          </w:tcPr>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2.1</w:t>
            </w:r>
            <w:r>
              <w:rPr/>
              <w:t xml:space="preserve"> </w:t>
            </w:r>
            <w:r>
              <w:rPr>
                <w:rFonts w:ascii="Times New Roman" w:hAnsi="Times New Roman"/>
                <w:color w:val="000000"/>
                <w:sz w:val="28"/>
                <w:szCs w:val="28"/>
                <w:lang w:val="uk-UA" w:eastAsia="ru-RU"/>
              </w:rPr>
              <w:t>Грошово-кредитна та валютна політика держав Південної Європи як чинник міжнародної конкурентоспроможності країн……………………..………</w:t>
            </w:r>
          </w:p>
        </w:tc>
        <w:tc>
          <w:tcPr>
            <w:tcW w:w="495" w:type="dxa"/>
            <w:tcBorders/>
          </w:tcPr>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13</w:t>
            </w:r>
          </w:p>
        </w:tc>
      </w:tr>
      <w:tr>
        <w:trPr/>
        <w:tc>
          <w:tcPr>
            <w:tcW w:w="9725" w:type="dxa"/>
            <w:tcBorders/>
          </w:tcPr>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2.2. Стан державних фінансів та динаміка державного боргу країн Південної Європи………...…….…………………..…………………………………………....</w:t>
            </w:r>
          </w:p>
        </w:tc>
        <w:tc>
          <w:tcPr>
            <w:tcW w:w="495" w:type="dxa"/>
            <w:tcBorders/>
          </w:tcPr>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22</w:t>
            </w:r>
          </w:p>
        </w:tc>
      </w:tr>
      <w:tr>
        <w:trPr/>
        <w:tc>
          <w:tcPr>
            <w:tcW w:w="9725" w:type="dxa"/>
            <w:tcBorders/>
          </w:tcPr>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2.3. Моделювання та результат операцій «Carry Trade» з державними борговими цінними паперами країн Південної Європи…………………………..</w:t>
            </w:r>
          </w:p>
        </w:tc>
        <w:tc>
          <w:tcPr>
            <w:tcW w:w="495" w:type="dxa"/>
            <w:tcBorders/>
          </w:tcPr>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32</w:t>
            </w:r>
          </w:p>
        </w:tc>
      </w:tr>
      <w:tr>
        <w:trPr>
          <w:trHeight w:val="1461" w:hRule="atLeast"/>
        </w:trPr>
        <w:tc>
          <w:tcPr>
            <w:tcW w:w="9725" w:type="dxa"/>
            <w:tcBorders/>
          </w:tcPr>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РОЗДІЛ 3. ОСОБЛИВОСТІ ЗОВНІШНЬОЕКОНОМІЧНОЇ СПІВПРАЦІ КРАЇН ПІВДЕННОЇ ЄВРОПИ З УКРАЇНОЮ………………….…………………</w:t>
            </w:r>
          </w:p>
        </w:tc>
        <w:tc>
          <w:tcPr>
            <w:tcW w:w="495" w:type="dxa"/>
            <w:tcBorders/>
          </w:tcPr>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37</w:t>
            </w:r>
          </w:p>
        </w:tc>
      </w:tr>
      <w:tr>
        <w:trPr/>
        <w:tc>
          <w:tcPr>
            <w:tcW w:w="9725" w:type="dxa"/>
            <w:tcBorders/>
          </w:tcPr>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ВИСНОВКИ…………………………………………………………………………</w:t>
            </w:r>
          </w:p>
        </w:tc>
        <w:tc>
          <w:tcPr>
            <w:tcW w:w="495" w:type="dxa"/>
            <w:tcBorders/>
          </w:tcPr>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43</w:t>
            </w:r>
          </w:p>
        </w:tc>
      </w:tr>
      <w:tr>
        <w:trPr/>
        <w:tc>
          <w:tcPr>
            <w:tcW w:w="9725" w:type="dxa"/>
            <w:tcBorders/>
          </w:tcPr>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r>
          </w:p>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СПИСОК ВИКОРИСТАНИХ ДЖЕРЕЛ……………………………………...…...</w:t>
            </w:r>
          </w:p>
        </w:tc>
        <w:tc>
          <w:tcPr>
            <w:tcW w:w="495" w:type="dxa"/>
            <w:tcBorders/>
          </w:tcPr>
          <w:p>
            <w:pPr>
              <w:pStyle w:val="Normal"/>
              <w:widowControl w:val="false"/>
              <w:suppressAutoHyphens w:val="true"/>
              <w:spacing w:lineRule="auto" w:line="360" w:before="0" w:after="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47</w:t>
            </w:r>
          </w:p>
        </w:tc>
      </w:tr>
    </w:tbl>
    <w:p>
      <w:pPr>
        <w:pStyle w:val="Normal"/>
        <w:spacing w:lineRule="auto" w:line="259" w:before="0" w:after="0"/>
        <w:jc w:val="center"/>
        <w:rPr>
          <w:rFonts w:ascii="Times New Roman" w:hAnsi="Times New Roman"/>
          <w:b/>
          <w:b/>
          <w:color w:val="000000"/>
          <w:sz w:val="28"/>
          <w:szCs w:val="28"/>
          <w:lang w:val="uk-UA" w:eastAsia="ru-RU"/>
        </w:rPr>
      </w:pPr>
      <w:r>
        <w:rPr>
          <w:rFonts w:ascii="Times New Roman" w:hAnsi="Times New Roman"/>
          <w:b/>
          <w:color w:val="000000"/>
          <w:sz w:val="28"/>
          <w:szCs w:val="28"/>
          <w:lang w:val="uk-UA" w:eastAsia="ru-RU"/>
        </w:rPr>
      </w:r>
      <w:r>
        <w:br w:type="page"/>
      </w:r>
    </w:p>
    <w:p>
      <w:pPr>
        <w:pStyle w:val="Normal"/>
        <w:spacing w:lineRule="auto" w:line="360" w:before="0" w:after="0"/>
        <w:jc w:val="center"/>
        <w:rPr>
          <w:rFonts w:ascii="Times New Roman" w:hAnsi="Times New Roman"/>
          <w:b/>
          <w:b/>
          <w:color w:val="000000"/>
          <w:sz w:val="28"/>
          <w:szCs w:val="28"/>
          <w:lang w:val="uk-UA" w:eastAsia="ru-RU"/>
        </w:rPr>
      </w:pPr>
      <w:r>
        <w:rPr>
          <w:rFonts w:ascii="Times New Roman" w:hAnsi="Times New Roman"/>
          <w:b/>
          <w:color w:val="000000"/>
          <w:sz w:val="28"/>
          <w:szCs w:val="28"/>
          <w:lang w:val="uk-UA" w:eastAsia="ru-RU"/>
        </w:rPr>
        <w:t>ВСТУП</w:t>
      </w:r>
    </w:p>
    <w:p>
      <w:pPr>
        <w:pStyle w:val="Normal"/>
        <w:spacing w:lineRule="auto" w:line="360" w:before="0" w:after="0"/>
        <w:jc w:val="center"/>
        <w:rPr>
          <w:rFonts w:ascii="Times New Roman" w:hAnsi="Times New Roman" w:eastAsia="Times New Roman"/>
          <w:b/>
          <w:b/>
          <w:sz w:val="28"/>
          <w:szCs w:val="28"/>
          <w:lang w:val="uk-UA" w:eastAsia="ru-RU"/>
        </w:rPr>
      </w:pPr>
      <w:r>
        <w:rPr>
          <w:rFonts w:eastAsia="Times New Roman" w:ascii="Times New Roman" w:hAnsi="Times New Roman"/>
          <w:b/>
          <w:sz w:val="28"/>
          <w:szCs w:val="28"/>
          <w:lang w:val="uk-UA" w:eastAsia="ru-RU"/>
        </w:rPr>
      </w:r>
    </w:p>
    <w:p>
      <w:pPr>
        <w:pStyle w:val="Normal"/>
        <w:spacing w:lineRule="auto" w:line="360" w:before="0" w:after="0"/>
        <w:ind w:firstLine="709"/>
        <w:jc w:val="both"/>
        <w:rPr>
          <w:rFonts w:ascii="Times New Roman" w:hAnsi="Times New Roman" w:eastAsia="Times New Roman"/>
          <w:color w:val="000000"/>
          <w:sz w:val="28"/>
          <w:szCs w:val="28"/>
          <w:shd w:fill="FFFFFF" w:val="clear"/>
          <w:lang w:val="uk-UA" w:eastAsia="ru-RU"/>
        </w:rPr>
      </w:pPr>
      <w:r>
        <w:rPr>
          <w:rFonts w:eastAsia="Times New Roman" w:ascii="Times New Roman" w:hAnsi="Times New Roman"/>
          <w:color w:val="000000"/>
          <w:sz w:val="28"/>
          <w:szCs w:val="28"/>
          <w:shd w:fill="FFFFFF" w:val="clear"/>
          <w:lang w:val="uk-UA" w:eastAsia="ru-RU"/>
        </w:rPr>
        <w:t>Актуальність роботи полягає у визначені сучасних тенденцій у формуванні державного боргу та зовнішньоекономічних позицій країн Південної Європи.</w:t>
      </w:r>
    </w:p>
    <w:p>
      <w:pPr>
        <w:pStyle w:val="Normal"/>
        <w:spacing w:lineRule="auto" w:line="360" w:before="0" w:after="0"/>
        <w:ind w:firstLine="709"/>
        <w:jc w:val="both"/>
        <w:rPr>
          <w:rFonts w:ascii="Times New Roman" w:hAnsi="Times New Roman" w:eastAsia="Times New Roman"/>
          <w:color w:val="000000"/>
          <w:sz w:val="28"/>
          <w:szCs w:val="28"/>
          <w:shd w:fill="FFFFFF" w:val="clear"/>
          <w:lang w:val="uk-UA" w:eastAsia="ru-RU"/>
        </w:rPr>
      </w:pPr>
      <w:r>
        <w:rPr>
          <w:rFonts w:eastAsia="Times New Roman" w:ascii="Times New Roman" w:hAnsi="Times New Roman"/>
          <w:color w:val="000000"/>
          <w:sz w:val="28"/>
          <w:szCs w:val="28"/>
          <w:shd w:fill="FFFFFF" w:val="clear"/>
          <w:lang w:val="uk-UA" w:eastAsia="ru-RU"/>
        </w:rPr>
        <w:t>Ефективна боргова політика держави вимагає урахування сучасних тенденцій у зміні фінансових умов залучення інвестицій у боргові цінні папери і за державними кредитами та визначення критичних розмірів як до співвідношення державного боргу до валового внутрішнього продукту країн, так і для платежів з його обслуговування.</w:t>
      </w:r>
    </w:p>
    <w:p>
      <w:pPr>
        <w:pStyle w:val="Normal"/>
        <w:spacing w:lineRule="auto" w:line="360" w:before="0" w:after="0"/>
        <w:ind w:firstLine="709"/>
        <w:jc w:val="both"/>
        <w:rPr>
          <w:rFonts w:ascii="Times New Roman" w:hAnsi="Times New Roman" w:eastAsia="Times New Roman"/>
          <w:color w:val="000000"/>
          <w:sz w:val="28"/>
          <w:szCs w:val="28"/>
          <w:shd w:fill="FFFFFF" w:val="clear"/>
          <w:lang w:val="uk-UA" w:eastAsia="ru-RU"/>
        </w:rPr>
      </w:pPr>
      <w:r>
        <w:rPr>
          <w:rFonts w:eastAsia="Times New Roman" w:ascii="Times New Roman" w:hAnsi="Times New Roman"/>
          <w:color w:val="000000"/>
          <w:sz w:val="28"/>
          <w:szCs w:val="28"/>
          <w:shd w:fill="FFFFFF" w:val="clear"/>
          <w:lang w:val="uk-UA" w:eastAsia="ru-RU"/>
        </w:rPr>
        <w:t xml:space="preserve">В даний час кожна країна у світі відчуває на собі наслідки світової пандемії </w:t>
      </w:r>
      <w:r>
        <w:rPr>
          <w:rFonts w:eastAsia="Times New Roman" w:ascii="Times New Roman" w:hAnsi="Times New Roman"/>
          <w:color w:val="000000"/>
          <w:sz w:val="28"/>
          <w:szCs w:val="28"/>
          <w:shd w:fill="FFFFFF" w:val="clear"/>
          <w:lang w:val="en-US" w:eastAsia="ru-RU"/>
        </w:rPr>
        <w:t xml:space="preserve">COVID 19, </w:t>
      </w:r>
      <w:r>
        <w:rPr>
          <w:rFonts w:eastAsia="Times New Roman" w:ascii="Times New Roman" w:hAnsi="Times New Roman"/>
          <w:color w:val="000000"/>
          <w:sz w:val="28"/>
          <w:szCs w:val="28"/>
          <w:shd w:fill="FFFFFF" w:val="clear"/>
          <w:lang w:eastAsia="ru-RU"/>
        </w:rPr>
        <w:t>як</w:t>
      </w:r>
      <w:r>
        <w:rPr>
          <w:rFonts w:eastAsia="Times New Roman" w:ascii="Times New Roman" w:hAnsi="Times New Roman"/>
          <w:color w:val="000000"/>
          <w:sz w:val="28"/>
          <w:szCs w:val="28"/>
          <w:shd w:fill="FFFFFF" w:val="clear"/>
          <w:lang w:val="uk-UA" w:eastAsia="ru-RU"/>
        </w:rPr>
        <w:t>і проявляються у загальному скороченні ВВП, збільшенню бюджетних видатків, суттєвого зростання обсягів державних боргів країн.</w:t>
      </w:r>
    </w:p>
    <w:p>
      <w:pPr>
        <w:pStyle w:val="Normal"/>
        <w:spacing w:lineRule="auto" w:line="360" w:before="0" w:after="0"/>
        <w:ind w:firstLine="709"/>
        <w:jc w:val="both"/>
        <w:rPr>
          <w:rFonts w:ascii="Times New Roman" w:hAnsi="Times New Roman"/>
          <w:sz w:val="28"/>
          <w:lang w:val="uk-UA"/>
        </w:rPr>
      </w:pPr>
      <w:r>
        <w:rPr>
          <w:rFonts w:eastAsia="Times New Roman" w:ascii="Times New Roman" w:hAnsi="Times New Roman"/>
          <w:color w:val="000000"/>
          <w:sz w:val="28"/>
          <w:szCs w:val="28"/>
          <w:shd w:fill="FFFFFF" w:val="clear"/>
          <w:lang w:val="uk-UA" w:eastAsia="ru-RU"/>
        </w:rPr>
        <w:t xml:space="preserve">У магістерській роботі детально вивчаються грошово-кредитна та валютна політика держав Південної Європи, які є чинником міжнародної конкурентоспроможності країн, стан державних фінансів та динаміка державного боргу Іспанії та Португалії, здійснюється моделювання та оцінюється результат операцій «Carry Trade» з цінними паперами Португалії та Греції, досліджуються зовнішньоекономічні зв’язки Іспанії та Португалії з Україною. </w:t>
      </w:r>
      <w:r>
        <w:rPr>
          <w:rFonts w:ascii="Times New Roman" w:hAnsi="Times New Roman"/>
          <w:sz w:val="28"/>
          <w:lang w:val="uk-UA"/>
        </w:rPr>
        <w:t>Країни Південної Європи, зокрема Іспанія та Португалія, є високорозвиненими державами, яким, незважаючи на борговий тягар, характерні відносно стабільні темпи економічного зростання та підвищення рівня добробуту населення.</w:t>
      </w:r>
    </w:p>
    <w:p>
      <w:pPr>
        <w:pStyle w:val="Normal"/>
        <w:spacing w:lineRule="auto" w:line="360" w:before="0" w:after="0"/>
        <w:ind w:firstLine="709"/>
        <w:jc w:val="both"/>
        <w:rPr>
          <w:rFonts w:ascii="Times New Roman" w:hAnsi="Times New Roman"/>
          <w:sz w:val="28"/>
          <w:lang w:val="uk-UA"/>
        </w:rPr>
      </w:pPr>
      <w:r>
        <w:rPr>
          <w:rFonts w:ascii="Times New Roman" w:hAnsi="Times New Roman"/>
          <w:sz w:val="28"/>
          <w:szCs w:val="28"/>
          <w:lang w:val="uk-UA"/>
        </w:rPr>
        <w:t xml:space="preserve">Визначення місця країн Південної Європи у європейській та світовій економіці та їхніх конкурентних переваг </w:t>
      </w:r>
      <w:r>
        <w:rPr>
          <w:rFonts w:ascii="Times New Roman" w:hAnsi="Times New Roman"/>
          <w:sz w:val="28"/>
          <w:lang w:val="uk-UA"/>
        </w:rPr>
        <w:t>сприятиме поглибленню загальних наукових засад вивчення світового господарства в Україні та підвищенню ефективності державного регулювання господарськими процесами у країні.</w:t>
      </w:r>
    </w:p>
    <w:p>
      <w:pPr>
        <w:pStyle w:val="Normal"/>
        <w:spacing w:lineRule="auto" w:line="360" w:before="0" w:after="0"/>
        <w:ind w:firstLine="709"/>
        <w:jc w:val="both"/>
        <w:rPr>
          <w:rFonts w:ascii="Times New Roman" w:hAnsi="Times New Roman" w:eastAsia="Times New Roman"/>
          <w:color w:val="000000"/>
          <w:sz w:val="28"/>
          <w:szCs w:val="28"/>
          <w:lang w:val="uk-UA" w:eastAsia="ru-RU"/>
        </w:rPr>
      </w:pPr>
      <w:r>
        <w:rPr>
          <w:rFonts w:eastAsia="Times New Roman" w:ascii="Times New Roman" w:hAnsi="Times New Roman"/>
          <w:color w:val="000000"/>
          <w:sz w:val="28"/>
          <w:szCs w:val="28"/>
          <w:lang w:val="uk-UA" w:eastAsia="ru-RU"/>
        </w:rPr>
        <w:t>Основною метою магістерської роботи є вивчення динаміки та структури державного боргу країн Південної Європи.</w:t>
      </w:r>
    </w:p>
    <w:p>
      <w:pPr>
        <w:pStyle w:val="Normal"/>
        <w:spacing w:lineRule="auto" w:line="360" w:before="0" w:after="0"/>
        <w:ind w:firstLine="709"/>
        <w:jc w:val="both"/>
        <w:rPr>
          <w:rFonts w:ascii="Times New Roman" w:hAnsi="Times New Roman" w:eastAsia="Times New Roman"/>
          <w:sz w:val="24"/>
          <w:szCs w:val="24"/>
          <w:lang w:val="uk-UA" w:eastAsia="ru-RU"/>
        </w:rPr>
      </w:pPr>
      <w:r>
        <w:rPr>
          <w:rFonts w:eastAsia="Times New Roman" w:ascii="Times New Roman" w:hAnsi="Times New Roman"/>
          <w:sz w:val="28"/>
          <w:szCs w:val="28"/>
          <w:lang w:val="uk-UA" w:eastAsia="ru-RU"/>
        </w:rPr>
        <w:t>Досягнення поставленої мети передбачає вирішення наступних завдань роботи:</w:t>
      </w:r>
    </w:p>
    <w:p>
      <w:pPr>
        <w:pStyle w:val="ListParagraph"/>
        <w:numPr>
          <w:ilvl w:val="0"/>
          <w:numId w:val="1"/>
        </w:numPr>
        <w:spacing w:lineRule="auto" w:line="360" w:before="0" w:after="0"/>
        <w:contextualSpacing/>
        <w:jc w:val="both"/>
        <w:rPr>
          <w:rFonts w:ascii="Times New Roman" w:hAnsi="Times New Roman"/>
          <w:sz w:val="28"/>
          <w:szCs w:val="28"/>
          <w:lang w:val="uk-UA" w:eastAsia="ru-RU"/>
        </w:rPr>
      </w:pPr>
      <w:r>
        <w:rPr>
          <w:rFonts w:ascii="Times New Roman" w:hAnsi="Times New Roman"/>
          <w:sz w:val="28"/>
          <w:szCs w:val="28"/>
          <w:lang w:val="uk-UA" w:eastAsia="ru-RU"/>
        </w:rPr>
        <w:t>вивчити теоретичні основи аналізу стійкості фінансових систем та державного боргу країн;</w:t>
      </w:r>
    </w:p>
    <w:p>
      <w:pPr>
        <w:pStyle w:val="ListParagraph"/>
        <w:numPr>
          <w:ilvl w:val="0"/>
          <w:numId w:val="1"/>
        </w:numPr>
        <w:spacing w:lineRule="auto" w:line="360" w:before="0" w:after="0"/>
        <w:contextualSpacing/>
        <w:jc w:val="both"/>
        <w:rPr>
          <w:rFonts w:ascii="Times New Roman" w:hAnsi="Times New Roman"/>
          <w:sz w:val="28"/>
          <w:szCs w:val="28"/>
          <w:lang w:val="uk-UA" w:eastAsia="ru-RU"/>
        </w:rPr>
      </w:pPr>
      <w:r>
        <w:rPr>
          <w:rFonts w:ascii="Times New Roman" w:hAnsi="Times New Roman"/>
          <w:sz w:val="28"/>
          <w:szCs w:val="28"/>
          <w:lang w:val="uk-UA" w:eastAsia="ru-RU"/>
        </w:rPr>
        <w:t>проаналізувати грошово-кредитну та валютну політику держав Південної Європи як чинника міжнародної конкурентоспроможності країн;</w:t>
      </w:r>
    </w:p>
    <w:p>
      <w:pPr>
        <w:pStyle w:val="ListParagraph"/>
        <w:numPr>
          <w:ilvl w:val="0"/>
          <w:numId w:val="1"/>
        </w:numPr>
        <w:spacing w:lineRule="auto" w:line="360" w:before="0" w:after="0"/>
        <w:contextualSpacing/>
        <w:jc w:val="both"/>
        <w:rPr>
          <w:rFonts w:ascii="Times New Roman" w:hAnsi="Times New Roman"/>
          <w:sz w:val="28"/>
          <w:szCs w:val="28"/>
          <w:lang w:val="uk-UA" w:eastAsia="ru-RU"/>
        </w:rPr>
      </w:pPr>
      <w:r>
        <w:rPr>
          <w:rFonts w:ascii="Times New Roman" w:hAnsi="Times New Roman"/>
          <w:sz w:val="28"/>
          <w:szCs w:val="28"/>
          <w:lang w:val="uk-UA" w:eastAsia="ru-RU"/>
        </w:rPr>
        <w:t>дослідити стан державних фінансів та виявити динаміку державного боргу країн Південної Європи;</w:t>
      </w:r>
    </w:p>
    <w:p>
      <w:pPr>
        <w:pStyle w:val="ListParagraph"/>
        <w:numPr>
          <w:ilvl w:val="0"/>
          <w:numId w:val="1"/>
        </w:numPr>
        <w:spacing w:lineRule="auto" w:line="360" w:before="0" w:after="0"/>
        <w:contextualSpacing/>
        <w:rPr>
          <w:rFonts w:ascii="Times New Roman" w:hAnsi="Times New Roman"/>
          <w:sz w:val="28"/>
          <w:szCs w:val="28"/>
          <w:lang w:val="uk-UA" w:eastAsia="ru-RU"/>
        </w:rPr>
      </w:pPr>
      <w:r>
        <w:rPr>
          <w:rFonts w:ascii="Times New Roman" w:hAnsi="Times New Roman"/>
          <w:sz w:val="28"/>
          <w:szCs w:val="28"/>
          <w:lang w:val="uk-UA" w:eastAsia="ru-RU"/>
        </w:rPr>
        <w:t>здійснити моделювання та оцінити результат операцій «Carry Trade» з державними борговими цінними паперами країн Південної Європи;</w:t>
      </w:r>
    </w:p>
    <w:p>
      <w:pPr>
        <w:pStyle w:val="ListParagraph"/>
        <w:numPr>
          <w:ilvl w:val="0"/>
          <w:numId w:val="1"/>
        </w:numPr>
        <w:spacing w:lineRule="auto" w:line="360" w:before="0" w:after="0"/>
        <w:contextualSpacing/>
        <w:jc w:val="both"/>
        <w:rPr>
          <w:rFonts w:ascii="Times New Roman" w:hAnsi="Times New Roman"/>
          <w:sz w:val="28"/>
          <w:szCs w:val="28"/>
          <w:lang w:val="uk-UA" w:eastAsia="ru-RU"/>
        </w:rPr>
      </w:pPr>
      <w:r>
        <w:rPr>
          <w:rFonts w:ascii="Times New Roman" w:hAnsi="Times New Roman"/>
          <w:sz w:val="28"/>
          <w:szCs w:val="28"/>
          <w:lang w:val="uk-UA" w:eastAsia="ru-RU"/>
        </w:rPr>
        <w:t>виявити особливості зовнішньоекономічної співпраці країн Південної Європи з Україною.</w:t>
      </w:r>
    </w:p>
    <w:p>
      <w:pPr>
        <w:pStyle w:val="Normal"/>
        <w:suppressAutoHyphens w:val="true"/>
        <w:spacing w:lineRule="auto" w:line="360" w:before="0" w:after="0"/>
        <w:ind w:firstLine="709"/>
        <w:jc w:val="both"/>
        <w:rPr>
          <w:rFonts w:ascii="Times New Roman" w:hAnsi="Times New Roman" w:eastAsia="Times New Roman"/>
          <w:color w:val="000000"/>
          <w:sz w:val="28"/>
          <w:szCs w:val="28"/>
          <w:lang w:val="uk-UA" w:eastAsia="ru-RU"/>
        </w:rPr>
      </w:pPr>
      <w:r>
        <w:rPr>
          <w:rFonts w:eastAsia="Times New Roman" w:ascii="Times New Roman" w:hAnsi="Times New Roman"/>
          <w:b/>
          <w:color w:val="000000"/>
          <w:sz w:val="28"/>
          <w:szCs w:val="28"/>
          <w:lang w:val="uk-UA" w:eastAsia="ru-RU"/>
        </w:rPr>
        <w:t>Об'єктом дослідження</w:t>
      </w:r>
      <w:r>
        <w:rPr>
          <w:rFonts w:eastAsia="Times New Roman" w:ascii="Times New Roman" w:hAnsi="Times New Roman"/>
          <w:color w:val="000000"/>
          <w:sz w:val="28"/>
          <w:szCs w:val="28"/>
          <w:lang w:val="uk-UA" w:eastAsia="ru-RU"/>
        </w:rPr>
        <w:t xml:space="preserve"> є економіки країн Південної Європи.</w:t>
      </w:r>
    </w:p>
    <w:p>
      <w:pPr>
        <w:pStyle w:val="Normal"/>
        <w:spacing w:lineRule="auto" w:line="360" w:before="0" w:after="0"/>
        <w:ind w:firstLine="709"/>
        <w:jc w:val="both"/>
        <w:rPr>
          <w:rFonts w:ascii="Times New Roman" w:hAnsi="Times New Roman"/>
          <w:sz w:val="28"/>
          <w:szCs w:val="28"/>
          <w:lang w:val="uk-UA"/>
        </w:rPr>
      </w:pPr>
      <w:r>
        <w:rPr>
          <w:rFonts w:ascii="Times New Roman" w:hAnsi="Times New Roman"/>
          <w:b/>
          <w:sz w:val="28"/>
          <w:szCs w:val="28"/>
          <w:lang w:val="uk-UA"/>
        </w:rPr>
        <w:t>Предметом дослідження</w:t>
      </w:r>
      <w:r>
        <w:rPr>
          <w:rFonts w:ascii="Times New Roman" w:hAnsi="Times New Roman"/>
          <w:sz w:val="28"/>
          <w:szCs w:val="28"/>
          <w:lang w:val="uk-UA"/>
        </w:rPr>
        <w:t xml:space="preserve"> є теоретичні основи та прикладні аспекти трансформації боргової політики країн Південної Європи в сучасних умовах.</w:t>
      </w:r>
    </w:p>
    <w:p>
      <w:pPr>
        <w:pStyle w:val="Normal"/>
        <w:spacing w:lineRule="auto" w:line="360" w:before="0" w:after="0"/>
        <w:ind w:firstLine="709"/>
        <w:jc w:val="both"/>
        <w:rPr>
          <w:rFonts w:ascii="Times New Roman" w:hAnsi="Times New Roman"/>
          <w:sz w:val="28"/>
          <w:szCs w:val="28"/>
          <w:lang w:val="uk-UA"/>
        </w:rPr>
      </w:pPr>
      <w:r>
        <w:rPr>
          <w:rFonts w:ascii="Times New Roman" w:hAnsi="Times New Roman"/>
          <w:sz w:val="28"/>
          <w:szCs w:val="28"/>
          <w:lang w:val="uk-UA"/>
        </w:rPr>
        <w:t>Досягнення поставленої у магістерській роботі мети обумовлено застосуванням наукового методу пізнання економічних процесів, який використовується для аналізу фінансової та боргової політики країн Південної Європи.</w:t>
      </w:r>
    </w:p>
    <w:p>
      <w:pPr>
        <w:pStyle w:val="Normal"/>
        <w:spacing w:lineRule="auto" w:line="360" w:before="0" w:after="0"/>
        <w:ind w:firstLine="709"/>
        <w:jc w:val="both"/>
        <w:rPr>
          <w:rFonts w:ascii="Times New Roman" w:hAnsi="Times New Roman"/>
          <w:sz w:val="28"/>
          <w:szCs w:val="28"/>
          <w:lang w:val="uk-UA"/>
        </w:rPr>
      </w:pPr>
      <w:r>
        <w:rPr>
          <w:rFonts w:ascii="Times New Roman" w:hAnsi="Times New Roman"/>
          <w:sz w:val="28"/>
          <w:szCs w:val="28"/>
          <w:lang w:val="uk-UA"/>
        </w:rPr>
        <w:t>Магістерська робота складається зі вступу, трьох розділів, висновків та списку використаних джерел, який нараховує 54 джерела.</w:t>
      </w:r>
    </w:p>
    <w:p>
      <w:pPr>
        <w:pStyle w:val="Normal"/>
        <w:spacing w:lineRule="auto" w:line="360" w:before="0" w:after="0"/>
        <w:ind w:firstLine="709"/>
        <w:jc w:val="both"/>
        <w:rPr>
          <w:rFonts w:ascii="Times New Roman" w:hAnsi="Times New Roman"/>
          <w:sz w:val="28"/>
          <w:szCs w:val="28"/>
          <w:lang w:val="uk-UA"/>
        </w:rPr>
      </w:pPr>
      <w:r>
        <w:rPr>
          <w:rFonts w:ascii="Times New Roman" w:hAnsi="Times New Roman"/>
          <w:sz w:val="28"/>
          <w:szCs w:val="28"/>
          <w:lang w:val="uk-UA"/>
        </w:rPr>
        <w:t xml:space="preserve">Дипломна робота є самостійно виконаним дослідженням, в якому усі результати, що виносяться на захист, отримані автором особисто. </w:t>
      </w:r>
    </w:p>
    <w:p>
      <w:pPr>
        <w:pStyle w:val="Normal"/>
        <w:spacing w:lineRule="auto" w:line="360" w:before="0" w:after="0"/>
        <w:ind w:firstLine="709"/>
        <w:jc w:val="both"/>
        <w:rPr>
          <w:rFonts w:ascii="Times New Roman" w:hAnsi="Times New Roman"/>
          <w:sz w:val="28"/>
          <w:szCs w:val="28"/>
          <w:lang w:val="uk-UA"/>
        </w:rPr>
      </w:pPr>
      <w:r>
        <w:rPr>
          <w:rFonts w:ascii="Times New Roman" w:hAnsi="Times New Roman"/>
          <w:sz w:val="28"/>
          <w:szCs w:val="28"/>
          <w:lang w:val="uk-UA"/>
        </w:rPr>
        <w:t>Результати дослідження пройшли апробацію на XХIV науково-практичній студентській конференції з проблем світової політики "Соціально-економічний та політичний розвиток в умовах глобальної пандемії", яка відбулась на факультеті міжнародних відносин, політології  та  соціології Одеського національного університету імені І. І. Мечникова 28  квітня 2021 року.</w:t>
      </w:r>
    </w:p>
    <w:p>
      <w:pPr>
        <w:pStyle w:val="Normal"/>
        <w:spacing w:lineRule="auto" w:line="360" w:before="0" w:after="0"/>
        <w:jc w:val="center"/>
        <w:rPr>
          <w:rFonts w:ascii="Times New Roman" w:hAnsi="Times New Roman" w:eastAsia="Times New Roman"/>
          <w:b/>
          <w:b/>
          <w:sz w:val="28"/>
          <w:szCs w:val="28"/>
          <w:lang w:val="uk-UA" w:eastAsia="ru-RU"/>
        </w:rPr>
      </w:pPr>
      <w:r>
        <w:rPr>
          <w:rFonts w:eastAsia="Times New Roman" w:ascii="Times New Roman" w:hAnsi="Times New Roman"/>
          <w:b/>
          <w:sz w:val="28"/>
          <w:szCs w:val="28"/>
          <w:lang w:val="uk-UA" w:eastAsia="ru-RU"/>
        </w:rPr>
      </w:r>
    </w:p>
    <w:p>
      <w:pPr>
        <w:pStyle w:val="Normal"/>
        <w:spacing w:lineRule="auto" w:line="360" w:before="0" w:after="0"/>
        <w:jc w:val="center"/>
        <w:rPr>
          <w:rFonts w:ascii="Times New Roman" w:hAnsi="Times New Roman" w:eastAsia="Times New Roman"/>
          <w:sz w:val="24"/>
          <w:szCs w:val="24"/>
          <w:lang w:val="uk-UA" w:eastAsia="ru-RU"/>
        </w:rPr>
      </w:pPr>
      <w:r>
        <w:rPr>
          <w:rFonts w:eastAsia="Times New Roman" w:ascii="Times New Roman" w:hAnsi="Times New Roman"/>
          <w:b/>
          <w:color w:val="000000"/>
          <w:sz w:val="28"/>
          <w:szCs w:val="28"/>
          <w:lang w:val="uk-UA" w:eastAsia="ru-RU"/>
        </w:rPr>
      </w:r>
    </w:p>
    <w:p>
      <w:pPr>
        <w:pStyle w:val="Normal"/>
        <w:spacing w:lineRule="auto" w:line="259" w:before="0" w:after="0"/>
        <w:jc w:val="center"/>
        <w:rPr>
          <w:rFonts w:ascii="Times New Roman" w:hAnsi="Times New Roman" w:eastAsia="Times New Roman"/>
          <w:sz w:val="24"/>
          <w:szCs w:val="24"/>
          <w:lang w:val="uk-UA" w:eastAsia="ru-RU"/>
        </w:rPr>
      </w:pPr>
      <w:r>
        <w:rPr>
          <w:rFonts w:eastAsia="Times New Roman" w:ascii="Times New Roman" w:hAnsi="Times New Roman"/>
          <w:b/>
          <w:color w:val="000000"/>
          <w:sz w:val="28"/>
          <w:szCs w:val="28"/>
          <w:lang w:val="uk-UA" w:eastAsia="ru-RU"/>
        </w:rPr>
        <w:t>ВИСНОВКИ</w:t>
      </w:r>
    </w:p>
    <w:p>
      <w:pPr>
        <w:pStyle w:val="Normal"/>
        <w:spacing w:lineRule="auto" w:line="360" w:before="0" w:after="0"/>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t>Дослідження, проведене у магістерській роботі, дозволило отримати наступні результати.</w:t>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t>Так, проведений аналіз показав, що немає єдиного наукового підходу щодо визначення системи індикаторів не тільки фінансової стабільності, але і межі, яка є загрозливою для рівня державного боргу. Колись цією межею вважався рівень 60% державного боргу до ВВП, але зараз багато, навіть стабільних країн, цю межу перевищили.</w:t>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t>У роботі запропоновано систему параметрів найбільш значимих індикаторів стійкості фінансових систем. За допомогою окремих індикаторів із запропонованої системи, здійснено аналіз стабільності фінансових систем Іспанії та Португалії. Проведений за допомогою фінансових індикаторів аналіз свідчить про те, що за параметрами відсоткової ставки, грошової маси, рівня цін, дефіциту бюджету, рівня державного боргу, фінансові системи як Іспанії, так й Португалії, поки ще знаходяться у не рівноважному стані, і ризики ще залишаються.</w:t>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t>Встановлено, що відсоткова ставка в обох країнах, на протязі тривалого часу, утримується на позначці 0. Низька відсоткова ставка, як макроекономічна політика є ризикованою й може привести до виникнення економічного міхура, зокрема на ринку боргових цінних паперів країн Південної Європи.</w:t>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t>Грошова маса в обох країнах демонструє тенденцію до збільшення.</w:t>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t>Споживчі ціни і обох країнах з початку 2000-х років істотно зростали й лише останні рік стали періодом відносної їх стабілізації на досить високому рівні.</w:t>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t>Встановлено, що розмір державного боргу Іспанії склав 128,5 % ВВП, а Португалії – 140,8 % ВВП, що істотно виходить за межі порогового значення відповідного індикатора.</w:t>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t xml:space="preserve">Аналіз платіжних балансів Іспанії та Португалії  показав, що майже за весь розглянутий період поточний баланс даних країн позитивний, лишу у 2020 року поточний рахунок Португалії зменшився нижче нуля. Тенденція до зменшення у поточного рахунку Португалії почалася у 2017 року, коли поточний баланс досяг свого максимального значення у 3 037 млн дол. США. Найбільше значення поточного рахунку Іспанії було у 2016 році  та дорівнювало 39 млрд.  дол. США. У 2020 року відбулось значне зменшення поточного рахунку Іспанії до 9 млрд.  дол. США через пандемію Covid-19. </w:t>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t xml:space="preserve">Динаміка сальдо торгових балансів Іспанії та Португалії показала, що країни більше імпортують ніж експортують. Експорт Іспанії збільшувався до 2018 року  та досяг 344 млрд.  дол. США. У 2020 року експорт Іспанії зменшився до 302 млрд.  дол. США. У той же час імпорт Іспанії має схожу динаміку: ріст до 2018 та подальше зменшення. </w:t>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t>Аналіз динаміки сальдо балансів послуг Іспанії та Португалії показав, що для двох країн спостерігається зростаючий позитивний баланс  до 2019 року. У 2020 року баланс послуг значно зменшився через карантинні обмеження, що перешкоджали туризму.</w:t>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t>Аналіз динаміки сальдо первинних та вторинних доходів  Іспанії, показав що баланс первинних  доходів позитивний, у той час коли баланс вторинних – негативний. Динаміка сальдо первинних та вторинних доходів  Португалії  показала зовсім іншу ситуацію на відмінно від Іспанії: баланс первинних доходів негативний, а баланс вторинних доходів – позитивний.</w:t>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t>Фінансовий рахунок Іспанії за весь розглянутий період має позитивний знак, тобто країну можна назвати кредитором. У 2017 році фінансовий рахунок досяг максимального значення у 36 млрд. дол. США. До 2020 року спостерігається зменшення  до 20 млрд. дол. США. Фінансовий рахунок Португалії у 2019 року змінився з від’ємного на позитивний та дорівнював 5,99 млрд. дол. США. Але вже у 2020 року фінансовий рахунок зменшився до 1,14 млрд. дол. США.</w:t>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t>Аналіз динаміки чистої міжнародної інвестиційної позиції показав, що Португалія та Іспанія є країна – боржниками так як їх міжнародна інвестиційна позиці має від’ємний знак за весь розглянутий період. Негативне значення чистої міжнародної інвестиційної позиції Португалії зростало до 2013 року, коли максимальне негативне значення досягло – 282 млрд. дол. США. Після 2013 року значення чистої міжнародної інвестиційної позиції набуло позитивної динаміки та вже у 2016 році набуло значення у - 217 морд. дол. США. До 2020 році знову почала спостерігатись негативна динаміка до збільшення негативного значення. Для Іспанії спостерігаються чіткі періоду зростання та зменшення чистої міжнародної інвестиційної позиції. Так наприклад, у періоди 2012-2013 рр., 2016-2017 рр. та 2019-2020 рр. відбувається погіршення інвестиційної позиції. Тоді як 2010-2012 рр.,2013-2016 рр., та 2017-2018 рр. відбувається покращення значення. У 2020 році значення зменшення чистої міжнародної інвестиційної позиції досягнуло -1 163 морд. дол. США, що зіставило -85%  від ВВП. Динаміка державного боргу Іспанії та Португалії, показало, що державний боргу Португалія за кожен рік перевищував державний борг Іспанії. У 2020 році державний боргу  Португалії досяг  131,6 % ВВП,  так як відбулось зменшення ВВП через пандемію Covid – 19. Державний борг у 2020 року для Іспанії склав 131,6%. Такий рекордний рівень боргу є прямим наслідком гігантського державного дефіциту в 10,3%, зареєстрованого в 2020 році, коли влада Іспанії наказала блокувати економіку для стримування спалаху коронавірусу. Динаміка зовнішнього боргу Іспанії показала сталий ріст увесь 2020 рік. У першому кварталі 2021 року відбувається зниження зовнішнього боргу на 120 млрд. дол. США, а вже наступного кварталу зовнішній борг Іспанії збільшився на 75 млрд. дол. США. Для Португалії спостерігається схожа ситуація с четвертого кварталу 2019 року до кінця 2020 року зовнішній борг збільшився на 67 млрд. дол. США. У першому кварталі 2021 зовнішній борг зменшився на  24 млрд. дол. США, але вже у другому кварталі значення даного показника для Португалії знову почало зростати.</w:t>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t>Результати проведеного дослідження свідчать про те, що державні облігації Греції можуть ставати об’єктом первинних операцій Carry Trade». Разом з тим, слід зазначити, що існують певні ризики під час закриття позицій інвесторів у Греції, які виводячи капітал із країни, суттєво зменшать попит на державні цінні папери, що сприятиме падінню їхньої вартості та збільшення прибутковості.</w:t>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t>Результати дослідження свідчать про те, що незважаючи на економічну кризу, яка викликана світовою пандемією існує потенціал для подальшого поглиблення взаємовигідних торговельних відносин між Україною та країнами Південної Європи. Суттєве зростання експорту товарів з України до країн Південної Європи, згідно результатів досліджень, може відбуватися насамперед за рахунок збільшення поставок зернових культур.</w:t>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t>Таким чином, можна констатувати, що країни Південної Європи є важливим економічними партнерами для України, і співробітництво з цими країнами, безумовно, сприяє подальшій інтеграції України у європейську спільноту.</w:t>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r>
    </w:p>
    <w:p>
      <w:pPr>
        <w:pStyle w:val="Normal"/>
        <w:spacing w:lineRule="auto" w:line="360" w:before="0" w:after="0"/>
        <w:ind w:firstLine="709"/>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r>
    </w:p>
    <w:p>
      <w:pPr>
        <w:pStyle w:val="Normal"/>
        <w:spacing w:lineRule="auto" w:line="360" w:before="0" w:after="0"/>
        <w:jc w:val="center"/>
        <w:rPr>
          <w:rFonts w:ascii="Times New Roman" w:hAnsi="Times New Roman" w:eastAsia="Times New Roman"/>
          <w:sz w:val="24"/>
          <w:szCs w:val="24"/>
          <w:lang w:val="uk-UA" w:eastAsia="ru-RU"/>
        </w:rPr>
      </w:pPr>
      <w:r>
        <w:rPr>
          <w:rFonts w:eastAsia="Times New Roman" w:ascii="Times New Roman" w:hAnsi="Times New Roman"/>
          <w:b/>
          <w:sz w:val="28"/>
          <w:szCs w:val="28"/>
          <w:lang w:val="uk-UA" w:eastAsia="ru-RU"/>
        </w:rPr>
        <w:t>СПИСОК ВИКОРИСТАНИХ ДЖЕРЕЛ</w:t>
      </w:r>
    </w:p>
    <w:p>
      <w:pPr>
        <w:pStyle w:val="Normal"/>
        <w:spacing w:lineRule="auto" w:line="360" w:before="0" w:after="0"/>
        <w:jc w:val="both"/>
        <w:rPr>
          <w:rFonts w:ascii="Times New Roman" w:hAnsi="Times New Roman" w:eastAsia="Times New Roman"/>
          <w:sz w:val="28"/>
          <w:szCs w:val="28"/>
          <w:lang w:val="uk-UA" w:eastAsia="ru-RU"/>
        </w:rPr>
      </w:pPr>
      <w:r>
        <w:rPr>
          <w:rFonts w:eastAsia="Times New Roman" w:ascii="Times New Roman" w:hAnsi="Times New Roman"/>
          <w:sz w:val="28"/>
          <w:szCs w:val="28"/>
          <w:lang w:val="uk-UA" w:eastAsia="ru-RU"/>
        </w:rPr>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Klimova N., Altufeva T. Estimateof Financial Stability Quasicorporation “Region” //TheInternational Scientific Conference “Konceptyudrzatel' nostiorganizacii: Zbornikvedeckychstati. – Slovak Republic, Poprad: \fyskumnyustavekonomiky a manatmentu, 2017. - P. 203.</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Alifanova Е., Evlakhova Y. Developing a system of indicators of national financial security // Finance and Credit. – 2017. – vol. 23, iss. 29, pp. 1723–1736</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Boletim oficial do banco de Portugal Normas e informações 11.2021. / Офіційний бюлетень банку Португалії – [Електронний ресурс]. – Режим доступу</w:t>
        <w:tab/>
        <w:t>:https://www.bportugal.pt/sites/default/files/anexos/pdf- boletim/bo_11_2021.pdf</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Bertay A.C., Demirgüç-Kunt A., Huizinga H. Should cross-border banking benefit from the financial safety net? Journal of Financial Intermediation, 2016, vol. 27, pp. 51–67.</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Bravo A. The Spanish external deficit: cyclical or structural? [Електронний</w:t>
        <w:tab/>
        <w:t>ресурс].</w:t>
        <w:tab/>
        <w:t>–</w:t>
        <w:tab/>
        <w:t>Режим</w:t>
        <w:tab/>
        <w:t>доступу: https://ec.europa.eu/economy_finance/publications/pages/publication10075_en.pdf</w:t>
      </w:r>
    </w:p>
    <w:p>
      <w:pPr>
        <w:pStyle w:val="ListParagraph"/>
        <w:numPr>
          <w:ilvl w:val="0"/>
          <w:numId w:val="2"/>
        </w:numPr>
        <w:rPr>
          <w:rFonts w:ascii="Times New Roman" w:hAnsi="Times New Roman"/>
          <w:sz w:val="28"/>
          <w:szCs w:val="28"/>
          <w:lang w:val="uk-UA"/>
        </w:rPr>
      </w:pPr>
      <w:r>
        <w:rPr>
          <w:rFonts w:ascii="Times New Roman" w:hAnsi="Times New Roman"/>
          <w:sz w:val="28"/>
          <w:szCs w:val="28"/>
          <w:lang w:val="uk-UA"/>
        </w:rPr>
        <w:t>Банк Португалії: офіційний сайт. – [Електронний ресурс]. – Режим доступу: https://www.bportugal.pt/</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Indicador diário de atividade económica 25 de novembro de 2021 . – [Електронний</w:t>
        <w:tab/>
        <w:t>ресурс].</w:t>
        <w:tab/>
        <w:t>–</w:t>
        <w:tab/>
        <w:t>Режим</w:t>
        <w:tab/>
        <w:t>доступу: https://www.bportugal.pt/sites/default/files/anexos/pdf-boletim/dei_p.pdf</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Kutyrev G.I.</w:t>
        <w:tab/>
        <w:t>Portuguese</w:t>
        <w:tab/>
        <w:t>Republic: current</w:t>
        <w:tab/>
        <w:t>state</w:t>
        <w:tab/>
        <w:t>of the</w:t>
        <w:tab/>
        <w:t>economy [Електронний</w:t>
        <w:tab/>
        <w:t>ресурс].</w:t>
        <w:tab/>
        <w:tab/>
        <w:t>–</w:t>
        <w:tab/>
        <w:t>Режим</w:t>
        <w:tab/>
        <w:tab/>
        <w:t>доступу: https://cyberleninka.ru/article/n/portugalskaya-respublika-sovremennoe-sostoyanie- ekonomiki</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Kim C. Strengthening the Global Financial Safety Net: Challenges and Prospects. Emerging Markets Finance and Trade, 2017, vol. 52, iss. 10, pp. 2212– 2220.</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Serhan Çiftçioğlu і Amin Sokhanvar . External debt- economic growth nexus in selected CEE countries.//  Romanian Journal of Economic Forecasting. -  Vol XXI. – No. 4. – 2018.</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Luigi Bocolaa, Gideon Bornsteinb,  Alessandro Dovis. Quantitative sovereign default models and the European debt crisis.// Journal of International Economics. – Vol.118 .- May 2019. -pp.20-20</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Magdalena Redo. The external debt overhang problem as a threat to global financial security.// law and administration in post–soviet Europe.-Vol. 1. -2018. – pp.28 -34.</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Jorge Silva. Impact of public and private sector external debt on economic growth: the case of Portugal.// Eurasian Economic Review. – Vol. 10, - 2020.</w:t>
      </w:r>
    </w:p>
    <w:p>
      <w:pPr>
        <w:pStyle w:val="ListParagraph"/>
        <w:numPr>
          <w:ilvl w:val="0"/>
          <w:numId w:val="2"/>
        </w:numPr>
        <w:rPr>
          <w:rFonts w:ascii="Times New Roman" w:hAnsi="Times New Roman"/>
          <w:sz w:val="28"/>
          <w:szCs w:val="28"/>
          <w:lang w:val="uk-UA"/>
        </w:rPr>
      </w:pPr>
      <w:r>
        <w:rPr>
          <w:rFonts w:ascii="Times New Roman" w:hAnsi="Times New Roman"/>
          <w:sz w:val="28"/>
          <w:szCs w:val="28"/>
          <w:lang w:val="uk-UA"/>
        </w:rPr>
        <w:t>Bank of Spain. 2021. Financial Stability Report, Spain. [Електронний ресурс].</w:t>
        <w:tab/>
        <w:t>–</w:t>
        <w:tab/>
        <w:t>Режим</w:t>
        <w:tab/>
        <w:t>доступу: https://www.bde.es/f/webbde/Secciones/Publicaciones/InformesBoletinesRevistas/Inf ormesEstabilidadFinancera/17/IEF_Noviembre2021Ing.pdf</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en-US"/>
        </w:rPr>
        <w:t>Spain</w:t>
      </w:r>
      <w:r>
        <w:rPr>
          <w:rFonts w:ascii="Times New Roman" w:hAnsi="Times New Roman"/>
          <w:sz w:val="28"/>
          <w:szCs w:val="28"/>
          <w:lang w:val="uk-UA"/>
        </w:rPr>
        <w:t>, BOP Analytic Presentation and International Investment Position. International Monetary Fund. - [Електронний ресурс]. – Режим доступу: http://data.imf.org/?sk=7A51304B-6426-40C0-83DD-CA473CA1FD52&amp;sId=1542635306163</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en-US"/>
        </w:rPr>
        <w:t>Greece</w:t>
      </w:r>
      <w:r>
        <w:rPr>
          <w:rFonts w:ascii="Times New Roman" w:hAnsi="Times New Roman"/>
          <w:sz w:val="28"/>
          <w:szCs w:val="28"/>
          <w:lang w:val="uk-UA"/>
        </w:rPr>
        <w:t>, BOP Analytic Presentation and International Investment Position. International Monetary Fund. - [Електронний ресурс]. – Режим доступу: http://data.imf.org/?sk=7A51304B-6426-40C0-83DD-CA473CA1FD52&amp;sId=1542635306163</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en-US"/>
        </w:rPr>
        <w:t>Portugal</w:t>
      </w:r>
      <w:r>
        <w:rPr>
          <w:rFonts w:ascii="Times New Roman" w:hAnsi="Times New Roman"/>
          <w:sz w:val="28"/>
          <w:szCs w:val="28"/>
          <w:lang w:val="uk-UA"/>
        </w:rPr>
        <w:t>, BOP Analytic Presentation and International Investment Position. International Monetary Fund. - [Електронний ресурс]. – Режим доступу: http://data.imf.org/?sk=7A51304B-6426-40C0-83DD-CA473CA1FD52&amp;sId=1542635306163</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Spain, Current Account. International Monetary Fund. - [Електронний ресурс]. – Режим доступу: http://data.imf.org/?sk=7A51304B-6426-40C0-83DD-CA473CA1FD52&amp;sId=1542635306163</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en-US"/>
        </w:rPr>
        <w:t>Portugal</w:t>
      </w:r>
      <w:r>
        <w:rPr>
          <w:rFonts w:ascii="Times New Roman" w:hAnsi="Times New Roman"/>
          <w:sz w:val="28"/>
          <w:szCs w:val="28"/>
          <w:lang w:val="uk-UA"/>
        </w:rPr>
        <w:t>, Current Account. International Monetary Fund. -[Електронний ресурс]. – Режим доступу: http://data.imf.org/?sk=7A51304B-6426-40C0-83DD-CA473CA1FD52&amp;sId=1542635306163</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en-US"/>
        </w:rPr>
        <w:t>Spain</w:t>
      </w:r>
      <w:r>
        <w:rPr>
          <w:rFonts w:ascii="Times New Roman" w:hAnsi="Times New Roman"/>
          <w:sz w:val="28"/>
          <w:szCs w:val="28"/>
          <w:lang w:val="uk-UA"/>
        </w:rPr>
        <w:t>, Trade Balance. International Monetary Fund. - [Електронний ресурс]. – Режим доступу: http://data.imf.org/?sk=7A51304B-6426-40C0-83DD-CA473CA1FD52&amp;sId=1542635306163</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en-US"/>
        </w:rPr>
        <w:t>Portugal</w:t>
      </w:r>
      <w:r>
        <w:rPr>
          <w:rFonts w:ascii="Times New Roman" w:hAnsi="Times New Roman"/>
          <w:sz w:val="28"/>
          <w:szCs w:val="28"/>
          <w:lang w:val="uk-UA"/>
        </w:rPr>
        <w:t>, Trade Balance. International Monetary Fund. - [Електронний ресурс]. – Режим доступу: http://data.imf.org/?sk=7A51304B-6426-40C0-83DD-CA473CA1FD52&amp;sId=1542635306163</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en-US"/>
        </w:rPr>
        <w:t>Spain</w:t>
      </w:r>
      <w:r>
        <w:rPr>
          <w:rFonts w:ascii="Times New Roman" w:hAnsi="Times New Roman"/>
          <w:sz w:val="28"/>
          <w:szCs w:val="28"/>
          <w:lang w:val="uk-UA"/>
        </w:rPr>
        <w:t>, Balance of Service. International Monetary Fund. -[Електронний ресурс]. – Режим доступу: http://data.imf.org/?sk=7A51304B-6426-40C0-83DD-CA473CA1FD52&amp;sId=1542635306163</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en-US"/>
        </w:rPr>
        <w:t>Portugal</w:t>
      </w:r>
      <w:r>
        <w:rPr>
          <w:rFonts w:ascii="Times New Roman" w:hAnsi="Times New Roman"/>
          <w:sz w:val="28"/>
          <w:szCs w:val="28"/>
          <w:lang w:val="uk-UA"/>
        </w:rPr>
        <w:t>, Balance of Service. International Monetary Fund. - [Електронний ресурс]. – Режим доступу: http://data.imf.org/?sk=7A51304B-6426-40C0-83DD-CA473CA1FD52&amp;sId=1542635306163</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en-US"/>
        </w:rPr>
        <w:t>Spain</w:t>
      </w:r>
      <w:r>
        <w:rPr>
          <w:rFonts w:ascii="Times New Roman" w:hAnsi="Times New Roman"/>
          <w:sz w:val="28"/>
          <w:szCs w:val="28"/>
          <w:lang w:val="uk-UA"/>
        </w:rPr>
        <w:t>, Primary Income Balance. International Monetary Fund. -[Електронний ресурс]. – Режим доступу: http://data.imf.org/?sk=7A51304B-6426-40C0-83DD-CA473CA1FD52&amp;sId=1542635306163</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en-US"/>
        </w:rPr>
        <w:t>Portugal</w:t>
      </w:r>
      <w:r>
        <w:rPr>
          <w:rFonts w:ascii="Times New Roman" w:hAnsi="Times New Roman"/>
          <w:sz w:val="28"/>
          <w:szCs w:val="28"/>
          <w:lang w:val="uk-UA"/>
        </w:rPr>
        <w:t>, Primary Income Balance. International Monetary Fund. - [Електронний ресурс]. – Режим доступу: http://data.imf.org/?sk=7A51304B-6426-40C0-83DD-CA473CA1FD52&amp;sId=1542635306163</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en-US"/>
        </w:rPr>
        <w:t>Spain</w:t>
      </w:r>
      <w:r>
        <w:rPr>
          <w:rFonts w:ascii="Times New Roman" w:hAnsi="Times New Roman"/>
          <w:sz w:val="28"/>
          <w:szCs w:val="28"/>
          <w:lang w:val="uk-UA"/>
        </w:rPr>
        <w:t>, Secondary Income Balance. International Monetary Fund. - [Електронний ресурс]. – Режим доступу: http://data.imf.org/?sk=7A51304B-6426-40C0-83DD-CA473CA1FD52&amp;sId=1542635306163</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en-US"/>
        </w:rPr>
        <w:t>Portugal</w:t>
      </w:r>
      <w:r>
        <w:rPr>
          <w:rFonts w:ascii="Times New Roman" w:hAnsi="Times New Roman"/>
          <w:sz w:val="28"/>
          <w:szCs w:val="28"/>
          <w:lang w:val="uk-UA"/>
        </w:rPr>
        <w:t>, Secondary Income Balance. International Monetary Fund. -[Електронний ресурс]. – Режим доступу: http://data.imf.org/?sk=7A51304B-6426-40C0-83DD-CA473CA1FD52&amp;sId=1542635306163</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 xml:space="preserve">The Observatory of Economic complexity [Електронний ресурс]. – Режим доступу: https://atlas.media.mit.edu/en/ </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en-US"/>
        </w:rPr>
        <w:t>Spain</w:t>
      </w:r>
      <w:r>
        <w:rPr>
          <w:rFonts w:ascii="Times New Roman" w:hAnsi="Times New Roman"/>
          <w:sz w:val="28"/>
          <w:szCs w:val="28"/>
          <w:lang w:val="uk-UA"/>
        </w:rPr>
        <w:t>, Financial Account. International Monetary Fund. -[Електронний ресурс]. – Режим доступу: http://data.imf.org/?sk=7A51304B-6426-40C0-83DD-CA473CA1FD52&amp;sId=1542635306163</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en-US"/>
        </w:rPr>
        <w:t>Portugal</w:t>
      </w:r>
      <w:r>
        <w:rPr>
          <w:rFonts w:ascii="Times New Roman" w:hAnsi="Times New Roman"/>
          <w:sz w:val="28"/>
          <w:szCs w:val="28"/>
          <w:lang w:val="uk-UA"/>
        </w:rPr>
        <w:t>, Financial Account. International Monetary Fund. - [Електронний ресурс]. – Режим доступу: http://data.imf.org/?sk=7A51304B-6426-40C0-83DD-CA473CA1FD52&amp;sId=1542635306163</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en-US"/>
        </w:rPr>
        <w:t>Spain</w:t>
      </w:r>
      <w:r>
        <w:rPr>
          <w:rFonts w:ascii="Times New Roman" w:hAnsi="Times New Roman"/>
          <w:sz w:val="28"/>
          <w:szCs w:val="28"/>
          <w:lang w:val="uk-UA"/>
        </w:rPr>
        <w:t>, Portfolio Investments. International Monetary Fund. -[Електронний ресурс]. – Режим доступу: http://data.imf.org/?sk=7A51304B-6426-40C0-83DD-CA473CA1FD52&amp;sId=1542635306163</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en-US"/>
        </w:rPr>
        <w:t>Portugal</w:t>
      </w:r>
      <w:r>
        <w:rPr>
          <w:rFonts w:ascii="Times New Roman" w:hAnsi="Times New Roman"/>
          <w:sz w:val="28"/>
          <w:szCs w:val="28"/>
          <w:lang w:val="uk-UA"/>
        </w:rPr>
        <w:t>, Portfolio Investments. International Monetary Fund. - [Електронний ресурс]. – Режим доступу: http://data.imf.org/?sk=7A51304B-6426-40C0-83DD-CA473CA1FD52&amp;sId=1542635306163</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en-US"/>
        </w:rPr>
        <w:t>Spain</w:t>
      </w:r>
      <w:r>
        <w:rPr>
          <w:rFonts w:ascii="Times New Roman" w:hAnsi="Times New Roman"/>
          <w:sz w:val="28"/>
          <w:szCs w:val="28"/>
          <w:lang w:val="uk-UA"/>
        </w:rPr>
        <w:t>, Other Investments. International Monetary Fund. -[Електронний ресурс]. – Режим доступу: http://data.imf.org/?sk=7A51304B-6426-40C0-83DD-CA473CA1FD52&amp;sId=1542635306163</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en-US"/>
        </w:rPr>
        <w:t>Portugal</w:t>
      </w:r>
      <w:r>
        <w:rPr>
          <w:rFonts w:ascii="Times New Roman" w:hAnsi="Times New Roman"/>
          <w:sz w:val="28"/>
          <w:szCs w:val="28"/>
          <w:lang w:val="uk-UA"/>
        </w:rPr>
        <w:t>, Other Investments. International Monetary Fund. - [Електронний ресурс]. – Режим доступу: http://data.imf.org/?sk=7A51304B-6426-40C0-83DD-CA473CA1FD52&amp;sId=1542635306163</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 xml:space="preserve">Відсоткові ставки по кредитах Іспанія, Греція та Португалія. [Електронний ресурс]. – Режим доступу: https://tradingeconomics.com/country-list/lending-rate </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 xml:space="preserve">Дохідність облігацій Іспанія, Греції та Португалії. [Електронний ресурс]. – Режим доступу: https://www.investing.com/rates-bonds/world-government-bonds </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 xml:space="preserve">World Bank. GDP (current US$). [Електронний ресурс]. – Режим доступу: https://data.worldbank.org/indicator/NY.GDP.MKTP.CD. </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 xml:space="preserve">World Bank. Inflation, consumer prices (annual %). [Електронний ресурс] – Режим доступу: https://data.worldbank.org/indicator/FP.CPI.TOTL.ZG. </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 xml:space="preserve">База Economist Intelligence Unit. [Електронний ресурс] – Режим доступу: https://drive.google.com/open?id=1Usf9L3J2NElO0gSTwraOo4DNAOaNiOVM. </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Країни за товарною структурою зовнішньої торгiвлi за сiчень-серпень 2021 року // Державна служба статистики України: офіційний сайт. – [Електронний</w:t>
        <w:tab/>
        <w:t>ресурс].</w:t>
        <w:tab/>
        <w:t>–</w:t>
        <w:tab/>
        <w:t>Режим</w:t>
        <w:tab/>
        <w:t>доступу: http://ukrstat.gov.ua/operativ/operativ202й/zd/kr_tstr/kr_tstr_08_2021.xls</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Країни за товарною структурою зовнішньої торгiвлi за сiчень-серпень 2021 року // Державна служба статистики України: офіційний сайт. – [Електронний</w:t>
        <w:tab/>
        <w:t>ресурс].</w:t>
        <w:tab/>
        <w:t>–</w:t>
        <w:tab/>
        <w:t>Режим</w:t>
        <w:tab/>
        <w:t>доступу: http://ukrstat.gov.ua/operativ/operativ202й/zd/kr_tstr/kr_tstr_08_2021.xls</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Торговельно-економічне співробітництво між Україною та Іспанією: опубліковано 29 жовтня 2021 року. – Посольство України в Королівстві Іспанія: офіційний</w:t>
        <w:tab/>
        <w:t>сайт.</w:t>
        <w:tab/>
        <w:t>–</w:t>
        <w:tab/>
        <w:t>[Електронний</w:t>
        <w:tab/>
        <w:t>ресурс].</w:t>
        <w:tab/>
        <w:t>–</w:t>
        <w:tab/>
        <w:t>Режим</w:t>
        <w:tab/>
        <w:t>доступу: https://spain.mfa.gov.ua/posolstvo/170-torgovelyno-jekonomichne-spivrobitnictvo- mizh-ukrajinoju-ta-ispanijeju</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Торговельно-економічне</w:t>
        <w:tab/>
        <w:t>співробітництво</w:t>
        <w:tab/>
        <w:t>між</w:t>
        <w:tab/>
        <w:t>Україною</w:t>
        <w:tab/>
        <w:t>та Португалією: Консульство України в Португалії. Опубліковано 20 квітня 2021 року</w:t>
        <w:tab/>
        <w:t>–</w:t>
        <w:tab/>
        <w:t>[Електронний</w:t>
        <w:tab/>
        <w:t>ресурс].</w:t>
        <w:tab/>
        <w:t>–</w:t>
        <w:tab/>
        <w:tab/>
        <w:t>Режим</w:t>
        <w:tab/>
        <w:t>доступу: https://porto.mfa.gov.ua/spivrobitnictvo/torgovelno-ekonomichne-spivrobitnictvo- mizh-ukrayinoyu-ta-portugaliyeyu</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Географічна структура зовнішньої торгівлі України товарами 2021 р. – [Електронний</w:t>
        <w:tab/>
        <w:t>ресурс].</w:t>
        <w:tab/>
        <w:t>–</w:t>
        <w:tab/>
        <w:t>Режим</w:t>
        <w:tab/>
        <w:t>доступу: http://ukrstat.gov.ua/operativ/operativ2021/zd/ztt/ztt_u/ztt0921_ue.xls</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Географічна структура зовнішньої торгівлі України товарами 2020 р. – [Електронний</w:t>
        <w:tab/>
        <w:t>ресурс].</w:t>
        <w:tab/>
        <w:t>–</w:t>
        <w:tab/>
        <w:t>Режим</w:t>
        <w:tab/>
        <w:t>доступу: http://ukrstat.gov.ua/operativ/operativ2020/zd/ztt/ztt_u/arh_ztt2020.html</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Географічна структура зовнішньої торгівлі України товарами 2019 – [Електронний</w:t>
        <w:tab/>
        <w:t>ресурс].</w:t>
        <w:tab/>
        <w:t>–</w:t>
        <w:tab/>
        <w:t>Режим</w:t>
        <w:tab/>
        <w:t>доступу: рhttp://ukrstat.gov.ua/operativ/operativ2019/zd/ztt/ztt_u/arh_ztt2019.html</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Географічна структура зовнішньої торгівлі України товарами 2018 – [Електронний</w:t>
        <w:tab/>
        <w:t>ресурс].</w:t>
        <w:tab/>
        <w:t>–</w:t>
        <w:tab/>
        <w:t>Режим</w:t>
        <w:tab/>
        <w:t>доступу: рhttp://ukrstat.gov.ua/operativ/operativ2018/zd/ztt/ztt_u/arh_ztt2018.html</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Географічна структура зовнішньої торгівлі України товарами 2017 – [Електронний</w:t>
        <w:tab/>
        <w:t>ресурс].</w:t>
        <w:tab/>
        <w:t>–</w:t>
        <w:tab/>
        <w:t>Режим</w:t>
        <w:tab/>
        <w:t>доступу: рhttp://ukrstat.gov.ua/operativ/operativ2017/zd/ztt/ztt_u/arh_ztt2017.html</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Географічна структура зовнішньої торгівлі України товарами 2016 – [Електронний</w:t>
        <w:tab/>
        <w:t>ресурс].</w:t>
        <w:tab/>
        <w:t>–</w:t>
        <w:tab/>
        <w:t>Режим</w:t>
        <w:tab/>
        <w:t>доступу: рhttp://ukrstat.gov.ua/operativ/operativ2016/zd/ztt/ztt_u/arh_ztt2016.html</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Географічна структура зовнішньої торгівлі послугами 2021 р. – [Електронний</w:t>
        <w:tab/>
        <w:t>ресурс].</w:t>
        <w:tab/>
        <w:t>–</w:t>
        <w:tab/>
        <w:t>Режим</w:t>
        <w:tab/>
        <w:t>доступу: http://ukrstat.gov.ua/operativ/operativ2021/zd/gsztp/gsztp_u/gsztp_9m2021_ue.xls</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Географічна структура зовнішньої торгівлі послугами 2020 р. – [Електронний</w:t>
        <w:tab/>
        <w:t>ресурс].</w:t>
        <w:tab/>
        <w:t>–</w:t>
        <w:tab/>
        <w:t>Режим</w:t>
        <w:tab/>
        <w:t>доступу: http://ukrstat.gov.ua/operativ/operativ2020/zd/gsztp/gsztp_u/gsztp_2020_ue.xls</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Прямі інвестиції (акціонерний капітал) в економіці України/з України за</w:t>
        <w:tab/>
        <w:t>країнами</w:t>
        <w:tab/>
        <w:t>світу</w:t>
        <w:tab/>
        <w:t>–</w:t>
        <w:tab/>
        <w:t>[Електронний</w:t>
        <w:tab/>
        <w:t>ресурс].</w:t>
        <w:tab/>
        <w:t>–</w:t>
        <w:tab/>
        <w:t>Режим</w:t>
        <w:tab/>
        <w:t>доступу: http://ukrstat.gov.ua/operativ/operativ2020/zd_inv_new/p_inv/15-19/pi_reg_15- 19_u.xlsx</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Національний банк України. Операції за</w:t>
        <w:tab/>
        <w:t>інструментами прямих інвестицій за регіонами, країнами світу та видами економічної діяльності 2020 [Електронний</w:t>
        <w:tab/>
        <w:t>ресурс].</w:t>
        <w:tab/>
        <w:t>–</w:t>
        <w:tab/>
        <w:t>Режим</w:t>
        <w:tab/>
        <w:t>доступу: https://bank.gov.ua/files/ES/FDI_Lf_y.xlsx</w:t>
      </w:r>
    </w:p>
    <w:p>
      <w:pPr>
        <w:pStyle w:val="ListParagraph"/>
        <w:numPr>
          <w:ilvl w:val="0"/>
          <w:numId w:val="2"/>
        </w:numPr>
        <w:spacing w:lineRule="auto" w:line="348" w:before="0" w:after="0"/>
        <w:contextualSpacing/>
        <w:jc w:val="both"/>
        <w:rPr>
          <w:rFonts w:ascii="Times New Roman" w:hAnsi="Times New Roman"/>
          <w:sz w:val="28"/>
          <w:szCs w:val="28"/>
          <w:lang w:val="uk-UA"/>
        </w:rPr>
      </w:pPr>
      <w:r>
        <w:rPr>
          <w:rFonts w:ascii="Times New Roman" w:hAnsi="Times New Roman"/>
          <w:sz w:val="28"/>
          <w:szCs w:val="28"/>
          <w:lang w:val="uk-UA"/>
        </w:rPr>
        <w:t>Переверзєва А.С. Динаміка та структура зовнішнього боргу країн Південної Європи. Науковий вісник Ужгородського університету. Серія «Економіка». Тематичний розділ: Світове господарство і міжнародні економічні відносини, 2021 р. (надіслано у редакцію вісника).</w:t>
      </w:r>
    </w:p>
    <w:p>
      <w:pPr>
        <w:pStyle w:val="ListParagraph"/>
        <w:spacing w:lineRule="auto" w:line="348" w:before="0" w:after="0"/>
        <w:ind w:left="360" w:hanging="0"/>
        <w:contextualSpacing/>
        <w:jc w:val="both"/>
        <w:rPr>
          <w:rFonts w:ascii="Times New Roman" w:hAnsi="Times New Roman"/>
          <w:sz w:val="28"/>
          <w:szCs w:val="28"/>
          <w:lang w:val="uk-UA"/>
        </w:rPr>
      </w:pPr>
      <w:r>
        <w:rPr>
          <w:rFonts w:ascii="Times New Roman" w:hAnsi="Times New Roman"/>
          <w:sz w:val="28"/>
          <w:szCs w:val="28"/>
          <w:lang w:val="uk-UA"/>
        </w:rPr>
      </w:r>
    </w:p>
    <w:p>
      <w:pPr>
        <w:pStyle w:val="ListParagraph"/>
        <w:spacing w:lineRule="auto" w:line="348" w:before="0" w:after="0"/>
        <w:ind w:left="360" w:hanging="0"/>
        <w:contextualSpacing/>
        <w:jc w:val="both"/>
        <w:rPr>
          <w:lang w:val="uk-UA"/>
        </w:rPr>
      </w:pPr>
      <w:r>
        <w:rPr>
          <w:lang w:val="uk-UA"/>
        </w:rPr>
      </w:r>
    </w:p>
    <w:p>
      <w:pPr>
        <w:pStyle w:val="Normal"/>
        <w:ind w:left="720" w:hanging="0"/>
        <w:rPr>
          <w:lang w:val="uk-UA"/>
        </w:rPr>
      </w:pPr>
      <w:r>
        <w:rPr>
          <w:lang w:val="uk-UA"/>
        </w:rPr>
      </w:r>
    </w:p>
    <w:p>
      <w:pPr>
        <w:pStyle w:val="Normal"/>
        <w:spacing w:lineRule="auto" w:line="360" w:before="0" w:after="0"/>
        <w:ind w:firstLine="709"/>
        <w:jc w:val="right"/>
        <w:rPr>
          <w:rFonts w:ascii="Times New Roman" w:hAnsi="Times New Roman"/>
          <w:sz w:val="28"/>
          <w:szCs w:val="28"/>
          <w:lang w:val="uk-UA"/>
        </w:rPr>
      </w:pPr>
      <w:r>
        <w:rPr/>
      </w:r>
    </w:p>
    <w:sectPr>
      <w:headerReference w:type="default" r:id="rId2"/>
      <w:type w:val="nextPage"/>
      <w:pgSz w:w="11906" w:h="16838"/>
      <w:pgMar w:left="1701" w:right="851" w:header="567" w:top="1134" w:footer="0" w:bottom="1134" w:gutter="0"/>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jc w:val="right"/>
      <w:rPr>
        <w:lang w:val="uk-UA"/>
      </w:rPr>
    </w:pPr>
    <w:r>
      <w:rPr/>
      <w:fldChar w:fldCharType="begin"/>
    </w:r>
    <w:r>
      <w:rPr/>
      <w:instrText> PAGE </w:instrText>
    </w:r>
    <w:r>
      <w:rPr/>
      <w:fldChar w:fldCharType="separate"/>
    </w:r>
    <w:r>
      <w:rPr/>
      <w:t>14</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360" w:hanging="360"/>
      </w:pPr>
      <w:rPr>
        <w:sz w:val="28"/>
        <w:szCs w:val="28"/>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uk-UA" w:eastAsia="uk-UA"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81a64"/>
    <w:pPr>
      <w:widowControl/>
      <w:bidi w:val="0"/>
      <w:spacing w:lineRule="auto" w:line="276" w:before="0" w:after="200"/>
      <w:jc w:val="left"/>
    </w:pPr>
    <w:rPr>
      <w:rFonts w:ascii="Calibri" w:hAnsi="Calibri" w:eastAsia="Calibri" w:cs="Times New Roman"/>
      <w:color w:val="auto"/>
      <w:kern w:val="0"/>
      <w:sz w:val="22"/>
      <w:szCs w:val="22"/>
      <w:lang w:val="ru-RU" w:eastAsia="en-US" w:bidi="ar-SA"/>
    </w:rPr>
  </w:style>
  <w:style w:type="paragraph" w:styleId="1">
    <w:name w:val="Heading 1"/>
    <w:basedOn w:val="Normal"/>
    <w:link w:val="10"/>
    <w:uiPriority w:val="9"/>
    <w:qFormat/>
    <w:rsid w:val="00df2912"/>
    <w:pPr>
      <w:widowControl w:val="false"/>
      <w:spacing w:lineRule="auto" w:line="240" w:before="79" w:after="0"/>
      <w:ind w:left="343" w:right="363" w:hanging="0"/>
      <w:jc w:val="center"/>
      <w:outlineLvl w:val="0"/>
    </w:pPr>
    <w:rPr>
      <w:rFonts w:ascii="Times New Roman" w:hAnsi="Times New Roman" w:eastAsia="Times New Roman"/>
      <w:b/>
      <w:bCs/>
      <w:sz w:val="28"/>
      <w:szCs w:val="28"/>
      <w:lang w:val="uk-UA" w:eastAsia="uk-UA"/>
    </w:rPr>
  </w:style>
  <w:style w:type="paragraph" w:styleId="2">
    <w:name w:val="Heading 2"/>
    <w:basedOn w:val="Normal"/>
    <w:next w:val="Normal"/>
    <w:link w:val="20"/>
    <w:uiPriority w:val="99"/>
    <w:qFormat/>
    <w:rsid w:val="004d6e0d"/>
    <w:pPr>
      <w:keepNext w:val="true"/>
      <w:spacing w:before="240" w:after="60"/>
      <w:outlineLvl w:val="1"/>
    </w:pPr>
    <w:rPr>
      <w:rFonts w:ascii="Arial" w:hAnsi="Arial" w:cs="Arial"/>
      <w:b/>
      <w:bCs/>
      <w:i/>
      <w:iCs/>
      <w:sz w:val="28"/>
      <w:szCs w:val="28"/>
    </w:rPr>
  </w:style>
  <w:style w:type="paragraph" w:styleId="3">
    <w:name w:val="Heading 3"/>
    <w:basedOn w:val="Normal"/>
    <w:link w:val="30"/>
    <w:uiPriority w:val="9"/>
    <w:qFormat/>
    <w:rsid w:val="00f01ff8"/>
    <w:pPr>
      <w:spacing w:lineRule="auto" w:line="240" w:beforeAutospacing="1" w:afterAutospacing="1"/>
      <w:outlineLvl w:val="2"/>
    </w:pPr>
    <w:rPr>
      <w:rFonts w:ascii="Times New Roman" w:hAnsi="Times New Roman" w:eastAsia="Times New Roman"/>
      <w:b/>
      <w:bCs/>
      <w:sz w:val="27"/>
      <w:szCs w:val="27"/>
      <w:lang w:eastAsia="ru-RU"/>
    </w:rPr>
  </w:style>
  <w:style w:type="character" w:styleId="DefaultParagraphFont" w:default="1">
    <w:name w:val="Default Paragraph Font"/>
    <w:uiPriority w:val="1"/>
    <w:semiHidden/>
    <w:unhideWhenUsed/>
    <w:qFormat/>
    <w:rPr/>
  </w:style>
  <w:style w:type="character" w:styleId="11" w:customStyle="1">
    <w:name w:val="Заголовок 1 Знак"/>
    <w:link w:val="1"/>
    <w:uiPriority w:val="9"/>
    <w:qFormat/>
    <w:rPr>
      <w:rFonts w:ascii="Cambria" w:hAnsi="Cambria" w:eastAsia="Times New Roman" w:cs="Times New Roman"/>
      <w:b/>
      <w:bCs/>
      <w:kern w:val="2"/>
      <w:sz w:val="32"/>
      <w:szCs w:val="32"/>
      <w:lang w:eastAsia="en-US"/>
    </w:rPr>
  </w:style>
  <w:style w:type="character" w:styleId="21" w:customStyle="1">
    <w:name w:val="Заголовок 2 Знак"/>
    <w:link w:val="2"/>
    <w:uiPriority w:val="9"/>
    <w:semiHidden/>
    <w:qFormat/>
    <w:rPr>
      <w:rFonts w:ascii="Cambria" w:hAnsi="Cambria" w:eastAsia="Times New Roman" w:cs="Times New Roman"/>
      <w:b/>
      <w:bCs/>
      <w:i/>
      <w:iCs/>
      <w:sz w:val="28"/>
      <w:szCs w:val="28"/>
      <w:lang w:eastAsia="en-US"/>
    </w:rPr>
  </w:style>
  <w:style w:type="character" w:styleId="Style11" w:customStyle="1">
    <w:name w:val="Текст выноски Знак"/>
    <w:link w:val="a3"/>
    <w:uiPriority w:val="99"/>
    <w:semiHidden/>
    <w:qFormat/>
    <w:locked/>
    <w:rsid w:val="006c25f7"/>
    <w:rPr>
      <w:rFonts w:ascii="Tahoma" w:hAnsi="Tahoma"/>
      <w:sz w:val="16"/>
    </w:rPr>
  </w:style>
  <w:style w:type="character" w:styleId="Style12" w:customStyle="1">
    <w:name w:val="Верхний колонтитул Знак"/>
    <w:link w:val="a9"/>
    <w:uiPriority w:val="99"/>
    <w:qFormat/>
    <w:locked/>
    <w:rsid w:val="00071749"/>
    <w:rPr>
      <w:rFonts w:cs="Times New Roman"/>
    </w:rPr>
  </w:style>
  <w:style w:type="character" w:styleId="Style13" w:customStyle="1">
    <w:name w:val="Нижний колонтитул Знак"/>
    <w:link w:val="ab"/>
    <w:uiPriority w:val="99"/>
    <w:qFormat/>
    <w:locked/>
    <w:rsid w:val="00071749"/>
    <w:rPr>
      <w:rFonts w:cs="Times New Roman"/>
    </w:rPr>
  </w:style>
  <w:style w:type="character" w:styleId="Style14" w:customStyle="1">
    <w:name w:val="Основной текст Знак"/>
    <w:link w:val="ad"/>
    <w:uiPriority w:val="99"/>
    <w:semiHidden/>
    <w:qFormat/>
    <w:rPr>
      <w:lang w:eastAsia="en-US"/>
    </w:rPr>
  </w:style>
  <w:style w:type="character" w:styleId="HTML" w:customStyle="1">
    <w:name w:val="Стандартный HTML Знак"/>
    <w:link w:val="HTML"/>
    <w:uiPriority w:val="99"/>
    <w:semiHidden/>
    <w:qFormat/>
    <w:rPr>
      <w:rFonts w:ascii="Courier New" w:hAnsi="Courier New" w:cs="Courier New"/>
      <w:sz w:val="20"/>
      <w:szCs w:val="20"/>
      <w:lang w:eastAsia="en-US"/>
    </w:rPr>
  </w:style>
  <w:style w:type="character" w:styleId="Style15" w:customStyle="1">
    <w:name w:val="Абзац списка Знак"/>
    <w:link w:val="a7"/>
    <w:uiPriority w:val="34"/>
    <w:qFormat/>
    <w:locked/>
    <w:rsid w:val="00c06f43"/>
    <w:rPr>
      <w:rFonts w:ascii="Calibri" w:hAnsi="Calibri" w:eastAsia="Times New Roman"/>
      <w:sz w:val="22"/>
      <w:lang w:val="ru-RU" w:eastAsia="en-US"/>
    </w:rPr>
  </w:style>
  <w:style w:type="character" w:styleId="Style16">
    <w:name w:val="Интернет-ссылка"/>
    <w:uiPriority w:val="99"/>
    <w:rsid w:val="00b26cac"/>
    <w:rPr>
      <w:rFonts w:cs="Times New Roman"/>
      <w:color w:val="0000FF"/>
      <w:u w:val="single"/>
    </w:rPr>
  </w:style>
  <w:style w:type="character" w:styleId="Titletext" w:customStyle="1">
    <w:name w:val="title-text"/>
    <w:uiPriority w:val="99"/>
    <w:qFormat/>
    <w:rsid w:val="004d6e0d"/>
    <w:rPr/>
  </w:style>
  <w:style w:type="character" w:styleId="Contribdegrees" w:customStyle="1">
    <w:name w:val="contribdegrees"/>
    <w:uiPriority w:val="99"/>
    <w:qFormat/>
    <w:rsid w:val="004d6e0d"/>
    <w:rPr/>
  </w:style>
  <w:style w:type="character" w:styleId="Appleconvertedspace" w:customStyle="1">
    <w:name w:val="apple-converted-space"/>
    <w:uiPriority w:val="99"/>
    <w:qFormat/>
    <w:rsid w:val="004d6e0d"/>
    <w:rPr/>
  </w:style>
  <w:style w:type="character" w:styleId="Tlidtranslationtranslation" w:customStyle="1">
    <w:name w:val="tlid-translation translation"/>
    <w:basedOn w:val="DefaultParagraphFont"/>
    <w:qFormat/>
    <w:rsid w:val="00901590"/>
    <w:rPr/>
  </w:style>
  <w:style w:type="character" w:styleId="31" w:customStyle="1">
    <w:name w:val="Заголовок 3 Знак"/>
    <w:link w:val="3"/>
    <w:uiPriority w:val="9"/>
    <w:qFormat/>
    <w:rsid w:val="00f01ff8"/>
    <w:rPr>
      <w:rFonts w:ascii="Times New Roman" w:hAnsi="Times New Roman" w:eastAsia="Times New Roman"/>
      <w:b/>
      <w:bCs/>
      <w:sz w:val="27"/>
      <w:szCs w:val="27"/>
    </w:rPr>
  </w:style>
  <w:style w:type="character" w:styleId="Strong">
    <w:name w:val="Strong"/>
    <w:uiPriority w:val="22"/>
    <w:qFormat/>
    <w:rsid w:val="00f01ff8"/>
    <w:rPr>
      <w:b/>
      <w:bCs/>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link w:val="ae"/>
    <w:uiPriority w:val="99"/>
    <w:rsid w:val="00b13e62"/>
    <w:pPr>
      <w:widowControl w:val="false"/>
      <w:spacing w:lineRule="auto" w:line="240" w:before="0" w:after="0"/>
    </w:pPr>
    <w:rPr>
      <w:rFonts w:ascii="Times New Roman" w:hAnsi="Times New Roman" w:eastAsia="Times New Roman"/>
      <w:sz w:val="28"/>
      <w:szCs w:val="28"/>
      <w:lang w:val="uk-UA" w:eastAsia="uk-UA"/>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BalloonText">
    <w:name w:val="Balloon Text"/>
    <w:basedOn w:val="Normal"/>
    <w:link w:val="a4"/>
    <w:uiPriority w:val="99"/>
    <w:semiHidden/>
    <w:qFormat/>
    <w:rsid w:val="006c25f7"/>
    <w:pPr>
      <w:spacing w:lineRule="auto" w:line="240" w:before="0" w:after="0"/>
    </w:pPr>
    <w:rPr>
      <w:rFonts w:ascii="Tahoma" w:hAnsi="Tahoma" w:cs="Tahoma"/>
      <w:sz w:val="16"/>
      <w:szCs w:val="16"/>
    </w:rPr>
  </w:style>
  <w:style w:type="paragraph" w:styleId="NormalWeb">
    <w:name w:val="Normal (Web)"/>
    <w:basedOn w:val="Normal"/>
    <w:uiPriority w:val="99"/>
    <w:qFormat/>
    <w:rsid w:val="00282f80"/>
    <w:pPr>
      <w:spacing w:lineRule="auto" w:line="240" w:beforeAutospacing="1" w:afterAutospacing="1"/>
    </w:pPr>
    <w:rPr>
      <w:rFonts w:ascii="Times New Roman" w:hAnsi="Times New Roman" w:eastAsia="Times New Roman"/>
      <w:sz w:val="24"/>
      <w:szCs w:val="24"/>
      <w:lang w:eastAsia="ru-RU"/>
    </w:rPr>
  </w:style>
  <w:style w:type="paragraph" w:styleId="ListParagraph">
    <w:name w:val="List Paragraph"/>
    <w:basedOn w:val="Normal"/>
    <w:link w:val="a8"/>
    <w:uiPriority w:val="34"/>
    <w:qFormat/>
    <w:rsid w:val="00875f64"/>
    <w:pPr>
      <w:spacing w:before="0" w:after="200"/>
      <w:ind w:left="720" w:hanging="0"/>
      <w:contextualSpacing/>
    </w:pPr>
    <w:rPr>
      <w:rFonts w:eastAsia="Times New Roman"/>
    </w:rPr>
  </w:style>
  <w:style w:type="paragraph" w:styleId="Style22">
    <w:name w:val="Верхний и нижний колонтитулы"/>
    <w:basedOn w:val="Normal"/>
    <w:qFormat/>
    <w:pPr/>
    <w:rPr/>
  </w:style>
  <w:style w:type="paragraph" w:styleId="Style23">
    <w:name w:val="Header"/>
    <w:basedOn w:val="Normal"/>
    <w:link w:val="aa"/>
    <w:uiPriority w:val="99"/>
    <w:rsid w:val="00071749"/>
    <w:pPr>
      <w:tabs>
        <w:tab w:val="clear" w:pos="708"/>
        <w:tab w:val="center" w:pos="4513" w:leader="none"/>
        <w:tab w:val="right" w:pos="9026" w:leader="none"/>
      </w:tabs>
      <w:spacing w:lineRule="auto" w:line="240" w:before="0" w:after="0"/>
    </w:pPr>
    <w:rPr/>
  </w:style>
  <w:style w:type="paragraph" w:styleId="Style24">
    <w:name w:val="Footer"/>
    <w:basedOn w:val="Normal"/>
    <w:link w:val="ac"/>
    <w:uiPriority w:val="99"/>
    <w:rsid w:val="00071749"/>
    <w:pPr>
      <w:tabs>
        <w:tab w:val="clear" w:pos="708"/>
        <w:tab w:val="center" w:pos="4513" w:leader="none"/>
        <w:tab w:val="right" w:pos="9026" w:leader="none"/>
      </w:tabs>
      <w:spacing w:lineRule="auto" w:line="240" w:before="0" w:after="0"/>
    </w:pPr>
    <w:rPr/>
  </w:style>
  <w:style w:type="paragraph" w:styleId="HTMLPreformatted">
    <w:name w:val="HTML Preformatted"/>
    <w:basedOn w:val="Normal"/>
    <w:link w:val="HTML0"/>
    <w:uiPriority w:val="99"/>
    <w:qFormat/>
    <w:rsid w:val="00431c11"/>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pPr>
    <w:rPr>
      <w:rFonts w:ascii="Courier New" w:hAnsi="Courier New" w:eastAsia="Times New Roman" w:cs="Courier New"/>
      <w:sz w:val="20"/>
      <w:szCs w:val="20"/>
      <w:lang w:eastAsia="ru-RU"/>
    </w:rPr>
  </w:style>
  <w:style w:type="paragraph" w:styleId="Default" w:customStyle="1">
    <w:name w:val="Default"/>
    <w:uiPriority w:val="99"/>
    <w:qFormat/>
    <w:rsid w:val="00bd5452"/>
    <w:pPr>
      <w:widowControl/>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12" w:customStyle="1">
    <w:name w:val="Абзац списка1"/>
    <w:basedOn w:val="Normal"/>
    <w:qFormat/>
    <w:rsid w:val="009a5aa1"/>
    <w:pPr>
      <w:spacing w:lineRule="auto" w:line="240" w:before="0" w:after="0"/>
      <w:ind w:left="720" w:hanging="0"/>
      <w:contextualSpacing/>
    </w:pPr>
    <w:rPr>
      <w:rFonts w:eastAsia="Times New Roman"/>
      <w:sz w:val="24"/>
      <w:szCs w:val="24"/>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numbering" w:styleId="13" w:customStyle="1">
    <w:name w:val="Нет списка1"/>
    <w:semiHidden/>
    <w:unhideWhenUsed/>
    <w:qFormat/>
    <w:rsid w:val="00b10aac"/>
  </w:style>
  <w:style w:type="numbering" w:styleId="22" w:customStyle="1">
    <w:name w:val="Нет списка2"/>
    <w:uiPriority w:val="99"/>
    <w:semiHidden/>
    <w:unhideWhenUsed/>
    <w:qFormat/>
    <w:rsid w:val="00f01ff8"/>
  </w:style>
  <w:style w:type="table" w:default="1" w:styleId="a1">
    <w:name w:val="Normal Table"/>
    <w:uiPriority w:val="99"/>
    <w:semiHidden/>
    <w:unhideWhenUsed/>
    <w:tblPr>
      <w:tblCellMar>
        <w:top w:w="0" w:type="dxa"/>
        <w:left w:w="108" w:type="dxa"/>
        <w:bottom w:w="0" w:type="dxa"/>
        <w:right w:w="108" w:type="dxa"/>
      </w:tblCellMar>
    </w:tblPr>
  </w:style>
  <w:style w:type="table" w:styleId="a5">
    <w:name w:val="Table Grid"/>
    <w:basedOn w:val="a1"/>
    <w:uiPriority w:val="99"/>
    <w:rsid w:val="005611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Сетка таблицы1"/>
    <w:basedOn w:val="a1"/>
    <w:uiPriority w:val="39"/>
    <w:rsid w:val="001d0495"/>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
    <w:name w:val="Сетка таблицы2"/>
    <w:basedOn w:val="a1"/>
    <w:uiPriority w:val="59"/>
    <w:rsid w:val="008576df"/>
    <w:rPr>
      <w:lang w:val="en-US" w:eastAsia="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
    <w:name w:val="Сетка таблицы3"/>
    <w:basedOn w:val="a1"/>
    <w:uiPriority w:val="39"/>
    <w:rsid w:val="008576df"/>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
    <w:name w:val="Сетка таблицы4"/>
    <w:basedOn w:val="a1"/>
    <w:uiPriority w:val="59"/>
    <w:rsid w:val="00734916"/>
    <w:rPr>
      <w:lang w:val="en-US" w:eastAsia="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0">
    <w:name w:val="Сетка таблицы11"/>
    <w:basedOn w:val="a1"/>
    <w:uiPriority w:val="39"/>
    <w:rsid w:val="00734916"/>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
    <w:name w:val="Сетка таблицы5"/>
    <w:basedOn w:val="a1"/>
    <w:uiPriority w:val="59"/>
    <w:rsid w:val="002219b2"/>
    <w:rPr>
      <w:lang w:val="en-US" w:eastAsia="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
    <w:name w:val="Таблица простая 11"/>
    <w:basedOn w:val="a1"/>
    <w:uiPriority w:val="41"/>
    <w:rsid w:val="00f01ff8"/>
    <w:tblPr>
      <w:tblStyleRowBandSize w:val="1"/>
      <w:tblStyleColBandSize w:val="1"/>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blStylePr w:type="firstRow">
      <w:rPr>
        <w:b/>
        <w:bCs/>
      </w:rPr>
      <w:tblPr/>
    </w:tblStylePr>
    <w:tblStylePr w:type="lastRow">
      <w:rPr>
        <w:b/>
        <w:bCs/>
      </w:rPr>
      <w:tblPr/>
      <w:tcPr>
        <w:tcBorders>
          <w:top w:val="double" w:color="BFBFBF" w:sz="4" w:space="0"/>
        </w:tcBorders>
      </w:tcPr>
    </w:tblStylePr>
    <w:tblStylePr w:type="firstCol">
      <w:rPr>
        <w:b/>
        <w:bCs/>
      </w:rPr>
      <w:tblPr/>
    </w:tblStylePr>
    <w:tblStylePr w:type="lastCol">
      <w:rPr>
        <w:b/>
        <w:bCs/>
      </w:rPr>
      <w:tblPr/>
    </w:tblStylePr>
    <w:tblStylePr w:type="band1Vert">
      <w:tblPr/>
      <w:tcPr>
        <w:shd w:val="clear" w:color="auto" w:fill="F2F2F2"/>
      </w:tcPr>
    </w:tblStylePr>
    <w:tblStylePr w:type="band1Horz">
      <w:tblPr/>
      <w:tcPr>
        <w:shd w:val="clear" w:color="auto" w:fill="F2F2F2"/>
      </w:tcPr>
    </w:tblStylePr>
  </w:style>
  <w:style w:type="table" w:customStyle="1" w:styleId="6">
    <w:name w:val="Сетка таблицы6"/>
    <w:basedOn w:val="a1"/>
    <w:uiPriority w:val="59"/>
    <w:rsid w:val="00562843"/>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Сетка таблицы7"/>
    <w:basedOn w:val="a1"/>
    <w:uiPriority w:val="39"/>
    <w:rsid w:val="003041d3"/>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Сетка таблицы8"/>
    <w:basedOn w:val="a1"/>
    <w:uiPriority w:val="59"/>
    <w:qFormat/>
    <w:rsid w:val="00870d8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
    <w:name w:val="Таблица простая 11"/>
    <w:basedOn w:val="a1"/>
    <w:uiPriority w:val="41"/>
    <w:rsid w:val="0047463c"/>
    <w:rPr>
      <w:lang w:val="ru-RU" w:eastAsia="en-US"/>
      <w:sz w:val="22"/>
      <w:szCs w:val="22"/>
    </w:rPr>
    <w:tblPr>
      <w:tblStyleRowBandSize w:val="1"/>
      <w:tblStyleColBandSize w:val="1"/>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blStylePr w:type="firstRow">
      <w:rPr>
        <w:b/>
        <w:bCs/>
      </w:rPr>
      <w:tblPr/>
    </w:tblStylePr>
    <w:tblStylePr w:type="lastRow">
      <w:rPr>
        <w:b/>
        <w:bCs/>
      </w:rPr>
      <w:tblPr/>
      <w:tcPr>
        <w:tcBorders>
          <w:top w:val="double" w:color="BFBFBF" w:sz="4" w:space="0"/>
        </w:tcBorders>
      </w:tcPr>
    </w:tblStylePr>
    <w:tblStylePr w:type="firstCol">
      <w:rPr>
        <w:b/>
        <w:bCs/>
      </w:rPr>
      <w:tblPr/>
    </w:tblStylePr>
    <w:tblStylePr w:type="lastCol">
      <w:rPr>
        <w:b/>
        <w:bCs/>
      </w:rPr>
      <w:tblPr/>
    </w:tblStylePr>
    <w:tblStylePr w:type="band1Vert">
      <w:tblPr/>
      <w:tcPr>
        <w:shd w:val="clear" w:color="auto" w:fill="F2F2F2"/>
      </w:tcPr>
    </w:tblStylePr>
    <w:tblStylePr w:type="band1Horz">
      <w:tblPr/>
      <w:tcPr>
        <w:shd w:val="clear" w:color="auto" w:fill="F2F2F2"/>
      </w:tcPr>
    </w:tblStylePr>
  </w:style>
  <w:style w:type="table" w:customStyle="1" w:styleId="9">
    <w:name w:val="Сетка таблицы9"/>
    <w:basedOn w:val="a1"/>
    <w:uiPriority w:val="39"/>
    <w:rsid w:val="00823d32"/>
    <w:rPr>
      <w:lang w:val="ru-RU"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0">
    <w:name w:val="Сетка таблицы12"/>
    <w:basedOn w:val="a1"/>
    <w:uiPriority w:val="39"/>
    <w:rsid w:val="00823d32"/>
    <w:rPr>
      <w:lang w:val="ru-RU"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iPriority w:val="2"/>
    <w:semiHidden/>
    <w:unhideWhenUsed/>
    <w:qFormat/>
    <w:rsid w:val="006f1c41"/>
    <w:rPr>
      <w:lang w:val="en-US" w:eastAsia="en-US"/>
      <w:sz w:val="22"/>
      <w:szCs w:val="22"/>
    </w:rPr>
    <w:tblPr>
      <w:tblCellMar>
        <w:top w:w="0" w:type="dxa"/>
        <w:left w:w="0" w:type="dxa"/>
        <w:bottom w:w="0" w:type="dxa"/>
        <w:right w:w="0" w:type="dxa"/>
      </w:tblCellMar>
    </w:tblPr>
  </w:style>
  <w:style w:type="table" w:customStyle="1" w:styleId="TableNormal1">
    <w:name w:val="Table Normal1"/>
    <w:uiPriority w:val="2"/>
    <w:semiHidden/>
    <w:unhideWhenUsed/>
    <w:qFormat/>
    <w:rsid w:val="006f1c41"/>
    <w:rPr>
      <w:lang w:val="en-US" w:eastAsia="en-US"/>
      <w:sz w:val="22"/>
      <w:szCs w:val="22"/>
    </w:rPr>
    <w:tblPr>
      <w:tblCellMar>
        <w:top w:w="0" w:type="dxa"/>
        <w:left w:w="0" w:type="dxa"/>
        <w:bottom w:w="0" w:type="dxa"/>
        <w:right w:w="0" w:type="dxa"/>
      </w:tblCellMar>
    </w:tblPr>
  </w:style>
  <w:style w:type="table" w:customStyle="1" w:styleId="TableNormal2">
    <w:name w:val="Table Normal2"/>
    <w:uiPriority w:val="2"/>
    <w:semiHidden/>
    <w:unhideWhenUsed/>
    <w:qFormat/>
    <w:rsid w:val="007f0248"/>
    <w:rPr>
      <w:lang w:val="en-US" w:eastAsia="en-US"/>
      <w:sz w:val="22"/>
      <w:szCs w:val="22"/>
    </w:rPr>
    <w:tblPr>
      <w:tblCellMar>
        <w:top w:w="0" w:type="dxa"/>
        <w:left w:w="0" w:type="dxa"/>
        <w:bottom w:w="0" w:type="dxa"/>
        <w:right w:w="0" w:type="dxa"/>
      </w:tblCellMar>
    </w:tblPr>
  </w:style>
  <w:style w:type="table" w:customStyle="1" w:styleId="TableNormal3">
    <w:name w:val="Table Normal3"/>
    <w:uiPriority w:val="2"/>
    <w:semiHidden/>
    <w:unhideWhenUsed/>
    <w:qFormat/>
    <w:rsid w:val="009a7768"/>
    <w:rPr>
      <w:lang w:val="en-US" w:eastAsia="en-US"/>
      <w:sz w:val="22"/>
      <w:szCs w:val="22"/>
    </w:rPr>
    <w:tblPr>
      <w:tblCellMar>
        <w:top w:w="0" w:type="dxa"/>
        <w:left w:w="0" w:type="dxa"/>
        <w:bottom w:w="0" w:type="dxa"/>
        <w:right w:w="0" w:type="dxa"/>
      </w:tblCellMar>
    </w:tblPr>
  </w:style>
  <w:style w:type="table" w:customStyle="1" w:styleId="TableNormal4">
    <w:name w:val="Table Normal4"/>
    <w:uiPriority w:val="2"/>
    <w:semiHidden/>
    <w:unhideWhenUsed/>
    <w:qFormat/>
    <w:rsid w:val="003321ce"/>
    <w:rPr>
      <w:lang w:val="en-US" w:eastAsia="en-US"/>
      <w:sz w:val="22"/>
      <w:szCs w:val="22"/>
    </w:rPr>
    <w:tblPr>
      <w:tblCellMar>
        <w:top w:w="0" w:type="dxa"/>
        <w:left w:w="0" w:type="dxa"/>
        <w:bottom w:w="0" w:type="dxa"/>
        <w:right w:w="0" w:type="dxa"/>
      </w:tblCellMar>
    </w:tblPr>
  </w:style>
  <w:style w:type="table" w:customStyle="1" w:styleId="100">
    <w:name w:val="Сетка таблицы10"/>
    <w:basedOn w:val="a1"/>
    <w:uiPriority w:val="39"/>
    <w:rsid w:val="00fe752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0">
    <w:name w:val="Сетка таблицы13"/>
    <w:basedOn w:val="a1"/>
    <w:uiPriority w:val="39"/>
    <w:rsid w:val="0019291a"/>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A7533-2BC9-4A87-9512-7B48CEF0C0D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LibreOffice/7.0.2.2$Windows_X86_64 LibreOffice_project/8349ace3c3162073abd90d81fd06dcfb6b36b994</Application>
  <Pages>15</Pages>
  <Words>2443</Words>
  <Characters>19611</Characters>
  <CharactersWithSpaces>22203</CharactersWithSpaces>
  <Paragraphs>128</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2021-12-23T06:27:00Z</dcterms:created>
  <dc:creator>Tanya</dc:creator>
  <dc:description/>
  <dc:language>ru-RU</dc:language>
  <cp:lastModifiedBy/>
  <dcterms:modified xsi:type="dcterms:W3CDTF">2022-08-23T22:28:16Z</dcterms:modified>
  <cp:revision>3</cp:revision>
  <dc:subject/>
  <dc:title>Одеський національний університет імені І</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