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embeddings/_____Microsoft_Excel2.xlsx" ContentType="application/vnd.openxmlformats-officedocument.spreadsheetml.sheet"/>
  <Override PartName="/word/embeddings/_____Microsoft_Excel5.xlsx" ContentType="application/vnd.openxmlformats-officedocument.spreadsheetml.sheet"/>
  <Override PartName="/word/embeddings/_____Microsoft_Excel1.xlsx" ContentType="application/vnd.openxmlformats-officedocument.spreadsheetml.sheet"/>
  <Override PartName="/word/embeddings/_____Microsoft_Excel4.xlsx" ContentType="application/vnd.openxmlformats-officedocument.spreadsheetml.sheet"/>
  <Override PartName="/word/embeddings/_____Microsoft_Excel6.xlsx" ContentType="application/vnd.openxmlformats-officedocument.spreadsheetml.sheet"/>
  <Override PartName="/word/embeddings/_____Microsoft_Excel3.xlsx" ContentType="application/vnd.openxmlformats-officedocument.spreadsheetml.sheet"/>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keepNext w:val="true"/>
        <w:numPr>
          <w:ilvl w:val="0"/>
          <w:numId w:val="0"/>
        </w:numPr>
        <w:spacing w:lineRule="auto" w:line="300" w:before="0" w:after="0"/>
        <w:jc w:val="center"/>
        <w:outlineLvl w:val="0"/>
        <w:rPr>
          <w:rFonts w:ascii="Times New Roman" w:hAnsi="Times New Roman"/>
          <w:kern w:val="2"/>
          <w:sz w:val="28"/>
          <w:szCs w:val="28"/>
          <w:lang w:val="uk-UA" w:eastAsia="ru-RU"/>
        </w:rPr>
      </w:pPr>
      <w:r>
        <w:rPr>
          <w:rFonts w:ascii="Times New Roman" w:hAnsi="Times New Roman"/>
          <w:kern w:val="2"/>
          <w:sz w:val="28"/>
          <w:szCs w:val="28"/>
          <w:lang w:val="uk-UA" w:eastAsia="ru-RU"/>
        </w:rPr>
        <w:t xml:space="preserve">Одеський національний університет імені </w:t>
      </w:r>
      <w:r>
        <w:rPr>
          <w:rFonts w:ascii="Times New Roman" w:hAnsi="Times New Roman"/>
          <w:caps/>
          <w:kern w:val="2"/>
          <w:sz w:val="28"/>
          <w:szCs w:val="28"/>
          <w:lang w:val="uk-UA" w:eastAsia="ru-RU"/>
        </w:rPr>
        <w:t>і. і. м</w:t>
      </w:r>
      <w:r>
        <w:rPr>
          <w:rFonts w:ascii="Times New Roman" w:hAnsi="Times New Roman"/>
          <w:kern w:val="2"/>
          <w:sz w:val="28"/>
          <w:szCs w:val="28"/>
          <w:lang w:val="uk-UA" w:eastAsia="ru-RU"/>
        </w:rPr>
        <w:t>ечникова</w:t>
      </w:r>
    </w:p>
    <w:p>
      <w:pPr>
        <w:pStyle w:val="Normal"/>
        <w:widowControl w:val="false"/>
        <w:spacing w:lineRule="auto" w:line="300" w:before="0" w:after="0"/>
        <w:jc w:val="center"/>
        <w:rPr>
          <w:rFonts w:ascii="Times New Roman" w:hAnsi="Times New Roman"/>
          <w:bCs/>
          <w:sz w:val="28"/>
          <w:szCs w:val="28"/>
          <w:lang w:val="uk-UA" w:eastAsia="ru-RU"/>
        </w:rPr>
      </w:pPr>
      <w:r>
        <w:rPr>
          <w:rFonts w:ascii="Times New Roman" w:hAnsi="Times New Roman"/>
          <w:bCs/>
          <w:sz w:val="28"/>
          <w:szCs w:val="28"/>
          <w:lang w:val="uk-UA" w:eastAsia="ru-RU"/>
        </w:rPr>
        <w:t>Факультет міжнародних відносин, політології та соціології</w:t>
      </w:r>
    </w:p>
    <w:p>
      <w:pPr>
        <w:pStyle w:val="Normal"/>
        <w:widowControl w:val="false"/>
        <w:spacing w:lineRule="auto" w:line="300" w:before="0" w:after="0"/>
        <w:jc w:val="center"/>
        <w:rPr>
          <w:rFonts w:ascii="Times New Roman" w:hAnsi="Times New Roman"/>
          <w:sz w:val="28"/>
          <w:szCs w:val="28"/>
          <w:lang w:val="uk-UA" w:eastAsia="ru-RU"/>
        </w:rPr>
      </w:pPr>
      <w:r>
        <w:rPr>
          <w:rFonts w:ascii="Times New Roman" w:hAnsi="Times New Roman"/>
          <w:sz w:val="28"/>
          <w:szCs w:val="28"/>
          <w:lang w:val="uk-UA" w:eastAsia="ru-RU"/>
        </w:rPr>
        <w:t>Кафедра світового господарства і міжнародних економічних  відносин</w:t>
      </w:r>
    </w:p>
    <w:p>
      <w:pPr>
        <w:pStyle w:val="Normal"/>
        <w:widowControl w:val="false"/>
        <w:spacing w:lineRule="auto" w:line="24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jc w:val="both"/>
        <w:rPr>
          <w:rFonts w:ascii="Times New Roman" w:hAnsi="Times New Roman"/>
          <w:b/>
          <w:b/>
          <w:color w:val="000000"/>
          <w:sz w:val="28"/>
          <w:szCs w:val="28"/>
          <w:lang w:val="uk-UA" w:eastAsia="ru-RU"/>
        </w:rPr>
      </w:pPr>
      <w:r>
        <w:rPr>
          <w:rFonts w:ascii="Times New Roman" w:hAnsi="Times New Roman"/>
          <w:b/>
          <w:color w:val="000000"/>
          <w:sz w:val="28"/>
          <w:szCs w:val="28"/>
          <w:lang w:val="uk-UA" w:eastAsia="ru-RU"/>
        </w:rPr>
      </w:r>
    </w:p>
    <w:p>
      <w:pPr>
        <w:pStyle w:val="Normal"/>
        <w:widowControl w:val="false"/>
        <w:spacing w:lineRule="auto" w:line="240" w:before="0" w:after="0"/>
        <w:jc w:val="both"/>
        <w:rPr>
          <w:rFonts w:ascii="Times New Roman" w:hAnsi="Times New Roman"/>
          <w:b/>
          <w:b/>
          <w:color w:val="000000"/>
          <w:sz w:val="28"/>
          <w:szCs w:val="28"/>
          <w:lang w:val="uk-UA" w:eastAsia="ru-RU"/>
        </w:rPr>
      </w:pPr>
      <w:r>
        <w:rPr>
          <w:rFonts w:ascii="Times New Roman" w:hAnsi="Times New Roman"/>
          <w:b/>
          <w:color w:val="000000"/>
          <w:sz w:val="28"/>
          <w:szCs w:val="28"/>
          <w:lang w:val="uk-UA" w:eastAsia="ru-RU"/>
        </w:rPr>
      </w:r>
    </w:p>
    <w:p>
      <w:pPr>
        <w:pStyle w:val="Normal"/>
        <w:widowControl w:val="false"/>
        <w:spacing w:lineRule="auto" w:line="240" w:before="0" w:after="0"/>
        <w:jc w:val="both"/>
        <w:rPr>
          <w:rFonts w:ascii="Times New Roman" w:hAnsi="Times New Roman"/>
          <w:b/>
          <w:b/>
          <w:color w:val="000000"/>
          <w:sz w:val="28"/>
          <w:szCs w:val="28"/>
          <w:lang w:val="uk-UA" w:eastAsia="ru-RU"/>
        </w:rPr>
      </w:pPr>
      <w:r>
        <w:rPr>
          <w:rFonts w:ascii="Times New Roman" w:hAnsi="Times New Roman"/>
          <w:b/>
          <w:color w:val="000000"/>
          <w:sz w:val="28"/>
          <w:szCs w:val="28"/>
          <w:lang w:val="uk-UA" w:eastAsia="ru-RU"/>
        </w:rPr>
      </w:r>
    </w:p>
    <w:p>
      <w:pPr>
        <w:pStyle w:val="Normal"/>
        <w:widowControl w:val="false"/>
        <w:spacing w:lineRule="auto" w:line="240" w:before="0" w:after="0"/>
        <w:jc w:val="both"/>
        <w:rPr>
          <w:rFonts w:ascii="Times New Roman" w:hAnsi="Times New Roman"/>
          <w:b/>
          <w:b/>
          <w:color w:val="000000"/>
          <w:sz w:val="28"/>
          <w:szCs w:val="28"/>
          <w:lang w:val="uk-UA" w:eastAsia="ru-RU"/>
        </w:rPr>
      </w:pPr>
      <w:r>
        <w:rPr>
          <w:rFonts w:ascii="Times New Roman" w:hAnsi="Times New Roman"/>
          <w:b/>
          <w:color w:val="000000"/>
          <w:sz w:val="28"/>
          <w:szCs w:val="28"/>
          <w:lang w:val="uk-UA" w:eastAsia="ru-RU"/>
        </w:rPr>
      </w:r>
    </w:p>
    <w:p>
      <w:pPr>
        <w:pStyle w:val="Normal"/>
        <w:widowControl w:val="false"/>
        <w:spacing w:lineRule="auto" w:line="360" w:before="0" w:after="0"/>
        <w:jc w:val="center"/>
        <w:rPr>
          <w:rFonts w:ascii="Times New Roman" w:hAnsi="Times New Roman"/>
          <w:b/>
          <w:b/>
          <w:color w:val="000000"/>
          <w:sz w:val="28"/>
          <w:szCs w:val="28"/>
          <w:lang w:val="uk-UA" w:eastAsia="ru-RU"/>
        </w:rPr>
      </w:pPr>
      <w:r>
        <w:rPr>
          <w:rFonts w:ascii="Times New Roman" w:hAnsi="Times New Roman"/>
          <w:b/>
          <w:color w:val="000000"/>
          <w:sz w:val="28"/>
          <w:szCs w:val="28"/>
          <w:lang w:val="uk-UA" w:eastAsia="ru-RU"/>
        </w:rPr>
        <w:t>ДИПЛОМНА РОБОТА</w:t>
      </w:r>
    </w:p>
    <w:p>
      <w:pPr>
        <w:pStyle w:val="Normal"/>
        <w:widowControl w:val="false"/>
        <w:spacing w:lineRule="auto" w:line="360" w:before="0" w:after="0"/>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t>на здобуття ступеня вищої освіти «магістр»</w:t>
      </w:r>
    </w:p>
    <w:p>
      <w:pPr>
        <w:pStyle w:val="Normal"/>
        <w:widowControl w:val="false"/>
        <w:spacing w:lineRule="auto" w:line="360" w:before="0" w:after="0"/>
        <w:jc w:val="center"/>
        <w:rPr>
          <w:rFonts w:ascii="Times New Roman" w:hAnsi="Times New Roman"/>
          <w:b/>
          <w:b/>
          <w:color w:val="000000"/>
          <w:sz w:val="28"/>
          <w:szCs w:val="28"/>
          <w:lang w:val="uk-UA" w:eastAsia="ru-RU"/>
        </w:rPr>
      </w:pPr>
      <w:r>
        <w:rPr>
          <w:rFonts w:ascii="Times New Roman" w:hAnsi="Times New Roman"/>
          <w:b/>
          <w:color w:val="000000"/>
          <w:sz w:val="28"/>
          <w:szCs w:val="28"/>
          <w:lang w:val="uk-UA" w:eastAsia="ru-RU"/>
        </w:rPr>
        <w:t>на тему: «</w:t>
      </w:r>
      <w:r>
        <w:rPr>
          <w:rFonts w:ascii="Times New Roman" w:hAnsi="Times New Roman"/>
          <w:b/>
          <w:sz w:val="28"/>
          <w:szCs w:val="28"/>
          <w:lang w:val="uk-UA" w:eastAsia="uk-UA"/>
        </w:rPr>
        <w:t>Динаміка та структура державного боргу країн Південної Європи</w:t>
      </w:r>
      <w:r>
        <w:rPr>
          <w:rFonts w:ascii="Times New Roman" w:hAnsi="Times New Roman"/>
          <w:b/>
          <w:color w:val="000000"/>
          <w:sz w:val="28"/>
          <w:szCs w:val="28"/>
          <w:lang w:val="uk-UA" w:eastAsia="ru-RU"/>
        </w:rPr>
        <w:t xml:space="preserve">»  </w:t>
      </w:r>
    </w:p>
    <w:p>
      <w:pPr>
        <w:pStyle w:val="Normal"/>
        <w:widowControl w:val="false"/>
        <w:spacing w:lineRule="auto" w:line="360" w:before="0" w:after="0"/>
        <w:jc w:val="center"/>
        <w:rPr>
          <w:rFonts w:ascii="Times New Roman" w:hAnsi="Times New Roman"/>
          <w:bCs/>
          <w:color w:val="000000"/>
          <w:sz w:val="24"/>
          <w:szCs w:val="24"/>
          <w:lang w:val="uk-UA" w:eastAsia="ru-RU"/>
        </w:rPr>
      </w:pPr>
      <w:r>
        <w:rPr>
          <w:rFonts w:ascii="Times New Roman" w:hAnsi="Times New Roman"/>
          <w:bCs/>
          <w:color w:val="000000"/>
          <w:sz w:val="24"/>
          <w:szCs w:val="24"/>
          <w:lang w:val="uk-UA" w:eastAsia="ru-RU"/>
        </w:rPr>
        <w:t>«</w:t>
      </w:r>
      <w:r>
        <w:rPr>
          <w:rFonts w:ascii="Times New Roman" w:hAnsi="Times New Roman"/>
          <w:sz w:val="24"/>
          <w:szCs w:val="24"/>
          <w:lang w:val="uk-UA"/>
        </w:rPr>
        <w:t>Dynamics and Structure of Public Debt of Southern Europe Countries</w:t>
      </w:r>
      <w:r>
        <w:rPr>
          <w:rFonts w:ascii="Times New Roman" w:hAnsi="Times New Roman"/>
          <w:bCs/>
          <w:color w:val="000000"/>
          <w:sz w:val="24"/>
          <w:szCs w:val="24"/>
          <w:lang w:val="uk-UA" w:eastAsia="ru-RU"/>
        </w:rPr>
        <w:t xml:space="preserve">» </w:t>
      </w:r>
    </w:p>
    <w:p>
      <w:pPr>
        <w:pStyle w:val="Normal"/>
        <w:widowControl w:val="false"/>
        <w:spacing w:lineRule="auto" w:line="240" w:before="0" w:after="0"/>
        <w:jc w:val="center"/>
        <w:rPr>
          <w:rFonts w:ascii="Times New Roman" w:hAnsi="Times New Roman"/>
          <w:b/>
          <w:b/>
          <w:color w:val="000000"/>
          <w:sz w:val="28"/>
          <w:szCs w:val="28"/>
          <w:lang w:val="uk-UA" w:eastAsia="ru-RU"/>
        </w:rPr>
      </w:pPr>
      <w:r>
        <w:rPr>
          <w:rFonts w:ascii="Times New Roman" w:hAnsi="Times New Roman"/>
          <w:b/>
          <w:color w:val="000000"/>
          <w:sz w:val="28"/>
          <w:szCs w:val="28"/>
          <w:lang w:val="uk-UA" w:eastAsia="ru-RU"/>
        </w:rPr>
      </w:r>
    </w:p>
    <w:tbl>
      <w:tblPr>
        <w:tblW w:w="8022" w:type="dxa"/>
        <w:jc w:val="left"/>
        <w:tblInd w:w="1549" w:type="dxa"/>
        <w:tblLayout w:type="fixed"/>
        <w:tblCellMar>
          <w:top w:w="0" w:type="dxa"/>
          <w:left w:w="108" w:type="dxa"/>
          <w:bottom w:w="0" w:type="dxa"/>
          <w:right w:w="108" w:type="dxa"/>
        </w:tblCellMar>
        <w:tblLook w:firstRow="0" w:noVBand="0" w:lastRow="0" w:firstColumn="0" w:lastColumn="0" w:noHBand="0" w:val="0000"/>
      </w:tblPr>
      <w:tblGrid>
        <w:gridCol w:w="8022"/>
      </w:tblGrid>
      <w:tr>
        <w:trPr>
          <w:trHeight w:val="3190" w:hRule="atLeast"/>
        </w:trPr>
        <w:tc>
          <w:tcPr>
            <w:tcW w:w="8022" w:type="dxa"/>
            <w:tcBorders/>
          </w:tcPr>
          <w:p>
            <w:pPr>
              <w:pStyle w:val="Normal"/>
              <w:widowControl w:val="false"/>
              <w:tabs>
                <w:tab w:val="clear" w:pos="708"/>
                <w:tab w:val="left" w:pos="882" w:leader="none"/>
              </w:tabs>
              <w:spacing w:lineRule="auto" w:line="24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tabs>
                <w:tab w:val="clear" w:pos="708"/>
                <w:tab w:val="left" w:pos="882" w:leader="none"/>
              </w:tabs>
              <w:spacing w:lineRule="auto" w:line="24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30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Виконала: студентка денної форми навчання</w:t>
            </w:r>
          </w:p>
          <w:p>
            <w:pPr>
              <w:pStyle w:val="Normal"/>
              <w:widowControl w:val="false"/>
              <w:spacing w:lineRule="auto" w:line="30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спеціальності 292 «Міжнародні економічні відносини</w:t>
            </w:r>
            <w:r>
              <w:rPr>
                <w:rFonts w:ascii="Times New Roman" w:hAnsi="Times New Roman"/>
                <w:color w:val="000000"/>
                <w:sz w:val="28"/>
                <w:szCs w:val="28"/>
                <w:lang w:val="uk-UA" w:eastAsia="uk-UA"/>
              </w:rPr>
              <w:t>»</w:t>
            </w:r>
          </w:p>
          <w:p>
            <w:pPr>
              <w:pStyle w:val="Normal"/>
              <w:widowControl w:val="false"/>
              <w:spacing w:lineRule="auto" w:line="30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eastAsia="Times New Roman" w:ascii="Times New Roman" w:hAnsi="Times New Roman"/>
                <w:sz w:val="28"/>
                <w:szCs w:val="28"/>
                <w:lang w:val="uk-UA"/>
              </w:rPr>
              <w:t>Переверзєва Анастасія Сергіївна</w:t>
            </w:r>
          </w:p>
          <w:p>
            <w:pPr>
              <w:pStyle w:val="Normal"/>
              <w:widowControl w:val="false"/>
              <w:spacing w:lineRule="auto" w:line="24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Керівник – д.е.н., проф. Якубовський С.О.__________</w:t>
            </w:r>
          </w:p>
          <w:p>
            <w:pPr>
              <w:pStyle w:val="Normal"/>
              <w:widowControl w:val="false"/>
              <w:spacing w:lineRule="auto" w:line="240" w:before="0" w:after="0"/>
              <w:rPr>
                <w:rFonts w:ascii="Times New Roman" w:hAnsi="Times New Roman"/>
                <w:color w:val="000000"/>
                <w:sz w:val="20"/>
                <w:szCs w:val="20"/>
                <w:lang w:val="uk-UA" w:eastAsia="ru-RU"/>
              </w:rPr>
            </w:pPr>
            <w:r>
              <w:rPr>
                <w:rFonts w:ascii="Times New Roman" w:hAnsi="Times New Roman"/>
                <w:color w:val="000000"/>
                <w:sz w:val="20"/>
                <w:szCs w:val="20"/>
                <w:lang w:val="uk-UA" w:eastAsia="ru-RU"/>
              </w:rPr>
            </w:r>
          </w:p>
          <w:p>
            <w:pPr>
              <w:pStyle w:val="Normal"/>
              <w:widowControl w:val="false"/>
              <w:spacing w:lineRule="auto" w:line="24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Рецензент – доц., д.е.н. Робул Ю. В.</w:t>
            </w:r>
          </w:p>
        </w:tc>
      </w:tr>
    </w:tbl>
    <w:p>
      <w:pPr>
        <w:pStyle w:val="Normal"/>
        <w:widowControl w:val="false"/>
        <w:spacing w:lineRule="auto" w:line="240" w:before="0" w:after="0"/>
        <w:jc w:val="center"/>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ind w:left="-567" w:hanging="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360" w:before="0" w:after="120"/>
        <w:ind w:left="-567" w:hanging="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Рекомендовано до захисту:                                Захищено на засіданні ЕК №  </w:t>
      </w:r>
    </w:p>
    <w:p>
      <w:pPr>
        <w:pStyle w:val="Normal"/>
        <w:widowControl w:val="false"/>
        <w:spacing w:lineRule="auto" w:line="360" w:before="0" w:after="0"/>
        <w:ind w:left="-567" w:hanging="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Протокол засідання кафедри                                протокол №__ від «__»____ 2021 р.</w:t>
      </w:r>
    </w:p>
    <w:p>
      <w:pPr>
        <w:pStyle w:val="Normal"/>
        <w:widowControl w:val="false"/>
        <w:spacing w:lineRule="auto" w:line="360" w:before="0" w:after="120"/>
        <w:ind w:left="-567" w:hanging="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_ від «__» _____ 2021 р.                                   Оцінка___________/______/______                         </w:t>
      </w:r>
    </w:p>
    <w:p>
      <w:pPr>
        <w:pStyle w:val="Normal"/>
        <w:widowControl w:val="false"/>
        <w:spacing w:lineRule="auto" w:line="360" w:before="0" w:after="0"/>
        <w:ind w:left="-567" w:hanging="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Завідувач кафедри______С.О. Якубовський     Голова ЕК______ С.О. Якубовський</w:t>
      </w:r>
    </w:p>
    <w:p>
      <w:pPr>
        <w:pStyle w:val="Normal"/>
        <w:widowControl w:val="false"/>
        <w:spacing w:lineRule="auto" w:line="24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240" w:before="0" w:after="0"/>
        <w:jc w:val="center"/>
        <w:rPr>
          <w:rFonts w:ascii="Times New Roman" w:hAnsi="Times New Roman"/>
          <w:bCs/>
          <w:color w:val="000000"/>
          <w:sz w:val="28"/>
          <w:szCs w:val="28"/>
          <w:lang w:val="uk-UA" w:eastAsia="ru-RU"/>
        </w:rPr>
      </w:pPr>
      <w:r>
        <w:rPr>
          <w:rFonts w:ascii="Times New Roman" w:hAnsi="Times New Roman"/>
          <w:bCs/>
          <w:color w:val="000000"/>
          <w:sz w:val="28"/>
          <w:szCs w:val="28"/>
          <w:lang w:val="uk-UA" w:eastAsia="ru-RU"/>
        </w:rPr>
        <w:t>Одеса – 2021</w:t>
      </w:r>
    </w:p>
    <w:p>
      <w:pPr>
        <w:pStyle w:val="Normal"/>
        <w:widowControl w:val="false"/>
        <w:spacing w:lineRule="auto" w:line="240" w:before="0" w:after="0"/>
        <w:jc w:val="center"/>
        <w:rPr>
          <w:rFonts w:ascii="Times New Roman" w:hAnsi="Times New Roman"/>
          <w:b/>
          <w:b/>
          <w:bCs/>
          <w:color w:val="000000"/>
          <w:sz w:val="28"/>
          <w:szCs w:val="28"/>
          <w:lang w:val="uk-UA" w:eastAsia="ru-RU"/>
        </w:rPr>
      </w:pPr>
      <w:r>
        <w:rPr>
          <w:rFonts w:ascii="Times New Roman" w:hAnsi="Times New Roman"/>
          <w:b/>
          <w:bCs/>
          <w:color w:val="000000"/>
          <w:sz w:val="28"/>
          <w:szCs w:val="28"/>
          <w:lang w:val="uk-UA" w:eastAsia="ru-RU"/>
        </w:rPr>
        <w:t>ЗМІСТ</w:t>
      </w:r>
    </w:p>
    <w:p>
      <w:pPr>
        <w:pStyle w:val="Normal"/>
        <w:widowControl w:val="false"/>
        <w:spacing w:lineRule="auto" w:line="240" w:before="0" w:after="0"/>
        <w:jc w:val="center"/>
        <w:rPr>
          <w:rFonts w:ascii="Times New Roman" w:hAnsi="Times New Roman"/>
          <w:b/>
          <w:b/>
          <w:bCs/>
          <w:color w:val="000000"/>
          <w:sz w:val="28"/>
          <w:szCs w:val="28"/>
          <w:lang w:val="uk-UA" w:eastAsia="ru-RU"/>
        </w:rPr>
      </w:pPr>
      <w:r>
        <w:rPr>
          <w:rFonts w:ascii="Times New Roman" w:hAnsi="Times New Roman"/>
          <w:b/>
          <w:bCs/>
          <w:color w:val="000000"/>
          <w:sz w:val="28"/>
          <w:szCs w:val="28"/>
          <w:lang w:val="uk-UA" w:eastAsia="ru-RU"/>
        </w:rPr>
      </w:r>
    </w:p>
    <w:tbl>
      <w:tblPr>
        <w:tblW w:w="10221" w:type="dxa"/>
        <w:jc w:val="left"/>
        <w:tblInd w:w="-431" w:type="dxa"/>
        <w:tblLayout w:type="fixed"/>
        <w:tblCellMar>
          <w:top w:w="0" w:type="dxa"/>
          <w:left w:w="108" w:type="dxa"/>
          <w:bottom w:w="0" w:type="dxa"/>
          <w:right w:w="108" w:type="dxa"/>
        </w:tblCellMar>
        <w:tblLook w:firstRow="1" w:noVBand="0" w:lastRow="0" w:firstColumn="1" w:lastColumn="0" w:noHBand="0" w:val="00a0"/>
      </w:tblPr>
      <w:tblGrid>
        <w:gridCol w:w="9725"/>
        <w:gridCol w:w="495"/>
      </w:tblGrid>
      <w:tr>
        <w:trPr/>
        <w:tc>
          <w:tcPr>
            <w:tcW w:w="972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ВСТУП……………………………………………………………………………...</w:t>
            </w:r>
          </w:p>
        </w:tc>
        <w:tc>
          <w:tcPr>
            <w:tcW w:w="495" w:type="dxa"/>
            <w:tcBorders/>
          </w:tcPr>
          <w:p>
            <w:pPr>
              <w:pStyle w:val="Normal"/>
              <w:widowControl w:val="false"/>
              <w:spacing w:lineRule="auto" w:line="36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t>3</w:t>
            </w:r>
          </w:p>
        </w:tc>
      </w:tr>
      <w:tr>
        <w:trPr/>
        <w:tc>
          <w:tcPr>
            <w:tcW w:w="972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РОЗДІЛ 1. ТЕОРЕТИЧНІ ОСНОВИ АНАЛІЗУ СТІЙКОСТІ ФІНАНСОВИХ СИСТЕМ ТА ДЕРЖАВНОГО БОРГУ КРАЇН………………………………..….</w:t>
            </w:r>
          </w:p>
        </w:tc>
        <w:tc>
          <w:tcPr>
            <w:tcW w:w="495" w:type="dxa"/>
            <w:tcBorders/>
          </w:tcPr>
          <w:p>
            <w:pPr>
              <w:pStyle w:val="Normal"/>
              <w:widowControl w:val="false"/>
              <w:spacing w:lineRule="auto" w:line="36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pacing w:lineRule="auto" w:line="360" w:before="0" w:after="0"/>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5</w:t>
            </w:r>
          </w:p>
        </w:tc>
      </w:tr>
      <w:tr>
        <w:trPr/>
        <w:tc>
          <w:tcPr>
            <w:tcW w:w="972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РОЗДІЛ 2. ДОСЛІДЖЕННЯ ІНДИКАТОРІВ СТАБІЛЬНОСТІ ФІНАНСОВИХ СИСТЕМ, ЗОВНІШНЬОЕКОНОМІЧНИХ ПОЗИЦІЙ ТА ДЕРЖАВНОГО БОРГУ КРАЇН ПІВДЕННОЇ ЄВРОПИ………………………………………….….</w:t>
            </w:r>
          </w:p>
        </w:tc>
        <w:tc>
          <w:tcPr>
            <w:tcW w:w="49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13</w:t>
            </w:r>
          </w:p>
        </w:tc>
      </w:tr>
      <w:tr>
        <w:trPr/>
        <w:tc>
          <w:tcPr>
            <w:tcW w:w="972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2.1</w:t>
            </w:r>
            <w:r>
              <w:rPr/>
              <w:t xml:space="preserve"> </w:t>
            </w:r>
            <w:r>
              <w:rPr>
                <w:rFonts w:ascii="Times New Roman" w:hAnsi="Times New Roman"/>
                <w:color w:val="000000"/>
                <w:sz w:val="28"/>
                <w:szCs w:val="28"/>
                <w:lang w:val="uk-UA" w:eastAsia="ru-RU"/>
              </w:rPr>
              <w:t>Грошово-кредитна та валютна політика держав Південної Європи як чинник міжнародної конкурентоспроможності країн……………………..………</w:t>
            </w:r>
          </w:p>
        </w:tc>
        <w:tc>
          <w:tcPr>
            <w:tcW w:w="49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13</w:t>
            </w:r>
          </w:p>
        </w:tc>
      </w:tr>
      <w:tr>
        <w:trPr/>
        <w:tc>
          <w:tcPr>
            <w:tcW w:w="972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2.2. Стан державних фінансів та динаміка державного боргу країн Південної Європи………...…….…………………..…………………………………………....</w:t>
            </w:r>
          </w:p>
        </w:tc>
        <w:tc>
          <w:tcPr>
            <w:tcW w:w="49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22</w:t>
            </w:r>
          </w:p>
        </w:tc>
      </w:tr>
      <w:tr>
        <w:trPr/>
        <w:tc>
          <w:tcPr>
            <w:tcW w:w="972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2.3. Моделювання та результат операцій «Carry Trade» з державними борговими цінними паперами країн Південної Європи…………………………..</w:t>
            </w:r>
          </w:p>
        </w:tc>
        <w:tc>
          <w:tcPr>
            <w:tcW w:w="49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32</w:t>
            </w:r>
          </w:p>
        </w:tc>
      </w:tr>
      <w:tr>
        <w:trPr>
          <w:trHeight w:val="1461" w:hRule="atLeast"/>
        </w:trPr>
        <w:tc>
          <w:tcPr>
            <w:tcW w:w="972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РОЗДІЛ 3. ОСОБЛИВОСТІ ЗОВНІШНЬОЕКОНОМІЧНОЇ СПІВПРАЦІ КРАЇН ПІВДЕННОЇ ЄВРОПИ З УКРАЇНОЮ………………….…………………</w:t>
            </w:r>
          </w:p>
        </w:tc>
        <w:tc>
          <w:tcPr>
            <w:tcW w:w="49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37</w:t>
            </w:r>
          </w:p>
        </w:tc>
      </w:tr>
      <w:tr>
        <w:trPr/>
        <w:tc>
          <w:tcPr>
            <w:tcW w:w="972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ВИСНОВКИ…………………………………………………………………………</w:t>
            </w:r>
          </w:p>
        </w:tc>
        <w:tc>
          <w:tcPr>
            <w:tcW w:w="49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43</w:t>
            </w:r>
          </w:p>
        </w:tc>
      </w:tr>
      <w:tr>
        <w:trPr/>
        <w:tc>
          <w:tcPr>
            <w:tcW w:w="972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r>
          </w:p>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СПИСОК ВИКОРИСТАНИХ ДЖЕРЕЛ……………………………………...…...</w:t>
            </w:r>
          </w:p>
        </w:tc>
        <w:tc>
          <w:tcPr>
            <w:tcW w:w="495" w:type="dxa"/>
            <w:tcBorders/>
          </w:tcPr>
          <w:p>
            <w:pPr>
              <w:pStyle w:val="Normal"/>
              <w:widowControl w:val="false"/>
              <w:suppressAutoHyphens w:val="true"/>
              <w:spacing w:lineRule="auto" w:line="360" w:before="0" w:after="0"/>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47</w:t>
            </w:r>
          </w:p>
        </w:tc>
      </w:tr>
    </w:tbl>
    <w:p>
      <w:pPr>
        <w:pStyle w:val="Normal"/>
        <w:spacing w:lineRule="auto" w:line="259" w:before="0" w:after="0"/>
        <w:jc w:val="center"/>
        <w:rPr>
          <w:rFonts w:ascii="Times New Roman" w:hAnsi="Times New Roman"/>
          <w:b/>
          <w:b/>
          <w:color w:val="000000"/>
          <w:sz w:val="28"/>
          <w:szCs w:val="28"/>
          <w:lang w:val="uk-UA" w:eastAsia="ru-RU"/>
        </w:rPr>
      </w:pPr>
      <w:r>
        <w:rPr>
          <w:rFonts w:ascii="Times New Roman" w:hAnsi="Times New Roman"/>
          <w:b/>
          <w:color w:val="000000"/>
          <w:sz w:val="28"/>
          <w:szCs w:val="28"/>
          <w:lang w:val="uk-UA" w:eastAsia="ru-RU"/>
        </w:rPr>
      </w:r>
      <w:r>
        <w:br w:type="page"/>
      </w:r>
    </w:p>
    <w:p>
      <w:pPr>
        <w:pStyle w:val="Normal"/>
        <w:spacing w:lineRule="auto" w:line="360" w:before="0" w:after="0"/>
        <w:jc w:val="center"/>
        <w:rPr>
          <w:rFonts w:ascii="Times New Roman" w:hAnsi="Times New Roman"/>
          <w:b/>
          <w:b/>
          <w:color w:val="000000"/>
          <w:sz w:val="28"/>
          <w:szCs w:val="28"/>
          <w:lang w:val="uk-UA" w:eastAsia="ru-RU"/>
        </w:rPr>
      </w:pPr>
      <w:r>
        <w:rPr>
          <w:rFonts w:ascii="Times New Roman" w:hAnsi="Times New Roman"/>
          <w:b/>
          <w:color w:val="000000"/>
          <w:sz w:val="28"/>
          <w:szCs w:val="28"/>
          <w:lang w:val="uk-UA" w:eastAsia="ru-RU"/>
        </w:rPr>
        <w:t>ВСТУП</w:t>
      </w:r>
    </w:p>
    <w:p>
      <w:pPr>
        <w:pStyle w:val="Normal"/>
        <w:spacing w:lineRule="auto" w:line="360" w:before="0" w:after="0"/>
        <w:jc w:val="center"/>
        <w:rPr>
          <w:rFonts w:ascii="Times New Roman" w:hAnsi="Times New Roman" w:eastAsia="Times New Roman"/>
          <w:b/>
          <w:b/>
          <w:sz w:val="28"/>
          <w:szCs w:val="28"/>
          <w:lang w:val="uk-UA" w:eastAsia="ru-RU"/>
        </w:rPr>
      </w:pPr>
      <w:r>
        <w:rPr>
          <w:rFonts w:eastAsia="Times New Roman" w:ascii="Times New Roman" w:hAnsi="Times New Roman"/>
          <w:b/>
          <w:sz w:val="28"/>
          <w:szCs w:val="28"/>
          <w:lang w:val="uk-UA" w:eastAsia="ru-RU"/>
        </w:rPr>
      </w:r>
    </w:p>
    <w:p>
      <w:pPr>
        <w:pStyle w:val="Normal"/>
        <w:spacing w:lineRule="auto" w:line="360" w:before="0" w:after="0"/>
        <w:ind w:firstLine="709"/>
        <w:jc w:val="both"/>
        <w:rPr>
          <w:rFonts w:ascii="Times New Roman" w:hAnsi="Times New Roman" w:eastAsia="Times New Roman"/>
          <w:color w:val="000000"/>
          <w:sz w:val="28"/>
          <w:szCs w:val="28"/>
          <w:shd w:fill="FFFFFF" w:val="clear"/>
          <w:lang w:val="uk-UA" w:eastAsia="ru-RU"/>
        </w:rPr>
      </w:pPr>
      <w:r>
        <w:rPr>
          <w:rFonts w:eastAsia="Times New Roman" w:ascii="Times New Roman" w:hAnsi="Times New Roman"/>
          <w:color w:val="000000"/>
          <w:sz w:val="28"/>
          <w:szCs w:val="28"/>
          <w:shd w:fill="FFFFFF" w:val="clear"/>
          <w:lang w:val="uk-UA" w:eastAsia="ru-RU"/>
        </w:rPr>
        <w:t>Актуальність роботи полягає у визначені сучасних тенденцій у формуванні державного боргу та зовнішньоекономічних позицій країн Південної Європи.</w:t>
      </w:r>
    </w:p>
    <w:p>
      <w:pPr>
        <w:pStyle w:val="Normal"/>
        <w:spacing w:lineRule="auto" w:line="360" w:before="0" w:after="0"/>
        <w:ind w:firstLine="709"/>
        <w:jc w:val="both"/>
        <w:rPr>
          <w:rFonts w:ascii="Times New Roman" w:hAnsi="Times New Roman" w:eastAsia="Times New Roman"/>
          <w:color w:val="000000"/>
          <w:sz w:val="28"/>
          <w:szCs w:val="28"/>
          <w:shd w:fill="FFFFFF" w:val="clear"/>
          <w:lang w:val="uk-UA" w:eastAsia="ru-RU"/>
        </w:rPr>
      </w:pPr>
      <w:r>
        <w:rPr>
          <w:rFonts w:eastAsia="Times New Roman" w:ascii="Times New Roman" w:hAnsi="Times New Roman"/>
          <w:color w:val="000000"/>
          <w:sz w:val="28"/>
          <w:szCs w:val="28"/>
          <w:shd w:fill="FFFFFF" w:val="clear"/>
          <w:lang w:val="uk-UA" w:eastAsia="ru-RU"/>
        </w:rPr>
        <w:t>Ефективна боргова політика держави вимагає урахування сучасних тенденцій у зміні фінансових умов залучення інвестицій у боргові цінні папери і за державними кредитами та визначення критичних розмірів як до співвідношення державного боргу до валового внутрішнього продукту країн, так і для платежів з його обслуговування.</w:t>
      </w:r>
    </w:p>
    <w:p>
      <w:pPr>
        <w:pStyle w:val="Normal"/>
        <w:spacing w:lineRule="auto" w:line="360" w:before="0" w:after="0"/>
        <w:ind w:firstLine="709"/>
        <w:jc w:val="both"/>
        <w:rPr>
          <w:rFonts w:ascii="Times New Roman" w:hAnsi="Times New Roman" w:eastAsia="Times New Roman"/>
          <w:color w:val="000000"/>
          <w:sz w:val="28"/>
          <w:szCs w:val="28"/>
          <w:shd w:fill="FFFFFF" w:val="clear"/>
          <w:lang w:val="uk-UA" w:eastAsia="ru-RU"/>
        </w:rPr>
      </w:pPr>
      <w:r>
        <w:rPr>
          <w:rFonts w:eastAsia="Times New Roman" w:ascii="Times New Roman" w:hAnsi="Times New Roman"/>
          <w:color w:val="000000"/>
          <w:sz w:val="28"/>
          <w:szCs w:val="28"/>
          <w:shd w:fill="FFFFFF" w:val="clear"/>
          <w:lang w:val="uk-UA" w:eastAsia="ru-RU"/>
        </w:rPr>
        <w:t xml:space="preserve">В даний час кожна країна у світі відчуває на собі наслідки світової пандемії </w:t>
      </w:r>
      <w:r>
        <w:rPr>
          <w:rFonts w:eastAsia="Times New Roman" w:ascii="Times New Roman" w:hAnsi="Times New Roman"/>
          <w:color w:val="000000"/>
          <w:sz w:val="28"/>
          <w:szCs w:val="28"/>
          <w:shd w:fill="FFFFFF" w:val="clear"/>
          <w:lang w:val="en-US" w:eastAsia="ru-RU"/>
        </w:rPr>
        <w:t xml:space="preserve">COVID 19, </w:t>
      </w:r>
      <w:r>
        <w:rPr>
          <w:rFonts w:eastAsia="Times New Roman" w:ascii="Times New Roman" w:hAnsi="Times New Roman"/>
          <w:color w:val="000000"/>
          <w:sz w:val="28"/>
          <w:szCs w:val="28"/>
          <w:shd w:fill="FFFFFF" w:val="clear"/>
          <w:lang w:eastAsia="ru-RU"/>
        </w:rPr>
        <w:t>як</w:t>
      </w:r>
      <w:r>
        <w:rPr>
          <w:rFonts w:eastAsia="Times New Roman" w:ascii="Times New Roman" w:hAnsi="Times New Roman"/>
          <w:color w:val="000000"/>
          <w:sz w:val="28"/>
          <w:szCs w:val="28"/>
          <w:shd w:fill="FFFFFF" w:val="clear"/>
          <w:lang w:val="uk-UA" w:eastAsia="ru-RU"/>
        </w:rPr>
        <w:t>і проявляються у загальному скороченні ВВП, збільшенню бюджетних видатків, суттєвого зростання обсягів державних боргів країн.</w:t>
      </w:r>
    </w:p>
    <w:p>
      <w:pPr>
        <w:pStyle w:val="Normal"/>
        <w:spacing w:lineRule="auto" w:line="360" w:before="0" w:after="0"/>
        <w:ind w:firstLine="709"/>
        <w:jc w:val="both"/>
        <w:rPr>
          <w:rFonts w:ascii="Times New Roman" w:hAnsi="Times New Roman"/>
          <w:sz w:val="28"/>
          <w:lang w:val="uk-UA"/>
        </w:rPr>
      </w:pPr>
      <w:r>
        <w:rPr>
          <w:rFonts w:eastAsia="Times New Roman" w:ascii="Times New Roman" w:hAnsi="Times New Roman"/>
          <w:color w:val="000000"/>
          <w:sz w:val="28"/>
          <w:szCs w:val="28"/>
          <w:shd w:fill="FFFFFF" w:val="clear"/>
          <w:lang w:val="uk-UA" w:eastAsia="ru-RU"/>
        </w:rPr>
        <w:t xml:space="preserve">У магістерській роботі детально вивчаються грошово-кредитна та валютна політика держав Південної Європи, які є чинником міжнародної конкурентоспроможності країн, стан державних фінансів та динаміка державного боргу Іспанії та Португалії, здійснюється моделювання та оцінюється результат операцій «Carry Trade» з цінними паперами Португалії та Греції, досліджуються зовнішньоекономічні зв’язки Іспанії та Португалії з Україною. </w:t>
      </w:r>
      <w:r>
        <w:rPr>
          <w:rFonts w:ascii="Times New Roman" w:hAnsi="Times New Roman"/>
          <w:sz w:val="28"/>
          <w:lang w:val="uk-UA"/>
        </w:rPr>
        <w:t>Країни Південної Європи, зокрема Іспанія та Португалія, є високорозвиненими державами, яким, незважаючи на борговий тягар, характерні відносно стабільні темпи економічного зростання та підвищення рівня добробуту населення.</w:t>
      </w:r>
    </w:p>
    <w:p>
      <w:pPr>
        <w:pStyle w:val="Normal"/>
        <w:spacing w:lineRule="auto" w:line="360" w:before="0" w:after="0"/>
        <w:ind w:firstLine="709"/>
        <w:jc w:val="both"/>
        <w:rPr>
          <w:rFonts w:ascii="Times New Roman" w:hAnsi="Times New Roman"/>
          <w:sz w:val="28"/>
          <w:lang w:val="uk-UA"/>
        </w:rPr>
      </w:pPr>
      <w:r>
        <w:rPr>
          <w:rFonts w:ascii="Times New Roman" w:hAnsi="Times New Roman"/>
          <w:sz w:val="28"/>
          <w:szCs w:val="28"/>
          <w:lang w:val="uk-UA"/>
        </w:rPr>
        <w:t xml:space="preserve">Визначення місця країн Південної Європи у європейській та світовій економіці та їхніх конкурентних переваг </w:t>
      </w:r>
      <w:r>
        <w:rPr>
          <w:rFonts w:ascii="Times New Roman" w:hAnsi="Times New Roman"/>
          <w:sz w:val="28"/>
          <w:lang w:val="uk-UA"/>
        </w:rPr>
        <w:t>сприятиме поглибленню загальних наукових засад вивчення світового господарства в Україні та підвищенню ефективності державного регулювання господарськими процесами у країні.</w:t>
      </w:r>
    </w:p>
    <w:p>
      <w:pPr>
        <w:pStyle w:val="Normal"/>
        <w:spacing w:lineRule="auto" w:line="360" w:before="0" w:after="0"/>
        <w:ind w:firstLine="709"/>
        <w:jc w:val="both"/>
        <w:rPr>
          <w:rFonts w:ascii="Times New Roman" w:hAnsi="Times New Roman" w:eastAsia="Times New Roman"/>
          <w:color w:val="000000"/>
          <w:sz w:val="28"/>
          <w:szCs w:val="28"/>
          <w:lang w:val="uk-UA" w:eastAsia="ru-RU"/>
        </w:rPr>
      </w:pPr>
      <w:r>
        <w:rPr>
          <w:rFonts w:eastAsia="Times New Roman" w:ascii="Times New Roman" w:hAnsi="Times New Roman"/>
          <w:color w:val="000000"/>
          <w:sz w:val="28"/>
          <w:szCs w:val="28"/>
          <w:lang w:val="uk-UA" w:eastAsia="ru-RU"/>
        </w:rPr>
        <w:t>Основною метою магістерської роботи є вивчення динаміки та структури державного боргу країн Південної Європи.</w:t>
      </w:r>
    </w:p>
    <w:p>
      <w:pPr>
        <w:pStyle w:val="Normal"/>
        <w:spacing w:lineRule="auto" w:line="360" w:before="0" w:after="0"/>
        <w:ind w:firstLine="709"/>
        <w:jc w:val="both"/>
        <w:rPr>
          <w:rFonts w:ascii="Times New Roman" w:hAnsi="Times New Roman" w:eastAsia="Times New Roman"/>
          <w:sz w:val="24"/>
          <w:szCs w:val="24"/>
          <w:lang w:val="uk-UA" w:eastAsia="ru-RU"/>
        </w:rPr>
      </w:pPr>
      <w:r>
        <w:rPr>
          <w:rFonts w:eastAsia="Times New Roman" w:ascii="Times New Roman" w:hAnsi="Times New Roman"/>
          <w:sz w:val="28"/>
          <w:szCs w:val="28"/>
          <w:lang w:val="uk-UA" w:eastAsia="ru-RU"/>
        </w:rPr>
        <w:t>Досягнення поставленої мети передбачає вирішення наступних завдань роботи:</w:t>
      </w:r>
    </w:p>
    <w:p>
      <w:pPr>
        <w:pStyle w:val="ListParagraph"/>
        <w:numPr>
          <w:ilvl w:val="0"/>
          <w:numId w:val="1"/>
        </w:numPr>
        <w:spacing w:lineRule="auto" w:line="360" w:before="0" w:after="0"/>
        <w:contextualSpacing/>
        <w:jc w:val="both"/>
        <w:rPr>
          <w:rFonts w:ascii="Times New Roman" w:hAnsi="Times New Roman"/>
          <w:sz w:val="28"/>
          <w:szCs w:val="28"/>
          <w:lang w:val="uk-UA" w:eastAsia="ru-RU"/>
        </w:rPr>
      </w:pPr>
      <w:r>
        <w:rPr>
          <w:rFonts w:ascii="Times New Roman" w:hAnsi="Times New Roman"/>
          <w:sz w:val="28"/>
          <w:szCs w:val="28"/>
          <w:lang w:val="uk-UA" w:eastAsia="ru-RU"/>
        </w:rPr>
        <w:t>вивчити теоретичні основи аналізу стійкості фінансових систем та державного боргу країн;</w:t>
      </w:r>
    </w:p>
    <w:p>
      <w:pPr>
        <w:pStyle w:val="ListParagraph"/>
        <w:numPr>
          <w:ilvl w:val="0"/>
          <w:numId w:val="1"/>
        </w:numPr>
        <w:spacing w:lineRule="auto" w:line="360" w:before="0" w:after="0"/>
        <w:contextualSpacing/>
        <w:jc w:val="both"/>
        <w:rPr>
          <w:rFonts w:ascii="Times New Roman" w:hAnsi="Times New Roman"/>
          <w:sz w:val="28"/>
          <w:szCs w:val="28"/>
          <w:lang w:val="uk-UA" w:eastAsia="ru-RU"/>
        </w:rPr>
      </w:pPr>
      <w:r>
        <w:rPr>
          <w:rFonts w:ascii="Times New Roman" w:hAnsi="Times New Roman"/>
          <w:sz w:val="28"/>
          <w:szCs w:val="28"/>
          <w:lang w:val="uk-UA" w:eastAsia="ru-RU"/>
        </w:rPr>
        <w:t>проаналізувати грошово-кредитну та валютну політику держав Південної Європи як чинника міжнародної конкурентоспроможності країн;</w:t>
      </w:r>
    </w:p>
    <w:p>
      <w:pPr>
        <w:pStyle w:val="ListParagraph"/>
        <w:numPr>
          <w:ilvl w:val="0"/>
          <w:numId w:val="1"/>
        </w:numPr>
        <w:spacing w:lineRule="auto" w:line="360" w:before="0" w:after="0"/>
        <w:contextualSpacing/>
        <w:jc w:val="both"/>
        <w:rPr>
          <w:rFonts w:ascii="Times New Roman" w:hAnsi="Times New Roman"/>
          <w:sz w:val="28"/>
          <w:szCs w:val="28"/>
          <w:lang w:val="uk-UA" w:eastAsia="ru-RU"/>
        </w:rPr>
      </w:pPr>
      <w:r>
        <w:rPr>
          <w:rFonts w:ascii="Times New Roman" w:hAnsi="Times New Roman"/>
          <w:sz w:val="28"/>
          <w:szCs w:val="28"/>
          <w:lang w:val="uk-UA" w:eastAsia="ru-RU"/>
        </w:rPr>
        <w:t>дослідити стан державних фінансів та виявити динаміку державного боргу країн Південної Європи;</w:t>
      </w:r>
    </w:p>
    <w:p>
      <w:pPr>
        <w:pStyle w:val="ListParagraph"/>
        <w:numPr>
          <w:ilvl w:val="0"/>
          <w:numId w:val="1"/>
        </w:numPr>
        <w:spacing w:lineRule="auto" w:line="360" w:before="0" w:after="0"/>
        <w:contextualSpacing/>
        <w:rPr>
          <w:rFonts w:ascii="Times New Roman" w:hAnsi="Times New Roman"/>
          <w:sz w:val="28"/>
          <w:szCs w:val="28"/>
          <w:lang w:val="uk-UA" w:eastAsia="ru-RU"/>
        </w:rPr>
      </w:pPr>
      <w:r>
        <w:rPr>
          <w:rFonts w:ascii="Times New Roman" w:hAnsi="Times New Roman"/>
          <w:sz w:val="28"/>
          <w:szCs w:val="28"/>
          <w:lang w:val="uk-UA" w:eastAsia="ru-RU"/>
        </w:rPr>
        <w:t>здійснити моделювання та оцінити результат операцій «Carry Trade» з державними борговими цінними паперами країн Південної Європи;</w:t>
      </w:r>
    </w:p>
    <w:p>
      <w:pPr>
        <w:pStyle w:val="ListParagraph"/>
        <w:numPr>
          <w:ilvl w:val="0"/>
          <w:numId w:val="1"/>
        </w:numPr>
        <w:spacing w:lineRule="auto" w:line="360" w:before="0" w:after="0"/>
        <w:contextualSpacing/>
        <w:jc w:val="both"/>
        <w:rPr>
          <w:rFonts w:ascii="Times New Roman" w:hAnsi="Times New Roman"/>
          <w:sz w:val="28"/>
          <w:szCs w:val="28"/>
          <w:lang w:val="uk-UA" w:eastAsia="ru-RU"/>
        </w:rPr>
      </w:pPr>
      <w:r>
        <w:rPr>
          <w:rFonts w:ascii="Times New Roman" w:hAnsi="Times New Roman"/>
          <w:sz w:val="28"/>
          <w:szCs w:val="28"/>
          <w:lang w:val="uk-UA" w:eastAsia="ru-RU"/>
        </w:rPr>
        <w:t>виявити особливості зовнішньоекономічної співпраці країн Південної Європи з Україною.</w:t>
      </w:r>
    </w:p>
    <w:p>
      <w:pPr>
        <w:pStyle w:val="Normal"/>
        <w:suppressAutoHyphens w:val="true"/>
        <w:spacing w:lineRule="auto" w:line="360" w:before="0" w:after="0"/>
        <w:ind w:firstLine="709"/>
        <w:jc w:val="both"/>
        <w:rPr>
          <w:rFonts w:ascii="Times New Roman" w:hAnsi="Times New Roman" w:eastAsia="Times New Roman"/>
          <w:color w:val="000000"/>
          <w:sz w:val="28"/>
          <w:szCs w:val="28"/>
          <w:lang w:val="uk-UA" w:eastAsia="ru-RU"/>
        </w:rPr>
      </w:pPr>
      <w:r>
        <w:rPr>
          <w:rFonts w:eastAsia="Times New Roman" w:ascii="Times New Roman" w:hAnsi="Times New Roman"/>
          <w:b/>
          <w:color w:val="000000"/>
          <w:sz w:val="28"/>
          <w:szCs w:val="28"/>
          <w:lang w:val="uk-UA" w:eastAsia="ru-RU"/>
        </w:rPr>
        <w:t>Об'єктом дослідження</w:t>
      </w:r>
      <w:r>
        <w:rPr>
          <w:rFonts w:eastAsia="Times New Roman" w:ascii="Times New Roman" w:hAnsi="Times New Roman"/>
          <w:color w:val="000000"/>
          <w:sz w:val="28"/>
          <w:szCs w:val="28"/>
          <w:lang w:val="uk-UA" w:eastAsia="ru-RU"/>
        </w:rPr>
        <w:t xml:space="preserve"> є економіки країн Південної Європи.</w:t>
      </w:r>
    </w:p>
    <w:p>
      <w:pPr>
        <w:pStyle w:val="Normal"/>
        <w:spacing w:lineRule="auto" w:line="360" w:before="0" w:after="0"/>
        <w:ind w:firstLine="709"/>
        <w:jc w:val="both"/>
        <w:rPr>
          <w:rFonts w:ascii="Times New Roman" w:hAnsi="Times New Roman"/>
          <w:sz w:val="28"/>
          <w:szCs w:val="28"/>
          <w:lang w:val="uk-UA"/>
        </w:rPr>
      </w:pPr>
      <w:r>
        <w:rPr>
          <w:rFonts w:ascii="Times New Roman" w:hAnsi="Times New Roman"/>
          <w:b/>
          <w:sz w:val="28"/>
          <w:szCs w:val="28"/>
          <w:lang w:val="uk-UA"/>
        </w:rPr>
        <w:t>Предметом дослідження</w:t>
      </w:r>
      <w:r>
        <w:rPr>
          <w:rFonts w:ascii="Times New Roman" w:hAnsi="Times New Roman"/>
          <w:sz w:val="28"/>
          <w:szCs w:val="28"/>
          <w:lang w:val="uk-UA"/>
        </w:rPr>
        <w:t xml:space="preserve"> є теоретичні основи та прикладні аспекти трансформації боргової політики країн Південної Європи в сучасних умовах.</w:t>
      </w:r>
    </w:p>
    <w:p>
      <w:pPr>
        <w:pStyle w:val="Normal"/>
        <w:spacing w:lineRule="auto" w:line="360" w:before="0" w:after="0"/>
        <w:ind w:firstLine="709"/>
        <w:jc w:val="both"/>
        <w:rPr>
          <w:rFonts w:ascii="Times New Roman" w:hAnsi="Times New Roman"/>
          <w:sz w:val="28"/>
          <w:szCs w:val="28"/>
          <w:lang w:val="uk-UA"/>
        </w:rPr>
      </w:pPr>
      <w:r>
        <w:rPr>
          <w:rFonts w:ascii="Times New Roman" w:hAnsi="Times New Roman"/>
          <w:sz w:val="28"/>
          <w:szCs w:val="28"/>
          <w:lang w:val="uk-UA"/>
        </w:rPr>
        <w:t>Досягнення поставленої у магістерській роботі мети обумовлено застосуванням наукового методу пізнання економічних процесів, який використовується для аналізу фінансової та боргової політики країн Південної Європи.</w:t>
      </w:r>
    </w:p>
    <w:p>
      <w:pPr>
        <w:pStyle w:val="Normal"/>
        <w:spacing w:lineRule="auto" w:line="360" w:before="0" w:after="0"/>
        <w:ind w:firstLine="709"/>
        <w:jc w:val="both"/>
        <w:rPr>
          <w:rFonts w:ascii="Times New Roman" w:hAnsi="Times New Roman"/>
          <w:sz w:val="28"/>
          <w:szCs w:val="28"/>
          <w:lang w:val="uk-UA"/>
        </w:rPr>
      </w:pPr>
      <w:r>
        <w:rPr>
          <w:rFonts w:ascii="Times New Roman" w:hAnsi="Times New Roman"/>
          <w:sz w:val="28"/>
          <w:szCs w:val="28"/>
          <w:lang w:val="uk-UA"/>
        </w:rPr>
        <w:t>Магістерська робота складається зі вступу, трьох розділів, висновків та списку використаних джерел, який нараховує 54 джерела.</w:t>
      </w:r>
    </w:p>
    <w:p>
      <w:pPr>
        <w:pStyle w:val="Normal"/>
        <w:spacing w:lineRule="auto" w:line="360" w:before="0" w:after="0"/>
        <w:ind w:firstLine="709"/>
        <w:jc w:val="both"/>
        <w:rPr>
          <w:rFonts w:ascii="Times New Roman" w:hAnsi="Times New Roman"/>
          <w:sz w:val="28"/>
          <w:szCs w:val="28"/>
          <w:lang w:val="uk-UA"/>
        </w:rPr>
      </w:pPr>
      <w:r>
        <w:rPr>
          <w:rFonts w:ascii="Times New Roman" w:hAnsi="Times New Roman"/>
          <w:sz w:val="28"/>
          <w:szCs w:val="28"/>
          <w:lang w:val="uk-UA"/>
        </w:rPr>
        <w:t xml:space="preserve">Дипломна робота є самостійно виконаним дослідженням, в якому усі результати, що виносяться на захист, отримані автором особисто. </w:t>
      </w:r>
    </w:p>
    <w:p>
      <w:pPr>
        <w:pStyle w:val="Normal"/>
        <w:spacing w:lineRule="auto" w:line="360" w:before="0" w:after="0"/>
        <w:ind w:firstLine="709"/>
        <w:jc w:val="both"/>
        <w:rPr>
          <w:rFonts w:ascii="Times New Roman" w:hAnsi="Times New Roman"/>
          <w:sz w:val="28"/>
          <w:szCs w:val="28"/>
          <w:lang w:val="uk-UA"/>
        </w:rPr>
      </w:pPr>
      <w:r>
        <w:rPr>
          <w:rFonts w:ascii="Times New Roman" w:hAnsi="Times New Roman"/>
          <w:sz w:val="28"/>
          <w:szCs w:val="28"/>
          <w:lang w:val="uk-UA"/>
        </w:rPr>
        <w:t>Результати дослідження пройшли апробацію на XХIV науково-практичній студентській конференції з проблем світової політики "Соціально-економічний та політичний розвиток в умовах глобальної пандемії", яка відбулась на факультеті міжнародних відносин, політології  та  соціології Одеського національного університету імені І. І. Мечникова 28  квітня 2021 року.</w:t>
      </w:r>
    </w:p>
    <w:p>
      <w:pPr>
        <w:pStyle w:val="Normal"/>
        <w:spacing w:lineRule="auto" w:line="360" w:before="0" w:after="0"/>
        <w:jc w:val="center"/>
        <w:rPr>
          <w:rFonts w:ascii="Times New Roman" w:hAnsi="Times New Roman" w:eastAsia="Times New Roman"/>
          <w:b/>
          <w:b/>
          <w:sz w:val="28"/>
          <w:szCs w:val="28"/>
          <w:lang w:val="uk-UA" w:eastAsia="ru-RU"/>
        </w:rPr>
      </w:pPr>
      <w:r>
        <w:rPr>
          <w:rFonts w:eastAsia="Times New Roman" w:ascii="Times New Roman" w:hAnsi="Times New Roman"/>
          <w:b/>
          <w:sz w:val="28"/>
          <w:szCs w:val="28"/>
          <w:lang w:val="uk-UA" w:eastAsia="ru-RU"/>
        </w:rPr>
      </w:r>
    </w:p>
    <w:p>
      <w:pPr>
        <w:pStyle w:val="Normal"/>
        <w:spacing w:lineRule="auto" w:line="360" w:before="0" w:after="0"/>
        <w:jc w:val="center"/>
        <w:rPr>
          <w:rFonts w:ascii="Times New Roman" w:hAnsi="Times New Roman" w:eastAsia="Times New Roman"/>
          <w:sz w:val="24"/>
          <w:szCs w:val="24"/>
          <w:lang w:val="uk-UA" w:eastAsia="ru-RU"/>
        </w:rPr>
      </w:pPr>
      <w:r>
        <w:rPr>
          <w:rFonts w:eastAsia="Times New Roman" w:ascii="Times New Roman" w:hAnsi="Times New Roman"/>
          <w:b/>
          <w:color w:val="000000"/>
          <w:sz w:val="28"/>
          <w:szCs w:val="28"/>
          <w:lang w:val="uk-UA" w:eastAsia="ru-RU"/>
        </w:rPr>
      </w:r>
    </w:p>
    <w:p>
      <w:pPr>
        <w:pStyle w:val="Normal"/>
        <w:spacing w:lineRule="auto" w:line="259" w:before="0" w:after="0"/>
        <w:jc w:val="center"/>
        <w:rPr>
          <w:rFonts w:ascii="Times New Roman" w:hAnsi="Times New Roman" w:eastAsia="Times New Roman"/>
          <w:sz w:val="24"/>
          <w:szCs w:val="24"/>
          <w:lang w:val="uk-UA" w:eastAsia="ru-RU"/>
        </w:rPr>
      </w:pPr>
      <w:r>
        <w:rPr>
          <w:rFonts w:eastAsia="Times New Roman" w:ascii="Times New Roman" w:hAnsi="Times New Roman"/>
          <w:b/>
          <w:color w:val="000000"/>
          <w:sz w:val="28"/>
          <w:szCs w:val="28"/>
          <w:lang w:val="uk-UA" w:eastAsia="ru-RU"/>
        </w:rPr>
        <w:t>ВИСНОВКИ</w:t>
      </w:r>
    </w:p>
    <w:p>
      <w:pPr>
        <w:pStyle w:val="Normal"/>
        <w:spacing w:lineRule="auto" w:line="360" w:before="0" w:after="0"/>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Дослідження, проведене у магістерській роботі, дозволило отримати наступні результати.</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Так, проведений аналіз показав, що немає єдиного наукового підходу щодо визначення системи індикаторів не тільки фінансової стабільності, але і межі, яка є загрозливою для рівня державного боргу. Колись цією межею вважався рівень 60% державного боргу до ВВП, але зараз багато, навіть стабільних країн, цю межу перевищили.</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У роботі запропоновано систему параметрів найбільш значимих індикаторів стійкості фінансових систем. За допомогою окремих індикаторів із запропонованої системи, здійснено аналіз стабільності фінансових систем Іспанії та Португалії. Проведений за допомогою фінансових індикаторів аналіз свідчить про те, що за параметрами відсоткової ставки, грошової маси, рівня цін, дефіциту бюджету, рівня державного боргу, фінансові системи як Іспанії, так й Португалії, поки ще знаходяться у не рівноважному стані, і ризики ще залишаються.</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Встановлено, що відсоткова ставка в обох країнах, на протязі тривалого часу, утримується на позначці 0. Низька відсоткова ставка, як макроекономічна політика є ризикованою й може привести до виникнення економічного міхура, зокрема на ринку боргових цінних паперів країн Південної Європи.</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Грошова маса в обох країнах демонструє тенденцію до збільшення.</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Споживчі ціни і обох країнах з початку 2000-х років істотно зростали й лише останні рік стали періодом відносної їх стабілізації на досить високому рівні.</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Встановлено, що розмір державного боргу Іспанії склав 128,5 % ВВП, а Португалії – 140,8 % ВВП, що істотно виходить за межі порогового значення відповідного індикатора.</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 xml:space="preserve">Аналіз платіжних балансів Іспанії та Португалії  показав, що майже за весь розглянутий період поточний баланс даних країн позитивний, лишу у 2020 року поточний рахунок Португалії зменшився нижче нуля. Тенденція до зменшення у поточного рахунку Португалії почалася у 2017 року, коли поточний баланс досяг свого максимального значення у 3 037 млн дол. США. Найбільше значення поточного рахунку Іспанії було у 2016 році  та дорівнювало 39 млрд.  дол. США. У 2020 року відбулось значне зменшення поточного рахунку Іспанії до 9 млрд.  дол. США через пандемію Covid-19. </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 xml:space="preserve">Динаміка сальдо торгових балансів Іспанії та Португалії показала, що країни більше імпортують ніж експортують. Експорт Іспанії збільшувався до 2018 року  та досяг 344 млрд.  дол. США. У 2020 року експорт Іспанії зменшився до 302 млрд.  дол. США. У той же час імпорт Іспанії має схожу динаміку: ріст до 2018 та подальше зменшення. </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Аналіз динаміки сальдо балансів послуг Іспанії та Португалії показав, що для двох країн спостерігається зростаючий позитивний баланс  до 2019 року. У 2020 року баланс послуг значно зменшився через карантинні обмеження, що перешкоджали туризму.</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Аналіз динаміки сальдо первинних та вторинних доходів  Іспанії, показав що баланс первинних  доходів позитивний, у той час коли баланс вторинних – негативний. Динаміка сальдо первинних та вторинних доходів  Португалії  показала зовсім іншу ситуацію на відмінно від Іспанії: баланс первинних доходів негативний, а баланс вторинних доходів – позитивний.</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Фінансовий рахунок Іспанії за весь розглянутий період має позитивний знак, тобто країну можна назвати кредитором. У 2017 році фінансовий рахунок досяг максимального значення у 36 млрд. дол. США. До 2020 року спостерігається зменшення  до 20 млрд. дол. США. Фінансовий рахунок Португалії у 2019 року змінився з від’ємного на позитивний та дорівнював 5,99 млрд. дол. США. Але вже у 2020 року фінансовий рахунок зменшився до 1,14 млрд. дол. США.</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Аналіз динаміки чистої міжнародної інвестиційної позиції показав, що Португалія та Іспанія є країна – боржниками так як їх міжнародна інвестиційна позиці має від’ємний знак за весь розглянутий період. Негативне значення чистої міжнародної інвестиційної позиції Португалії зростало до 2013 року, коли максимальне негативне значення досягло – 282 млрд. дол. США. Після 2013 року значення чистої міжнародної інвестиційної позиції набуло позитивної динаміки та вже у 2016 році набуло значення у - 217 морд. дол. США. До 2020 році знову почала спостерігатись негативна динаміка до збільшення негативного значення. Для Іспанії спостерігаються чіткі періоду зростання та зменшення чистої міжнародної інвестиційної позиції. Так наприклад, у періоди 2012-2013 рр., 2016-2017 рр. та 2019-2020 рр. відбувається погіршення інвестиційної позиції. Тоді як 2010-2012 рр.,2013-2016 рр., та 2017-2018 рр. відбувається покращення значення. У 2020 році значення зменшення чистої міжнародної інвестиційної позиції досягнуло -1 163 морд. дол. США, що зіставило -85%  від ВВП. Динаміка державного боргу Іспанії та Португалії, показало, що державний боргу Португалія за кожен рік перевищував державний борг Іспанії. У 2020 році державний боргу  Португалії досяг  131,6 % ВВП,  так як відбулось зменшення ВВП через пандемію Covid – 19. Державний борг у 2020 року для Іспанії склав 131,6%. Такий рекордний рівень боргу є прямим наслідком гігантського державного дефіциту в 10,3%, зареєстрованого в 2020 році, коли влада Іспанії наказала блокувати економіку для стримування спалаху коронавірусу. Динаміка зовнішнього боргу Іспанії показала сталий ріст увесь 2020 рік. У першому кварталі 2021 року відбувається зниження зовнішнього боргу на 120 млрд. дол. США, а вже наступного кварталу зовнішній борг Іспанії збільшився на 75 млрд. дол. США. Для Португалії спостерігається схожа ситуація с четвертого кварталу 2019 року до кінця 2020 року зовнішній борг збільшився на 67 млрд. дол. США. У першому кварталі 2021 зовнішній борг зменшився на  24 млрд. дол. США, але вже у другому кварталі значення даного показника для Португалії знову почало зростати.</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Результати проведеного дослідження свідчать про те, що державні облігації Греції можуть ставати об’єктом первинних операцій Carry Trade». Разом з тим, слід зазначити, що існують певні ризики під час закриття позицій інвесторів у Греції, які виводячи капітал із країни, суттєво зменшать попит на державні цінні папери, що сприятиме падінню їхньої вартості та збільшення прибутковості.</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Результати дослідження свідчать про те, що незважаючи на економічну кризу, яка викликана світовою пандемією існує потенціал для подальшого поглиблення взаємовигідних торговельних відносин між Україною та країнами Південної Європи. Суттєве зростання експорту товарів з України до країн Південної Європи, згідно результатів досліджень, може відбуватися насамперед за рахунок збільшення поставок зернових культур.</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t>Таким чином, можна констатувати, що країни Південної Європи є важливим економічними партнерами для України, і співробітництво з цими країнами, безумовно, сприяє подальшій інтеграції України у європейську спільноту.</w:t>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ind w:firstLine="709"/>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Normal"/>
        <w:spacing w:lineRule="auto" w:line="360" w:before="0" w:after="0"/>
        <w:jc w:val="center"/>
        <w:rPr>
          <w:rFonts w:ascii="Times New Roman" w:hAnsi="Times New Roman" w:eastAsia="Times New Roman"/>
          <w:sz w:val="24"/>
          <w:szCs w:val="24"/>
          <w:lang w:val="uk-UA" w:eastAsia="ru-RU"/>
        </w:rPr>
      </w:pPr>
      <w:r>
        <w:rPr>
          <w:rFonts w:eastAsia="Times New Roman" w:ascii="Times New Roman" w:hAnsi="Times New Roman"/>
          <w:b/>
          <w:sz w:val="28"/>
          <w:szCs w:val="28"/>
          <w:lang w:val="uk-UA" w:eastAsia="ru-RU"/>
        </w:rPr>
        <w:t>СПИСОК ВИКОРИСТАНИХ ДЖЕРЕЛ</w:t>
      </w:r>
    </w:p>
    <w:p>
      <w:pPr>
        <w:pStyle w:val="Normal"/>
        <w:spacing w:lineRule="auto" w:line="360" w:before="0" w:after="0"/>
        <w:jc w:val="both"/>
        <w:rPr>
          <w:rFonts w:ascii="Times New Roman" w:hAnsi="Times New Roman" w:eastAsia="Times New Roman"/>
          <w:sz w:val="28"/>
          <w:szCs w:val="28"/>
          <w:lang w:val="uk-UA" w:eastAsia="ru-RU"/>
        </w:rPr>
      </w:pPr>
      <w:r>
        <w:rPr>
          <w:rFonts w:eastAsia="Times New Roman" w:ascii="Times New Roman" w:hAnsi="Times New Roman"/>
          <w:sz w:val="28"/>
          <w:szCs w:val="28"/>
          <w:lang w:val="uk-UA" w:eastAsia="ru-RU"/>
        </w:rPr>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Klimova N., Altufeva T. Estimateof Financial Stability Quasicorporation “Region” //TheInternational Scientific Conference “Konceptyudrzatel' nostiorganizacii: Zbornikvedeckychstati. – Slovak Republic, Poprad: \fyskumnyustavekonomiky a manatmentu, 2017. - P. 203.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Alifanova Е., Evlakhova Y. Developing a system of indicators of national financial security // Finance and Credit. – 2017. – vol. 23, iss. 29, pp. 1723–1736</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Boletim oficial do banco de Portugal Normas e informações 11.2021. / Офіційний бюлетень банку Португалії – [Електронний ресурс]. – Режим доступу</w:t>
        <w:tab/>
        <w:t>:https://www.bportugal.pt/sites/default/files/anexos/pdf- boletim/bo_11_2021.pdf</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Bertay A.C., Demirgüç-Kunt A., Huizinga H. Should cross-border banking benefit from the financial safety net? Journal of Financial Intermediation, 2016, vol. 27, pp. 51–67.</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Bravo A. The Spanish external deficit: cyclical or structural? [Електронний</w:t>
        <w:tab/>
        <w:t>ресурс].</w:t>
        <w:tab/>
        <w:t>–</w:t>
        <w:tab/>
        <w:t>Режим</w:t>
        <w:tab/>
        <w:t>доступу: https://ec.europa.eu/economy_finance/publications/pages/publication10075_en.pdf</w:t>
      </w:r>
    </w:p>
    <w:p>
      <w:pPr>
        <w:pStyle w:val="ListParagraph"/>
        <w:numPr>
          <w:ilvl w:val="0"/>
          <w:numId w:val="2"/>
        </w:numPr>
        <w:rPr>
          <w:rFonts w:ascii="Times New Roman" w:hAnsi="Times New Roman"/>
          <w:sz w:val="28"/>
          <w:szCs w:val="28"/>
          <w:lang w:val="uk-UA"/>
        </w:rPr>
      </w:pPr>
      <w:r>
        <w:rPr>
          <w:rFonts w:ascii="Times New Roman" w:hAnsi="Times New Roman"/>
          <w:sz w:val="28"/>
          <w:szCs w:val="28"/>
          <w:lang w:val="uk-UA"/>
        </w:rPr>
        <w:t>Банк Португалії: офіційний сайт. – [Електронний ресурс]. – Режим доступу: https://www.bportugal.pt/</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Indicador diário de atividade económica 25 de novembro de 2021 . – [Електронний</w:t>
        <w:tab/>
        <w:t>ресурс].</w:t>
        <w:tab/>
        <w:t>–</w:t>
        <w:tab/>
        <w:t>Режим</w:t>
        <w:tab/>
        <w:t>доступу: https://www.bportugal.pt/sites/default/files/anexos/pdf-boletim/dei_p.pdf</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Kutyrev G.I.</w:t>
        <w:tab/>
        <w:t>Portuguese</w:t>
        <w:tab/>
        <w:t>Republic: current</w:t>
        <w:tab/>
        <w:t>state</w:t>
        <w:tab/>
        <w:t>of the</w:t>
        <w:tab/>
        <w:t>economy [Електронний</w:t>
        <w:tab/>
        <w:t>ресурс].</w:t>
        <w:tab/>
        <w:tab/>
        <w:t>–</w:t>
        <w:tab/>
        <w:t>Режим</w:t>
        <w:tab/>
        <w:tab/>
        <w:t>доступу: https://cyberleninka.ru/article/n/portugalskaya-respublika-sovremennoe-sostoyanie- ekonomiki</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Kim C. Strengthening the Global Financial Safety Net: Challenges and Prospects. Emerging Markets Finance and Trade, 2017, vol. 52, iss. 10, pp. 2212– 2220.</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Serhan Çiftçioğlu і Amin Sokhanvar . External debt- economic growth nexus in selected CEE countries.//  Romanian Journal of Economic Forecasting. -  Vol XXI. – No. 4. – 2018.</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Luigi Bocolaa, Gideon Bornsteinb,  Alessandro Dovis. Quantitative sovereign default models and the European debt crisis.// Journal of International Economics. – Vol.118 .- May 2019. -pp.20-20</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Magdalena Redo. The external debt overhang problem as a threat to global financial security.// law and administration in post–soviet Europe.-Vol. 1. -2018. – pp.28 -34.</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Jorge Silva. Impact of public and private sector external debt on economic growth: the case of Portugal.// Eurasian Economic Review. – Vol. 10, - 2020.</w:t>
      </w:r>
    </w:p>
    <w:p>
      <w:pPr>
        <w:pStyle w:val="ListParagraph"/>
        <w:numPr>
          <w:ilvl w:val="0"/>
          <w:numId w:val="2"/>
        </w:numPr>
        <w:rPr>
          <w:rFonts w:ascii="Times New Roman" w:hAnsi="Times New Roman"/>
          <w:sz w:val="28"/>
          <w:szCs w:val="28"/>
          <w:lang w:val="uk-UA"/>
        </w:rPr>
      </w:pPr>
      <w:r>
        <w:rPr>
          <w:rFonts w:ascii="Times New Roman" w:hAnsi="Times New Roman"/>
          <w:sz w:val="28"/>
          <w:szCs w:val="28"/>
          <w:lang w:val="uk-UA"/>
        </w:rPr>
        <w:t>Bank of Spain. 2021. Financial Stability Report, Spain. [Електронний ресурс].</w:t>
        <w:tab/>
        <w:t>–</w:t>
        <w:tab/>
        <w:t>Режим</w:t>
        <w:tab/>
        <w:t>доступу: https://www.bde.es/f/webbde/Secciones/Publicaciones/InformesBoletinesRevistas/Inf ormesEstabilidadFinancera/17/IEF_Noviembre2021Ing.pdf</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Spain</w:t>
      </w:r>
      <w:r>
        <w:rPr>
          <w:rFonts w:ascii="Times New Roman" w:hAnsi="Times New Roman"/>
          <w:sz w:val="28"/>
          <w:szCs w:val="28"/>
          <w:lang w:val="uk-UA"/>
        </w:rPr>
        <w:t>, BOP Analytic Presentation and International Investment Position.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Greece</w:t>
      </w:r>
      <w:r>
        <w:rPr>
          <w:rFonts w:ascii="Times New Roman" w:hAnsi="Times New Roman"/>
          <w:sz w:val="28"/>
          <w:szCs w:val="28"/>
          <w:lang w:val="uk-UA"/>
        </w:rPr>
        <w:t>, BOP Analytic Presentation and International Investment Position.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Portugal</w:t>
      </w:r>
      <w:r>
        <w:rPr>
          <w:rFonts w:ascii="Times New Roman" w:hAnsi="Times New Roman"/>
          <w:sz w:val="28"/>
          <w:szCs w:val="28"/>
          <w:lang w:val="uk-UA"/>
        </w:rPr>
        <w:t>, BOP Analytic Presentation and International Investment Position.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Spain, Current Account.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Portugal</w:t>
      </w:r>
      <w:r>
        <w:rPr>
          <w:rFonts w:ascii="Times New Roman" w:hAnsi="Times New Roman"/>
          <w:sz w:val="28"/>
          <w:szCs w:val="28"/>
          <w:lang w:val="uk-UA"/>
        </w:rPr>
        <w:t>, Current Account. International Monetary Fund.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Spain</w:t>
      </w:r>
      <w:r>
        <w:rPr>
          <w:rFonts w:ascii="Times New Roman" w:hAnsi="Times New Roman"/>
          <w:sz w:val="28"/>
          <w:szCs w:val="28"/>
          <w:lang w:val="uk-UA"/>
        </w:rPr>
        <w:t>, Trade Balance.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Portugal</w:t>
      </w:r>
      <w:r>
        <w:rPr>
          <w:rFonts w:ascii="Times New Roman" w:hAnsi="Times New Roman"/>
          <w:sz w:val="28"/>
          <w:szCs w:val="28"/>
          <w:lang w:val="uk-UA"/>
        </w:rPr>
        <w:t>, Trade Balance.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Spain</w:t>
      </w:r>
      <w:r>
        <w:rPr>
          <w:rFonts w:ascii="Times New Roman" w:hAnsi="Times New Roman"/>
          <w:sz w:val="28"/>
          <w:szCs w:val="28"/>
          <w:lang w:val="uk-UA"/>
        </w:rPr>
        <w:t>, Balance of Service. International Monetary Fund.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Portugal</w:t>
      </w:r>
      <w:r>
        <w:rPr>
          <w:rFonts w:ascii="Times New Roman" w:hAnsi="Times New Roman"/>
          <w:sz w:val="28"/>
          <w:szCs w:val="28"/>
          <w:lang w:val="uk-UA"/>
        </w:rPr>
        <w:t>, Balance of Service.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Spain</w:t>
      </w:r>
      <w:r>
        <w:rPr>
          <w:rFonts w:ascii="Times New Roman" w:hAnsi="Times New Roman"/>
          <w:sz w:val="28"/>
          <w:szCs w:val="28"/>
          <w:lang w:val="uk-UA"/>
        </w:rPr>
        <w:t>, Primary Income Balance. International Monetary Fund.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Portugal</w:t>
      </w:r>
      <w:r>
        <w:rPr>
          <w:rFonts w:ascii="Times New Roman" w:hAnsi="Times New Roman"/>
          <w:sz w:val="28"/>
          <w:szCs w:val="28"/>
          <w:lang w:val="uk-UA"/>
        </w:rPr>
        <w:t>, Primary Income Balance.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Spain</w:t>
      </w:r>
      <w:r>
        <w:rPr>
          <w:rFonts w:ascii="Times New Roman" w:hAnsi="Times New Roman"/>
          <w:sz w:val="28"/>
          <w:szCs w:val="28"/>
          <w:lang w:val="uk-UA"/>
        </w:rPr>
        <w:t>, Secondary Income Balance.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Portugal</w:t>
      </w:r>
      <w:r>
        <w:rPr>
          <w:rFonts w:ascii="Times New Roman" w:hAnsi="Times New Roman"/>
          <w:sz w:val="28"/>
          <w:szCs w:val="28"/>
          <w:lang w:val="uk-UA"/>
        </w:rPr>
        <w:t>, Secondary Income Balance. International Monetary Fund.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 xml:space="preserve">The Observatory of Economic complexity [Електронний ресурс]. – Режим доступу: https://atlas.media.mit.edu/en/ </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Spain</w:t>
      </w:r>
      <w:r>
        <w:rPr>
          <w:rFonts w:ascii="Times New Roman" w:hAnsi="Times New Roman"/>
          <w:sz w:val="28"/>
          <w:szCs w:val="28"/>
          <w:lang w:val="uk-UA"/>
        </w:rPr>
        <w:t>, Financial Account. International Monetary Fund.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Portugal</w:t>
      </w:r>
      <w:r>
        <w:rPr>
          <w:rFonts w:ascii="Times New Roman" w:hAnsi="Times New Roman"/>
          <w:sz w:val="28"/>
          <w:szCs w:val="28"/>
          <w:lang w:val="uk-UA"/>
        </w:rPr>
        <w:t>, Financial Account.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Spain</w:t>
      </w:r>
      <w:r>
        <w:rPr>
          <w:rFonts w:ascii="Times New Roman" w:hAnsi="Times New Roman"/>
          <w:sz w:val="28"/>
          <w:szCs w:val="28"/>
          <w:lang w:val="uk-UA"/>
        </w:rPr>
        <w:t>, Portfolio Investments. International Monetary Fund.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Portugal</w:t>
      </w:r>
      <w:r>
        <w:rPr>
          <w:rFonts w:ascii="Times New Roman" w:hAnsi="Times New Roman"/>
          <w:sz w:val="28"/>
          <w:szCs w:val="28"/>
          <w:lang w:val="uk-UA"/>
        </w:rPr>
        <w:t>, Portfolio Investments.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Spain</w:t>
      </w:r>
      <w:r>
        <w:rPr>
          <w:rFonts w:ascii="Times New Roman" w:hAnsi="Times New Roman"/>
          <w:sz w:val="28"/>
          <w:szCs w:val="28"/>
          <w:lang w:val="uk-UA"/>
        </w:rPr>
        <w:t>, Other Investments. International Monetary Fund.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en-US"/>
        </w:rPr>
        <w:t>Portugal</w:t>
      </w:r>
      <w:r>
        <w:rPr>
          <w:rFonts w:ascii="Times New Roman" w:hAnsi="Times New Roman"/>
          <w:sz w:val="28"/>
          <w:szCs w:val="28"/>
          <w:lang w:val="uk-UA"/>
        </w:rPr>
        <w:t>, Other Investments. International Monetary Fund. - [Електронний ресурс]. – Режим доступу: http://data.imf.org/?sk=7A51304B-6426-40C0-83DD-CA473CA1FD52&amp;sId=1542635306163</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Відсоткові ставки по кредитах Іспанія, Греція та Португалія. [Електронний ресурс]. – Режим доступу: https://tradingeconomics.com/country-list/lending-rate </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Дохідність облігацій Іспанія, Греції та Португалії. [Електронний ресурс]. – Режим доступу: https://www.investing.com/rates-bonds/world-government-bonds </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 xml:space="preserve">World Bank. GDP (current US$). [Електронний ресурс]. – Режим доступу: https://data.worldbank.org/indicator/NY.GDP.MKTP.CD. </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 xml:space="preserve">World Bank. Inflation, consumer prices (annual %). [Електронний ресурс] – Режим доступу: https://data.worldbank.org/indicator/FP.CPI.TOTL.ZG. </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 xml:space="preserve">База Economist Intelligence Unit. [Електронний ресурс] – Режим доступу: https://drive.google.com/open?id=1Usf9L3J2NElO0gSTwraOo4DNAOaNiOVM. </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Країни за товарною структурою зовнішньої торгiвлi за сiчень-серпень 2021 року // Державна служба статистики України: офіційний сайт. – [Електронний</w:t>
        <w:tab/>
        <w:t>ресурс].</w:t>
        <w:tab/>
        <w:t>–</w:t>
        <w:tab/>
        <w:t>Режим</w:t>
        <w:tab/>
        <w:t>доступу: http://ukrstat.gov.ua/operativ/operativ202й/zd/kr_tstr/kr_tstr_08_2021.xls</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Країни за товарною структурою зовнішньої торгiвлi за сiчень-серпень 2021 року // Державна служба статистики України: офіційний сайт. – [Електронний</w:t>
        <w:tab/>
        <w:t>ресурс].</w:t>
        <w:tab/>
        <w:t>–</w:t>
        <w:tab/>
        <w:t>Режим</w:t>
        <w:tab/>
        <w:t>доступу: http://ukrstat.gov.ua/operativ/operativ202й/zd/kr_tstr/kr_tstr_08_2021.xls</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Торговельно-економічне співробітництво між Україною та Іспанією: опубліковано 29 жовтня 2021 року. – Посольство України в Королівстві Іспанія: офіційний</w:t>
        <w:tab/>
        <w:t>сайт.</w:t>
        <w:tab/>
        <w:t>–</w:t>
        <w:tab/>
        <w:t>[Електронний</w:t>
        <w:tab/>
        <w:t>ресурс].</w:t>
        <w:tab/>
        <w:t>–</w:t>
        <w:tab/>
        <w:t>Режим</w:t>
        <w:tab/>
        <w:t>доступу: https://spain.mfa.gov.ua/posolstvo/170-torgovelyno-jekonomichne-spivrobitnictvo- mizh-ukrajinoju-ta-ispanijeju</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Торговельно-економічне</w:t>
        <w:tab/>
        <w:t>співробітництво</w:t>
        <w:tab/>
        <w:t>між</w:t>
        <w:tab/>
        <w:t>Україною</w:t>
        <w:tab/>
        <w:t>та Португалією: Консульство України в Португалії. Опубліковано 20 квітня 2021 року</w:t>
        <w:tab/>
        <w:t>–</w:t>
        <w:tab/>
        <w:t>[Електронний</w:t>
        <w:tab/>
        <w:t>ресурс].</w:t>
        <w:tab/>
        <w:t>–</w:t>
        <w:tab/>
        <w:tab/>
        <w:t>Режим</w:t>
        <w:tab/>
        <w:t>доступу: https://porto.mfa.gov.ua/spivrobitnictvo/torgovelno-ekonomichne-spivrobitnictvo- mizh-ukrayinoyu-ta-portugaliyeyu</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Географічна структура зовнішньої торгівлі України товарами 2021 р. – [Електронний</w:t>
        <w:tab/>
        <w:t>ресурс].</w:t>
        <w:tab/>
        <w:t>–</w:t>
        <w:tab/>
        <w:t>Режим</w:t>
        <w:tab/>
        <w:t>доступу: http://ukrstat.gov.ua/operativ/operativ2021/zd/ztt/ztt_u/ztt0921_ue.xls</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Географічна структура зовнішньої торгівлі України товарами 2020 р. – [Електронний</w:t>
        <w:tab/>
        <w:t>ресурс].</w:t>
        <w:tab/>
        <w:t>–</w:t>
        <w:tab/>
        <w:t>Режим</w:t>
        <w:tab/>
        <w:t>доступу: http://ukrstat.gov.ua/operativ/operativ2020/zd/ztt/ztt_u/arh_ztt2020.html</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Географічна структура зовнішньої торгівлі України товарами 2019 – [Електронний</w:t>
        <w:tab/>
        <w:t>ресурс].</w:t>
        <w:tab/>
        <w:t>–</w:t>
        <w:tab/>
        <w:t>Режим</w:t>
        <w:tab/>
        <w:t>доступу: рhttp://ukrstat.gov.ua/operativ/operativ2019/zd/ztt/ztt_u/arh_ztt2019.html</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Географічна структура зовнішньої торгівлі України товарами 2018 – [Електронний</w:t>
        <w:tab/>
        <w:t>ресурс].</w:t>
        <w:tab/>
        <w:t>–</w:t>
        <w:tab/>
        <w:t>Режим</w:t>
        <w:tab/>
        <w:t>доступу: рhttp://ukrstat.gov.ua/operativ/operativ2018/zd/ztt/ztt_u/arh_ztt2018.html</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Географічна структура зовнішньої торгівлі України товарами 2017 – [Електронний</w:t>
        <w:tab/>
        <w:t>ресурс].</w:t>
        <w:tab/>
        <w:t>–</w:t>
        <w:tab/>
        <w:t>Режим</w:t>
        <w:tab/>
        <w:t>доступу: рhttp://ukrstat.gov.ua/operativ/operativ2017/zd/ztt/ztt_u/arh_ztt2017.html</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Географічна структура зовнішньої торгівлі України товарами 2016 – [Електронний</w:t>
        <w:tab/>
        <w:t>ресурс].</w:t>
        <w:tab/>
        <w:t>–</w:t>
        <w:tab/>
        <w:t>Режим</w:t>
        <w:tab/>
        <w:t>доступу: рhttp://ukrstat.gov.ua/operativ/operativ2016/zd/ztt/ztt_u/arh_ztt2016.html</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Географічна структура зовнішньої торгівлі послугами 2021 р. – [Електронний</w:t>
        <w:tab/>
        <w:t>ресурс].</w:t>
        <w:tab/>
        <w:t>–</w:t>
        <w:tab/>
        <w:t>Режим</w:t>
        <w:tab/>
        <w:t>доступу: http://ukrstat.gov.ua/operativ/operativ2021/zd/gsztp/gsztp_u/gsztp_9m2021_ue.xls</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sz w:val="28"/>
          <w:szCs w:val="28"/>
          <w:lang w:val="uk-UA"/>
        </w:rPr>
        <w:t>Географічна структура зовнішньої торгівлі послугами 2020 р. – [Електронний</w:t>
        <w:tab/>
        <w:t>ресурс].</w:t>
        <w:tab/>
        <w:t>–</w:t>
        <w:tab/>
        <w:t>Режим</w:t>
        <w:tab/>
        <w:t>доступу: http://ukrstat.gov.ua/operativ/operativ2020/zd/gsztp/gsztp_u/gsztp_2020_ue.xls</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Прямі інвестиції (акціонерний капітал) в економіці України/з України за</w:t>
        <w:tab/>
        <w:t>країнами</w:t>
        <w:tab/>
        <w:t>світу</w:t>
        <w:tab/>
        <w:t>–</w:t>
        <w:tab/>
        <w:t>[Електронний</w:t>
        <w:tab/>
        <w:t>ресурс].</w:t>
        <w:tab/>
        <w:t>–</w:t>
        <w:tab/>
        <w:t>Режим</w:t>
        <w:tab/>
        <w:t>доступу: http://ukrstat.gov.ua/operativ/operativ2020/zd_inv_new/p_inv/15-19/pi_reg_15- 19_u.xlsx</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Національний банк України. Операції за</w:t>
        <w:tab/>
        <w:t>інструментами прямих інвестицій за регіонами, країнами світу та видами економічної діяльності 2020 [Електронний</w:t>
        <w:tab/>
        <w:t>ресурс].</w:t>
        <w:tab/>
        <w:t>–</w:t>
        <w:tab/>
        <w:t>Режим</w:t>
        <w:tab/>
        <w:t>доступу: https://bank.gov.ua/files/ES/FDI_Lf_y.xlsx</w:t>
      </w:r>
    </w:p>
    <w:p>
      <w:pPr>
        <w:pStyle w:val="ListParagraph"/>
        <w:numPr>
          <w:ilvl w:val="0"/>
          <w:numId w:val="2"/>
        </w:numPr>
        <w:spacing w:lineRule="auto" w:line="348" w:before="0" w:after="0"/>
        <w:contextualSpacing/>
        <w:jc w:val="both"/>
        <w:rPr>
          <w:rFonts w:ascii="Times New Roman" w:hAnsi="Times New Roman"/>
          <w:sz w:val="28"/>
          <w:szCs w:val="28"/>
          <w:lang w:val="uk-UA"/>
        </w:rPr>
      </w:pPr>
      <w:r>
        <w:rPr>
          <w:rFonts w:ascii="Times New Roman" w:hAnsi="Times New Roman"/>
          <w:sz w:val="28"/>
          <w:szCs w:val="28"/>
          <w:lang w:val="uk-UA"/>
        </w:rPr>
        <w:t>Переверзєва А.С. Динаміка та структура зовнішнього боргу країн Південної Європи. Науковий вісник Ужгородського університету. Серія «Економіка». Тематичний розділ: Світове господарство і міжнародні економічні відносини, 2021 р. (надіслано у редакцію вісника).</w:t>
      </w:r>
    </w:p>
    <w:p>
      <w:pPr>
        <w:pStyle w:val="ListParagraph"/>
        <w:spacing w:lineRule="auto" w:line="348" w:before="0" w:after="0"/>
        <w:ind w:left="360" w:hanging="0"/>
        <w:contextualSpacing/>
        <w:jc w:val="both"/>
        <w:rPr>
          <w:rFonts w:ascii="Times New Roman" w:hAnsi="Times New Roman"/>
          <w:sz w:val="28"/>
          <w:szCs w:val="28"/>
          <w:lang w:val="uk-UA"/>
        </w:rPr>
      </w:pPr>
      <w:r>
        <w:rPr>
          <w:rFonts w:ascii="Times New Roman" w:hAnsi="Times New Roman"/>
          <w:sz w:val="28"/>
          <w:szCs w:val="28"/>
          <w:lang w:val="uk-UA"/>
        </w:rPr>
      </w:r>
    </w:p>
    <w:p>
      <w:pPr>
        <w:pStyle w:val="ListParagraph"/>
        <w:spacing w:lineRule="auto" w:line="348" w:before="0" w:after="0"/>
        <w:ind w:left="360" w:hanging="0"/>
        <w:contextualSpacing/>
        <w:jc w:val="both"/>
        <w:rPr>
          <w:lang w:val="uk-UA"/>
        </w:rPr>
      </w:pPr>
      <w:r>
        <w:rPr>
          <w:lang w:val="uk-UA"/>
        </w:rPr>
      </w:r>
    </w:p>
    <w:p>
      <w:pPr>
        <w:pStyle w:val="Normal"/>
        <w:ind w:left="720" w:hanging="0"/>
        <w:rPr>
          <w:lang w:val="uk-UA"/>
        </w:rPr>
      </w:pPr>
      <w:r>
        <w:rPr>
          <w:lang w:val="uk-UA"/>
        </w:rPr>
      </w:r>
    </w:p>
    <w:p>
      <w:pPr>
        <w:pStyle w:val="Normal"/>
        <w:spacing w:lineRule="auto" w:line="360" w:before="0" w:after="0"/>
        <w:ind w:firstLine="709"/>
        <w:jc w:val="right"/>
        <w:rPr>
          <w:rFonts w:ascii="Times New Roman" w:hAnsi="Times New Roman"/>
          <w:sz w:val="28"/>
          <w:szCs w:val="28"/>
          <w:lang w:val="uk-UA"/>
        </w:rPr>
      </w:pPr>
      <w:r>
        <w:rPr/>
      </w:r>
    </w:p>
    <w:sectPr>
      <w:headerReference w:type="default" r:id="rId2"/>
      <w:type w:val="nextPage"/>
      <w:pgSz w:w="11906" w:h="16838"/>
      <w:pgMar w:left="1701" w:right="851" w:header="567" w:top="1134" w:footer="0" w:bottom="1134" w:gutter="0"/>
      <w:pgNumType w:start="1"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Arial">
    <w:charset w:val="cc"/>
    <w:family w:val="roman"/>
    <w:pitch w:val="variable"/>
  </w:font>
  <w:font w:name="Cambria">
    <w:charset w:val="cc"/>
    <w:family w:val="roman"/>
    <w:pitch w:val="variable"/>
  </w:font>
  <w:font w:name="Tahoma">
    <w:charset w:val="cc"/>
    <w:family w:val="roman"/>
    <w:pitch w:val="variable"/>
  </w:font>
  <w:font w:name="Courier New">
    <w:charset w:val="cc"/>
    <w:family w:val="roman"/>
    <w:pitch w:val="variable"/>
  </w:font>
  <w:font w:name="Liberation Sans">
    <w:altName w:val="Arial"/>
    <w:charset w:val="cc"/>
    <w:family w:val="swiss"/>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23"/>
      <w:jc w:val="right"/>
      <w:rPr>
        <w:lang w:val="uk-UA"/>
      </w:rPr>
    </w:pPr>
    <w:r>
      <w:rPr/>
      <w:fldChar w:fldCharType="begin"/>
    </w:r>
    <w:r>
      <w:rPr/>
      <w:instrText> PAGE </w:instrText>
    </w:r>
    <w:r>
      <w:rPr/>
      <w:fldChar w:fldCharType="separate"/>
    </w:r>
    <w:r>
      <w:rPr/>
      <w:t>14</w:t>
    </w:r>
    <w:r>
      <w:rPr/>
      <w:fldChar w:fldCharType="end"/>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2"/>
      <w:numFmt w:val="bullet"/>
      <w:lvlText w:val="-"/>
      <w:lvlJc w:val="left"/>
      <w:pPr>
        <w:tabs>
          <w:tab w:val="num" w:pos="360"/>
        </w:tabs>
        <w:ind w:left="360" w:hanging="360"/>
      </w:pPr>
      <w:rPr>
        <w:rFonts w:ascii="Times New Roman" w:hAnsi="Times New Roman" w:cs="Times New Roman"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lvl w:ilvl="0">
      <w:start w:val="1"/>
      <w:numFmt w:val="decimal"/>
      <w:lvlText w:val="%1."/>
      <w:lvlJc w:val="left"/>
      <w:pPr>
        <w:tabs>
          <w:tab w:val="num" w:pos="0"/>
        </w:tabs>
        <w:ind w:left="360" w:hanging="360"/>
      </w:pPr>
      <w:rPr>
        <w:sz w:val="28"/>
        <w:szCs w:val="28"/>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80"/>
  <w:defaultTabStop w:val="708"/>
  <w:autoHyphenation w:val="tru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hyphenationZone w:val="425"/>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uk-UA" w:eastAsia="uk-UA"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81a64"/>
    <w:pPr>
      <w:widowControl/>
      <w:bidi w:val="0"/>
      <w:spacing w:lineRule="auto" w:line="276" w:before="0" w:after="200"/>
      <w:jc w:val="left"/>
    </w:pPr>
    <w:rPr>
      <w:rFonts w:ascii="Calibri" w:hAnsi="Calibri" w:eastAsia="Calibri" w:cs="Times New Roman"/>
      <w:color w:val="auto"/>
      <w:kern w:val="0"/>
      <w:sz w:val="22"/>
      <w:szCs w:val="22"/>
      <w:lang w:val="ru-RU" w:eastAsia="en-US" w:bidi="ar-SA"/>
    </w:rPr>
  </w:style>
  <w:style w:type="paragraph" w:styleId="1">
    <w:name w:val="Heading 1"/>
    <w:basedOn w:val="Normal"/>
    <w:link w:val="10"/>
    <w:uiPriority w:val="9"/>
    <w:qFormat/>
    <w:rsid w:val="00df2912"/>
    <w:pPr>
      <w:widowControl w:val="false"/>
      <w:spacing w:lineRule="auto" w:line="240" w:before="79" w:after="0"/>
      <w:ind w:left="343" w:right="363" w:hanging="0"/>
      <w:jc w:val="center"/>
      <w:outlineLvl w:val="0"/>
    </w:pPr>
    <w:rPr>
      <w:rFonts w:ascii="Times New Roman" w:hAnsi="Times New Roman" w:eastAsia="Times New Roman"/>
      <w:b/>
      <w:bCs/>
      <w:sz w:val="28"/>
      <w:szCs w:val="28"/>
      <w:lang w:val="uk-UA" w:eastAsia="uk-UA"/>
    </w:rPr>
  </w:style>
  <w:style w:type="paragraph" w:styleId="2">
    <w:name w:val="Heading 2"/>
    <w:basedOn w:val="Normal"/>
    <w:next w:val="Normal"/>
    <w:link w:val="20"/>
    <w:uiPriority w:val="99"/>
    <w:qFormat/>
    <w:rsid w:val="004d6e0d"/>
    <w:pPr>
      <w:keepNext w:val="true"/>
      <w:spacing w:before="240" w:after="60"/>
      <w:outlineLvl w:val="1"/>
    </w:pPr>
    <w:rPr>
      <w:rFonts w:ascii="Arial" w:hAnsi="Arial" w:cs="Arial"/>
      <w:b/>
      <w:bCs/>
      <w:i/>
      <w:iCs/>
      <w:sz w:val="28"/>
      <w:szCs w:val="28"/>
    </w:rPr>
  </w:style>
  <w:style w:type="paragraph" w:styleId="3">
    <w:name w:val="Heading 3"/>
    <w:basedOn w:val="Normal"/>
    <w:link w:val="30"/>
    <w:uiPriority w:val="9"/>
    <w:qFormat/>
    <w:rsid w:val="00f01ff8"/>
    <w:pPr>
      <w:spacing w:lineRule="auto" w:line="240" w:beforeAutospacing="1" w:afterAutospacing="1"/>
      <w:outlineLvl w:val="2"/>
    </w:pPr>
    <w:rPr>
      <w:rFonts w:ascii="Times New Roman" w:hAnsi="Times New Roman" w:eastAsia="Times New Roman"/>
      <w:b/>
      <w:bCs/>
      <w:sz w:val="27"/>
      <w:szCs w:val="27"/>
      <w:lang w:eastAsia="ru-RU"/>
    </w:rPr>
  </w:style>
  <w:style w:type="character" w:styleId="DefaultParagraphFont" w:default="1">
    <w:name w:val="Default Paragraph Font"/>
    <w:uiPriority w:val="1"/>
    <w:semiHidden/>
    <w:unhideWhenUsed/>
    <w:qFormat/>
    <w:rPr/>
  </w:style>
  <w:style w:type="character" w:styleId="11" w:customStyle="1">
    <w:name w:val="Заголовок 1 Знак"/>
    <w:link w:val="1"/>
    <w:uiPriority w:val="9"/>
    <w:qFormat/>
    <w:rPr>
      <w:rFonts w:ascii="Cambria" w:hAnsi="Cambria" w:eastAsia="Times New Roman" w:cs="Times New Roman"/>
      <w:b/>
      <w:bCs/>
      <w:kern w:val="2"/>
      <w:sz w:val="32"/>
      <w:szCs w:val="32"/>
      <w:lang w:eastAsia="en-US"/>
    </w:rPr>
  </w:style>
  <w:style w:type="character" w:styleId="21" w:customStyle="1">
    <w:name w:val="Заголовок 2 Знак"/>
    <w:link w:val="2"/>
    <w:uiPriority w:val="9"/>
    <w:semiHidden/>
    <w:qFormat/>
    <w:rPr>
      <w:rFonts w:ascii="Cambria" w:hAnsi="Cambria" w:eastAsia="Times New Roman" w:cs="Times New Roman"/>
      <w:b/>
      <w:bCs/>
      <w:i/>
      <w:iCs/>
      <w:sz w:val="28"/>
      <w:szCs w:val="28"/>
      <w:lang w:eastAsia="en-US"/>
    </w:rPr>
  </w:style>
  <w:style w:type="character" w:styleId="Style11" w:customStyle="1">
    <w:name w:val="Текст выноски Знак"/>
    <w:link w:val="a3"/>
    <w:uiPriority w:val="99"/>
    <w:semiHidden/>
    <w:qFormat/>
    <w:locked/>
    <w:rsid w:val="006c25f7"/>
    <w:rPr>
      <w:rFonts w:ascii="Tahoma" w:hAnsi="Tahoma"/>
      <w:sz w:val="16"/>
    </w:rPr>
  </w:style>
  <w:style w:type="character" w:styleId="Style12" w:customStyle="1">
    <w:name w:val="Верхний колонтитул Знак"/>
    <w:link w:val="a9"/>
    <w:uiPriority w:val="99"/>
    <w:qFormat/>
    <w:locked/>
    <w:rsid w:val="00071749"/>
    <w:rPr>
      <w:rFonts w:cs="Times New Roman"/>
    </w:rPr>
  </w:style>
  <w:style w:type="character" w:styleId="Style13" w:customStyle="1">
    <w:name w:val="Нижний колонтитул Знак"/>
    <w:link w:val="ab"/>
    <w:uiPriority w:val="99"/>
    <w:qFormat/>
    <w:locked/>
    <w:rsid w:val="00071749"/>
    <w:rPr>
      <w:rFonts w:cs="Times New Roman"/>
    </w:rPr>
  </w:style>
  <w:style w:type="character" w:styleId="Style14" w:customStyle="1">
    <w:name w:val="Основной текст Знак"/>
    <w:link w:val="ad"/>
    <w:uiPriority w:val="99"/>
    <w:semiHidden/>
    <w:qFormat/>
    <w:rPr>
      <w:lang w:eastAsia="en-US"/>
    </w:rPr>
  </w:style>
  <w:style w:type="character" w:styleId="HTML" w:customStyle="1">
    <w:name w:val="Стандартный HTML Знак"/>
    <w:link w:val="HTML"/>
    <w:uiPriority w:val="99"/>
    <w:semiHidden/>
    <w:qFormat/>
    <w:rPr>
      <w:rFonts w:ascii="Courier New" w:hAnsi="Courier New" w:cs="Courier New"/>
      <w:sz w:val="20"/>
      <w:szCs w:val="20"/>
      <w:lang w:eastAsia="en-US"/>
    </w:rPr>
  </w:style>
  <w:style w:type="character" w:styleId="Style15" w:customStyle="1">
    <w:name w:val="Абзац списка Знак"/>
    <w:link w:val="a7"/>
    <w:uiPriority w:val="34"/>
    <w:qFormat/>
    <w:locked/>
    <w:rsid w:val="00c06f43"/>
    <w:rPr>
      <w:rFonts w:ascii="Calibri" w:hAnsi="Calibri" w:eastAsia="Times New Roman"/>
      <w:sz w:val="22"/>
      <w:lang w:val="ru-RU" w:eastAsia="en-US"/>
    </w:rPr>
  </w:style>
  <w:style w:type="character" w:styleId="Style16">
    <w:name w:val="Интернет-ссылка"/>
    <w:uiPriority w:val="99"/>
    <w:rsid w:val="00b26cac"/>
    <w:rPr>
      <w:rFonts w:cs="Times New Roman"/>
      <w:color w:val="0000FF"/>
      <w:u w:val="single"/>
    </w:rPr>
  </w:style>
  <w:style w:type="character" w:styleId="Titletext" w:customStyle="1">
    <w:name w:val="title-text"/>
    <w:uiPriority w:val="99"/>
    <w:qFormat/>
    <w:rsid w:val="004d6e0d"/>
    <w:rPr/>
  </w:style>
  <w:style w:type="character" w:styleId="Contribdegrees" w:customStyle="1">
    <w:name w:val="contribdegrees"/>
    <w:uiPriority w:val="99"/>
    <w:qFormat/>
    <w:rsid w:val="004d6e0d"/>
    <w:rPr/>
  </w:style>
  <w:style w:type="character" w:styleId="Appleconvertedspace" w:customStyle="1">
    <w:name w:val="apple-converted-space"/>
    <w:uiPriority w:val="99"/>
    <w:qFormat/>
    <w:rsid w:val="004d6e0d"/>
    <w:rPr/>
  </w:style>
  <w:style w:type="character" w:styleId="Tlidtranslationtranslation" w:customStyle="1">
    <w:name w:val="tlid-translation translation"/>
    <w:basedOn w:val="DefaultParagraphFont"/>
    <w:qFormat/>
    <w:rsid w:val="00901590"/>
    <w:rPr/>
  </w:style>
  <w:style w:type="character" w:styleId="31" w:customStyle="1">
    <w:name w:val="Заголовок 3 Знак"/>
    <w:link w:val="3"/>
    <w:uiPriority w:val="9"/>
    <w:qFormat/>
    <w:rsid w:val="00f01ff8"/>
    <w:rPr>
      <w:rFonts w:ascii="Times New Roman" w:hAnsi="Times New Roman" w:eastAsia="Times New Roman"/>
      <w:b/>
      <w:bCs/>
      <w:sz w:val="27"/>
      <w:szCs w:val="27"/>
    </w:rPr>
  </w:style>
  <w:style w:type="character" w:styleId="Strong">
    <w:name w:val="Strong"/>
    <w:uiPriority w:val="22"/>
    <w:qFormat/>
    <w:rsid w:val="00f01ff8"/>
    <w:rPr>
      <w:b/>
      <w:bCs/>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link w:val="ae"/>
    <w:uiPriority w:val="99"/>
    <w:rsid w:val="00b13e62"/>
    <w:pPr>
      <w:widowControl w:val="false"/>
      <w:spacing w:lineRule="auto" w:line="240" w:before="0" w:after="0"/>
    </w:pPr>
    <w:rPr>
      <w:rFonts w:ascii="Times New Roman" w:hAnsi="Times New Roman" w:eastAsia="Times New Roman"/>
      <w:sz w:val="28"/>
      <w:szCs w:val="28"/>
      <w:lang w:val="uk-UA" w:eastAsia="uk-UA"/>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BalloonText">
    <w:name w:val="Balloon Text"/>
    <w:basedOn w:val="Normal"/>
    <w:link w:val="a4"/>
    <w:uiPriority w:val="99"/>
    <w:semiHidden/>
    <w:qFormat/>
    <w:rsid w:val="006c25f7"/>
    <w:pPr>
      <w:spacing w:lineRule="auto" w:line="240" w:before="0" w:after="0"/>
    </w:pPr>
    <w:rPr>
      <w:rFonts w:ascii="Tahoma" w:hAnsi="Tahoma" w:cs="Tahoma"/>
      <w:sz w:val="16"/>
      <w:szCs w:val="16"/>
    </w:rPr>
  </w:style>
  <w:style w:type="paragraph" w:styleId="NormalWeb">
    <w:name w:val="Normal (Web)"/>
    <w:basedOn w:val="Normal"/>
    <w:uiPriority w:val="99"/>
    <w:qFormat/>
    <w:rsid w:val="00282f80"/>
    <w:pPr>
      <w:spacing w:lineRule="auto" w:line="240" w:beforeAutospacing="1" w:afterAutospacing="1"/>
    </w:pPr>
    <w:rPr>
      <w:rFonts w:ascii="Times New Roman" w:hAnsi="Times New Roman" w:eastAsia="Times New Roman"/>
      <w:sz w:val="24"/>
      <w:szCs w:val="24"/>
      <w:lang w:eastAsia="ru-RU"/>
    </w:rPr>
  </w:style>
  <w:style w:type="paragraph" w:styleId="ListParagraph">
    <w:name w:val="List Paragraph"/>
    <w:basedOn w:val="Normal"/>
    <w:link w:val="a8"/>
    <w:uiPriority w:val="34"/>
    <w:qFormat/>
    <w:rsid w:val="00875f64"/>
    <w:pPr>
      <w:spacing w:before="0" w:after="200"/>
      <w:ind w:left="720" w:hanging="0"/>
      <w:contextualSpacing/>
    </w:pPr>
    <w:rPr>
      <w:rFonts w:eastAsia="Times New Roman"/>
    </w:rPr>
  </w:style>
  <w:style w:type="paragraph" w:styleId="Style22">
    <w:name w:val="Верхний и нижний колонтитулы"/>
    <w:basedOn w:val="Normal"/>
    <w:qFormat/>
    <w:pPr/>
    <w:rPr/>
  </w:style>
  <w:style w:type="paragraph" w:styleId="Style23">
    <w:name w:val="Header"/>
    <w:basedOn w:val="Normal"/>
    <w:link w:val="aa"/>
    <w:uiPriority w:val="99"/>
    <w:rsid w:val="00071749"/>
    <w:pPr>
      <w:tabs>
        <w:tab w:val="clear" w:pos="708"/>
        <w:tab w:val="center" w:pos="4513" w:leader="none"/>
        <w:tab w:val="right" w:pos="9026" w:leader="none"/>
      </w:tabs>
      <w:spacing w:lineRule="auto" w:line="240" w:before="0" w:after="0"/>
    </w:pPr>
    <w:rPr/>
  </w:style>
  <w:style w:type="paragraph" w:styleId="Style24">
    <w:name w:val="Footer"/>
    <w:basedOn w:val="Normal"/>
    <w:link w:val="ac"/>
    <w:uiPriority w:val="99"/>
    <w:rsid w:val="00071749"/>
    <w:pPr>
      <w:tabs>
        <w:tab w:val="clear" w:pos="708"/>
        <w:tab w:val="center" w:pos="4513" w:leader="none"/>
        <w:tab w:val="right" w:pos="9026" w:leader="none"/>
      </w:tabs>
      <w:spacing w:lineRule="auto" w:line="240" w:before="0" w:after="0"/>
    </w:pPr>
    <w:rPr/>
  </w:style>
  <w:style w:type="paragraph" w:styleId="HTMLPreformatted">
    <w:name w:val="HTML Preformatted"/>
    <w:basedOn w:val="Normal"/>
    <w:link w:val="HTML0"/>
    <w:uiPriority w:val="99"/>
    <w:qFormat/>
    <w:rsid w:val="00431c11"/>
    <w:pPr>
      <w:tabs>
        <w:tab w:val="clear" w:pos="708"/>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spacing w:lineRule="auto" w:line="240" w:before="0" w:after="0"/>
    </w:pPr>
    <w:rPr>
      <w:rFonts w:ascii="Courier New" w:hAnsi="Courier New" w:eastAsia="Times New Roman" w:cs="Courier New"/>
      <w:sz w:val="20"/>
      <w:szCs w:val="20"/>
      <w:lang w:eastAsia="ru-RU"/>
    </w:rPr>
  </w:style>
  <w:style w:type="paragraph" w:styleId="Default" w:customStyle="1">
    <w:name w:val="Default"/>
    <w:uiPriority w:val="99"/>
    <w:qFormat/>
    <w:rsid w:val="00bd5452"/>
    <w:pPr>
      <w:widowControl/>
      <w:bidi w:val="0"/>
      <w:spacing w:before="0" w:after="0"/>
      <w:jc w:val="left"/>
    </w:pPr>
    <w:rPr>
      <w:rFonts w:ascii="Times New Roman" w:hAnsi="Times New Roman" w:eastAsia="Calibri" w:cs="Times New Roman"/>
      <w:color w:val="000000"/>
      <w:kern w:val="0"/>
      <w:sz w:val="24"/>
      <w:szCs w:val="24"/>
      <w:lang w:val="ru-RU" w:eastAsia="en-US" w:bidi="ar-SA"/>
    </w:rPr>
  </w:style>
  <w:style w:type="paragraph" w:styleId="12" w:customStyle="1">
    <w:name w:val="Абзац списка1"/>
    <w:basedOn w:val="Normal"/>
    <w:qFormat/>
    <w:rsid w:val="009a5aa1"/>
    <w:pPr>
      <w:spacing w:lineRule="auto" w:line="240" w:before="0" w:after="0"/>
      <w:ind w:left="720" w:hanging="0"/>
      <w:contextualSpacing/>
    </w:pPr>
    <w:rPr>
      <w:rFonts w:eastAsia="Times New Roman"/>
      <w:sz w:val="24"/>
      <w:szCs w:val="24"/>
    </w:rPr>
  </w:style>
  <w:style w:type="paragraph" w:styleId="Style25">
    <w:name w:val="Содержимое врезки"/>
    <w:basedOn w:val="Normal"/>
    <w:qFormat/>
    <w:pPr/>
    <w:rPr/>
  </w:style>
  <w:style w:type="numbering" w:styleId="NoList" w:default="1">
    <w:name w:val="No List"/>
    <w:uiPriority w:val="99"/>
    <w:semiHidden/>
    <w:unhideWhenUsed/>
    <w:qFormat/>
  </w:style>
  <w:style w:type="numbering" w:styleId="13" w:customStyle="1">
    <w:name w:val="Нет списка1"/>
    <w:semiHidden/>
    <w:unhideWhenUsed/>
    <w:qFormat/>
    <w:rsid w:val="00b10aac"/>
  </w:style>
  <w:style w:type="numbering" w:styleId="22" w:customStyle="1">
    <w:name w:val="Нет списка2"/>
    <w:uiPriority w:val="99"/>
    <w:semiHidden/>
    <w:unhideWhenUsed/>
    <w:qFormat/>
    <w:rsid w:val="00f01ff8"/>
  </w:style>
  <w:style w:type="table" w:default="1" w:styleId="a1">
    <w:name w:val="Normal Table"/>
    <w:uiPriority w:val="99"/>
    <w:semiHidden/>
    <w:unhideWhenUsed/>
    <w:tblPr>
      <w:tblCellMar>
        <w:top w:w="0" w:type="dxa"/>
        <w:left w:w="108" w:type="dxa"/>
        <w:bottom w:w="0" w:type="dxa"/>
        <w:right w:w="108" w:type="dxa"/>
      </w:tblCellMar>
    </w:tblPr>
  </w:style>
  <w:style w:type="table" w:styleId="a5">
    <w:name w:val="Table Grid"/>
    <w:basedOn w:val="a1"/>
    <w:uiPriority w:val="99"/>
    <w:rsid w:val="005611c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
    <w:name w:val="Сетка таблицы1"/>
    <w:basedOn w:val="a1"/>
    <w:uiPriority w:val="39"/>
    <w:rsid w:val="001d0495"/>
    <w:rPr>
      <w:lang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1">
    <w:name w:val="Сетка таблицы2"/>
    <w:basedOn w:val="a1"/>
    <w:uiPriority w:val="59"/>
    <w:rsid w:val="008576df"/>
    <w:rPr>
      <w:lang w:val="en-US" w:eastAsia="en-US"/>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1">
    <w:name w:val="Сетка таблицы3"/>
    <w:basedOn w:val="a1"/>
    <w:uiPriority w:val="39"/>
    <w:rsid w:val="008576df"/>
    <w:rPr>
      <w:lang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4">
    <w:name w:val="Сетка таблицы4"/>
    <w:basedOn w:val="a1"/>
    <w:uiPriority w:val="59"/>
    <w:rsid w:val="00734916"/>
    <w:rPr>
      <w:lang w:val="en-US" w:eastAsia="en-US"/>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0">
    <w:name w:val="Сетка таблицы11"/>
    <w:basedOn w:val="a1"/>
    <w:uiPriority w:val="39"/>
    <w:rsid w:val="00734916"/>
    <w:rPr>
      <w:lang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5">
    <w:name w:val="Сетка таблицы5"/>
    <w:basedOn w:val="a1"/>
    <w:uiPriority w:val="59"/>
    <w:rsid w:val="002219b2"/>
    <w:rPr>
      <w:lang w:val="en-US" w:eastAsia="en-US"/>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1">
    <w:name w:val="Таблица простая 11"/>
    <w:basedOn w:val="a1"/>
    <w:uiPriority w:val="41"/>
    <w:rsid w:val="00f01ff8"/>
    <w:tblPr>
      <w:tblStyleRowBandSize w:val="1"/>
      <w:tblStyleColBandSize w:val="1"/>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
    <w:tblStylePr w:type="firstRow">
      <w:rPr>
        <w:b/>
        <w:bCs/>
      </w:rPr>
      <w:tblPr/>
    </w:tblStylePr>
    <w:tblStylePr w:type="lastRow">
      <w:rPr>
        <w:b/>
        <w:bCs/>
      </w:rPr>
      <w:tblPr/>
      <w:tcPr>
        <w:tcBorders>
          <w:top w:val="double" w:color="BFBFBF" w:sz="4" w:space="0"/>
        </w:tcBorders>
      </w:tcPr>
    </w:tblStylePr>
    <w:tblStylePr w:type="firstCol">
      <w:rPr>
        <w:b/>
        <w:bCs/>
      </w:rPr>
      <w:tblPr/>
    </w:tblStylePr>
    <w:tblStylePr w:type="lastCol">
      <w:rPr>
        <w:b/>
        <w:bCs/>
      </w:rPr>
      <w:tblPr/>
    </w:tblStylePr>
    <w:tblStylePr w:type="band1Vert">
      <w:tblPr/>
      <w:tcPr>
        <w:shd w:val="clear" w:color="auto" w:fill="F2F2F2"/>
      </w:tcPr>
    </w:tblStylePr>
    <w:tblStylePr w:type="band1Horz">
      <w:tblPr/>
      <w:tcPr>
        <w:shd w:val="clear" w:color="auto" w:fill="F2F2F2"/>
      </w:tcPr>
    </w:tblStylePr>
  </w:style>
  <w:style w:type="table" w:customStyle="1" w:styleId="6">
    <w:name w:val="Сетка таблицы6"/>
    <w:basedOn w:val="a1"/>
    <w:uiPriority w:val="59"/>
    <w:rsid w:val="00562843"/>
    <w:rPr>
      <w:lang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
    <w:name w:val="Сетка таблицы7"/>
    <w:basedOn w:val="a1"/>
    <w:uiPriority w:val="39"/>
    <w:rsid w:val="003041d3"/>
    <w:rPr>
      <w:lang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8">
    <w:name w:val="Сетка таблицы8"/>
    <w:basedOn w:val="a1"/>
    <w:uiPriority w:val="59"/>
    <w:qFormat/>
    <w:rsid w:val="00870d88"/>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12">
    <w:name w:val="Таблица простая 11"/>
    <w:basedOn w:val="a1"/>
    <w:uiPriority w:val="41"/>
    <w:rsid w:val="0047463c"/>
    <w:rPr>
      <w:lang w:val="ru-RU" w:eastAsia="en-US"/>
      <w:sz w:val="22"/>
      <w:szCs w:val="22"/>
    </w:rPr>
    <w:tblPr>
      <w:tblStyleRowBandSize w:val="1"/>
      <w:tblStyleColBandSize w:val="1"/>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
    <w:tblStylePr w:type="firstRow">
      <w:rPr>
        <w:b/>
        <w:bCs/>
      </w:rPr>
      <w:tblPr/>
    </w:tblStylePr>
    <w:tblStylePr w:type="lastRow">
      <w:rPr>
        <w:b/>
        <w:bCs/>
      </w:rPr>
      <w:tblPr/>
      <w:tcPr>
        <w:tcBorders>
          <w:top w:val="double" w:color="BFBFBF" w:sz="4" w:space="0"/>
        </w:tcBorders>
      </w:tcPr>
    </w:tblStylePr>
    <w:tblStylePr w:type="firstCol">
      <w:rPr>
        <w:b/>
        <w:bCs/>
      </w:rPr>
      <w:tblPr/>
    </w:tblStylePr>
    <w:tblStylePr w:type="lastCol">
      <w:rPr>
        <w:b/>
        <w:bCs/>
      </w:rPr>
      <w:tblPr/>
    </w:tblStylePr>
    <w:tblStylePr w:type="band1Vert">
      <w:tblPr/>
      <w:tcPr>
        <w:shd w:val="clear" w:color="auto" w:fill="F2F2F2"/>
      </w:tcPr>
    </w:tblStylePr>
    <w:tblStylePr w:type="band1Horz">
      <w:tblPr/>
      <w:tcPr>
        <w:shd w:val="clear" w:color="auto" w:fill="F2F2F2"/>
      </w:tcPr>
    </w:tblStylePr>
  </w:style>
  <w:style w:type="table" w:customStyle="1" w:styleId="9">
    <w:name w:val="Сетка таблицы9"/>
    <w:basedOn w:val="a1"/>
    <w:uiPriority w:val="39"/>
    <w:rsid w:val="00823d32"/>
    <w:rPr>
      <w:lang w:val="ru-RU"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0">
    <w:name w:val="Сетка таблицы12"/>
    <w:basedOn w:val="a1"/>
    <w:uiPriority w:val="39"/>
    <w:rsid w:val="00823d32"/>
    <w:rPr>
      <w:lang w:val="ru-RU"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leNormal">
    <w:name w:val="Table Normal"/>
    <w:uiPriority w:val="2"/>
    <w:semiHidden/>
    <w:unhideWhenUsed/>
    <w:qFormat/>
    <w:rsid w:val="006f1c41"/>
    <w:rPr>
      <w:lang w:val="en-US" w:eastAsia="en-US"/>
      <w:sz w:val="22"/>
      <w:szCs w:val="22"/>
    </w:rPr>
    <w:tblPr>
      <w:tblCellMar>
        <w:top w:w="0" w:type="dxa"/>
        <w:left w:w="0" w:type="dxa"/>
        <w:bottom w:w="0" w:type="dxa"/>
        <w:right w:w="0" w:type="dxa"/>
      </w:tblCellMar>
    </w:tblPr>
  </w:style>
  <w:style w:type="table" w:customStyle="1" w:styleId="TableNormal1">
    <w:name w:val="Table Normal1"/>
    <w:uiPriority w:val="2"/>
    <w:semiHidden/>
    <w:unhideWhenUsed/>
    <w:qFormat/>
    <w:rsid w:val="006f1c41"/>
    <w:rPr>
      <w:lang w:val="en-US" w:eastAsia="en-US"/>
      <w:sz w:val="22"/>
      <w:szCs w:val="22"/>
    </w:rPr>
    <w:tblPr>
      <w:tblCellMar>
        <w:top w:w="0" w:type="dxa"/>
        <w:left w:w="0" w:type="dxa"/>
        <w:bottom w:w="0" w:type="dxa"/>
        <w:right w:w="0" w:type="dxa"/>
      </w:tblCellMar>
    </w:tblPr>
  </w:style>
  <w:style w:type="table" w:customStyle="1" w:styleId="TableNormal2">
    <w:name w:val="Table Normal2"/>
    <w:uiPriority w:val="2"/>
    <w:semiHidden/>
    <w:unhideWhenUsed/>
    <w:qFormat/>
    <w:rsid w:val="007f0248"/>
    <w:rPr>
      <w:lang w:val="en-US" w:eastAsia="en-US"/>
      <w:sz w:val="22"/>
      <w:szCs w:val="22"/>
    </w:rPr>
    <w:tblPr>
      <w:tblCellMar>
        <w:top w:w="0" w:type="dxa"/>
        <w:left w:w="0" w:type="dxa"/>
        <w:bottom w:w="0" w:type="dxa"/>
        <w:right w:w="0" w:type="dxa"/>
      </w:tblCellMar>
    </w:tblPr>
  </w:style>
  <w:style w:type="table" w:customStyle="1" w:styleId="TableNormal3">
    <w:name w:val="Table Normal3"/>
    <w:uiPriority w:val="2"/>
    <w:semiHidden/>
    <w:unhideWhenUsed/>
    <w:qFormat/>
    <w:rsid w:val="009a7768"/>
    <w:rPr>
      <w:lang w:val="en-US" w:eastAsia="en-US"/>
      <w:sz w:val="22"/>
      <w:szCs w:val="22"/>
    </w:rPr>
    <w:tblPr>
      <w:tblCellMar>
        <w:top w:w="0" w:type="dxa"/>
        <w:left w:w="0" w:type="dxa"/>
        <w:bottom w:w="0" w:type="dxa"/>
        <w:right w:w="0" w:type="dxa"/>
      </w:tblCellMar>
    </w:tblPr>
  </w:style>
  <w:style w:type="table" w:customStyle="1" w:styleId="TableNormal4">
    <w:name w:val="Table Normal4"/>
    <w:uiPriority w:val="2"/>
    <w:semiHidden/>
    <w:unhideWhenUsed/>
    <w:qFormat/>
    <w:rsid w:val="003321ce"/>
    <w:rPr>
      <w:lang w:val="en-US" w:eastAsia="en-US"/>
      <w:sz w:val="22"/>
      <w:szCs w:val="22"/>
    </w:rPr>
    <w:tblPr>
      <w:tblCellMar>
        <w:top w:w="0" w:type="dxa"/>
        <w:left w:w="0" w:type="dxa"/>
        <w:bottom w:w="0" w:type="dxa"/>
        <w:right w:w="0" w:type="dxa"/>
      </w:tblCellMar>
    </w:tblPr>
  </w:style>
  <w:style w:type="table" w:customStyle="1" w:styleId="100">
    <w:name w:val="Сетка таблицы10"/>
    <w:basedOn w:val="a1"/>
    <w:uiPriority w:val="39"/>
    <w:rsid w:val="00fe7521"/>
    <w:rPr>
      <w:lang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30">
    <w:name w:val="Сетка таблицы13"/>
    <w:basedOn w:val="a1"/>
    <w:uiPriority w:val="39"/>
    <w:rsid w:val="0019291a"/>
    <w:rPr>
      <w:lang w:eastAsia="en-US"/>
      <w:sz w:val="22"/>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2A7533-2BC9-4A87-9512-7B48CEF0C0D9}">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Application>LibreOffice/7.0.2.2$Windows_X86_64 LibreOffice_project/8349ace3c3162073abd90d81fd06dcfb6b36b994</Application>
  <Pages>15</Pages>
  <Words>2443</Words>
  <Characters>19611</Characters>
  <CharactersWithSpaces>22203</CharactersWithSpaces>
  <Paragraphs>128</Paragraphs>
  <Company>Hewlett-Packard</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2021-12-23T06:27:00Z</dcterms:created>
  <dc:creator>Tanya</dc:creator>
  <dc:description/>
  <dc:language>ru-RU</dc:language>
  <cp:lastModifiedBy/>
  <dcterms:modified xsi:type="dcterms:W3CDTF">2022-08-23T22:28:16Z</dcterms:modified>
  <cp:revision>3</cp:revision>
  <dc:subject/>
  <dc:title>Одеський національний університет імені І</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