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іональний університет імені І. І. Мечникова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Інститут соціальних наук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</w:t>
      </w:r>
      <w:r w:rsidRPr="00ED70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Кафедра соціології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ED70A7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 р о б о т а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магістра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</w:t>
      </w:r>
      <w:r w:rsidRPr="00ED70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 «Арт-простори як соціокультурний феномен»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Art space as sociocultural phenomenon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Виконала: студентка 6 курсу,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денної форми навчання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8.03010101 Соціологія                                                                                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Мироненко Аліна Андріївна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Керівник к.соц.н., доц. Виставкіна Д.О. </w:t>
      </w:r>
      <w:r w:rsidRPr="00ED70A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______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 д.соц.н., проф. Каменська Т.Г.                                             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                                                                  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захисту:                   Захищено на засіданні  ЕК№  </w:t>
      </w:r>
      <w:r w:rsidRPr="00ED70A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1  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засідання кафедри                протокол №___від  «_19.01.» 2017 р.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 </w:t>
      </w:r>
      <w:r w:rsidRPr="00ED70A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___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«</w:t>
      </w:r>
      <w:r w:rsidRPr="00ED70A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_____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 2017р.               Оцінка _________/________/________                  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D70A7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                      (за національною шкалою, шкалою </w:t>
      </w:r>
      <w:r w:rsidRPr="00ED70A7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ECTS</w:t>
      </w:r>
      <w:r w:rsidRPr="00ED70A7">
        <w:rPr>
          <w:rFonts w:ascii="Times New Roman" w:eastAsia="Times New Roman" w:hAnsi="Times New Roman" w:cs="Times New Roman"/>
          <w:sz w:val="16"/>
          <w:szCs w:val="16"/>
          <w:lang w:eastAsia="ru-RU"/>
        </w:rPr>
        <w:t>,бал)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Завідувач кафедри                                   Голова ЕК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__________     </w:t>
      </w:r>
      <w:r w:rsidRPr="00ED70A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Онищук  В.М.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__________      </w:t>
      </w:r>
      <w:r w:rsidRPr="00ED70A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Худенко А.В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– 2017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ED70A7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lastRenderedPageBreak/>
        <w:t>ЗМІСТ</w:t>
      </w:r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ind w:left="144" w:hanging="144"/>
        <w:rPr>
          <w:rFonts w:ascii="Calibri" w:eastAsia="Times New Roman" w:hAnsi="Calibri" w:cs="Times New Roman"/>
          <w:noProof/>
          <w:lang w:val="uk-UA" w:eastAsia="ru-RU"/>
        </w:rPr>
      </w:pPr>
      <w:r w:rsidRPr="00ED70A7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 w:eastAsia="ru-RU"/>
        </w:rPr>
        <w:fldChar w:fldCharType="begin"/>
      </w:r>
      <w:r w:rsidRPr="00ED70A7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 w:eastAsia="ru-RU"/>
        </w:rPr>
        <w:instrText xml:space="preserve"> TOC \o "1-3" \h \z \u </w:instrText>
      </w:r>
      <w:r w:rsidRPr="00ED70A7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 w:eastAsia="ru-RU"/>
        </w:rPr>
        <w:fldChar w:fldCharType="separate"/>
      </w:r>
      <w:hyperlink w:anchor="_Toc472313412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val="uk-UA" w:eastAsia="ru-RU"/>
          </w:rPr>
          <w:t>ВСТУП</w: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instrText xml:space="preserve"> PAGEREF _Toc472313412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t>3</w: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ind w:left="144" w:hanging="144"/>
        <w:rPr>
          <w:rFonts w:ascii="Calibri" w:eastAsia="Times New Roman" w:hAnsi="Calibri" w:cs="Times New Roman"/>
          <w:noProof/>
          <w:lang w:val="uk-UA" w:eastAsia="ru-RU"/>
        </w:rPr>
      </w:pPr>
      <w:hyperlink w:anchor="_Toc472313417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val="uk-UA" w:eastAsia="ru-RU"/>
          </w:rPr>
          <w:t>РОЗДІЛ 1. ТЕОРЕТИКО-МЕТОДОЛОГІЧНІ ОСНОВИ ДОСЛІДЖЕННЯ СУЧАСНОГО МИСТЕЦТВА</w: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instrText xml:space="preserve"> PAGEREF _Toc472313417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t>6</w: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Times New Roman"/>
          <w:noProof/>
          <w:lang w:eastAsia="ru-RU"/>
        </w:rPr>
      </w:pPr>
      <w:hyperlink w:anchor="_Toc472313418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1.1. Становлення соціологічних теорій дослідження мистецтва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instrText xml:space="preserve"> PAGEREF _Toc472313418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>6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Times New Roman"/>
          <w:noProof/>
          <w:lang w:eastAsia="ru-RU"/>
        </w:rPr>
      </w:pPr>
      <w:hyperlink w:anchor="_Toc472313419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 xml:space="preserve">1.2. 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Статус мистецтва у дослідженнях художньої сфери суспільства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instrText xml:space="preserve"> PAGEREF _Toc472313419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>11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Times New Roman"/>
          <w:noProof/>
          <w:lang w:eastAsia="ru-RU"/>
        </w:rPr>
      </w:pPr>
      <w:hyperlink w:anchor="_Toc472313420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 xml:space="preserve">1.3. 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Функціонування художньої сфери як комунікативний процес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instrText xml:space="preserve"> PAGEREF _Toc472313420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>16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Times New Roman"/>
          <w:noProof/>
          <w:lang w:val="uk-UA" w:eastAsia="ru-RU"/>
        </w:rPr>
      </w:pPr>
      <w:hyperlink w:anchor="_Toc472313421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Висновки до розділу 1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instrText xml:space="preserve"> PAGEREF _Toc472313421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>23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ind w:left="144" w:hanging="144"/>
        <w:rPr>
          <w:rFonts w:ascii="Calibri" w:eastAsia="Times New Roman" w:hAnsi="Calibri" w:cs="Times New Roman"/>
          <w:noProof/>
          <w:lang w:val="uk-UA" w:eastAsia="ru-RU"/>
        </w:rPr>
      </w:pPr>
      <w:hyperlink w:anchor="_Toc472313422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val="uk-UA" w:eastAsia="ru-RU"/>
          </w:rPr>
          <w:t>РОЗДІЛ 2. АРТ-ПРОСТІРИ  ЯК ЯВИЩЕ СУЧАСНОЇ КУЛЬТУРИ</w: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instrText xml:space="preserve"> PAGEREF _Toc472313422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t>24</w: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Times New Roman"/>
          <w:noProof/>
          <w:lang w:eastAsia="ru-RU"/>
        </w:rPr>
      </w:pPr>
      <w:hyperlink w:anchor="_Toc472313423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>2.1. Те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нденції сучасної культури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instrText xml:space="preserve"> PAGEREF _Toc472313423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>2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>4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Times New Roman"/>
          <w:noProof/>
          <w:lang w:eastAsia="ru-RU"/>
        </w:rPr>
      </w:pPr>
      <w:hyperlink w:anchor="_Toc472313424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>2.2. А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рт-простір: концептуалізація та характеристика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instrText xml:space="preserve"> PAGEREF _Toc472313424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>31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Times New Roman"/>
          <w:noProof/>
          <w:lang w:eastAsia="ru-RU"/>
        </w:rPr>
      </w:pPr>
      <w:hyperlink w:anchor="_Toc472313425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 xml:space="preserve">2.3. 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Типологія арт-просторів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instrText xml:space="preserve"> PAGEREF _Toc472313425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>40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Times New Roman"/>
          <w:noProof/>
          <w:lang w:eastAsia="ru-RU"/>
        </w:rPr>
      </w:pPr>
      <w:hyperlink w:anchor="_Toc472313426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>В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исно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>в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ки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 xml:space="preserve"> 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до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 xml:space="preserve"> р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озділу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 xml:space="preserve"> 2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instrText xml:space="preserve"> PAGEREF _Toc472313426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>46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ind w:left="144" w:hanging="144"/>
        <w:rPr>
          <w:rFonts w:ascii="Calibri" w:eastAsia="Times New Roman" w:hAnsi="Calibri" w:cs="Times New Roman"/>
          <w:noProof/>
          <w:lang w:val="uk-UA" w:eastAsia="ru-RU"/>
        </w:rPr>
      </w:pPr>
      <w:hyperlink w:anchor="_Toc472313427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val="uk-UA" w:eastAsia="ru-RU"/>
          </w:rPr>
          <w:t>РОЗДІЛ 3. ДОСВІД ДОСЛІДЖЕННЯ АРТ-ПРОСТОРУ МІСТА НА ПРИКЛАДІ КУЛЬТУРНОГО ЦЕНТРУ «БЕЙТ гРАНД»</w: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instrText xml:space="preserve"> PAGEREF _Toc472313427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t>48</w: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Times New Roman"/>
          <w:noProof/>
          <w:lang w:eastAsia="ru-RU"/>
        </w:rPr>
      </w:pPr>
      <w:hyperlink w:anchor="_Toc472313428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 xml:space="preserve">3.1. 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Арт-простори міста як об’єкт соціологічного дослідження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instrText xml:space="preserve"> PAGEREF _Toc472313428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>48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Times New Roman"/>
          <w:noProof/>
          <w:lang w:eastAsia="ru-RU"/>
        </w:rPr>
      </w:pPr>
      <w:hyperlink w:anchor="_Toc472313429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 xml:space="preserve">3.2. </w:t>
        </w:r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val="uk-UA" w:eastAsia="ru-RU"/>
          </w:rPr>
          <w:t>Можливості застосування метода кейс-стади для дослідження арт-просторів на прикладі єврейського культурного центру БейтГранд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ab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begin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instrText xml:space="preserve"> PAGEREF _Toc472313429 \h </w:instrTex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separate"/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t>51</w:t>
        </w:r>
        <w:r w:rsidRPr="00ED70A7">
          <w:rPr>
            <w:rFonts w:ascii="Times New Roman" w:eastAsia="Times New Roman" w:hAnsi="Times New Roman" w:cs="Times New Roman"/>
            <w:noProof/>
            <w:webHidden/>
            <w:sz w:val="28"/>
            <w:szCs w:val="20"/>
            <w:lang w:eastAsia="ru-RU"/>
          </w:rPr>
          <w:fldChar w:fldCharType="end"/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ind w:left="144" w:hanging="144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Висновки до розділу 3……………………………………………………………...65</w:t>
      </w:r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ind w:left="144" w:hanging="144"/>
        <w:rPr>
          <w:rFonts w:ascii="Calibri" w:eastAsia="Times New Roman" w:hAnsi="Calibri" w:cs="Times New Roman"/>
          <w:noProof/>
          <w:lang w:val="uk-UA" w:eastAsia="ru-RU"/>
        </w:rPr>
      </w:pPr>
      <w:hyperlink w:anchor="_Toc472313430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val="uk-UA" w:eastAsia="ru-RU"/>
          </w:rPr>
          <w:t>ВИСНОВКИ</w: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tab/>
          <w:t>67</w:t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ind w:left="144" w:hanging="144"/>
        <w:rPr>
          <w:rFonts w:ascii="Calibri" w:eastAsia="Times New Roman" w:hAnsi="Calibri" w:cs="Times New Roman"/>
          <w:noProof/>
          <w:lang w:val="uk-UA" w:eastAsia="ru-RU"/>
        </w:rPr>
      </w:pPr>
      <w:hyperlink w:anchor="_Toc472313431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val="uk-UA" w:eastAsia="ru-RU"/>
          </w:rPr>
          <w:t>СПИСОК ВИКОРИСТАННИХ ДЖЕРЕЛ</w: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tab/>
          <w:t>70</w:t>
        </w:r>
      </w:hyperlink>
    </w:p>
    <w:p w:rsidR="00ED70A7" w:rsidRPr="00ED70A7" w:rsidRDefault="00ED70A7" w:rsidP="00ED70A7">
      <w:pPr>
        <w:widowControl w:val="0"/>
        <w:tabs>
          <w:tab w:val="right" w:leader="dot" w:pos="9631"/>
        </w:tabs>
        <w:autoSpaceDE w:val="0"/>
        <w:autoSpaceDN w:val="0"/>
        <w:adjustRightInd w:val="0"/>
        <w:spacing w:after="0" w:line="360" w:lineRule="auto"/>
        <w:ind w:left="144" w:hanging="144"/>
        <w:rPr>
          <w:rFonts w:ascii="Calibri" w:eastAsia="Times New Roman" w:hAnsi="Calibri" w:cs="Times New Roman"/>
          <w:noProof/>
          <w:lang w:val="uk-UA" w:eastAsia="ru-RU"/>
        </w:rPr>
      </w:pPr>
      <w:hyperlink w:anchor="_Toc472313432" w:history="1">
        <w:r w:rsidRPr="00ED70A7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val="uk-UA" w:eastAsia="ru-RU"/>
          </w:rPr>
          <w:t>ДОДАТКИ</w:t>
        </w:r>
        <w:r w:rsidRPr="00ED70A7">
          <w:rPr>
            <w:rFonts w:ascii="Times New Roman" w:eastAsia="Times New Roman" w:hAnsi="Times New Roman" w:cs="Times New Roman"/>
            <w:noProof/>
            <w:webHidden/>
            <w:color w:val="000000"/>
            <w:sz w:val="28"/>
            <w:szCs w:val="28"/>
            <w:lang w:val="uk-UA" w:eastAsia="ru-RU"/>
          </w:rPr>
          <w:tab/>
          <w:t>77</w:t>
        </w:r>
      </w:hyperlink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fldChar w:fldCharType="end"/>
      </w:r>
    </w:p>
    <w:p w:rsidR="00ED70A7" w:rsidRPr="00ED70A7" w:rsidRDefault="00ED70A7" w:rsidP="00ED70A7">
      <w:pPr>
        <w:keepNext/>
        <w:pageBreakBefore/>
        <w:widowControl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Arial"/>
          <w:b/>
          <w:bCs/>
          <w:caps/>
          <w:kern w:val="32"/>
          <w:sz w:val="28"/>
          <w:szCs w:val="28"/>
          <w:lang w:val="uk-UA" w:eastAsia="ru-RU"/>
        </w:rPr>
      </w:pPr>
      <w:bookmarkStart w:id="0" w:name="_Toc472313412"/>
      <w:r w:rsidRPr="00ED70A7">
        <w:rPr>
          <w:rFonts w:ascii="Times New Roman" w:eastAsia="Times New Roman" w:hAnsi="Times New Roman" w:cs="Arial"/>
          <w:b/>
          <w:bCs/>
          <w:caps/>
          <w:kern w:val="32"/>
          <w:sz w:val="28"/>
          <w:szCs w:val="28"/>
          <w:lang w:val="uk-UA" w:eastAsia="ru-RU"/>
        </w:rPr>
        <w:lastRenderedPageBreak/>
        <w:t>ВСТУП</w:t>
      </w:r>
      <w:bookmarkEnd w:id="0"/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ED70A7" w:rsidRPr="00ED70A7" w:rsidRDefault="00ED70A7" w:rsidP="00ED70A7">
      <w:pPr>
        <w:keepNext/>
        <w:widowControl w:val="0"/>
        <w:autoSpaceDE w:val="0"/>
        <w:autoSpaceDN w:val="0"/>
        <w:adjustRightInd w:val="0"/>
        <w:spacing w:after="0" w:line="360" w:lineRule="auto"/>
        <w:ind w:firstLine="851"/>
        <w:jc w:val="both"/>
        <w:outlineLvl w:val="1"/>
        <w:rPr>
          <w:rFonts w:ascii="Times New Roman" w:eastAsia="Times New Roman" w:hAnsi="Times New Roman" w:cs="Arial"/>
          <w:b/>
          <w:bCs/>
          <w:iCs/>
          <w:sz w:val="28"/>
          <w:szCs w:val="28"/>
          <w:lang w:eastAsia="ru-RU"/>
        </w:rPr>
      </w:pPr>
      <w:bookmarkStart w:id="1" w:name="_Toc238234675"/>
      <w:bookmarkStart w:id="2" w:name="_Toc238306562"/>
      <w:bookmarkStart w:id="3" w:name="_Toc472229409"/>
      <w:bookmarkStart w:id="4" w:name="_Toc472229672"/>
      <w:bookmarkStart w:id="5" w:name="_Toc472232813"/>
      <w:bookmarkStart w:id="6" w:name="_Toc472234871"/>
      <w:bookmarkStart w:id="7" w:name="_Toc472234937"/>
      <w:bookmarkStart w:id="8" w:name="_Toc472235035"/>
      <w:bookmarkStart w:id="9" w:name="_Toc472313413"/>
      <w:r w:rsidRPr="00ED70A7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>Актуальн</w:t>
      </w:r>
      <w:r w:rsidRPr="00ED70A7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  <w:t>і</w:t>
      </w:r>
      <w:r w:rsidRPr="00ED70A7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>сть тем</w:t>
      </w:r>
      <w:r w:rsidRPr="00ED70A7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  <w:t>и</w:t>
      </w:r>
      <w:r w:rsidRPr="00ED70A7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>.</w:t>
      </w:r>
      <w:bookmarkEnd w:id="5"/>
      <w:bookmarkEnd w:id="6"/>
      <w:bookmarkEnd w:id="7"/>
      <w:bookmarkEnd w:id="8"/>
      <w:r w:rsidRPr="00ED70A7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</w:t>
      </w:r>
      <w:bookmarkEnd w:id="1"/>
      <w:bookmarkEnd w:id="2"/>
      <w:bookmarkEnd w:id="3"/>
      <w:bookmarkEnd w:id="4"/>
      <w:r w:rsidRPr="00ED70A7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Сьогодні в усьому світі та в Україні зокрема проводиться безліч різних культурних заходів, місцем проведення яких стають так звані арт-простори. У вживанні терміну «арт-простір» можна побачити своєрідний PR-хід, який символічно відбудовує арт-подію або арт-об'єкт сучасного мистецтва, які представлені у певному місці, від традиційних культурних заходів та класичних творів мистецтва. З іншого боку, арт-простір можна розглядати як новий соціокультурний феномен, з’явлення якого обумовлено ​​трансформаціями у культурній сфері.  За останні роки суттєво змінився характер комунікацій між автором, твором і реципієнтом. Дослідження арт-простіру як нового явища є проблемою даної роботи.</w:t>
      </w:r>
      <w:bookmarkEnd w:id="9"/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ind w:firstLine="90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Ступень наукової розробленості тематики</w:t>
      </w:r>
      <w:r w:rsidRPr="00ED70A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Pr="00ED70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Міждисциплінарний характер проблеми зумовив науковий пошук її вирішення в різних напрямках соціологічної теорії і практики, а саме: у соціології культури, соціології мистецтва, соціології масової комунікації, теорії соціальних організацій. Для більш глибокого розкриття теми були запозичені результати досліджень із галузі культурології, мистецтвознавства та загальних положень сучасного суспільства. 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ind w:firstLine="90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</w:t>
      </w:r>
      <w:r w:rsidRPr="00ED70A7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ункціонування мистецтва у суспільстві достатньо розкрито у теоріях художньої культури, які були розпочаті у радянській соціології Каган М., Левшиною І., Плотником С., Коневим В., Карягіним А., а у западній соціології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Pr="00ED70A7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Адорно Т., 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Грісвальд B., Бурд’є П. Але одним із суттєвих питань залишилось, чи потрібно досліджувати само мистецтво при дослідженні художньої сфери. Сьогодні його вирішують Шульга Р., Горностаєва М., Магидович М.   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ind w:firstLine="902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Дослідження арт-просторів як соціокультурного явища неможливо без теорій сучасного суспільства. Аналіз змін у соціумі та культурні трансформації можна зустріти у роботах Бурдье П., Шматко Н., Іоніна Л., Гофмана А., Ілліна В., Бевзенко Л., Шульги Р.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ind w:firstLine="902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Безпосередньо особливості сучасного мистецтва є предметом </w:t>
      </w:r>
      <w:r w:rsidRPr="00ED70A7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lastRenderedPageBreak/>
        <w:t>дослідження у багатьох авторів: Смирна Л., Хамат В., Шенталь А., Дональд Т., Бобринська К., Ніколаєва Є.</w:t>
      </w:r>
    </w:p>
    <w:p w:rsidR="00ED70A7" w:rsidRPr="00ED70A7" w:rsidRDefault="00ED70A7" w:rsidP="00ED70A7">
      <w:pPr>
        <w:keepNext/>
        <w:widowControl w:val="0"/>
        <w:autoSpaceDE w:val="0"/>
        <w:autoSpaceDN w:val="0"/>
        <w:adjustRightInd w:val="0"/>
        <w:spacing w:after="0" w:line="360" w:lineRule="auto"/>
        <w:ind w:firstLine="851"/>
        <w:jc w:val="both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</w:pPr>
      <w:bookmarkStart w:id="10" w:name="_Toc238234676"/>
      <w:bookmarkStart w:id="11" w:name="_Toc238306563"/>
      <w:bookmarkStart w:id="12" w:name="_Toc472229410"/>
      <w:bookmarkStart w:id="13" w:name="_Toc472229673"/>
      <w:bookmarkStart w:id="14" w:name="_Toc472232814"/>
      <w:bookmarkStart w:id="15" w:name="_Toc472234872"/>
      <w:bookmarkStart w:id="16" w:name="_Toc472234938"/>
      <w:bookmarkStart w:id="17" w:name="_Toc472235036"/>
      <w:bookmarkStart w:id="18" w:name="_Toc472313414"/>
      <w:r w:rsidRPr="00ED70A7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Останнім часом з'являється все більше публікацій, присвячених вивченню арт-об'єктів в сучасній культурі. Наприклад, Ніколаєва Є.В. порівнює класичне мистецтво з мистецтвом постмодерну, аналізуючи приклади арт-об'єктів сучасності з точки зору їх функціонування в художньому та соціальному просторі. У роботі Бобринської Е., присвяченій авангардному мистецтву, докладно аналізуються прийоми, які порушують кордон між мистецтвом і повсякденністю, що наприкінці створює новий образ художнього твору і формує новий тип художнього мислення як у творців, так і у приймачів.</w:t>
      </w:r>
      <w:bookmarkEnd w:id="18"/>
      <w:r w:rsidRPr="00ED70A7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 xml:space="preserve"> </w:t>
      </w:r>
    </w:p>
    <w:p w:rsidR="00ED70A7" w:rsidRPr="00ED70A7" w:rsidRDefault="00ED70A7" w:rsidP="00ED70A7">
      <w:pPr>
        <w:keepNext/>
        <w:widowControl w:val="0"/>
        <w:autoSpaceDE w:val="0"/>
        <w:autoSpaceDN w:val="0"/>
        <w:adjustRightInd w:val="0"/>
        <w:spacing w:after="0" w:line="360" w:lineRule="auto"/>
        <w:ind w:firstLine="851"/>
        <w:jc w:val="both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</w:pPr>
      <w:bookmarkStart w:id="19" w:name="_Toc472313415"/>
      <w:r w:rsidRPr="00ED70A7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Проте в жодній з робіт спеціально не концептуалізується термін «арт-простір». «Арт-простір» досить часто звучить в арт-менеджменті та архітектурі, залишаючись білою плямою у мистецтвознавчій та соціологічній літературі, що обумовлює новизну даної тематики.</w:t>
      </w:r>
      <w:bookmarkEnd w:id="19"/>
    </w:p>
    <w:p w:rsidR="00ED70A7" w:rsidRPr="00ED70A7" w:rsidRDefault="00ED70A7" w:rsidP="00ED70A7">
      <w:pPr>
        <w:keepNext/>
        <w:widowControl w:val="0"/>
        <w:autoSpaceDE w:val="0"/>
        <w:autoSpaceDN w:val="0"/>
        <w:adjustRightInd w:val="0"/>
        <w:spacing w:after="0" w:line="360" w:lineRule="auto"/>
        <w:ind w:firstLine="851"/>
        <w:outlineLvl w:val="1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bookmarkStart w:id="20" w:name="_Toc472313416"/>
      <w:bookmarkEnd w:id="10"/>
      <w:bookmarkEnd w:id="11"/>
      <w:r w:rsidRPr="00ED70A7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  <w:t>Мета та завдання дослідження</w:t>
      </w:r>
      <w:r w:rsidRPr="00ED70A7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>.</w:t>
      </w:r>
      <w:bookmarkEnd w:id="12"/>
      <w:bookmarkEnd w:id="13"/>
      <w:bookmarkEnd w:id="14"/>
      <w:bookmarkEnd w:id="15"/>
      <w:bookmarkEnd w:id="16"/>
      <w:bookmarkEnd w:id="17"/>
      <w:bookmarkEnd w:id="20"/>
      <w:r w:rsidRPr="00ED70A7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t xml:space="preserve"> 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Метою 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даної роботи є</w:t>
      </w:r>
      <w:r w:rsidRPr="00ED70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дослідження </w:t>
      </w:r>
      <w:r w:rsidRPr="00ED70A7">
        <w:rPr>
          <w:rFonts w:ascii="Times New Roman" w:eastAsia="Times New Roman" w:hAnsi="Times New Roman" w:cs="Times New Roman"/>
          <w:sz w:val="28"/>
          <w:szCs w:val="28"/>
          <w:lang w:eastAsia="ru-RU"/>
        </w:rPr>
        <w:t>арт-простору як соціокультурного феномену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ED70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851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Досягнення мети передбачає вирішення наступних завдань</w:t>
      </w:r>
      <w:r w:rsidRPr="00ED70A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:</w:t>
      </w:r>
    </w:p>
    <w:p w:rsidR="00ED70A7" w:rsidRPr="00ED70A7" w:rsidRDefault="00ED70A7" w:rsidP="00ED70A7">
      <w:pPr>
        <w:widowControl w:val="0"/>
        <w:numPr>
          <w:ilvl w:val="0"/>
          <w:numId w:val="1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виокремити особливості сучасного мистецтва, спираючись на дослідження взаємозв’язку мистецтва та суспільства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</w:p>
    <w:p w:rsidR="00ED70A7" w:rsidRPr="00ED70A7" w:rsidRDefault="00ED70A7" w:rsidP="00ED70A7">
      <w:pPr>
        <w:widowControl w:val="0"/>
        <w:numPr>
          <w:ilvl w:val="0"/>
          <w:numId w:val="1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 арт-простір та схарактеризувати його як соціокультурне явище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ED70A7" w:rsidRPr="00ED70A7" w:rsidRDefault="00ED70A7" w:rsidP="00ED70A7">
      <w:pPr>
        <w:widowControl w:val="0"/>
        <w:numPr>
          <w:ilvl w:val="0"/>
          <w:numId w:val="1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побудувати власну типологію арт-просторів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ED70A7" w:rsidRPr="00ED70A7" w:rsidRDefault="00ED70A7" w:rsidP="00ED70A7">
      <w:pPr>
        <w:widowControl w:val="0"/>
        <w:numPr>
          <w:ilvl w:val="0"/>
          <w:numId w:val="1"/>
        </w:numPr>
        <w:shd w:val="clear" w:color="auto" w:fill="FFFFFF"/>
        <w:tabs>
          <w:tab w:val="left" w:pos="701"/>
        </w:tabs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розкрити специфіку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функціонування арт-просторів на прикладі єврейського культурного центру «БейтГранд».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ind w:firstLine="90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Об'єктом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дослідження є арт-простір як соціокультурний феномен.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ind w:firstLine="90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Предметом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дослідження є функціонування арт-просторів у сучасному місті (на прикладі м. Одеса).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ind w:firstLine="90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Теоретико-методологічна основа дослідження.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Теоретичною 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основою дослідження послужила концепція соціокультурного простору П. Бурдьє та комунікативна теорія моди Гофмана А. На формування уявлення щодо арт-простору як соціокультурного феномену вплинули деякі положення робіт Іоніна Л, Беньямина В., Бобринської К. та Ніколаєвої Є.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ind w:firstLine="90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Емпірична база дослідження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спирається на: 1) контент-аналіз арт-просторів у м.Одеса (аналіз сайту today.od.ua); 2) case-study єврейського культурного центру «БейтГранд». </w:t>
      </w:r>
    </w:p>
    <w:p w:rsidR="00ED70A7" w:rsidRPr="00ED70A7" w:rsidRDefault="00ED70A7" w:rsidP="00ED70A7">
      <w:pPr>
        <w:widowControl w:val="0"/>
        <w:shd w:val="clear" w:color="auto" w:fill="FFFFFF"/>
        <w:tabs>
          <w:tab w:val="left" w:pos="701"/>
        </w:tabs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21" w:name="_Toc230979234"/>
      <w:r w:rsidRPr="00ED70A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Методи дослідження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використовуються у роботі можна розділити на загальнонаукові та спеціальні. До загальних методів належать: історичний, системний і порівняльний аналіз, синтез, дедукція, індукція, узагальнення, типологизация. Для збору соціологічної інформації було обрано метод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case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study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Для типологізації арт-просторів використовувався метод контент-аналізу.</w:t>
      </w:r>
    </w:p>
    <w:p w:rsidR="00ED70A7" w:rsidRPr="00ED70A7" w:rsidRDefault="00ED70A7" w:rsidP="00ED70A7">
      <w:pPr>
        <w:widowControl w:val="0"/>
        <w:shd w:val="clear" w:color="auto" w:fill="FFFFFF"/>
        <w:tabs>
          <w:tab w:val="left" w:pos="701"/>
        </w:tabs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Структура роботи: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вступ, три розділи, 8 підрозділів, висновки, список джерел - 72, додатки (1).</w:t>
      </w:r>
    </w:p>
    <w:bookmarkEnd w:id="21"/>
    <w:p w:rsidR="002B562B" w:rsidRDefault="002B562B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Default="00ED70A7">
      <w:pPr>
        <w:rPr>
          <w:lang w:val="uk-UA"/>
        </w:rPr>
      </w:pPr>
    </w:p>
    <w:p w:rsidR="00ED70A7" w:rsidRPr="00ED70A7" w:rsidRDefault="00ED70A7" w:rsidP="00ED70A7">
      <w:pPr>
        <w:keepNext/>
        <w:pageBreakBefore/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outlineLvl w:val="0"/>
        <w:rPr>
          <w:rFonts w:ascii="Times New Roman" w:eastAsia="Times New Roman" w:hAnsi="Times New Roman" w:cs="Arial"/>
          <w:b/>
          <w:bCs/>
          <w:caps/>
          <w:kern w:val="32"/>
          <w:sz w:val="28"/>
          <w:szCs w:val="28"/>
          <w:lang w:val="uk-UA" w:eastAsia="ru-RU"/>
        </w:rPr>
      </w:pPr>
      <w:bookmarkStart w:id="22" w:name="_Toc472313430"/>
      <w:r w:rsidRPr="00ED70A7">
        <w:rPr>
          <w:rFonts w:ascii="Times New Roman" w:eastAsia="Times New Roman" w:hAnsi="Times New Roman" w:cs="Arial"/>
          <w:b/>
          <w:bCs/>
          <w:caps/>
          <w:kern w:val="32"/>
          <w:sz w:val="28"/>
          <w:szCs w:val="28"/>
          <w:lang w:eastAsia="ru-RU"/>
        </w:rPr>
        <w:lastRenderedPageBreak/>
        <w:t>В</w:t>
      </w:r>
      <w:r w:rsidRPr="00ED70A7">
        <w:rPr>
          <w:rFonts w:ascii="Times New Roman" w:eastAsia="Times New Roman" w:hAnsi="Times New Roman" w:cs="Arial"/>
          <w:b/>
          <w:bCs/>
          <w:caps/>
          <w:kern w:val="32"/>
          <w:sz w:val="28"/>
          <w:szCs w:val="28"/>
          <w:lang w:val="uk-UA" w:eastAsia="ru-RU"/>
        </w:rPr>
        <w:t>исновки</w:t>
      </w:r>
      <w:bookmarkEnd w:id="22"/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Мистецтво можна представити як процес комунікації, в результаті якої окремий напрямок або деякі об'єкти художньої сфери стають популярними і значущими. У цьому процесі беруть участь як виробники, так і росповсюджувачі і споживачі. Знаходження послання, а в даному випадку мистецтво таким і є, свого адресата важливий показник ефективності комунікації. При цьому дослідники розглядають сприйняття індивідом процесу споживання як можливість саморозвитку, коли предмети мистецтва можуть виступати як знаки і символи його особистості. Процес споживання можна визначити як процес створення, виробництва себе, оскільки в цьому процесі в повній мірі може реалізуватися потреба самоконструювання, саморозвитку та самореалізації.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Поставлена у соціології ​містецтва ​проблема про переплетіння естетичного і соціального призводить більшість авторів до думки про важливість соціального аспекту у сприйнятті мистецтва, де процес його споживання зливається з історією мистецтва, з одного боку, і особливостями  сприйняття громадськістю з іншого. За радянських часів вивчення цих процесів входили до досліджень художньої сфері. У даної роботі ми дотримувались цієї термінології. У коло завдань художньої сфери входило виявлення різноманітних форм взаємозв'язку мистецтва і суспільства, впливу провідних соціальних груп на тенденції художньої творчості і критерії художності, системи взаємин мистецтва і влади. Аналіз теорій у соціології мистецтва дозволила нам зробити деякі висновки, значущі для нашого дослідження: мистецтво того чи іншого періоду так чи інакше відображає історичні та соціальні процеси; естетичне набуває свій статус завдяки функціонуванню в соціальній системі; естетичне змінюється технологічним, як на рівні способів створення, так і на рівні експозиції і сприйняття.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Значущим явищем сьогодення, який вплинув на художню сферу, стало розповсюдження арт-просторів. З контркультури та об'єднань для «своїх», вони стали масовим явищем як в міській культурі, так і в віртуальному світі.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</w:pPr>
      <w:r w:rsidRPr="00ED70A7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lastRenderedPageBreak/>
        <w:t xml:space="preserve"> </w:t>
      </w:r>
      <w:r w:rsidRPr="00ED70A7">
        <w:rPr>
          <w:rFonts w:ascii="Times New Roman" w:eastAsia="Times New Roman" w:hAnsi="Times New Roman" w:cs="Times New Roman"/>
          <w:caps/>
          <w:color w:val="1D2129"/>
          <w:sz w:val="28"/>
          <w:szCs w:val="20"/>
          <w:shd w:val="clear" w:color="auto" w:fill="FFFFFF"/>
          <w:lang w:val="uk-UA" w:eastAsia="ru-RU"/>
        </w:rPr>
        <w:t>Н</w:t>
      </w:r>
      <w:r w:rsidRPr="00ED70A7"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  <w:t xml:space="preserve">а відміну від класичних творів мистецтва, однією з головних характеристик сучасного мистецтва, яке і демонструється в арт-просторах, є складність у визначенні його художньої цінності і ставлення до мистецтва. Ми прийшли до висновку, що об'єкт, який виставляється в арт-просторі  - це вже мистецтво, яке передає певну ідею шляхом взаємодії з публікою. Головною ж особливістю такого мистецтва є те, що воно, перш за все, розраховано на емоційну реакцію публіки. Отже, арт-простір - це те місце, де відбувається зіткнення людини з мистецтвом. Їм може бути майданчик для створення продуктів художньої культури не тільки професіоналами, але й аматорами. 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  <w:t xml:space="preserve">Природно, що в процесі розвитку арт-просторів відбувається зрушення акценту з сфери виробництва на сферу споживання і цей процес вже має свої наслідки: арт-простори дають імпульс для розвитку творчого потенціалу і самовираження «звичайних» людей. 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  <w:t>Однією з основних завдань нашої роботи була розробка типології арт-просторів. Спираючись на теоретичну частину роботи, а також на результати контент-аналізу сайту today.od.ua, нами було виділене наступні підстави для типології арт-просторів: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  <w:t>- Місце і тривалість контакту з мистецтвом;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  <w:t xml:space="preserve">- Функціонування арт-просторів в залежності від їх положення в художній сфері: формальні - неформальні; мейнстрім, контркультура, професійні або аматорські спільноти; 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  <w:t>- Напрям діяльності та види мистецтва, що представляються;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  <w:t xml:space="preserve">- Тип публіки: партисипаторний чи акціоністський. 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  <w:t xml:space="preserve">Для опрацьовування результатів теоретичного дослідження, ми розглянули ЕКЦ «БейтГранд» як арт-простір. Він заслуговує нашу увагу за такими ознаками арт-простору: «БейтГранд»  - це конкретне фізичне місце в якому регулярно відбуваються мистецькі події: виставки, спектаклі, тобто відбувається постійна взаємодія з публікою. При цьому, є можливість тут же, на місці «доторкнутися до творця», тобто поспілкуватися з самим художником або режисером вистави. Окрім цього, у ньому представлені зони креативного </w:t>
      </w:r>
      <w:r w:rsidRPr="00ED70A7"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  <w:lastRenderedPageBreak/>
        <w:t>відпочинку для усіх бажаючих (мастер-класи), тобто аматорські арт-простори.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1D2129"/>
          <w:sz w:val="28"/>
          <w:szCs w:val="20"/>
          <w:shd w:val="clear" w:color="auto" w:fill="FFFFFF"/>
          <w:lang w:val="uk-UA" w:eastAsia="ru-RU"/>
        </w:rPr>
        <w:t xml:space="preserve">Ми дійшли до висновку, що у цьому центрі усі стають учасниками і свідками того, що відбувається. Простіше кажучи, сьогодні ти художник - а публіка - це твій глядач, але завтра все може кардинально змінитися: будь-яка людина цієї ж аудиторії може запросити на свою персональну виставку: картин, фотографій або глиняних виробів, виліплених власноруч. При цьому вже не важливо, наскільки результат діяльності цих сучасних акторів мистецтва відповідають класичним канонам і критеріям краси та естетики. </w:t>
      </w:r>
    </w:p>
    <w:p w:rsidR="00ED70A7" w:rsidRPr="00ED70A7" w:rsidRDefault="00ED70A7" w:rsidP="00ED70A7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color w:val="1D2129"/>
          <w:sz w:val="28"/>
          <w:szCs w:val="28"/>
          <w:shd w:val="clear" w:color="auto" w:fill="FFFFFF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1D2129"/>
          <w:sz w:val="28"/>
          <w:szCs w:val="28"/>
          <w:shd w:val="clear" w:color="auto" w:fill="FFFFFF"/>
          <w:lang w:val="uk-UA" w:eastAsia="ru-RU"/>
        </w:rPr>
        <w:t>Таким чином, сьогодні арт-простори можна визначити як місця, де естетизуються повсякденність шляхом розміщення арт-об'єктів, які викликають емоційні реакції і роздуми широкої публіки. У більш широкому розумінні будь-яке місце, яке навмисно показує мистецтво, може розраховувати на визначення арт-простору, в тому числі традиційне: музей, галерея, театр тощо. Специфічні  арт-простори визначається форматом, масштабом, періодичністю демонстрування арт-об'єктів, с одного боку, та реакцією публіки, з іншого.</w:t>
      </w:r>
    </w:p>
    <w:p w:rsidR="00ED70A7" w:rsidRPr="00ED70A7" w:rsidRDefault="00ED70A7" w:rsidP="00ED70A7">
      <w:pPr>
        <w:keepNext/>
        <w:pageBreakBefore/>
        <w:widowControl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Arial"/>
          <w:b/>
          <w:bCs/>
          <w:caps/>
          <w:kern w:val="32"/>
          <w:sz w:val="28"/>
          <w:szCs w:val="28"/>
          <w:lang w:val="uk-UA" w:eastAsia="ru-RU"/>
        </w:rPr>
      </w:pPr>
      <w:bookmarkStart w:id="23" w:name="_Toc472313431"/>
      <w:r w:rsidRPr="00ED70A7">
        <w:rPr>
          <w:rFonts w:ascii="Times New Roman" w:eastAsia="Times New Roman" w:hAnsi="Times New Roman" w:cs="Arial"/>
          <w:b/>
          <w:bCs/>
          <w:caps/>
          <w:kern w:val="32"/>
          <w:sz w:val="28"/>
          <w:szCs w:val="28"/>
          <w:lang w:eastAsia="ru-RU"/>
        </w:rPr>
        <w:lastRenderedPageBreak/>
        <w:t xml:space="preserve">СПИСОК </w:t>
      </w:r>
      <w:r w:rsidRPr="00ED70A7">
        <w:rPr>
          <w:rFonts w:ascii="Times New Roman" w:eastAsia="Times New Roman" w:hAnsi="Times New Roman" w:cs="Arial"/>
          <w:b/>
          <w:bCs/>
          <w:caps/>
          <w:kern w:val="32"/>
          <w:sz w:val="28"/>
          <w:szCs w:val="28"/>
          <w:lang w:val="uk-UA" w:eastAsia="ru-RU"/>
        </w:rPr>
        <w:t>використанних</w:t>
      </w:r>
      <w:r w:rsidRPr="00ED70A7">
        <w:rPr>
          <w:rFonts w:ascii="Times New Roman" w:eastAsia="Times New Roman" w:hAnsi="Times New Roman" w:cs="Arial"/>
          <w:b/>
          <w:bCs/>
          <w:caps/>
          <w:kern w:val="32"/>
          <w:sz w:val="28"/>
          <w:szCs w:val="28"/>
          <w:lang w:eastAsia="ru-RU"/>
        </w:rPr>
        <w:t xml:space="preserve"> </w:t>
      </w:r>
      <w:r w:rsidRPr="00ED70A7">
        <w:rPr>
          <w:rFonts w:ascii="Times New Roman" w:eastAsia="Times New Roman" w:hAnsi="Times New Roman" w:cs="Arial"/>
          <w:b/>
          <w:bCs/>
          <w:caps/>
          <w:kern w:val="32"/>
          <w:sz w:val="28"/>
          <w:szCs w:val="28"/>
          <w:lang w:val="uk-UA" w:eastAsia="ru-RU"/>
        </w:rPr>
        <w:t>джерел</w:t>
      </w:r>
      <w:bookmarkEnd w:id="23"/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Арсланов В. История западного искусствознания ХХ века : Учебное пособие для вузов / В. Г. Арсланов. – М. : Академический Проект, 2003. – 768 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Вебер М. Рациональные и социологические основания музыки / Макс Вебер (пер. с нем.) // Избранное. Образ общества. [Ред кол. : Я. М. Бергер (отв. ред. ) и другие]. – М. Юрист, 1994. – С. 469–550. – 704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Фриче В. Социология искусства / В. М. Фриче –  [4 изд. стереотип]. – М. : Едитор. УРСС, 2003. – 208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Магидович М. Поле искусства как предмет исследования [электронный ресурс] / Марина Магидович // Новое литературное обозрение. – 2003. – №60. – Режим доступа к журн.: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hyperlink r:id="rId5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http://magazines.russ.ru/nlo/2003/60/magid.html</w:t>
        </w:r>
      </w:hyperlink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Кривцун О. Социальные функции искусства. Современные социологические теории / О. Кривцун // Эстетика: учебник для вузов. – М. : Аспект Пресс, 2003. – 447 с.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Бурдье П. Поле литературы /Пьер Бурдье // Социальное пространство: поля и практики (пер. Н. Шматко) – СПб.: Алетейя, 2007. – С. 365–473 – 576 с.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Лотман Ю. Семиосфера / Ю. М. Лотман. – СПб. : Искусство – СПБ, 2000. – 704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Беньямин В. Произведение искусства в эпоху его технической воспроизводимости / Беньямин В. // Избранные эссе / Под ред. Ю. А. Здорового. – М. : Медиум, 1996 –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Бобринская Е. Русский авангард: границы искусства/ Екатерина Бобринская. – М. : Новое литературное обозрение, 2006. –  304 с. : ил.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Горностаева М. Искусство как социологическое явление (некоторые современные аспекты в западной социологии искусства / М. В. Горностаева // Социологические исследования. – 2004. – №4. – С. 84– 90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Адорно Т. Социология музыки / Теодор В. Адорно // Избранное. – М. – СПб.: Университетская книга, 1999. – 445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Давыдов Ю. Искусство как социологический феномен. К характеристике эстетико-политических взглядов Платона и Аристотеля / Ю. Н. Давыдов. – М. : Наука, 1968 – 285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Плотников С. Методологические проблемы социологии художественной культуры : автореф. доктор. дис. / Плотников С. Н. – М., 1978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Левшина И. </w:t>
      </w:r>
      <w:bookmarkStart w:id="24" w:name="OLE_LINK1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Как воспринимается произведение искусства: (Из опыта социологических исследований) / И. С. Ле</w:t>
      </w:r>
      <w:bookmarkEnd w:id="24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вшина. – М.: Знание, 1983. – 96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Карягин А. Некоторые актуальные проблемы социологического изучения искусства / Карягин А. А.  // Вопросы социологии искусства: Теоретические и методологические проблемы. – М. : Наука, 1979. – 113 с.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Конев В. Социальное бытие искусства / В. А. Конев. – Саратов : Изд-во Саратовского университета, 1975. – 88 с.: ил.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Гафурова Ю. Регуляция и саморегуляция художественной культуры : автореф. дис. на соиск. науч. степени канд. соц. наук : спец. 22.00.04 «социальная структура, социальные институты и процессы»/ Ю. Ю. Гафурова. – Казань, 1999. – 21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Ушакин С. Количественный стиль: потребление в условиях символического дефицита / С. А. Ушакин // Социологический журнал. – №3–4. – 1999. – С. 187–214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Копылова Р. Открытый экран: Телевизионное зрелище как диалог : Монография / Р. Д. Копылова. – СПб. : РИИИ, 1992. – 181 [2] с.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Ильин В. Поведение потребителей / В. И. Ильин. – СПб. : Питер, 2000. – 224 с.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Гофман А. Мода и люди. Новая теория моды и модного поведения / А. Б. Гофман. – [3 изд.]. – СПб. : Питер, 2004. – 208 с.: ил.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 Брудный А. Понимание и общение / Арон Абрамович Брудный – М. : Знание, 1989. – 63 [1]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Шматко Н. «Габитус» в структуре социологической теории / Н. Шматко // Журнал социологии и социальной антропологии. – Т. 1. – №2. – 1998. – С. 60-70.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Бурдье П. Поле литературы /Пьер Бурдье // Социальное пространство: поля и практики (пер. Н. Шматко) – СПб.: Алетейя, 2007. – С. 365–473 – 576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Ушакин С. Количественный стиль: потребление в условиях символического дефицита / С. А. Ушакин // Социологический журнал. – №3–4. – 1999. – С. 187–214.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Эскарпи Р. Революция в мире книг / Робер Эскарпи [сокр. пер. с фр.]. – М.: Книга, 1979. – 127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Зомбарт В. Народное хозяйство и мода / В. Зомбарт. – СПб. :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Типография Брокгауз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Ефрон,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1904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Ищенко В. Г. Феномен потребления: знаково-символические аспекты : автореф. дис. на соиск. уч. ст. канд. философ. наук : спец. 09.00.11 «Социальная философия» / В. Г. Ищенко. – Чита, 2006. – 23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Самохин В. Искусство и психология: (Критический анализ некоторых буржуазных концепций искусства) / В. Н. Самохин.  – М. : Знание, 1977. – 63 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Бореев Ю. Эстетика / Юрий Бореев. – М.: Русь – Олимп : АСТ : Астрель, 2005 – 829  [3]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Каган М. Человеческая деятельность (Опыт системного анализа) / Каган М. – М. : Политиздат, 1974. – 328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Выготский Л. Психология искусства / Выготский Л. С. [1-е изд.].  – М. : Искусство, 1986. – 576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Ионин Л. Подступы к новой магической эпохе (вместо введения) / Ионин Л. //Постмодерн: новая магическая эпоха: Сб. статей [под ред. Л. Г. Ионина].  – Харьков, 2002. – С. 9–23. – 247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Барулин В. Социально-философская антропология : общие начала социально-философской антропологии [текст].  / В. С. Барулин. – М. : Онега, 1994. –255 с.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Бернштейн Б. Моисей, или искусство, названное мимоходом [электронный ресурс] / Б. М. Бернштейн // В диапазоне гуманитарного знания : Сборник к 80-летию профессора М.С. Кагана. –  СПб.: Санкт-Петербургское  философское общество, 2001  (Серия «Мыслители» ; вып. 4 ) – Режим доступа к сб. : </w:t>
      </w:r>
      <w:hyperlink r:id="rId6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http://anthropology.ru/ru/texts/bernstein/kagan_27.html</w:t>
        </w:r>
      </w:hyperlink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Заяц Е. Увидеть невидимое: визуальная культура и визуальная антропология / Заяц Е., Ли Д. // Новое литературное обозрение. – №66. – 2004. – С. 417–420 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Желнина А. Визуализация городской культуры и любительская фотография / А. А. Желнина // Визуальные аспекты культуры: Сб. науч. ст. [под ред. В. Л. Круткина, Т. А. Власовой ]. – Ижевск, 2006. – С. 173 – 180.  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Хилько Н. Роль аудиовизуальной культуры в творческом самоосуществлении личности: Монография / Н. Ф. Хилько. – Москва-Омск: СФ РИК, 2001. – 446 с.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Маккуэйл Д. Теория массовой коммуникации // Контексты современности –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II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Казань: Издательство Казанского университета, 2001. – 184 [1]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Бевзенко Л.Социальная роль и идентичность, связь с социосамоорганизационными процес-сами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Бевзенко Л.Д.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//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Соціальні технології: актуальні проблеми теорії та практики. Міжвузівський зб. наук. праць. – Вип.19. – Одеса, 2002. – С.8–10.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Тоффлер Э. Третья волна / Э. Тоффлер // США – экономика, политика, идеология. –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№7 . – 1982.  – С. 99 –110.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Шульга Р. Соціокультурне середовище як простір ідентичностей та ідентифікацій / Раїса Шульга // Соціокультурні ідентичності та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практики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Л. Аза, О. Вишняк, Н. Костенко і др.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; під ред. А. Ручки.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Київ: Інститут соціології НАН України, 2002. – С. 124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142.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Опенков М. Сетевые структуры и множественная субъективность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[электронный ресурс] 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Михаил Опенков. Режим дост. к ст..: 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// http://www.ifap. ru/library/book087.doc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Смирна Л., Хамат В. Модерное, современное и новейшее искусство:попытка осмысления понятий 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[электронный ресурс] 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Леся Смирна, Виктор Хамат. Режим дост. к ст..:  // </w:t>
      </w:r>
      <w:hyperlink r:id="rId7" w:anchor=".WG8b3dKLRH0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http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://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artukraine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.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com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.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ua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/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a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/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modernoe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-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sovremennoe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-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i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-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noveyshee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-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iskusstvo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--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popytka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-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osmysleniya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-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ponyatiy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/#.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WG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8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b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3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dKLRH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0</w:t>
        </w:r>
      </w:hyperlink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).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Шенталь А.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Новый проект «Теорий и практик»: что такое современное искусство [Электронный ресурс] / Андрей Шенталь. Режим доступа к ст.: // </w:t>
      </w:r>
      <w:hyperlink r:id="rId8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http://theoryandpractice.ru/posts/7769-contemporary</w:t>
        </w:r>
      </w:hyperlink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Семендяева М.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Фрэнсис Моррис: «Мы выбираем, что будет исторически значимо» [Интервью: 15 января 2016 г. ] / Мария Семендяева [Электронный ресурс] . — Режим доступа: http://www.theartnewspaper.ru/posts/2564.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hyperlink r:id="rId9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https://wiki.engageeducation.org.au/studio-arts/unit-4/area-of-study-3-art-industry-contexts/art-spaces/alternative-art-spaces/</w:t>
        </w:r>
      </w:hyperlink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Дональда Т. «</w:t>
      </w:r>
      <w:hyperlink r:id="rId10" w:history="1">
        <w:r w:rsidRPr="00ED70A7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Как продать за $12 миллионов чучело акулы. Скандальная правда о современном искусстве и аукционных домах</w:t>
        </w:r>
      </w:hyperlink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/ Т.Дональд. </w:t>
      </w:r>
      <w:r w:rsidRPr="00ED70A7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 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[Электронный ресурс]. — Режим доступа: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http://www.rulit.me/books/kak-prodat-za-12-millionov-chuchelo-akuly-skandalnaya-pravda-o-sovremennom-iskusstve-i-aukcionnyh-do-read-318347-1.html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Gormley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A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 B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ody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of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work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//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Event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Horizon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[Электронный ресурс] /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Antny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Gormley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— Режим доступа к ст.: </w:t>
      </w:r>
      <w:hyperlink r:id="rId11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http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://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eventhorizonnyc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.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files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.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wordpress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.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com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/2010/02/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eventhorizonofficialguidepoweredbytony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.</w:t>
        </w:r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 w:eastAsia="ru-RU"/>
          </w:rPr>
          <w:t>pdf</w:t>
        </w:r>
      </w:hyperlink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Ямпольский М. О близком (Очерки немиметического зрения)/Ямпольский М. – М.: Новое литературное обозрение, 2001. – 240 с.  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hyperlink r:id="rId12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shd w:val="clear" w:color="auto" w:fill="FFFFFF"/>
            <w:lang w:eastAsia="ru-RU"/>
          </w:rPr>
          <w:t>http://secondlife.com/</w:t>
        </w:r>
      </w:hyperlink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Искусство / Определение // Философская энциклопедия «Академик»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[Электронный ресурс]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. — Режим доступа к ст.: 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http://dic.academic.ru/dic.nsf/enc_philosophy/470/Искусство</w:t>
      </w:r>
    </w:p>
    <w:p w:rsidR="00ED70A7" w:rsidRPr="00ED70A7" w:rsidRDefault="00ED70A7" w:rsidP="00ED70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Николаева Е. Арт-объект и его коммуникативные пространства 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[Электронный ресурс]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 Николаева Е.В. — Режим доступа к ст.: 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hyperlink r:id="rId13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http://www.cr-journal.ru/rus/journals/190.html&amp;j_id=13</w:t>
        </w:r>
      </w:hyperlink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BFBD9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BFBD9"/>
          <w:lang w:eastAsia="ru-RU"/>
        </w:rPr>
        <w:t>54.</w:t>
      </w:r>
      <w:r w:rsidRPr="00ED70A7">
        <w:rPr>
          <w:rFonts w:ascii="Verdana" w:eastAsia="Times New Roman" w:hAnsi="Verdana" w:cs="Times New Roman"/>
          <w:color w:val="000000"/>
          <w:sz w:val="16"/>
          <w:szCs w:val="16"/>
          <w:shd w:val="clear" w:color="auto" w:fill="FBFBD9"/>
          <w:lang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BFBD9"/>
          <w:lang w:eastAsia="ru-RU"/>
        </w:rPr>
        <w:t xml:space="preserve">Кравченко А. Культурология: Учебное пособие для вузов / Кравченко А.И.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[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BFBD9"/>
          <w:lang w:eastAsia="ru-RU"/>
        </w:rPr>
        <w:t>3-е изд.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].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BFBD9"/>
          <w:lang w:eastAsia="ru-RU"/>
        </w:rPr>
        <w:t>М.: Академический Проект, 2002.— 496 с.</w:t>
      </w:r>
    </w:p>
    <w:p w:rsidR="00ED70A7" w:rsidRPr="00ED70A7" w:rsidRDefault="00ED70A7" w:rsidP="00ED70A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BFBD9"/>
          <w:lang w:val="uk-UA" w:eastAsia="ru-RU"/>
        </w:rPr>
        <w:t xml:space="preserve">55. 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Суховская Д. Н. Реализация творческого потенциала населения через креативне пространства города: лофты, зоныковоркинга, арт-территории / Суховская Д. Н.  // Молодой ученый. — 2013. — №10. — С. 650-652. —  Режим доступу: </w:t>
      </w:r>
      <w:hyperlink r:id="rId14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uk-UA" w:eastAsia="ru-RU"/>
          </w:rPr>
          <w:t>http://moluch.ru/archive/57/pdf/</w:t>
        </w:r>
      </w:hyperlink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25" w:name="_Ref472071273"/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The Ultimate Guide to a Startup Company Culture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[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Электронный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ресурс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]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— Режим доступу: </w:t>
      </w:r>
      <w:hyperlink r:id="rId15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uk-UA" w:eastAsia="ru-RU"/>
          </w:rPr>
          <w:t>http://startupmanagement.org/2013/07/03/ultimate-guide-to-a-startup-company-culture/</w:t>
        </w:r>
      </w:hyperlink>
      <w:bookmarkEnd w:id="25"/>
    </w:p>
    <w:p w:rsidR="00ED70A7" w:rsidRPr="00ED70A7" w:rsidRDefault="00ED70A7" w:rsidP="00ED70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26" w:name="_Ref472071370"/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Sukhovskaya D. Creative XXI CenturyCitySpaceFormation: SocialandPhilosophicalAspect / Sukhovskaya D. N.  // «European Applied Sciences». — 2013. — № 7. — Р. 45–49.</w:t>
      </w:r>
      <w:bookmarkEnd w:id="26"/>
    </w:p>
    <w:p w:rsidR="00ED70A7" w:rsidRPr="00ED70A7" w:rsidRDefault="00ED70A7" w:rsidP="00ED70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27" w:name="_Ref472075456"/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Хаям Т. Сессия «Творческие пространства для творческих предпринимателей» / Хаям Т.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[Электронный ресурс]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Режим доступу: ww.creativeindustries.ru/rus/news/Creative-spaces</w:t>
      </w:r>
      <w:bookmarkEnd w:id="27"/>
    </w:p>
    <w:p w:rsidR="00ED70A7" w:rsidRPr="00ED70A7" w:rsidRDefault="00ED70A7" w:rsidP="00ED70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28" w:name="_Ref472075935"/>
      <w:r w:rsidRPr="00ED70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Глазычев  В.  Городская среда.  Технология развития:  Настольная  книга / Глазычев  В.   – М.:  «ИздательствоЛадья».  1995.  —  240  c.</w:t>
      </w:r>
      <w:bookmarkEnd w:id="28"/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29" w:name="_Ref471837013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Research Methods – Case Studies [ Електронний ресурс] // Webster's Third International Dictionary. – Режим доступу : http://www.spsu.edu/cs/classes/ cs6023/cs610cas/html</w:t>
      </w:r>
      <w:bookmarkEnd w:id="29"/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30" w:name="_Ref471840078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Буравой М. Развернутое монографическое исследование: между позитивизмом и постмодернизмом // Рубеж. 1997. № 10–11. С. 154–176.</w:t>
      </w:r>
      <w:bookmarkEnd w:id="30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Режим доступу: </w:t>
      </w:r>
      <w:hyperlink r:id="rId16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uk-UA" w:eastAsia="ru-RU"/>
          </w:rPr>
          <w:t>http://www.anthro-org.narod.ru/files/Buravoy_Case_study.pdf</w:t>
        </w:r>
      </w:hyperlink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31" w:name="_Ref471842021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Полухина Е. Case-study как исследовательская стратегия / Полухина Е.В.  // Case-study – образовательный и исследовательский опыт в междисциплинарном контексте. – СПб.: Изд-во НИУ ВШЭ, 2013. С. 5–21</w:t>
      </w:r>
      <w:bookmarkEnd w:id="31"/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Клюшкина О.Построение теории на основе качественных данных / Клюшкина О.Б. // Социс – 2000 – № 10. С. 92-10 – Режим доступу: </w:t>
      </w:r>
      <w:hyperlink r:id="rId17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uk-UA" w:eastAsia="ru-RU"/>
          </w:rPr>
          <w:t>http://www.isras.ru/files/File/Socis/10-2000/016.KLIUSHKINA.pdf</w:t>
        </w:r>
      </w:hyperlink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32" w:name="_Ref471841847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Ковалев Е., Штейнберг И. Качественные методы в полевых социологических исследованиях./ Ковалев Е.М., Штейнберг И.Е./   – СПб.: Алетейя, 2009. – 356 с. Режим доступу: </w:t>
      </w:r>
      <w:hyperlink r:id="rId18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uk-UA" w:eastAsia="ru-RU"/>
          </w:rPr>
          <w:t>http://www.twirpx.com/file/669448/</w:t>
        </w:r>
      </w:hyperlink>
      <w:bookmarkEnd w:id="32"/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33" w:name="_Ref471840675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Масалков И., Киблицкая М. Методология и дизайн исследования в стиле кейс стади./ Масалков И.К., Киблицкая М.В.   -М.: ИздательствоМеждународногоуниверситетабизнеса и управления, 2003. - 287с</w:t>
      </w:r>
      <w:bookmarkEnd w:id="33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// Режим доступу</w:t>
      </w:r>
      <w:hyperlink r:id="rId19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uk-UA" w:eastAsia="ru-RU"/>
          </w:rPr>
          <w:t>http://www.studfiles.ru/preview/1790802/</w:t>
        </w:r>
      </w:hyperlink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34" w:name="_Ref471837247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Сурмін Ю. Кейс-метод: становлення та розвиток в Україні</w:t>
      </w:r>
      <w:bookmarkEnd w:id="34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Сурмін Ю.П. // Вісник Національної академії державного управління при Президентові України. - 2015. - № 2. - С. 19-28. - Режим доступу: </w:t>
      </w:r>
      <w:hyperlink r:id="rId20" w:history="1">
        <w:r w:rsidRPr="00ED70A7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uk-UA" w:eastAsia="ru-RU"/>
          </w:rPr>
          <w:t>http://nbuv.gov.ua/UJRN/Vnadu_2015_2_5</w:t>
        </w:r>
      </w:hyperlink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35" w:name="_Ref471838258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Сурмин Ю. Методологияанализаситуаций (Casestudy) / Ю. П. Сурмин. –  К. : Центр инновации и развития, 1999. – 94 с.</w:t>
      </w:r>
      <w:bookmarkEnd w:id="35"/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36" w:name="_Ref471841023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Козина И. Casestudy: некоторые методические проблемы // Рубеж. – 1997. – № 10–11. –  С. 177–189.</w:t>
      </w:r>
      <w:bookmarkEnd w:id="36"/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37" w:name="_Ref471840004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КозинаИ.,Сережкина Е. Концепция кейс­стади в социальных науках и французская традиція монографических исследований трудових организаций / Козина И.М., Сережкина Е.В.  // Социологические </w:t>
      </w: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исследования. ­ 2015. ­ № 1. ­ С. 64­73. ­ Режим доступу: socis.isras.ru/files/File/2015/2015_1/Kozina.pdf</w:t>
      </w:r>
      <w:bookmarkEnd w:id="37"/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Михайлова Э. А. Кейс и кейс-метод / Э. А. Михайлова. – Горький : Центр маркетингових исследований и менеджмента, 1999. – 204 с.</w:t>
      </w:r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Михайлова Э. А. Кейс и кейс-метод / Э. А. Михайлова. – Горький : Центр маркетинговыхисследований и менеджмента, 1999. – 204 с.</w:t>
      </w:r>
    </w:p>
    <w:p w:rsidR="00ED70A7" w:rsidRPr="00ED70A7" w:rsidRDefault="00ED70A7" w:rsidP="00ED70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38" w:name="_Ref472068036"/>
      <w:r w:rsidRPr="00ED70A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Романов П. Стратегия кейс-стади в исследовании социальных служб. /  Романов П. // СОЦИС. - 2005. - №4. - С. 101-110.</w:t>
      </w:r>
      <w:bookmarkEnd w:id="38"/>
    </w:p>
    <w:p w:rsidR="00ED70A7" w:rsidRPr="00ED70A7" w:rsidRDefault="00ED70A7">
      <w:pPr>
        <w:rPr>
          <w:lang w:val="uk-UA"/>
        </w:rPr>
      </w:pPr>
      <w:bookmarkStart w:id="39" w:name="_GoBack"/>
      <w:bookmarkEnd w:id="39"/>
    </w:p>
    <w:sectPr w:rsidR="00ED70A7" w:rsidRPr="00ED70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E9BC8ABC"/>
    <w:lvl w:ilvl="0">
      <w:numFmt w:val="bullet"/>
      <w:lvlText w:val="*"/>
      <w:lvlJc w:val="left"/>
    </w:lvl>
  </w:abstractNum>
  <w:abstractNum w:abstractNumId="1" w15:restartNumberingAfterBreak="0">
    <w:nsid w:val="1C411B3F"/>
    <w:multiLevelType w:val="hybridMultilevel"/>
    <w:tmpl w:val="AE685FCC"/>
    <w:lvl w:ilvl="0" w:tplc="6E4E037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 w:val="0"/>
        <w:color w:val="00000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3341758"/>
    <w:multiLevelType w:val="hybridMultilevel"/>
    <w:tmpl w:val="AC5A88B6"/>
    <w:lvl w:ilvl="0" w:tplc="0419000F">
      <w:start w:val="5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279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1"/>
  </w:num>
  <w:num w:numId="3">
    <w:abstractNumId w:val="2"/>
  </w:num>
  <w:num w:numId="4">
    <w:abstractNumId w:val="2"/>
    <w:lvlOverride w:ilvl="0">
      <w:lvl w:ilvl="0" w:tplc="0419000F">
        <w:start w:val="56"/>
        <w:numFmt w:val="decimal"/>
        <w:lvlText w:val="%1."/>
        <w:lvlJc w:val="left"/>
        <w:pPr>
          <w:ind w:left="0" w:firstLine="0"/>
        </w:pPr>
        <w:rPr>
          <w:rFonts w:hint="default"/>
        </w:rPr>
      </w:lvl>
    </w:lvlOverride>
    <w:lvlOverride w:ilvl="1">
      <w:lvl w:ilvl="1" w:tplc="0419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9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9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3781"/>
    <w:rsid w:val="002B562B"/>
    <w:rsid w:val="009D3781"/>
    <w:rsid w:val="00ED7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25DD9E-1695-477B-92F2-7A566FCA1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heoryandpractice.ru/posts/7769-contemporary" TargetMode="External"/><Relationship Id="rId13" Type="http://schemas.openxmlformats.org/officeDocument/2006/relationships/hyperlink" Target="http://www.cr-journal.ru/rus/journals/190.html&amp;j_id=13" TargetMode="External"/><Relationship Id="rId18" Type="http://schemas.openxmlformats.org/officeDocument/2006/relationships/hyperlink" Target="http://www.twirpx.com/file/669448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artukraine.com.ua/a/modernoe-sovremennoe-i-noveyshee-iskusstvo--popytka-osmysleniya-ponyatiy/" TargetMode="External"/><Relationship Id="rId12" Type="http://schemas.openxmlformats.org/officeDocument/2006/relationships/hyperlink" Target="http://secondlife.com/" TargetMode="External"/><Relationship Id="rId17" Type="http://schemas.openxmlformats.org/officeDocument/2006/relationships/hyperlink" Target="http://www.isras.ru/files/File/Socis/10-2000/016.KLIUSHKINA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anthro-org.narod.ru/files/Buravoy_Case_study.pdf" TargetMode="External"/><Relationship Id="rId20" Type="http://schemas.openxmlformats.org/officeDocument/2006/relationships/hyperlink" Target="http://nbuv.gov.ua/UJRN/Vnadu_2015_2_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anthropology.ru/ru/texts/bernstein/kagan_27.html" TargetMode="External"/><Relationship Id="rId11" Type="http://schemas.openxmlformats.org/officeDocument/2006/relationships/hyperlink" Target="http://eventhorizonnyc.files.wordpress.com/2010/02/eventhorizonofficialguidepoweredbytony.pdf" TargetMode="External"/><Relationship Id="rId5" Type="http://schemas.openxmlformats.org/officeDocument/2006/relationships/hyperlink" Target="http://magazines.russ.ru/nlo/2003/60/magid.html" TargetMode="External"/><Relationship Id="rId15" Type="http://schemas.openxmlformats.org/officeDocument/2006/relationships/hyperlink" Target="http://startupmanagement.org/2013/07/03/ultimate-guide-to-a-startup-company-culture/" TargetMode="External"/><Relationship Id="rId10" Type="http://schemas.openxmlformats.org/officeDocument/2006/relationships/hyperlink" Target="http://www.rulit.me/books/kak-prodat-za-12-millionov-chuchelo-akuly-skandalnaya-pravda-o-sovremennom-iskusstve-i-aukcionnyh-do-download-free-318347.html" TargetMode="External"/><Relationship Id="rId19" Type="http://schemas.openxmlformats.org/officeDocument/2006/relationships/hyperlink" Target="http://www.studfiles.ru/preview/1790802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iki.engageeducation.org.au/studio-arts/unit-4/area-of-study-3-art-industry-contexts/art-spaces/alternative-art-spaces/" TargetMode="External"/><Relationship Id="rId14" Type="http://schemas.openxmlformats.org/officeDocument/2006/relationships/hyperlink" Target="http://moluch.ru/archive/57/pdf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3899</Words>
  <Characters>22229</Characters>
  <Application>Microsoft Office Word</Application>
  <DocSecurity>0</DocSecurity>
  <Lines>185</Lines>
  <Paragraphs>52</Paragraphs>
  <ScaleCrop>false</ScaleCrop>
  <Company/>
  <LinksUpToDate>false</LinksUpToDate>
  <CharactersWithSpaces>26076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2018-04-17T12:18:00Z</dcterms:created>
  <dcterms:modified xsi:type="dcterms:W3CDTF">2018-04-17T12:20:00Z</dcterms:modified>
</cp:coreProperties>
</file>