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E41" w:rsidRPr="008C7F74" w:rsidRDefault="00F30E41" w:rsidP="00622260">
      <w:pPr>
        <w:spacing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ОДЕСЬКИЙ НАЦІОНАЛЬНИЙ УНІВЕРСИТЕТ ІМЕНІ І.І. МЕЧНИКОВА</w:t>
      </w:r>
    </w:p>
    <w:p w:rsidR="00F30E41" w:rsidRPr="008C7F74" w:rsidRDefault="00F30E41" w:rsidP="00622260">
      <w:pPr>
        <w:spacing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ФАКУЛЬТЕТ МІЖНАРОДНИХ ВІДНОСИН, ПОЛІТОЛОГІЇ ТА СОЦІОЛОГІЇ</w:t>
      </w:r>
    </w:p>
    <w:p w:rsidR="00F30E41" w:rsidRPr="008C7F74" w:rsidRDefault="00F30E41" w:rsidP="008C7F74">
      <w:pPr>
        <w:spacing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КАФЕДРА СВІТОВОГО ГОСПОДАРСТВА І МІЖНАРОДНИХ ЕКОНОМІЧНИХ ВІДНОСИН</w:t>
      </w:r>
    </w:p>
    <w:p w:rsidR="00F30E41" w:rsidRPr="008C7F74" w:rsidRDefault="00F30E41" w:rsidP="00622260">
      <w:pPr>
        <w:spacing w:after="0" w:line="360" w:lineRule="auto"/>
        <w:jc w:val="center"/>
        <w:rPr>
          <w:rFonts w:ascii="Times New Roman" w:hAnsi="Times New Roman" w:cs="Times New Roman"/>
          <w:sz w:val="28"/>
          <w:szCs w:val="28"/>
          <w:lang w:eastAsia="ru-RU"/>
        </w:rPr>
      </w:pPr>
    </w:p>
    <w:p w:rsidR="00F30E41" w:rsidRPr="008C7F74" w:rsidRDefault="00F30E41" w:rsidP="00103EA0">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Кваліфікаційна робота </w:t>
      </w:r>
    </w:p>
    <w:p w:rsidR="00F30E41" w:rsidRPr="008C7F74" w:rsidRDefault="00F30E41" w:rsidP="00103EA0">
      <w:pPr>
        <w:spacing w:after="0" w:line="360" w:lineRule="auto"/>
        <w:jc w:val="center"/>
        <w:rPr>
          <w:rFonts w:ascii="Times New Roman" w:hAnsi="Times New Roman" w:cs="Times New Roman"/>
          <w:b/>
          <w:bCs/>
          <w:sz w:val="28"/>
          <w:szCs w:val="28"/>
          <w:lang w:val="ru-RU" w:eastAsia="ru-RU"/>
        </w:rPr>
      </w:pPr>
      <w:r w:rsidRPr="008C7F74">
        <w:rPr>
          <w:rFonts w:ascii="Times New Roman" w:hAnsi="Times New Roman" w:cs="Times New Roman"/>
          <w:sz w:val="28"/>
          <w:szCs w:val="28"/>
          <w:lang w:eastAsia="ru-RU"/>
        </w:rPr>
        <w:t>на здобуття ступеня вищої освіти «бакалавр»</w:t>
      </w:r>
    </w:p>
    <w:p w:rsidR="00F30E41" w:rsidRPr="008C7F74" w:rsidRDefault="00F30E41" w:rsidP="006704FD">
      <w:pPr>
        <w:spacing w:after="0" w:line="360" w:lineRule="auto"/>
        <w:jc w:val="center"/>
        <w:rPr>
          <w:rFonts w:ascii="Times New Roman" w:hAnsi="Times New Roman" w:cs="Times New Roman"/>
          <w:b/>
          <w:bCs/>
          <w:sz w:val="28"/>
          <w:szCs w:val="28"/>
          <w:lang w:val="ru-RU" w:eastAsia="ru-RU"/>
        </w:rPr>
      </w:pPr>
      <w:r w:rsidRPr="008C7F74">
        <w:rPr>
          <w:rFonts w:ascii="Times New Roman" w:hAnsi="Times New Roman" w:cs="Times New Roman"/>
          <w:b/>
          <w:bCs/>
          <w:sz w:val="28"/>
          <w:szCs w:val="28"/>
          <w:lang w:val="ru-RU" w:eastAsia="ru-RU"/>
        </w:rPr>
        <w:t>«ПО</w:t>
      </w:r>
      <w:r w:rsidRPr="008C7F74">
        <w:rPr>
          <w:rFonts w:ascii="Times New Roman" w:hAnsi="Times New Roman" w:cs="Times New Roman"/>
          <w:b/>
          <w:bCs/>
          <w:sz w:val="28"/>
          <w:szCs w:val="28"/>
          <w:lang w:eastAsia="ru-RU"/>
        </w:rPr>
        <w:t>РІВНЯЛЬНИЙ АНАЛІЗ ДОХІДНОСТІ МІЖНАРОДНИХ ІНВЕСТИЦІЙНИХ ПОРТФЕЛІВ В УМОВАХ ЕКОНОМІЧНОЇ НЕВИЗНАЧЕНОСТІ</w:t>
      </w:r>
      <w:r w:rsidRPr="008C7F74">
        <w:rPr>
          <w:rFonts w:ascii="Times New Roman" w:hAnsi="Times New Roman" w:cs="Times New Roman"/>
          <w:b/>
          <w:bCs/>
          <w:sz w:val="28"/>
          <w:szCs w:val="28"/>
          <w:lang w:val="ru-RU" w:eastAsia="ru-RU"/>
        </w:rPr>
        <w:t>»</w:t>
      </w:r>
    </w:p>
    <w:p w:rsidR="00F30E41" w:rsidRPr="008C7F74" w:rsidRDefault="00F30E41" w:rsidP="006704FD">
      <w:pPr>
        <w:spacing w:after="0" w:line="360" w:lineRule="auto"/>
        <w:jc w:val="center"/>
        <w:rPr>
          <w:rFonts w:ascii="Times New Roman" w:hAnsi="Times New Roman" w:cs="Times New Roman"/>
          <w:b/>
          <w:bCs/>
          <w:sz w:val="28"/>
          <w:szCs w:val="28"/>
          <w:lang w:val="en-US" w:eastAsia="ru-RU"/>
        </w:rPr>
      </w:pPr>
      <w:r w:rsidRPr="008C7F74">
        <w:rPr>
          <w:rFonts w:ascii="Times New Roman" w:hAnsi="Times New Roman" w:cs="Times New Roman"/>
          <w:b/>
          <w:bCs/>
          <w:sz w:val="28"/>
          <w:szCs w:val="28"/>
          <w:lang w:eastAsia="ru-RU"/>
        </w:rPr>
        <w:t>«Comparative Analysis of the Profitability of International Investment Portfolios under Economic Uncertainty»</w:t>
      </w:r>
    </w:p>
    <w:p w:rsidR="00F30E41" w:rsidRPr="008C7F74" w:rsidRDefault="00F30E41" w:rsidP="006704FD">
      <w:pPr>
        <w:spacing w:after="0" w:line="360" w:lineRule="auto"/>
        <w:jc w:val="center"/>
        <w:rPr>
          <w:sz w:val="28"/>
          <w:szCs w:val="28"/>
        </w:rPr>
      </w:pPr>
    </w:p>
    <w:p w:rsidR="00F30E41" w:rsidRPr="008C7F74" w:rsidRDefault="00F30E41" w:rsidP="00D375D6">
      <w:pPr>
        <w:spacing w:after="0" w:line="360" w:lineRule="auto"/>
        <w:ind w:left="1985"/>
        <w:jc w:val="both"/>
        <w:rPr>
          <w:rFonts w:ascii="Times New Roman" w:hAnsi="Times New Roman" w:cs="Times New Roman"/>
          <w:sz w:val="28"/>
          <w:szCs w:val="28"/>
        </w:rPr>
      </w:pPr>
      <w:r w:rsidRPr="008C7F74">
        <w:rPr>
          <w:rFonts w:ascii="Times New Roman" w:hAnsi="Times New Roman" w:cs="Times New Roman"/>
          <w:sz w:val="28"/>
          <w:szCs w:val="28"/>
        </w:rPr>
        <w:t xml:space="preserve">Виконала: здобувачка денної форми навчання </w:t>
      </w:r>
    </w:p>
    <w:p w:rsidR="00F30E41" w:rsidRPr="008C7F74" w:rsidRDefault="00F30E41" w:rsidP="00D375D6">
      <w:pPr>
        <w:spacing w:after="0" w:line="360" w:lineRule="auto"/>
        <w:ind w:left="1985"/>
        <w:jc w:val="both"/>
        <w:rPr>
          <w:rFonts w:ascii="Times New Roman" w:hAnsi="Times New Roman" w:cs="Times New Roman"/>
          <w:sz w:val="28"/>
          <w:szCs w:val="28"/>
        </w:rPr>
      </w:pPr>
      <w:r w:rsidRPr="008C7F74">
        <w:rPr>
          <w:rFonts w:ascii="Times New Roman" w:hAnsi="Times New Roman" w:cs="Times New Roman"/>
          <w:sz w:val="28"/>
          <w:szCs w:val="28"/>
        </w:rPr>
        <w:t xml:space="preserve">спеціальності 292 «Міжнародні економічні відносини» </w:t>
      </w:r>
    </w:p>
    <w:p w:rsidR="00F30E41" w:rsidRPr="00334113" w:rsidRDefault="00F30E41" w:rsidP="00D375D6">
      <w:pPr>
        <w:spacing w:after="0" w:line="360" w:lineRule="auto"/>
        <w:ind w:left="1985"/>
        <w:jc w:val="both"/>
        <w:rPr>
          <w:rFonts w:ascii="Times New Roman" w:hAnsi="Times New Roman" w:cs="Times New Roman"/>
          <w:sz w:val="28"/>
          <w:szCs w:val="28"/>
        </w:rPr>
      </w:pPr>
      <w:r>
        <w:rPr>
          <w:rFonts w:ascii="Times New Roman" w:hAnsi="Times New Roman" w:cs="Times New Roman"/>
          <w:sz w:val="28"/>
          <w:szCs w:val="28"/>
          <w:lang w:val="ru-RU"/>
        </w:rPr>
        <w:t xml:space="preserve">Петрова </w:t>
      </w:r>
      <w:r>
        <w:rPr>
          <w:rFonts w:ascii="Times New Roman" w:hAnsi="Times New Roman" w:cs="Times New Roman"/>
          <w:sz w:val="28"/>
          <w:szCs w:val="28"/>
        </w:rPr>
        <w:t>Дар</w:t>
      </w:r>
      <w:r>
        <w:rPr>
          <w:rFonts w:ascii="Times New Roman" w:hAnsi="Times New Roman" w:cs="Times New Roman"/>
          <w:sz w:val="28"/>
          <w:szCs w:val="28"/>
          <w:lang w:val="en-US"/>
        </w:rPr>
        <w:t>”</w:t>
      </w:r>
      <w:r>
        <w:rPr>
          <w:rFonts w:ascii="Times New Roman" w:hAnsi="Times New Roman" w:cs="Times New Roman"/>
          <w:sz w:val="28"/>
          <w:szCs w:val="28"/>
        </w:rPr>
        <w:t>я Олександрівна</w:t>
      </w:r>
    </w:p>
    <w:p w:rsidR="00F30E41" w:rsidRPr="008C7F74" w:rsidRDefault="00F30E41" w:rsidP="00D375D6">
      <w:pPr>
        <w:spacing w:after="0" w:line="360" w:lineRule="auto"/>
        <w:ind w:left="1985"/>
        <w:jc w:val="both"/>
        <w:rPr>
          <w:rFonts w:ascii="Times New Roman" w:hAnsi="Times New Roman" w:cs="Times New Roman"/>
          <w:sz w:val="28"/>
          <w:szCs w:val="28"/>
        </w:rPr>
      </w:pPr>
    </w:p>
    <w:p w:rsidR="00F30E41" w:rsidRPr="008C7F74" w:rsidRDefault="00F30E41" w:rsidP="00174C28">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Керівник – </w:t>
      </w:r>
      <w:r w:rsidRPr="003A2708">
        <w:rPr>
          <w:rFonts w:ascii="Times New Roman" w:hAnsi="Times New Roman" w:cs="Times New Roman"/>
          <w:sz w:val="28"/>
          <w:szCs w:val="28"/>
          <w:lang w:eastAsia="ru-RU"/>
        </w:rPr>
        <w:t>к.е.н., доц. Бичкова Н. В</w:t>
      </w:r>
      <w:r w:rsidRPr="008C7F74">
        <w:rPr>
          <w:rFonts w:ascii="Times New Roman" w:hAnsi="Times New Roman" w:cs="Times New Roman"/>
          <w:sz w:val="28"/>
          <w:szCs w:val="28"/>
          <w:lang w:eastAsia="ru-RU"/>
        </w:rPr>
        <w:t xml:space="preserve">.__________ </w:t>
      </w:r>
    </w:p>
    <w:p w:rsidR="00F30E41" w:rsidRPr="008C7F74" w:rsidRDefault="00F30E41" w:rsidP="00C66881">
      <w:pPr>
        <w:spacing w:after="0" w:line="360" w:lineRule="auto"/>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8C7F74">
        <w:rPr>
          <w:rFonts w:ascii="Times New Roman" w:hAnsi="Times New Roman" w:cs="Times New Roman"/>
          <w:sz w:val="28"/>
          <w:szCs w:val="28"/>
          <w:lang w:eastAsia="ru-RU"/>
        </w:rPr>
        <w:t xml:space="preserve">Рецензент – </w:t>
      </w:r>
    </w:p>
    <w:p w:rsidR="00F30E41" w:rsidRPr="008C7F74" w:rsidRDefault="00F30E41" w:rsidP="00174C28">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 </w:t>
      </w:r>
    </w:p>
    <w:p w:rsidR="00F30E41" w:rsidRPr="008C7F74" w:rsidRDefault="00F30E41" w:rsidP="00174C28">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 </w:t>
      </w:r>
    </w:p>
    <w:p w:rsidR="00F30E41" w:rsidRPr="008C7F74" w:rsidRDefault="00F30E41" w:rsidP="00174C28">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Рекомендовано до захисту:                                Захищено на засіданні ЕК № </w:t>
      </w:r>
    </w:p>
    <w:p w:rsidR="00F30E41" w:rsidRPr="008C7F74" w:rsidRDefault="00F30E41" w:rsidP="00174C28">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Протокол засідання кафедри                              </w:t>
      </w:r>
      <w:r>
        <w:rPr>
          <w:rFonts w:ascii="Times New Roman" w:hAnsi="Times New Roman" w:cs="Times New Roman"/>
          <w:sz w:val="28"/>
          <w:szCs w:val="28"/>
          <w:lang w:eastAsia="ru-RU"/>
        </w:rPr>
        <w:t xml:space="preserve">  протокол №__ від __. ___2025</w:t>
      </w:r>
      <w:r w:rsidRPr="008C7F74">
        <w:rPr>
          <w:rFonts w:ascii="Times New Roman" w:hAnsi="Times New Roman" w:cs="Times New Roman"/>
          <w:sz w:val="28"/>
          <w:szCs w:val="28"/>
          <w:lang w:eastAsia="ru-RU"/>
        </w:rPr>
        <w:t xml:space="preserve"> р. </w:t>
      </w:r>
    </w:p>
    <w:p w:rsidR="00F30E41" w:rsidRPr="008C7F74" w:rsidRDefault="00F30E41" w:rsidP="00174C28">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_ від __. ______ 2</w:t>
      </w:r>
      <w:r>
        <w:rPr>
          <w:rFonts w:ascii="Times New Roman" w:hAnsi="Times New Roman" w:cs="Times New Roman"/>
          <w:sz w:val="28"/>
          <w:szCs w:val="28"/>
          <w:lang w:eastAsia="ru-RU"/>
        </w:rPr>
        <w:t>025</w:t>
      </w:r>
      <w:r w:rsidRPr="008C7F74">
        <w:rPr>
          <w:rFonts w:ascii="Times New Roman" w:hAnsi="Times New Roman" w:cs="Times New Roman"/>
          <w:sz w:val="28"/>
          <w:szCs w:val="28"/>
          <w:lang w:eastAsia="ru-RU"/>
        </w:rPr>
        <w:t xml:space="preserve"> р.                                   Оцінка___________/______/______ </w:t>
      </w:r>
    </w:p>
    <w:p w:rsidR="00F30E41" w:rsidRPr="008C7F74" w:rsidRDefault="00F30E41" w:rsidP="008C7F74">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Завідувач кафедри______С. О. Якубовський     Голова ЕК________ Ю. В. Пічугіна </w:t>
      </w:r>
    </w:p>
    <w:p w:rsidR="00F30E41" w:rsidRPr="008C7F74" w:rsidRDefault="00F30E41" w:rsidP="00174C28">
      <w:pPr>
        <w:spacing w:after="0" w:line="360" w:lineRule="auto"/>
        <w:jc w:val="center"/>
        <w:rPr>
          <w:rFonts w:ascii="Times New Roman" w:hAnsi="Times New Roman" w:cs="Times New Roman"/>
          <w:sz w:val="28"/>
          <w:szCs w:val="28"/>
          <w:lang w:eastAsia="ru-RU"/>
        </w:rPr>
      </w:pPr>
      <w:r w:rsidRPr="008C7F74">
        <w:rPr>
          <w:rFonts w:ascii="Times New Roman" w:hAnsi="Times New Roman" w:cs="Times New Roman"/>
          <w:sz w:val="28"/>
          <w:szCs w:val="28"/>
          <w:lang w:eastAsia="ru-RU"/>
        </w:rPr>
        <w:t xml:space="preserve"> </w:t>
      </w:r>
    </w:p>
    <w:p w:rsidR="00F30E41" w:rsidRPr="008C7F74" w:rsidRDefault="00F30E41" w:rsidP="008C7F74">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Одеса – 2025</w:t>
      </w:r>
    </w:p>
    <w:p w:rsidR="00F30E41" w:rsidRPr="00F832F0" w:rsidRDefault="00F30E41" w:rsidP="00174C28">
      <w:pPr>
        <w:spacing w:after="0" w:line="360" w:lineRule="auto"/>
        <w:jc w:val="center"/>
        <w:rPr>
          <w:rFonts w:ascii="Times New Roman" w:hAnsi="Times New Roman" w:cs="Times New Roman"/>
          <w:sz w:val="24"/>
          <w:szCs w:val="24"/>
          <w:lang w:eastAsia="ru-RU"/>
        </w:rPr>
      </w:pPr>
      <w:r w:rsidRPr="008E3BC5">
        <w:rPr>
          <w:rFonts w:ascii="Times New Roman" w:hAnsi="Times New Roman" w:cs="Times New Roman"/>
          <w:b/>
          <w:bCs/>
          <w:color w:val="000000"/>
          <w:sz w:val="28"/>
          <w:szCs w:val="28"/>
        </w:rPr>
        <w:t>ЗМІСТ</w:t>
      </w:r>
    </w:p>
    <w:p w:rsidR="00F30E41" w:rsidRPr="00315989"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ВСТУП..........................................................................................................................</w:t>
      </w:r>
      <w:r w:rsidRPr="00315989">
        <w:rPr>
          <w:rFonts w:ascii="Times New Roman" w:hAnsi="Times New Roman" w:cs="Times New Roman"/>
          <w:color w:val="000000"/>
          <w:sz w:val="28"/>
          <w:szCs w:val="28"/>
          <w:lang w:val="ru-RU"/>
        </w:rPr>
        <w:t>1</w:t>
      </w:r>
    </w:p>
    <w:p w:rsidR="00F30E41" w:rsidRPr="00DE22EB" w:rsidRDefault="00F30E41" w:rsidP="001E671F">
      <w:pPr>
        <w:spacing w:after="0" w:line="36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w:t>
      </w:r>
      <w:r w:rsidRPr="008E3BC5">
        <w:rPr>
          <w:rFonts w:ascii="Times New Roman" w:hAnsi="Times New Roman" w:cs="Times New Roman"/>
          <w:color w:val="000000"/>
          <w:sz w:val="28"/>
          <w:szCs w:val="28"/>
        </w:rPr>
        <w:t>РОЗДІЛ 1. ТЕОРЕТИЧНІ АСПЕКТИ ПРОЦЕСІВ ФОРМУВАННЯ ТА УПРАВЛІННЯ ІНВЕСТИЦІЙНИМ ПОРТФЕЛЕМ...............................</w:t>
      </w:r>
      <w:r w:rsidRPr="00C67F2F">
        <w:rPr>
          <w:rFonts w:ascii="Times New Roman" w:hAnsi="Times New Roman" w:cs="Times New Roman"/>
          <w:color w:val="000000"/>
          <w:sz w:val="28"/>
          <w:szCs w:val="28"/>
        </w:rPr>
        <w:t>..</w:t>
      </w:r>
      <w:r w:rsidRPr="008E3BC5">
        <w:rPr>
          <w:rFonts w:ascii="Times New Roman" w:hAnsi="Times New Roman" w:cs="Times New Roman"/>
          <w:color w:val="000000"/>
          <w:sz w:val="28"/>
          <w:szCs w:val="28"/>
        </w:rPr>
        <w:t>..............................................................................</w:t>
      </w:r>
      <w:r w:rsidRPr="00DE22EB">
        <w:rPr>
          <w:rFonts w:ascii="Times New Roman" w:hAnsi="Times New Roman" w:cs="Times New Roman"/>
          <w:color w:val="000000"/>
          <w:sz w:val="28"/>
          <w:szCs w:val="28"/>
          <w:lang w:val="ru-RU"/>
        </w:rPr>
        <w:t>6</w:t>
      </w:r>
    </w:p>
    <w:p w:rsidR="00F30E41" w:rsidRPr="00C67F2F" w:rsidRDefault="00F30E41" w:rsidP="001E671F">
      <w:pPr>
        <w:spacing w:after="0" w:line="360" w:lineRule="auto"/>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1.1</w:t>
      </w:r>
      <w:r w:rsidRPr="00C67F2F">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Сутність та класифікація інвестиційних портфелів................................................</w:t>
      </w:r>
      <w:r w:rsidRPr="00C67F2F">
        <w:rPr>
          <w:rFonts w:ascii="Times New Roman" w:hAnsi="Times New Roman" w:cs="Times New Roman"/>
          <w:color w:val="000000"/>
          <w:sz w:val="28"/>
          <w:szCs w:val="28"/>
        </w:rPr>
        <w:t>......................................................................6</w:t>
      </w:r>
    </w:p>
    <w:p w:rsidR="00F30E41" w:rsidRPr="00DE22EB"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1.2 Модель процесу формування інвестиційного портфеля.........................................</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8</w:t>
      </w:r>
    </w:p>
    <w:p w:rsidR="00F30E41" w:rsidRPr="00DE22EB"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1.3 Технології управління інвестиційним портфелем: інструменти та підходи…….</w:t>
      </w:r>
      <w:r w:rsidRPr="00DE22EB">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w:t>
      </w:r>
      <w:r w:rsidRPr="00DE22EB">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w:t>
      </w:r>
      <w:r w:rsidRPr="00DE22EB">
        <w:rPr>
          <w:rFonts w:ascii="Times New Roman" w:hAnsi="Times New Roman" w:cs="Times New Roman"/>
          <w:color w:val="000000"/>
          <w:sz w:val="28"/>
          <w:szCs w:val="28"/>
          <w:lang w:val="ru-RU"/>
        </w:rPr>
        <w:t>12</w:t>
      </w:r>
    </w:p>
    <w:p w:rsidR="00F30E41" w:rsidRPr="00DE22EB"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РОЗДІЛ 2. АНАЛІЗ ДОХІДНОСТІ ІНВЕСТИЦІЙНИХ ПОРТФЕЛІВ У РІЗНИХ ГАЛУЗЯХ....................................................................................................................</w:t>
      </w:r>
      <w:r w:rsidRPr="00DE22EB">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7</w:t>
      </w:r>
    </w:p>
    <w:p w:rsidR="00F30E41" w:rsidRPr="00DE22EB"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2.1 Аналіз галузевої структури та основних ринкових тенденцій..................................</w:t>
      </w:r>
      <w:r w:rsidRPr="00DE22EB">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7</w:t>
      </w:r>
    </w:p>
    <w:p w:rsidR="00F30E41" w:rsidRPr="00DE22EB" w:rsidRDefault="00F30E41" w:rsidP="001E671F">
      <w:pPr>
        <w:spacing w:after="0" w:line="360" w:lineRule="auto"/>
        <w:jc w:val="both"/>
        <w:rPr>
          <w:rFonts w:ascii="Times New Roman" w:hAnsi="Times New Roman" w:cs="Times New Roman"/>
          <w:color w:val="000000"/>
          <w:sz w:val="28"/>
          <w:szCs w:val="28"/>
          <w:lang w:val="ru-RU"/>
        </w:rPr>
      </w:pPr>
      <w:r w:rsidRPr="009078B1">
        <w:rPr>
          <w:rFonts w:ascii="Times New Roman" w:hAnsi="Times New Roman" w:cs="Times New Roman"/>
          <w:color w:val="000000"/>
          <w:sz w:val="28"/>
          <w:szCs w:val="28"/>
        </w:rPr>
        <w:t>2.2. Динаміка дохідності інвестиційних активів у ключових секторах</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r w:rsidRPr="00DE22EB">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8</w:t>
      </w:r>
    </w:p>
    <w:p w:rsidR="00F30E41" w:rsidRPr="003C2DF3" w:rsidRDefault="00F30E41" w:rsidP="001E671F">
      <w:pPr>
        <w:spacing w:after="0" w:line="360" w:lineRule="auto"/>
        <w:jc w:val="both"/>
        <w:rPr>
          <w:rFonts w:ascii="Times New Roman" w:hAnsi="Times New Roman" w:cs="Times New Roman"/>
          <w:color w:val="000000"/>
          <w:sz w:val="28"/>
          <w:szCs w:val="28"/>
          <w:lang w:val="ru-RU"/>
        </w:rPr>
      </w:pPr>
      <w:r w:rsidRPr="009078B1">
        <w:rPr>
          <w:rFonts w:ascii="Times New Roman" w:hAnsi="Times New Roman" w:cs="Times New Roman"/>
          <w:color w:val="000000"/>
          <w:sz w:val="28"/>
          <w:szCs w:val="28"/>
        </w:rPr>
        <w:t>2.3 Кореляційний аналіз обраних компаній та характеристика ризику</w:t>
      </w:r>
      <w:r>
        <w:rPr>
          <w:rFonts w:ascii="Times New Roman" w:hAnsi="Times New Roman" w:cs="Times New Roman"/>
          <w:color w:val="000000"/>
          <w:sz w:val="28"/>
          <w:szCs w:val="28"/>
          <w:lang w:val="ru-RU"/>
        </w:rPr>
        <w:t>……………………………………………………</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r w:rsidRPr="003C2DF3">
        <w:rPr>
          <w:rFonts w:ascii="Times New Roman" w:hAnsi="Times New Roman" w:cs="Times New Roman"/>
          <w:color w:val="000000"/>
          <w:sz w:val="28"/>
          <w:szCs w:val="28"/>
          <w:lang w:val="ru-RU"/>
        </w:rPr>
        <w:t>3</w:t>
      </w:r>
      <w:r>
        <w:rPr>
          <w:rFonts w:ascii="Times New Roman" w:hAnsi="Times New Roman" w:cs="Times New Roman"/>
          <w:color w:val="000000"/>
          <w:sz w:val="28"/>
          <w:szCs w:val="28"/>
          <w:lang w:val="ru-RU"/>
        </w:rPr>
        <w:t>6</w:t>
      </w:r>
    </w:p>
    <w:p w:rsidR="00F30E41" w:rsidRPr="003C2DF3"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РОЗДІЛ 3. МОДЕЛЮВАННЯ ТА ОПТИМІЗАЦІЯ МІЖНАРОДНОГО ІНВЕСТИЦІЙНОГО ПОРТФЕЛЯ...................................................................................</w:t>
      </w:r>
      <w:r w:rsidRPr="003C2DF3">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39</w:t>
      </w:r>
    </w:p>
    <w:p w:rsidR="00F30E41" w:rsidRPr="00F32513" w:rsidRDefault="00F30E41" w:rsidP="001E671F">
      <w:pPr>
        <w:spacing w:after="0" w:line="360" w:lineRule="auto"/>
        <w:jc w:val="both"/>
        <w:rPr>
          <w:rFonts w:ascii="Times New Roman" w:hAnsi="Times New Roman" w:cs="Times New Roman"/>
          <w:color w:val="000000"/>
          <w:sz w:val="28"/>
          <w:szCs w:val="28"/>
          <w:lang w:val="ru-RU"/>
        </w:rPr>
      </w:pPr>
      <w:r w:rsidRPr="009078B1">
        <w:rPr>
          <w:rFonts w:ascii="Times New Roman" w:hAnsi="Times New Roman" w:cs="Times New Roman"/>
          <w:color w:val="000000"/>
          <w:sz w:val="28"/>
          <w:szCs w:val="28"/>
        </w:rPr>
        <w:t>3.1. Інфляція, процентні ставки та глобальні шоки як фактори ризику для інвестиційного портфеля</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r w:rsidRPr="003C2DF3">
        <w:rPr>
          <w:rFonts w:ascii="Times New Roman" w:hAnsi="Times New Roman" w:cs="Times New Roman"/>
          <w:color w:val="000000"/>
          <w:sz w:val="28"/>
          <w:szCs w:val="28"/>
          <w:lang w:val="ru-RU"/>
        </w:rPr>
        <w:t>.....................4</w:t>
      </w:r>
      <w:r>
        <w:rPr>
          <w:rFonts w:ascii="Times New Roman" w:hAnsi="Times New Roman" w:cs="Times New Roman"/>
          <w:color w:val="000000"/>
          <w:sz w:val="28"/>
          <w:szCs w:val="28"/>
          <w:lang w:val="ru-RU"/>
        </w:rPr>
        <w:t>2</w:t>
      </w:r>
    </w:p>
    <w:p w:rsidR="00F30E41" w:rsidRPr="000875CA" w:rsidRDefault="00F30E41" w:rsidP="001E671F">
      <w:pPr>
        <w:spacing w:after="0" w:line="360" w:lineRule="auto"/>
        <w:jc w:val="both"/>
        <w:rPr>
          <w:rFonts w:ascii="Times New Roman" w:hAnsi="Times New Roman" w:cs="Times New Roman"/>
          <w:color w:val="000000"/>
          <w:sz w:val="28"/>
          <w:szCs w:val="28"/>
        </w:rPr>
      </w:pPr>
      <w:r w:rsidRPr="00F32513">
        <w:rPr>
          <w:rFonts w:ascii="Times New Roman" w:hAnsi="Times New Roman" w:cs="Times New Roman"/>
          <w:color w:val="000000"/>
          <w:sz w:val="28"/>
          <w:szCs w:val="28"/>
          <w:lang w:val="ru-RU"/>
        </w:rPr>
        <w:t>3.</w:t>
      </w:r>
      <w:r w:rsidRPr="009078B1">
        <w:rPr>
          <w:rFonts w:ascii="Times New Roman" w:hAnsi="Times New Roman" w:cs="Times New Roman"/>
          <w:color w:val="000000"/>
          <w:sz w:val="28"/>
          <w:szCs w:val="28"/>
        </w:rPr>
        <w:t>2. Регресійний аналіз інвестиційних факторів за моделлю Фама-Френча.</w:t>
      </w:r>
      <w:r w:rsidRPr="008E3BC5">
        <w:rPr>
          <w:rFonts w:ascii="Times New Roman" w:hAnsi="Times New Roman" w:cs="Times New Roman"/>
          <w:color w:val="000000"/>
          <w:sz w:val="28"/>
          <w:szCs w:val="28"/>
        </w:rPr>
        <w:t>................................................................</w:t>
      </w:r>
      <w:r w:rsidRPr="009078B1">
        <w:rPr>
          <w:rFonts w:ascii="Times New Roman" w:hAnsi="Times New Roman" w:cs="Times New Roman"/>
          <w:color w:val="000000"/>
          <w:sz w:val="28"/>
          <w:szCs w:val="28"/>
        </w:rPr>
        <w:t>............................................</w:t>
      </w:r>
      <w:r w:rsidRPr="008E3BC5">
        <w:rPr>
          <w:rFonts w:ascii="Times New Roman" w:hAnsi="Times New Roman" w:cs="Times New Roman"/>
          <w:color w:val="000000"/>
          <w:sz w:val="28"/>
          <w:szCs w:val="28"/>
        </w:rPr>
        <w:t>...........</w:t>
      </w:r>
      <w:r w:rsidRPr="00F32513">
        <w:rPr>
          <w:rFonts w:ascii="Times New Roman" w:hAnsi="Times New Roman" w:cs="Times New Roman"/>
          <w:color w:val="000000"/>
          <w:sz w:val="28"/>
          <w:szCs w:val="28"/>
        </w:rPr>
        <w:t>4</w:t>
      </w:r>
      <w:r w:rsidRPr="000875CA">
        <w:rPr>
          <w:rFonts w:ascii="Times New Roman" w:hAnsi="Times New Roman" w:cs="Times New Roman"/>
          <w:color w:val="000000"/>
          <w:sz w:val="28"/>
          <w:szCs w:val="28"/>
        </w:rPr>
        <w:t>3</w:t>
      </w:r>
    </w:p>
    <w:p w:rsidR="00F30E41" w:rsidRPr="00460238" w:rsidRDefault="00F30E41" w:rsidP="001E671F">
      <w:pPr>
        <w:spacing w:after="0" w:line="360" w:lineRule="auto"/>
        <w:jc w:val="both"/>
        <w:rPr>
          <w:rFonts w:ascii="Times New Roman" w:hAnsi="Times New Roman" w:cs="Times New Roman"/>
          <w:color w:val="000000"/>
          <w:sz w:val="28"/>
          <w:szCs w:val="28"/>
        </w:rPr>
      </w:pPr>
      <w:r w:rsidRPr="009078B1">
        <w:rPr>
          <w:rFonts w:ascii="Times New Roman" w:hAnsi="Times New Roman" w:cs="Times New Roman"/>
          <w:color w:val="000000"/>
          <w:sz w:val="28"/>
          <w:szCs w:val="28"/>
        </w:rPr>
        <w:t>3.3 Аналіз ефективності сформованих портфелів: дохідність, ризик і стратегічна відповідність.</w:t>
      </w:r>
      <w:r w:rsidRPr="008E3BC5">
        <w:rPr>
          <w:rFonts w:ascii="Times New Roman" w:hAnsi="Times New Roman" w:cs="Times New Roman"/>
          <w:color w:val="000000"/>
          <w:sz w:val="28"/>
          <w:szCs w:val="28"/>
        </w:rPr>
        <w:t>....................</w:t>
      </w:r>
      <w:r w:rsidRPr="009078B1">
        <w:rPr>
          <w:rFonts w:ascii="Times New Roman" w:hAnsi="Times New Roman" w:cs="Times New Roman"/>
          <w:color w:val="000000"/>
          <w:sz w:val="28"/>
          <w:szCs w:val="28"/>
        </w:rPr>
        <w:t>.........................................................................................</w:t>
      </w:r>
      <w:r w:rsidRPr="00F32513">
        <w:rPr>
          <w:rFonts w:ascii="Times New Roman" w:hAnsi="Times New Roman" w:cs="Times New Roman"/>
          <w:color w:val="000000"/>
          <w:sz w:val="28"/>
          <w:szCs w:val="28"/>
        </w:rPr>
        <w:t>5</w:t>
      </w:r>
      <w:r w:rsidRPr="00460238">
        <w:rPr>
          <w:rFonts w:ascii="Times New Roman" w:hAnsi="Times New Roman" w:cs="Times New Roman"/>
          <w:color w:val="000000"/>
          <w:sz w:val="28"/>
          <w:szCs w:val="28"/>
        </w:rPr>
        <w:t>0</w:t>
      </w:r>
    </w:p>
    <w:p w:rsidR="00F30E41" w:rsidRPr="000875CA"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ВИСНОВКИ...............................................................................................................</w:t>
      </w:r>
      <w:r w:rsidRPr="00263A19">
        <w:rPr>
          <w:rFonts w:ascii="Times New Roman" w:hAnsi="Times New Roman" w:cs="Times New Roman"/>
          <w:color w:val="000000"/>
          <w:sz w:val="28"/>
          <w:szCs w:val="28"/>
          <w:lang w:val="ru-RU"/>
        </w:rPr>
        <w:t>5</w:t>
      </w:r>
      <w:r>
        <w:rPr>
          <w:rFonts w:ascii="Times New Roman" w:hAnsi="Times New Roman" w:cs="Times New Roman"/>
          <w:color w:val="000000"/>
          <w:sz w:val="28"/>
          <w:szCs w:val="28"/>
          <w:lang w:val="ru-RU"/>
        </w:rPr>
        <w:t>8</w:t>
      </w:r>
    </w:p>
    <w:p w:rsidR="00F30E41" w:rsidRPr="00460238" w:rsidRDefault="00F30E41" w:rsidP="001E671F">
      <w:pPr>
        <w:spacing w:after="0" w:line="360" w:lineRule="auto"/>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СПИСОК ВИКОРИСТАНИХ ДЖЕРЕЛ....................................................................</w:t>
      </w:r>
      <w:r>
        <w:rPr>
          <w:rFonts w:ascii="Times New Roman" w:hAnsi="Times New Roman" w:cs="Times New Roman"/>
          <w:color w:val="000000"/>
          <w:sz w:val="28"/>
          <w:szCs w:val="28"/>
        </w:rPr>
        <w:t>............................................</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.61</w:t>
      </w:r>
    </w:p>
    <w:p w:rsidR="00F30E41" w:rsidRPr="008E3BC5" w:rsidRDefault="00F30E41" w:rsidP="001E671F">
      <w:pPr>
        <w:spacing w:after="0" w:line="360" w:lineRule="auto"/>
        <w:jc w:val="both"/>
        <w:rPr>
          <w:rFonts w:ascii="Times New Roman" w:hAnsi="Times New Roman" w:cs="Times New Roman"/>
          <w:color w:val="000000"/>
          <w:sz w:val="28"/>
          <w:szCs w:val="28"/>
        </w:rPr>
      </w:pPr>
    </w:p>
    <w:p w:rsidR="00F30E41" w:rsidRPr="008E3BC5" w:rsidRDefault="00F30E41">
      <w:pPr>
        <w:rPr>
          <w:rFonts w:ascii="Times New Roman" w:hAnsi="Times New Roman" w:cs="Times New Roman"/>
          <w:color w:val="000000"/>
          <w:sz w:val="28"/>
          <w:szCs w:val="28"/>
        </w:rPr>
      </w:pPr>
      <w:r w:rsidRPr="008E3BC5">
        <w:rPr>
          <w:rFonts w:ascii="Times New Roman" w:hAnsi="Times New Roman" w:cs="Times New Roman"/>
          <w:color w:val="000000"/>
          <w:sz w:val="28"/>
          <w:szCs w:val="28"/>
        </w:rPr>
        <w:br w:type="page"/>
      </w:r>
    </w:p>
    <w:p w:rsidR="00F30E41" w:rsidRPr="008E3BC5" w:rsidRDefault="00F30E41" w:rsidP="00983B5D">
      <w:pPr>
        <w:spacing w:after="0" w:line="360" w:lineRule="auto"/>
        <w:jc w:val="center"/>
        <w:rPr>
          <w:rFonts w:ascii="Times New Roman" w:hAnsi="Times New Roman" w:cs="Times New Roman"/>
          <w:b/>
          <w:bCs/>
          <w:color w:val="000000"/>
          <w:sz w:val="28"/>
          <w:szCs w:val="28"/>
        </w:rPr>
      </w:pPr>
      <w:r w:rsidRPr="008E3BC5">
        <w:rPr>
          <w:rFonts w:ascii="Times New Roman" w:hAnsi="Times New Roman" w:cs="Times New Roman"/>
          <w:b/>
          <w:bCs/>
          <w:color w:val="000000"/>
          <w:sz w:val="28"/>
          <w:szCs w:val="28"/>
        </w:rPr>
        <w:t>ВСТУП</w:t>
      </w:r>
    </w:p>
    <w:p w:rsidR="00F30E41" w:rsidRPr="00237AA2" w:rsidRDefault="00F30E41" w:rsidP="00237AA2">
      <w:pPr>
        <w:tabs>
          <w:tab w:val="left" w:pos="284"/>
        </w:tabs>
        <w:spacing w:after="0" w:line="360" w:lineRule="auto"/>
        <w:ind w:firstLine="720"/>
        <w:jc w:val="both"/>
        <w:rPr>
          <w:rFonts w:ascii="Times New Roman" w:hAnsi="Times New Roman" w:cs="Times New Roman"/>
          <w:color w:val="000000"/>
          <w:sz w:val="28"/>
          <w:szCs w:val="28"/>
          <w:lang w:val="ru-RU"/>
        </w:rPr>
      </w:pPr>
      <w:r w:rsidRPr="008E3BC5">
        <w:rPr>
          <w:rFonts w:ascii="Times New Roman" w:hAnsi="Times New Roman" w:cs="Times New Roman"/>
          <w:b/>
          <w:bCs/>
          <w:color w:val="000000"/>
          <w:sz w:val="28"/>
          <w:szCs w:val="28"/>
        </w:rPr>
        <w:t>Актуальність роботи.</w:t>
      </w:r>
      <w:r>
        <w:rPr>
          <w:rFonts w:ascii="Times New Roman" w:hAnsi="Times New Roman" w:cs="Times New Roman"/>
          <w:b/>
          <w:bCs/>
          <w:color w:val="000000"/>
          <w:sz w:val="28"/>
          <w:szCs w:val="28"/>
        </w:rPr>
        <w:t xml:space="preserve"> </w:t>
      </w:r>
      <w:r w:rsidRPr="00237AA2">
        <w:rPr>
          <w:rFonts w:ascii="Times New Roman" w:hAnsi="Times New Roman" w:cs="Times New Roman"/>
          <w:color w:val="000000"/>
          <w:sz w:val="28"/>
          <w:szCs w:val="28"/>
        </w:rPr>
        <w:t>У сучасних умовах глобалізації та стрімкого технологічного розвитку ефективне управління інвестиціями набуває особливої важливості. Індивідуальне формування портфеля дозволяє адаптувати структуру активів до особистих фінансових цілей, рівня ризику та інвестиційного горизонту. Хоча ETF-фонди (наприклад, SPY) забезпечують базову диверсифікацію, вони не завжди враховують специфіку потреб інвестора. Самостійне створення портфеля забезпечує більшу гнучкість і контроль, що особливо актуально в умовах економічної нестабільності.</w:t>
      </w:r>
    </w:p>
    <w:p w:rsidR="00F30E41" w:rsidRPr="00237AA2" w:rsidRDefault="00F30E41" w:rsidP="00237AA2">
      <w:pPr>
        <w:tabs>
          <w:tab w:val="left" w:pos="284"/>
        </w:tabs>
        <w:spacing w:after="0" w:line="360" w:lineRule="auto"/>
        <w:ind w:firstLine="720"/>
        <w:jc w:val="both"/>
        <w:rPr>
          <w:rFonts w:ascii="Times New Roman" w:hAnsi="Times New Roman" w:cs="Times New Roman"/>
          <w:color w:val="000000"/>
          <w:sz w:val="28"/>
          <w:szCs w:val="28"/>
        </w:rPr>
      </w:pPr>
      <w:r w:rsidRPr="00237AA2">
        <w:rPr>
          <w:rFonts w:ascii="Times New Roman" w:hAnsi="Times New Roman" w:cs="Times New Roman"/>
          <w:color w:val="000000"/>
          <w:sz w:val="28"/>
          <w:szCs w:val="28"/>
        </w:rPr>
        <w:t>Диверсифікація активів між різними галузями та регіонами дозволяє знизити ризики ринкових коливань і збалансувати дохідність. Актуальність теми зумовлена необхідністю пошуку дієвих підходів до інвестування в умовах глобальної нестабільності, волатильності ринків та зростання ролі індивідуальних стратегій.</w:t>
      </w:r>
    </w:p>
    <w:p w:rsidR="00F30E41" w:rsidRPr="0045426C" w:rsidRDefault="00F30E41" w:rsidP="00870F3D">
      <w:pPr>
        <w:spacing w:after="0" w:line="360" w:lineRule="auto"/>
        <w:ind w:firstLine="720"/>
        <w:jc w:val="both"/>
        <w:rPr>
          <w:rFonts w:ascii="Times New Roman" w:hAnsi="Times New Roman" w:cs="Times New Roman"/>
          <w:color w:val="000000"/>
          <w:sz w:val="28"/>
          <w:szCs w:val="28"/>
        </w:rPr>
      </w:pPr>
      <w:r w:rsidRPr="00870F3D">
        <w:rPr>
          <w:rFonts w:ascii="Times New Roman" w:hAnsi="Times New Roman" w:cs="Times New Roman"/>
          <w:color w:val="000000"/>
          <w:sz w:val="28"/>
          <w:szCs w:val="28"/>
        </w:rPr>
        <w:t xml:space="preserve">Аналіз ступеня вивчення проблеми свідчить, що питання формування та управління інвестиційними портфелями ґрунтовно висвітлено у працях класичних і сучасних дослідників. Теоретичну основу заклали Г. Марковіц, В. Шарп і Дж. Тобін. Ю. Чжан і Ш. Чен досліджували класифікацію ризиків та інвесторську толерантність, С. Гахтарані і Дж. Чан </w:t>
      </w:r>
      <w:r w:rsidRPr="0045426C">
        <w:rPr>
          <w:rFonts w:ascii="Times New Roman" w:hAnsi="Times New Roman" w:cs="Times New Roman"/>
          <w:color w:val="000000"/>
          <w:sz w:val="28"/>
          <w:szCs w:val="28"/>
        </w:rPr>
        <w:t>-</w:t>
      </w:r>
      <w:r w:rsidRPr="00870F3D">
        <w:rPr>
          <w:rFonts w:ascii="Times New Roman" w:hAnsi="Times New Roman" w:cs="Times New Roman"/>
          <w:color w:val="000000"/>
          <w:sz w:val="28"/>
          <w:szCs w:val="28"/>
        </w:rPr>
        <w:t xml:space="preserve"> адаптацію моделей до нестабільних умов. Я. Шінделар аналізував ефективність активного й пасивного управління, а Т. Адеуейл, В. Наїр і О. Одейємі обґрунтували застосування Big Data та AI в інвестуванні.</w:t>
      </w:r>
    </w:p>
    <w:p w:rsidR="00F30E41" w:rsidRPr="00870F3D" w:rsidRDefault="00F30E41" w:rsidP="00870F3D">
      <w:pPr>
        <w:spacing w:after="0" w:line="360" w:lineRule="auto"/>
        <w:ind w:firstLine="720"/>
        <w:jc w:val="both"/>
        <w:rPr>
          <w:rFonts w:ascii="Times New Roman" w:hAnsi="Times New Roman" w:cs="Times New Roman"/>
          <w:color w:val="000000"/>
          <w:sz w:val="28"/>
          <w:szCs w:val="28"/>
        </w:rPr>
      </w:pPr>
      <w:r w:rsidRPr="00870F3D">
        <w:rPr>
          <w:rFonts w:ascii="Times New Roman" w:hAnsi="Times New Roman" w:cs="Times New Roman"/>
          <w:color w:val="000000"/>
          <w:sz w:val="28"/>
          <w:szCs w:val="28"/>
        </w:rPr>
        <w:t>Втім, більшість досліджень зосереджені на стабільних ринках або окремих стратегіях, тоді як порівняльний аналіз галузевої диверсифікації в умовах глобальних шоків залишається недостатньо опрацьованим. Це зумовлює потребу в комплексному підході, що поєднує класичні моделі, сучасні цифрові інструменти та врахування галузевої специфіки.</w:t>
      </w:r>
    </w:p>
    <w:p w:rsidR="00F30E41" w:rsidRDefault="00F30E41" w:rsidP="000A10B5">
      <w:pPr>
        <w:spacing w:after="0" w:line="360" w:lineRule="auto"/>
        <w:ind w:firstLine="720"/>
        <w:jc w:val="both"/>
        <w:rPr>
          <w:rFonts w:ascii="Times New Roman" w:hAnsi="Times New Roman" w:cs="Times New Roman"/>
          <w:color w:val="000000"/>
          <w:sz w:val="28"/>
          <w:szCs w:val="28"/>
        </w:rPr>
      </w:pPr>
      <w:r w:rsidRPr="007740D1">
        <w:rPr>
          <w:rFonts w:ascii="Times New Roman" w:hAnsi="Times New Roman" w:cs="Times New Roman"/>
          <w:b/>
          <w:bCs/>
          <w:color w:val="000000"/>
          <w:sz w:val="28"/>
          <w:szCs w:val="28"/>
        </w:rPr>
        <w:t>Мет</w:t>
      </w:r>
      <w:r>
        <w:rPr>
          <w:rFonts w:ascii="Times New Roman" w:hAnsi="Times New Roman" w:cs="Times New Roman"/>
          <w:b/>
          <w:bCs/>
          <w:color w:val="000000"/>
          <w:sz w:val="28"/>
          <w:szCs w:val="28"/>
        </w:rPr>
        <w:t>а дослідження:</w:t>
      </w:r>
      <w:r w:rsidRPr="007740D1">
        <w:rPr>
          <w:rFonts w:ascii="Times New Roman" w:hAnsi="Times New Roman" w:cs="Times New Roman"/>
          <w:b/>
          <w:bCs/>
          <w:color w:val="000000"/>
          <w:sz w:val="28"/>
          <w:szCs w:val="28"/>
        </w:rPr>
        <w:t xml:space="preserve"> </w:t>
      </w:r>
      <w:r w:rsidRPr="007740D1">
        <w:rPr>
          <w:rFonts w:ascii="Times New Roman" w:hAnsi="Times New Roman" w:cs="Times New Roman"/>
          <w:color w:val="000000"/>
          <w:sz w:val="28"/>
          <w:szCs w:val="28"/>
        </w:rPr>
        <w:t xml:space="preserve">проведення комплексного порівняльного аналізу дохідності міжнародних інвестиційних портфелів в умовах економічної невизначеності. </w:t>
      </w:r>
    </w:p>
    <w:p w:rsidR="00F30E41" w:rsidRPr="001478AE" w:rsidRDefault="00F30E41" w:rsidP="001478AE">
      <w:pPr>
        <w:spacing w:after="0" w:line="360" w:lineRule="auto"/>
        <w:ind w:firstLine="720"/>
        <w:jc w:val="both"/>
        <w:rPr>
          <w:rFonts w:ascii="Times New Roman" w:hAnsi="Times New Roman" w:cs="Times New Roman"/>
          <w:b/>
          <w:bCs/>
          <w:color w:val="000000"/>
          <w:sz w:val="28"/>
          <w:szCs w:val="28"/>
        </w:rPr>
      </w:pPr>
      <w:r w:rsidRPr="001478AE">
        <w:rPr>
          <w:rFonts w:ascii="Times New Roman" w:hAnsi="Times New Roman" w:cs="Times New Roman"/>
          <w:color w:val="000000"/>
          <w:sz w:val="28"/>
          <w:szCs w:val="28"/>
        </w:rPr>
        <w:t xml:space="preserve">Для реалізації мети дослідження були окреслені наступні </w:t>
      </w:r>
      <w:r w:rsidRPr="001478AE">
        <w:rPr>
          <w:rFonts w:ascii="Times New Roman" w:hAnsi="Times New Roman" w:cs="Times New Roman"/>
          <w:b/>
          <w:bCs/>
          <w:color w:val="000000"/>
          <w:sz w:val="28"/>
          <w:szCs w:val="28"/>
        </w:rPr>
        <w:t xml:space="preserve">завдання дослідження: </w:t>
      </w:r>
    </w:p>
    <w:p w:rsidR="00F30E41" w:rsidRDefault="00F30E41" w:rsidP="005020EC">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5020EC">
        <w:rPr>
          <w:rFonts w:ascii="Times New Roman" w:hAnsi="Times New Roman" w:cs="Times New Roman"/>
          <w:color w:val="000000"/>
          <w:sz w:val="28"/>
          <w:szCs w:val="28"/>
        </w:rPr>
        <w:t xml:space="preserve">  </w:t>
      </w:r>
      <w:r w:rsidRPr="00301F3C">
        <w:rPr>
          <w:rFonts w:ascii="Times New Roman" w:hAnsi="Times New Roman" w:cs="Times New Roman"/>
          <w:color w:val="000000"/>
          <w:sz w:val="28"/>
          <w:szCs w:val="28"/>
        </w:rPr>
        <w:t>Здійснити аналіз основних теоретичних підходів до формування та класифікації інвестиційних портфелів.</w:t>
      </w:r>
    </w:p>
    <w:p w:rsidR="00F30E41" w:rsidRPr="005020EC" w:rsidRDefault="00F30E41" w:rsidP="005020EC">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5020EC">
        <w:rPr>
          <w:rFonts w:ascii="Times New Roman" w:hAnsi="Times New Roman" w:cs="Times New Roman"/>
          <w:color w:val="000000"/>
          <w:sz w:val="28"/>
          <w:szCs w:val="28"/>
        </w:rPr>
        <w:t xml:space="preserve">  Проаналізувати сучасні моделі та стратегії управління інвестиційними портфелями, включаючи активний і пасивний підходи.</w:t>
      </w:r>
    </w:p>
    <w:p w:rsidR="00F30E41" w:rsidRPr="005020EC" w:rsidRDefault="00F30E41" w:rsidP="005020EC">
      <w:pPr>
        <w:spacing w:after="0" w:line="36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3.</w:t>
      </w:r>
      <w:r w:rsidRPr="005020EC">
        <w:rPr>
          <w:rFonts w:ascii="Times New Roman" w:hAnsi="Times New Roman" w:cs="Times New Roman"/>
          <w:color w:val="000000"/>
          <w:sz w:val="28"/>
          <w:szCs w:val="28"/>
          <w:lang w:val="ru-RU"/>
        </w:rPr>
        <w:t xml:space="preserve">  Дослідити галузеву структуру та ринкові тенденції в основних секторах економіки</w:t>
      </w:r>
      <w:r>
        <w:rPr>
          <w:rFonts w:ascii="Times New Roman" w:hAnsi="Times New Roman" w:cs="Times New Roman"/>
          <w:color w:val="000000"/>
          <w:sz w:val="28"/>
          <w:szCs w:val="28"/>
          <w:lang w:val="ru-RU"/>
        </w:rPr>
        <w:t xml:space="preserve">: </w:t>
      </w:r>
      <w:r w:rsidRPr="005020EC">
        <w:rPr>
          <w:rFonts w:ascii="Times New Roman" w:hAnsi="Times New Roman" w:cs="Times New Roman"/>
          <w:color w:val="000000"/>
          <w:sz w:val="28"/>
          <w:szCs w:val="28"/>
          <w:lang w:val="ru-RU"/>
        </w:rPr>
        <w:t>технології, охорона здоров’я, енергетика.</w:t>
      </w:r>
    </w:p>
    <w:p w:rsidR="00F30E41" w:rsidRPr="005020EC" w:rsidRDefault="00F30E41" w:rsidP="005020EC">
      <w:pPr>
        <w:spacing w:after="0" w:line="36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4.</w:t>
      </w:r>
      <w:r w:rsidRPr="005020EC">
        <w:rPr>
          <w:rFonts w:ascii="Times New Roman" w:hAnsi="Times New Roman" w:cs="Times New Roman"/>
          <w:color w:val="000000"/>
          <w:sz w:val="28"/>
          <w:szCs w:val="28"/>
          <w:lang w:val="ru-RU"/>
        </w:rPr>
        <w:t xml:space="preserve">  Здійснити порівняльний аналіз дохідності активів у різних секторах в умовах економічної невизначеності.</w:t>
      </w:r>
    </w:p>
    <w:p w:rsidR="00F30E41" w:rsidRPr="005020EC" w:rsidRDefault="00F30E41" w:rsidP="005020EC">
      <w:pPr>
        <w:spacing w:after="0" w:line="36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5.</w:t>
      </w:r>
      <w:r w:rsidRPr="005020EC">
        <w:rPr>
          <w:rFonts w:ascii="Times New Roman" w:hAnsi="Times New Roman" w:cs="Times New Roman"/>
          <w:color w:val="000000"/>
          <w:sz w:val="28"/>
          <w:szCs w:val="28"/>
          <w:lang w:val="ru-RU"/>
        </w:rPr>
        <w:t xml:space="preserve">  Провести кореляційний та регресійний аналіз для оцінки взаємозв’язків між активами та їх ризиковості.</w:t>
      </w:r>
    </w:p>
    <w:p w:rsidR="00F30E41" w:rsidRPr="005020EC" w:rsidRDefault="00F30E41" w:rsidP="005020EC">
      <w:pPr>
        <w:spacing w:after="0" w:line="36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6.</w:t>
      </w:r>
      <w:r w:rsidRPr="005020EC">
        <w:rPr>
          <w:rFonts w:ascii="Times New Roman" w:hAnsi="Times New Roman" w:cs="Times New Roman"/>
          <w:color w:val="000000"/>
          <w:sz w:val="28"/>
          <w:szCs w:val="28"/>
          <w:lang w:val="ru-RU"/>
        </w:rPr>
        <w:t xml:space="preserve">  Побудувати та проаналізувати інвестиційні портфелі за стратегіями </w:t>
      </w:r>
      <w:r w:rsidRPr="005020EC">
        <w:rPr>
          <w:rFonts w:ascii="Times New Roman" w:hAnsi="Times New Roman" w:cs="Times New Roman"/>
          <w:color w:val="000000"/>
          <w:sz w:val="28"/>
          <w:szCs w:val="28"/>
          <w:lang w:val="de-AT"/>
        </w:rPr>
        <w:t>value</w:t>
      </w:r>
      <w:r w:rsidRPr="005020EC">
        <w:rPr>
          <w:rFonts w:ascii="Times New Roman" w:hAnsi="Times New Roman" w:cs="Times New Roman"/>
          <w:color w:val="000000"/>
          <w:sz w:val="28"/>
          <w:szCs w:val="28"/>
          <w:lang w:val="ru-RU"/>
        </w:rPr>
        <w:t xml:space="preserve">, </w:t>
      </w:r>
      <w:r w:rsidRPr="005020EC">
        <w:rPr>
          <w:rFonts w:ascii="Times New Roman" w:hAnsi="Times New Roman" w:cs="Times New Roman"/>
          <w:color w:val="000000"/>
          <w:sz w:val="28"/>
          <w:szCs w:val="28"/>
          <w:lang w:val="de-AT"/>
        </w:rPr>
        <w:t>growth</w:t>
      </w:r>
      <w:r w:rsidRPr="005020EC">
        <w:rPr>
          <w:rFonts w:ascii="Times New Roman" w:hAnsi="Times New Roman" w:cs="Times New Roman"/>
          <w:color w:val="000000"/>
          <w:sz w:val="28"/>
          <w:szCs w:val="28"/>
          <w:lang w:val="ru-RU"/>
        </w:rPr>
        <w:t xml:space="preserve"> та </w:t>
      </w:r>
      <w:r w:rsidRPr="005020EC">
        <w:rPr>
          <w:rFonts w:ascii="Times New Roman" w:hAnsi="Times New Roman" w:cs="Times New Roman"/>
          <w:color w:val="000000"/>
          <w:sz w:val="28"/>
          <w:szCs w:val="28"/>
          <w:lang w:val="de-AT"/>
        </w:rPr>
        <w:t>income</w:t>
      </w:r>
      <w:r w:rsidRPr="005020EC">
        <w:rPr>
          <w:rFonts w:ascii="Times New Roman" w:hAnsi="Times New Roman" w:cs="Times New Roman"/>
          <w:color w:val="000000"/>
          <w:sz w:val="28"/>
          <w:szCs w:val="28"/>
          <w:lang w:val="ru-RU"/>
        </w:rPr>
        <w:t>.</w:t>
      </w:r>
    </w:p>
    <w:p w:rsidR="00F30E41" w:rsidRPr="005020EC" w:rsidRDefault="00F30E41" w:rsidP="00A5350D">
      <w:pPr>
        <w:spacing w:after="0" w:line="36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7.</w:t>
      </w:r>
      <w:r w:rsidRPr="005020EC">
        <w:rPr>
          <w:rFonts w:ascii="Times New Roman" w:hAnsi="Times New Roman" w:cs="Times New Roman"/>
          <w:color w:val="000000"/>
          <w:sz w:val="28"/>
          <w:szCs w:val="28"/>
          <w:lang w:val="ru-RU"/>
        </w:rPr>
        <w:t xml:space="preserve">  Надати рекомендації щодо оптимізації портфельних стратегій з урахуванням ризиків, галузевої диверсифікації та макроекономічних факторів.</w:t>
      </w:r>
    </w:p>
    <w:p w:rsidR="00F30E41" w:rsidRPr="00335F19" w:rsidRDefault="00F30E41" w:rsidP="00335F19">
      <w:pPr>
        <w:spacing w:after="0" w:line="360" w:lineRule="auto"/>
        <w:ind w:firstLine="720"/>
        <w:jc w:val="both"/>
        <w:rPr>
          <w:rFonts w:ascii="Times New Roman" w:hAnsi="Times New Roman" w:cs="Times New Roman"/>
          <w:color w:val="000000"/>
          <w:sz w:val="28"/>
          <w:szCs w:val="28"/>
        </w:rPr>
      </w:pPr>
      <w:r w:rsidRPr="00335F19">
        <w:rPr>
          <w:rFonts w:ascii="Times New Roman" w:hAnsi="Times New Roman" w:cs="Times New Roman"/>
          <w:b/>
          <w:bCs/>
          <w:color w:val="000000"/>
          <w:sz w:val="28"/>
          <w:szCs w:val="28"/>
        </w:rPr>
        <w:t xml:space="preserve">Об’єктом дослідження </w:t>
      </w:r>
      <w:r w:rsidRPr="00335F19">
        <w:rPr>
          <w:rFonts w:ascii="Times New Roman" w:hAnsi="Times New Roman" w:cs="Times New Roman"/>
          <w:color w:val="000000"/>
          <w:sz w:val="28"/>
          <w:szCs w:val="28"/>
        </w:rPr>
        <w:t>є міжнародні інвестиційні портфелі, диверсифіковані за галузями та регіонами, а також їхня дохідність і ризики в умовах глобалізації та економічної невизначеності.</w:t>
      </w:r>
    </w:p>
    <w:p w:rsidR="00F30E41" w:rsidRDefault="00F30E41" w:rsidP="007427B9">
      <w:pPr>
        <w:spacing w:after="0" w:line="360" w:lineRule="auto"/>
        <w:ind w:firstLine="720"/>
        <w:jc w:val="both"/>
        <w:rPr>
          <w:rFonts w:ascii="Times New Roman" w:hAnsi="Times New Roman" w:cs="Times New Roman"/>
          <w:color w:val="000000"/>
          <w:sz w:val="28"/>
          <w:szCs w:val="28"/>
        </w:rPr>
      </w:pPr>
      <w:r w:rsidRPr="000A71A0">
        <w:rPr>
          <w:rFonts w:ascii="Times New Roman" w:hAnsi="Times New Roman" w:cs="Times New Roman"/>
          <w:b/>
          <w:bCs/>
          <w:color w:val="000000"/>
          <w:sz w:val="28"/>
          <w:szCs w:val="28"/>
        </w:rPr>
        <w:t>Предметом наукового дослідження</w:t>
      </w:r>
      <w:r w:rsidRPr="000A71A0">
        <w:rPr>
          <w:rFonts w:ascii="Times New Roman" w:hAnsi="Times New Roman" w:cs="Times New Roman"/>
          <w:color w:val="000000"/>
          <w:sz w:val="28"/>
          <w:szCs w:val="28"/>
        </w:rPr>
        <w:t xml:space="preserve"> є процес формування, оцінки ефективності та оптимізації міжнародних інвестиційних портфелів з урахуванням галузевої диверсифікації, ризиків, макроекономічних чинників і взаємозв’язків між активами в умовах глобальної економічної невизначеності.</w:t>
      </w:r>
    </w:p>
    <w:p w:rsidR="00F30E41" w:rsidRPr="001A49C8" w:rsidRDefault="00F30E41" w:rsidP="007D562D">
      <w:pPr>
        <w:spacing w:after="0" w:line="360" w:lineRule="auto"/>
        <w:ind w:firstLine="720"/>
        <w:jc w:val="both"/>
        <w:rPr>
          <w:rFonts w:ascii="Times New Roman" w:hAnsi="Times New Roman" w:cs="Times New Roman"/>
          <w:color w:val="000000"/>
          <w:sz w:val="28"/>
          <w:szCs w:val="28"/>
        </w:rPr>
      </w:pPr>
      <w:r w:rsidRPr="005A1479">
        <w:rPr>
          <w:rFonts w:ascii="Times New Roman" w:hAnsi="Times New Roman" w:cs="Times New Roman"/>
          <w:b/>
          <w:bCs/>
          <w:color w:val="000000"/>
          <w:sz w:val="28"/>
          <w:szCs w:val="28"/>
        </w:rPr>
        <w:t xml:space="preserve">Методи дослідження. </w:t>
      </w:r>
      <w:r w:rsidRPr="007D562D">
        <w:rPr>
          <w:rFonts w:ascii="Times New Roman" w:hAnsi="Times New Roman" w:cs="Times New Roman"/>
          <w:color w:val="000000"/>
          <w:sz w:val="28"/>
          <w:szCs w:val="28"/>
        </w:rPr>
        <w:t>Вирішення поставлених у роботі завдань здійснено з використанням загальнонаукових та спеціальних методів, а саме: аналізу та узагальнення (для систематизації теоретичних підходів до формування інвестиційних портфелів); економіко-статистичного методу (для аналізу динаміки секторних показників і ринкових індексів); порівняльного методу (для оцінки дохідності активів у різних галузях);</w:t>
      </w:r>
      <w:r w:rsidRPr="00143AE0">
        <w:rPr>
          <w:rFonts w:ascii="Times New Roman" w:hAnsi="Times New Roman" w:cs="Times New Roman"/>
          <w:color w:val="000000"/>
          <w:sz w:val="28"/>
          <w:szCs w:val="28"/>
        </w:rPr>
        <w:t xml:space="preserve"> </w:t>
      </w:r>
      <w:r w:rsidRPr="007D562D">
        <w:rPr>
          <w:rFonts w:ascii="Times New Roman" w:hAnsi="Times New Roman" w:cs="Times New Roman"/>
          <w:color w:val="000000"/>
          <w:sz w:val="28"/>
          <w:szCs w:val="28"/>
        </w:rPr>
        <w:t xml:space="preserve">кореляційного аналізу (для виявлення взаємозв’язків між активами); </w:t>
      </w:r>
      <w:r w:rsidRPr="001518B2">
        <w:rPr>
          <w:rFonts w:ascii="Times New Roman" w:hAnsi="Times New Roman" w:cs="Times New Roman"/>
          <w:color w:val="000000"/>
          <w:sz w:val="28"/>
          <w:szCs w:val="28"/>
        </w:rPr>
        <w:t>регресійного аналізу за моделлю Фама</w:t>
      </w:r>
      <w:r w:rsidRPr="00407C8C">
        <w:rPr>
          <w:rFonts w:ascii="Times New Roman" w:hAnsi="Times New Roman" w:cs="Times New Roman"/>
          <w:color w:val="000000"/>
          <w:sz w:val="28"/>
          <w:szCs w:val="28"/>
        </w:rPr>
        <w:t>-</w:t>
      </w:r>
      <w:r w:rsidRPr="001518B2">
        <w:rPr>
          <w:rFonts w:ascii="Times New Roman" w:hAnsi="Times New Roman" w:cs="Times New Roman"/>
          <w:color w:val="000000"/>
          <w:sz w:val="28"/>
          <w:szCs w:val="28"/>
        </w:rPr>
        <w:t>Френча із застосуванням програмного забезпечення SPSS</w:t>
      </w:r>
      <w:r w:rsidRPr="007D562D">
        <w:rPr>
          <w:rFonts w:ascii="Times New Roman" w:hAnsi="Times New Roman" w:cs="Times New Roman"/>
          <w:color w:val="000000"/>
          <w:sz w:val="28"/>
          <w:szCs w:val="28"/>
        </w:rPr>
        <w:t xml:space="preserve"> (для оцінки факторного впливу на дохідність); економіко-математичного моделювання </w:t>
      </w:r>
      <w:r w:rsidRPr="001518B2">
        <w:rPr>
          <w:rFonts w:ascii="Times New Roman" w:hAnsi="Times New Roman" w:cs="Times New Roman"/>
          <w:color w:val="000000"/>
          <w:sz w:val="28"/>
          <w:szCs w:val="28"/>
        </w:rPr>
        <w:t>за допомогою платформи Portfolio Visualizer</w:t>
      </w:r>
      <w:r w:rsidRPr="007D562D">
        <w:rPr>
          <w:rFonts w:ascii="Times New Roman" w:hAnsi="Times New Roman" w:cs="Times New Roman"/>
          <w:color w:val="000000"/>
          <w:sz w:val="28"/>
          <w:szCs w:val="28"/>
        </w:rPr>
        <w:t xml:space="preserve"> (для побудови та оптимізації інвестиційного портфеля).</w:t>
      </w:r>
    </w:p>
    <w:p w:rsidR="00F30E41" w:rsidRPr="001A49C8" w:rsidRDefault="00F30E41" w:rsidP="0002642C">
      <w:pPr>
        <w:spacing w:after="0" w:line="360" w:lineRule="auto"/>
        <w:ind w:firstLine="720"/>
        <w:jc w:val="both"/>
        <w:rPr>
          <w:rFonts w:ascii="Times New Roman" w:hAnsi="Times New Roman" w:cs="Times New Roman"/>
          <w:color w:val="000000"/>
          <w:sz w:val="28"/>
          <w:szCs w:val="28"/>
        </w:rPr>
      </w:pPr>
      <w:r w:rsidRPr="003127CA">
        <w:rPr>
          <w:rFonts w:ascii="Times New Roman" w:hAnsi="Times New Roman" w:cs="Times New Roman"/>
          <w:b/>
          <w:bCs/>
          <w:color w:val="000000"/>
          <w:sz w:val="28"/>
          <w:szCs w:val="28"/>
        </w:rPr>
        <w:t>Структура роботи:</w:t>
      </w:r>
      <w:r w:rsidRPr="003127CA">
        <w:rPr>
          <w:rFonts w:ascii="Times New Roman" w:hAnsi="Times New Roman" w:cs="Times New Roman"/>
          <w:color w:val="000000"/>
          <w:sz w:val="28"/>
          <w:szCs w:val="28"/>
        </w:rPr>
        <w:t xml:space="preserve"> </w:t>
      </w:r>
      <w:r w:rsidRPr="003D69A0">
        <w:rPr>
          <w:rFonts w:ascii="Times New Roman" w:hAnsi="Times New Roman" w:cs="Times New Roman"/>
          <w:color w:val="000000"/>
          <w:sz w:val="28"/>
          <w:szCs w:val="28"/>
        </w:rPr>
        <w:t>кваліфікаційна</w:t>
      </w:r>
      <w:r w:rsidRPr="004E11B5">
        <w:rPr>
          <w:rFonts w:ascii="Times New Roman" w:hAnsi="Times New Roman" w:cs="Times New Roman"/>
          <w:color w:val="000000"/>
          <w:sz w:val="28"/>
          <w:szCs w:val="28"/>
        </w:rPr>
        <w:t xml:space="preserve"> робота складається зі вступу, трьох розділів, висновків, списку використаних джерел та додатків. У першому розділі розкрито теоретичні основи формування та управління інвестиційними портфелями, а також охарактеризовано ключові підходи до їх оптимізації. Другий розділ присвячений аналізу галузевої структури, дохідності активів у різних секторах економіки та впливу макроекономічних факторів. У третьому розділі було розглянуто побудову, оцінку ефективності та оптимізацію міжнародного інвестиційного портфеля з урахуванням галузевої диверсифікації та стратегії інвестування.</w:t>
      </w:r>
    </w:p>
    <w:p w:rsidR="00F30E41" w:rsidRDefault="00F30E41" w:rsidP="00D23A2C">
      <w:pPr>
        <w:spacing w:after="0" w:line="360" w:lineRule="auto"/>
        <w:ind w:firstLine="720"/>
        <w:jc w:val="both"/>
        <w:rPr>
          <w:rFonts w:ascii="Times New Roman" w:hAnsi="Times New Roman" w:cs="Times New Roman"/>
          <w:color w:val="000000"/>
          <w:sz w:val="28"/>
          <w:szCs w:val="28"/>
        </w:rPr>
      </w:pPr>
      <w:r w:rsidRPr="004500D0">
        <w:rPr>
          <w:rFonts w:ascii="Times New Roman" w:hAnsi="Times New Roman" w:cs="Times New Roman"/>
          <w:b/>
          <w:bCs/>
          <w:color w:val="000000"/>
          <w:sz w:val="28"/>
          <w:szCs w:val="28"/>
        </w:rPr>
        <w:t xml:space="preserve">Джерела інформації. </w:t>
      </w:r>
      <w:r>
        <w:rPr>
          <w:rFonts w:ascii="Times New Roman" w:hAnsi="Times New Roman" w:cs="Times New Roman"/>
          <w:color w:val="000000"/>
          <w:sz w:val="28"/>
          <w:szCs w:val="28"/>
        </w:rPr>
        <w:t>І</w:t>
      </w:r>
      <w:r w:rsidRPr="0002642C">
        <w:rPr>
          <w:rFonts w:ascii="Times New Roman" w:hAnsi="Times New Roman" w:cs="Times New Roman"/>
          <w:color w:val="000000"/>
          <w:sz w:val="28"/>
          <w:szCs w:val="28"/>
        </w:rPr>
        <w:t>нформаційну базу кваліфікаційної роботи становили наукові праці вітчизняних та зарубіжних дослідників з питань інвестування та портфельного аналізу; офіційна статистика міжнародних фінансових і аналітичних організацій (MSCI, World Bank, WHO, Statista); аналітичні звіти EFAMA, Bloomberg, Morningstar;; а також ресурси Інтернет-мережі з актуальною ринковою інформацією.</w:t>
      </w:r>
    </w:p>
    <w:p w:rsidR="00F30E41" w:rsidRPr="00870F3D" w:rsidRDefault="00F30E41" w:rsidP="00870F3D">
      <w:pPr>
        <w:spacing w:after="0" w:line="360" w:lineRule="auto"/>
        <w:ind w:firstLine="720"/>
        <w:jc w:val="both"/>
        <w:rPr>
          <w:rFonts w:ascii="Times New Roman" w:hAnsi="Times New Roman" w:cs="Times New Roman"/>
          <w:color w:val="000000"/>
          <w:sz w:val="28"/>
          <w:szCs w:val="28"/>
          <w:lang w:val="ru-RU"/>
        </w:rPr>
      </w:pPr>
      <w:r w:rsidRPr="00D23A2C">
        <w:rPr>
          <w:rFonts w:ascii="Times New Roman" w:hAnsi="Times New Roman" w:cs="Times New Roman"/>
          <w:b/>
          <w:bCs/>
          <w:color w:val="000000"/>
          <w:sz w:val="28"/>
          <w:szCs w:val="28"/>
        </w:rPr>
        <w:t>Апробація результатів дослідження.</w:t>
      </w:r>
      <w:r>
        <w:rPr>
          <w:rFonts w:ascii="Times New Roman" w:hAnsi="Times New Roman" w:cs="Times New Roman"/>
          <w:color w:val="000000"/>
          <w:sz w:val="28"/>
          <w:szCs w:val="28"/>
        </w:rPr>
        <w:t xml:space="preserve"> </w:t>
      </w:r>
      <w:r w:rsidRPr="00134CC1">
        <w:rPr>
          <w:rFonts w:ascii="Times New Roman" w:hAnsi="Times New Roman" w:cs="Times New Roman"/>
          <w:color w:val="000000"/>
          <w:sz w:val="28"/>
          <w:szCs w:val="28"/>
        </w:rPr>
        <w:t>Основні результати кваліфікаційної роботи були оприлюднені на Третій міжнародній науково-практичній конференції «Соціально-економічний та політичний розвиток країн в умовах глобальної нестабільності», проведеній на базі Одеського національного університету імені І. І. Мечникова (м. Одеса, 2024</w:t>
      </w:r>
      <w:r w:rsidRPr="00237AA2">
        <w:rPr>
          <w:rFonts w:ascii="Times New Roman" w:hAnsi="Times New Roman" w:cs="Times New Roman"/>
          <w:color w:val="000000"/>
          <w:sz w:val="28"/>
          <w:szCs w:val="28"/>
        </w:rPr>
        <w:t>-</w:t>
      </w:r>
      <w:r w:rsidRPr="00134CC1">
        <w:rPr>
          <w:rFonts w:ascii="Times New Roman" w:hAnsi="Times New Roman" w:cs="Times New Roman"/>
          <w:color w:val="000000"/>
          <w:sz w:val="28"/>
          <w:szCs w:val="28"/>
        </w:rPr>
        <w:t xml:space="preserve">2025 рр.). За результатами дослідження здобувачкою Петровою Д.О. було підготовлено тези доповіді на тему «Порівняння інвестиційної привабливості різних галузей економіки України в умовах нестабільності» </w:t>
      </w:r>
      <w:r w:rsidRPr="00C00B08">
        <w:rPr>
          <w:rFonts w:ascii="Times New Roman" w:hAnsi="Times New Roman" w:cs="Times New Roman"/>
          <w:color w:val="000000"/>
          <w:sz w:val="28"/>
          <w:szCs w:val="28"/>
        </w:rPr>
        <w:t xml:space="preserve">, </w:t>
      </w:r>
      <w:r w:rsidRPr="00134CC1">
        <w:rPr>
          <w:rFonts w:ascii="Times New Roman" w:hAnsi="Times New Roman" w:cs="Times New Roman"/>
          <w:color w:val="000000"/>
          <w:sz w:val="28"/>
          <w:szCs w:val="28"/>
        </w:rPr>
        <w:t>к.е.н., доц. Бичкова Н.В., а також матеріал «European and Global Experience in Managing Sustainable Development of Economic-Ecological Systems»</w:t>
      </w:r>
      <w:r w:rsidRPr="00C00B08">
        <w:rPr>
          <w:rFonts w:ascii="Times New Roman" w:hAnsi="Times New Roman" w:cs="Times New Roman"/>
          <w:color w:val="000000"/>
          <w:sz w:val="28"/>
          <w:szCs w:val="28"/>
          <w:lang w:val="en-US"/>
        </w:rPr>
        <w:t xml:space="preserve">, </w:t>
      </w:r>
      <w:r w:rsidRPr="00295BCE">
        <w:rPr>
          <w:rFonts w:ascii="Times New Roman" w:hAnsi="Times New Roman" w:cs="Times New Roman"/>
          <w:color w:val="000000"/>
          <w:sz w:val="28"/>
          <w:szCs w:val="28"/>
        </w:rPr>
        <w:t>к.е.н., доц. Розмарина А. Л.</w:t>
      </w:r>
      <w:r w:rsidRPr="00134CC1">
        <w:rPr>
          <w:rFonts w:ascii="Times New Roman" w:hAnsi="Times New Roman" w:cs="Times New Roman"/>
          <w:color w:val="000000"/>
          <w:sz w:val="28"/>
          <w:szCs w:val="28"/>
        </w:rPr>
        <w:t>, що увійшов до збірника конференції.</w:t>
      </w:r>
    </w:p>
    <w:p w:rsidR="00F30E41" w:rsidRPr="008E3BC5" w:rsidRDefault="00F30E41" w:rsidP="00237AA2">
      <w:pPr>
        <w:spacing w:after="0" w:line="360" w:lineRule="auto"/>
        <w:jc w:val="center"/>
        <w:rPr>
          <w:rFonts w:ascii="Times New Roman" w:hAnsi="Times New Roman" w:cs="Times New Roman"/>
          <w:b/>
          <w:bCs/>
          <w:color w:val="000000"/>
          <w:sz w:val="28"/>
          <w:szCs w:val="28"/>
        </w:rPr>
      </w:pPr>
      <w:r w:rsidRPr="008E3BC5">
        <w:rPr>
          <w:rFonts w:ascii="Times New Roman" w:hAnsi="Times New Roman" w:cs="Times New Roman"/>
          <w:b/>
          <w:bCs/>
          <w:color w:val="000000"/>
          <w:sz w:val="28"/>
          <w:szCs w:val="28"/>
        </w:rPr>
        <w:t>РОЗДІЛ 1</w:t>
      </w:r>
    </w:p>
    <w:p w:rsidR="00F30E41" w:rsidRPr="008E3BC5" w:rsidRDefault="00F30E41" w:rsidP="00E92E35">
      <w:pPr>
        <w:spacing w:after="0" w:line="360" w:lineRule="auto"/>
        <w:ind w:firstLine="720"/>
        <w:jc w:val="center"/>
        <w:rPr>
          <w:rFonts w:ascii="Times New Roman" w:hAnsi="Times New Roman" w:cs="Times New Roman"/>
          <w:b/>
          <w:bCs/>
          <w:color w:val="000000"/>
          <w:sz w:val="28"/>
          <w:szCs w:val="28"/>
        </w:rPr>
      </w:pPr>
      <w:r w:rsidRPr="008E3BC5">
        <w:rPr>
          <w:rFonts w:ascii="Times New Roman" w:hAnsi="Times New Roman" w:cs="Times New Roman"/>
          <w:b/>
          <w:bCs/>
          <w:color w:val="000000"/>
          <w:sz w:val="28"/>
          <w:szCs w:val="28"/>
        </w:rPr>
        <w:t>ТЕОРЕТИЧНІ АСПЕКТИ ПРОЦЕСІВ ФОРМУВАННЯ ТА УПРАВЛІННЯ ІНВЕСТИЦІЙНИМ ПОРТФЕЛЕМ</w:t>
      </w:r>
    </w:p>
    <w:p w:rsidR="00F30E41" w:rsidRPr="008E3BC5" w:rsidRDefault="00F30E41" w:rsidP="00E92E35">
      <w:pPr>
        <w:spacing w:after="0" w:line="360" w:lineRule="auto"/>
        <w:ind w:firstLine="720"/>
        <w:jc w:val="center"/>
        <w:rPr>
          <w:rFonts w:ascii="Times New Roman" w:hAnsi="Times New Roman" w:cs="Times New Roman"/>
          <w:b/>
          <w:bCs/>
          <w:color w:val="000000"/>
          <w:sz w:val="28"/>
          <w:szCs w:val="28"/>
        </w:rPr>
      </w:pPr>
    </w:p>
    <w:p w:rsidR="00F30E41" w:rsidRPr="008E3BC5" w:rsidRDefault="00F30E41" w:rsidP="0039413D">
      <w:pPr>
        <w:pStyle w:val="ListParagraph"/>
        <w:numPr>
          <w:ilvl w:val="1"/>
          <w:numId w:val="2"/>
        </w:numPr>
        <w:tabs>
          <w:tab w:val="left" w:pos="6946"/>
        </w:tabs>
        <w:spacing w:after="0" w:line="360" w:lineRule="auto"/>
        <w:jc w:val="both"/>
        <w:rPr>
          <w:rFonts w:ascii="Times New Roman" w:hAnsi="Times New Roman" w:cs="Times New Roman"/>
          <w:b/>
          <w:bCs/>
          <w:color w:val="000000"/>
          <w:sz w:val="28"/>
          <w:szCs w:val="28"/>
        </w:rPr>
      </w:pPr>
      <w:r w:rsidRPr="008E3BC5">
        <w:rPr>
          <w:rFonts w:ascii="Times New Roman" w:hAnsi="Times New Roman" w:cs="Times New Roman"/>
          <w:b/>
          <w:bCs/>
          <w:color w:val="000000"/>
          <w:sz w:val="28"/>
          <w:szCs w:val="28"/>
        </w:rPr>
        <w:t>Сутність та класифікація інвестиційних портфелів</w:t>
      </w:r>
    </w:p>
    <w:p w:rsidR="00F30E41" w:rsidRPr="008E3BC5" w:rsidRDefault="00F30E41" w:rsidP="002514A6">
      <w:pPr>
        <w:tabs>
          <w:tab w:val="left" w:pos="6946"/>
        </w:tabs>
        <w:spacing w:after="0" w:line="360" w:lineRule="auto"/>
        <w:ind w:firstLine="709"/>
        <w:jc w:val="both"/>
        <w:rPr>
          <w:rFonts w:ascii="Times New Roman" w:hAnsi="Times New Roman" w:cs="Times New Roman"/>
          <w:color w:val="000000"/>
          <w:sz w:val="28"/>
          <w:szCs w:val="28"/>
        </w:rPr>
      </w:pPr>
    </w:p>
    <w:p w:rsidR="00F30E41" w:rsidRPr="009A7015"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rPr>
      </w:pPr>
      <w:r w:rsidRPr="0060128D">
        <w:rPr>
          <w:rFonts w:ascii="Times New Roman" w:hAnsi="Times New Roman" w:cs="Times New Roman"/>
          <w:color w:val="000000"/>
          <w:sz w:val="28"/>
          <w:szCs w:val="28"/>
        </w:rPr>
        <w:t xml:space="preserve">У сучасних умовах фінансової нестабільності інвестори все частіше шукають інструменти, які дозволяють не лише зберегти, а й ефективно примножити капітал. Одним із таких інструментів є інвестиційний портфель </w:t>
      </w:r>
      <w:r>
        <w:rPr>
          <w:rFonts w:ascii="Times New Roman" w:hAnsi="Times New Roman" w:cs="Times New Roman"/>
          <w:color w:val="000000"/>
          <w:sz w:val="28"/>
          <w:szCs w:val="28"/>
        </w:rPr>
        <w:t>-</w:t>
      </w:r>
      <w:r w:rsidRPr="0060128D">
        <w:rPr>
          <w:rFonts w:ascii="Times New Roman" w:hAnsi="Times New Roman" w:cs="Times New Roman"/>
          <w:color w:val="000000"/>
          <w:sz w:val="28"/>
          <w:szCs w:val="28"/>
        </w:rPr>
        <w:t xml:space="preserve"> структурована сукупність фінансових активів, сформована відповідно до індивідуальних цілей, рівня ризику та очікуваної дохідності. </w:t>
      </w:r>
      <w:r w:rsidRPr="009A7015">
        <w:rPr>
          <w:rFonts w:ascii="Times New Roman" w:hAnsi="Times New Roman" w:cs="Times New Roman"/>
          <w:color w:val="000000"/>
          <w:sz w:val="28"/>
          <w:szCs w:val="28"/>
        </w:rPr>
        <w:t>Його побудова передбачає системний підхід до вибору активів і застосування відповідної стратегії інвестування, що дозволяє оптимізувати співвідношення між ризиком і прибутком.</w:t>
      </w:r>
    </w:p>
    <w:p w:rsidR="00F30E41"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rPr>
      </w:pPr>
      <w:r w:rsidRPr="009A7015">
        <w:rPr>
          <w:rFonts w:ascii="Times New Roman" w:hAnsi="Times New Roman" w:cs="Times New Roman"/>
          <w:color w:val="000000"/>
          <w:sz w:val="28"/>
          <w:szCs w:val="28"/>
        </w:rPr>
        <w:t>У цьому контексті важливим етапом стає вибір інвестиційної стратегії, яка визначає структуру портфеля, типи активів та очікувану поведінку інвестора на ринку. Існує три основні підходи, що найбільш широко застосовуються на практиці: income, growth та value.</w:t>
      </w:r>
    </w:p>
    <w:p w:rsidR="00F30E41" w:rsidRPr="001A49C8"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lang w:val="ru-RU"/>
        </w:rPr>
      </w:pPr>
      <w:r w:rsidRPr="0074099B">
        <w:rPr>
          <w:rFonts w:ascii="Times New Roman" w:hAnsi="Times New Roman" w:cs="Times New Roman"/>
          <w:color w:val="000000"/>
          <w:sz w:val="28"/>
          <w:szCs w:val="28"/>
        </w:rPr>
        <w:t>Income-стратегія передбачає інвестування в активи, що приносять регулярний дохід - як-от дивідендні акції, облігації чи нерухомість. Вона підходить тим, хто цінує стабільність і не готовий до високих ризиків, хоча приріст капіталу тут зазвичай обмежений.</w:t>
      </w:r>
    </w:p>
    <w:p w:rsidR="00F30E41" w:rsidRPr="001A49C8"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lang w:val="ru-RU"/>
        </w:rPr>
      </w:pPr>
      <w:r w:rsidRPr="0074099B">
        <w:rPr>
          <w:rFonts w:ascii="Times New Roman" w:hAnsi="Times New Roman" w:cs="Times New Roman"/>
          <w:color w:val="000000"/>
          <w:sz w:val="28"/>
          <w:szCs w:val="28"/>
        </w:rPr>
        <w:t xml:space="preserve">Growth-стратегія робить ставку на зростання </w:t>
      </w:r>
      <w:r w:rsidRPr="0074099B">
        <w:rPr>
          <w:rFonts w:ascii="Times New Roman" w:hAnsi="Times New Roman" w:cs="Times New Roman"/>
          <w:color w:val="000000"/>
          <w:sz w:val="28"/>
          <w:szCs w:val="28"/>
          <w:lang w:val="ru-RU"/>
        </w:rPr>
        <w:t>-</w:t>
      </w:r>
      <w:r w:rsidRPr="0074099B">
        <w:rPr>
          <w:rFonts w:ascii="Times New Roman" w:hAnsi="Times New Roman" w:cs="Times New Roman"/>
          <w:color w:val="000000"/>
          <w:sz w:val="28"/>
          <w:szCs w:val="28"/>
        </w:rPr>
        <w:t xml:space="preserve"> інвестори обирають компанії з високим потенціалом розвитку, зокрема у сфері технологій чи інновацій. Прибуток може бути значним, але й ризики вищі, а результат часто проявляється лише з часом.</w:t>
      </w:r>
    </w:p>
    <w:p w:rsidR="00F30E41" w:rsidRPr="001A49C8"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rPr>
      </w:pPr>
      <w:r w:rsidRPr="0074099B">
        <w:rPr>
          <w:rFonts w:ascii="Times New Roman" w:hAnsi="Times New Roman" w:cs="Times New Roman"/>
          <w:color w:val="000000"/>
          <w:sz w:val="28"/>
          <w:szCs w:val="28"/>
        </w:rPr>
        <w:t>Value-стратегія зосереджується на пошуку недооцінених активів, які можуть зрости в майбутньому. Такий підхід вимагає глибокого аналізу компаній та ринку й часто використовується в періоди економічної нестабільності</w:t>
      </w:r>
      <w:r w:rsidRPr="00437EF4">
        <w:rPr>
          <w:rFonts w:ascii="Times New Roman" w:hAnsi="Times New Roman" w:cs="Times New Roman"/>
          <w:color w:val="000000"/>
          <w:sz w:val="28"/>
          <w:szCs w:val="28"/>
        </w:rPr>
        <w:t>/</w:t>
      </w:r>
    </w:p>
    <w:p w:rsidR="00F30E41"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lang w:val="ru-RU"/>
        </w:rPr>
      </w:pPr>
      <w:r w:rsidRPr="006E746C">
        <w:rPr>
          <w:rFonts w:ascii="Times New Roman" w:hAnsi="Times New Roman" w:cs="Times New Roman"/>
          <w:color w:val="000000"/>
          <w:sz w:val="28"/>
          <w:szCs w:val="28"/>
        </w:rPr>
        <w:t xml:space="preserve">Вибір стратегії інвестування залежить від декількох ключових факторів. Першим фактором є горизонт інвестування. Короткострокові інвестори зазвичай обирають income-стратегію для отримання швидкого доходу, тоді як довгострокові інвестори частіше зосереджуються на growth-стратегії для досягнення максимального зростання капіталу. Рівень ризику також є важливим фактором. Консервативні інвестори, що прагнуть зберегти капітал, обирають </w:t>
      </w:r>
      <w:r>
        <w:rPr>
          <w:rFonts w:ascii="Times New Roman" w:hAnsi="Times New Roman" w:cs="Times New Roman"/>
          <w:color w:val="000000"/>
          <w:sz w:val="28"/>
          <w:szCs w:val="28"/>
          <w:lang w:val="en-US"/>
        </w:rPr>
        <w:t>income</w:t>
      </w:r>
      <w:r w:rsidRPr="001A49C8">
        <w:rPr>
          <w:rFonts w:ascii="Times New Roman" w:hAnsi="Times New Roman" w:cs="Times New Roman"/>
          <w:color w:val="000000"/>
          <w:sz w:val="28"/>
          <w:szCs w:val="28"/>
        </w:rPr>
        <w:t>-</w:t>
      </w:r>
      <w:r w:rsidRPr="006E746C">
        <w:rPr>
          <w:rFonts w:ascii="Times New Roman" w:hAnsi="Times New Roman" w:cs="Times New Roman"/>
          <w:color w:val="000000"/>
          <w:sz w:val="28"/>
          <w:szCs w:val="28"/>
        </w:rPr>
        <w:t xml:space="preserve"> або </w:t>
      </w:r>
      <w:r>
        <w:rPr>
          <w:rFonts w:ascii="Times New Roman" w:hAnsi="Times New Roman" w:cs="Times New Roman"/>
          <w:color w:val="000000"/>
          <w:sz w:val="28"/>
          <w:szCs w:val="28"/>
          <w:lang w:val="en-US"/>
        </w:rPr>
        <w:t>value</w:t>
      </w:r>
      <w:r w:rsidRPr="001A49C8">
        <w:rPr>
          <w:rFonts w:ascii="Times New Roman" w:hAnsi="Times New Roman" w:cs="Times New Roman"/>
          <w:color w:val="000000"/>
          <w:sz w:val="28"/>
          <w:szCs w:val="28"/>
        </w:rPr>
        <w:t>-</w:t>
      </w:r>
      <w:r w:rsidRPr="006E746C">
        <w:rPr>
          <w:rFonts w:ascii="Times New Roman" w:hAnsi="Times New Roman" w:cs="Times New Roman"/>
          <w:color w:val="000000"/>
          <w:sz w:val="28"/>
          <w:szCs w:val="28"/>
        </w:rPr>
        <w:t>стратегію. Інвестори, готові до високих ризиків заради більшого потенційного доходу, частіше застосовують growth-стратегію.</w:t>
      </w:r>
    </w:p>
    <w:p w:rsidR="00F30E41"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lang w:val="ru-RU"/>
        </w:rPr>
      </w:pPr>
      <w:r w:rsidRPr="00703291">
        <w:rPr>
          <w:rFonts w:ascii="Times New Roman" w:hAnsi="Times New Roman" w:cs="Times New Roman"/>
          <w:color w:val="000000"/>
          <w:sz w:val="28"/>
          <w:szCs w:val="28"/>
        </w:rPr>
        <w:t xml:space="preserve">Фінансові цілі інвестора безпосередньо впливають на вибір інвестиційної стратегії. Для отримання стабільного доходу доцільним є застосування </w:t>
      </w:r>
      <w:r w:rsidRPr="00703291">
        <w:rPr>
          <w:rFonts w:ascii="Times New Roman" w:hAnsi="Times New Roman" w:cs="Times New Roman"/>
          <w:color w:val="000000"/>
          <w:sz w:val="28"/>
          <w:szCs w:val="28"/>
          <w:lang w:val="de-AT"/>
        </w:rPr>
        <w:t>income</w:t>
      </w:r>
      <w:r w:rsidRPr="00703291">
        <w:rPr>
          <w:rFonts w:ascii="Times New Roman" w:hAnsi="Times New Roman" w:cs="Times New Roman"/>
          <w:color w:val="000000"/>
          <w:sz w:val="28"/>
          <w:szCs w:val="28"/>
        </w:rPr>
        <w:t xml:space="preserve">-стратегії, тоді як для нарощування капіталу </w:t>
      </w:r>
      <w:r w:rsidRPr="000F704B">
        <w:rPr>
          <w:rFonts w:ascii="Times New Roman" w:hAnsi="Times New Roman" w:cs="Times New Roman"/>
          <w:color w:val="000000"/>
          <w:sz w:val="28"/>
          <w:szCs w:val="28"/>
        </w:rPr>
        <w:t>-</w:t>
      </w:r>
      <w:r w:rsidRPr="00703291">
        <w:rPr>
          <w:rFonts w:ascii="Times New Roman" w:hAnsi="Times New Roman" w:cs="Times New Roman"/>
          <w:color w:val="000000"/>
          <w:sz w:val="28"/>
          <w:szCs w:val="28"/>
        </w:rPr>
        <w:t xml:space="preserve"> </w:t>
      </w:r>
      <w:r w:rsidRPr="00703291">
        <w:rPr>
          <w:rFonts w:ascii="Times New Roman" w:hAnsi="Times New Roman" w:cs="Times New Roman"/>
          <w:color w:val="000000"/>
          <w:sz w:val="28"/>
          <w:szCs w:val="28"/>
          <w:lang w:val="de-AT"/>
        </w:rPr>
        <w:t>growth</w:t>
      </w:r>
      <w:r w:rsidRPr="00703291">
        <w:rPr>
          <w:rFonts w:ascii="Times New Roman" w:hAnsi="Times New Roman" w:cs="Times New Roman"/>
          <w:color w:val="000000"/>
          <w:sz w:val="28"/>
          <w:szCs w:val="28"/>
        </w:rPr>
        <w:t xml:space="preserve">-стратегії. </w:t>
      </w:r>
      <w:r w:rsidRPr="00C1776E">
        <w:rPr>
          <w:rFonts w:ascii="Times New Roman" w:hAnsi="Times New Roman" w:cs="Times New Roman"/>
          <w:color w:val="000000"/>
          <w:sz w:val="28"/>
          <w:szCs w:val="28"/>
        </w:rPr>
        <w:t xml:space="preserve">В умовах економічного зростання ефективнішою є стратегія зростання, тоді як у періоди нестабільності інвестори зазвичай надають перевагу </w:t>
      </w:r>
      <w:r w:rsidRPr="00703291">
        <w:rPr>
          <w:rFonts w:ascii="Times New Roman" w:hAnsi="Times New Roman" w:cs="Times New Roman"/>
          <w:color w:val="000000"/>
          <w:sz w:val="28"/>
          <w:szCs w:val="28"/>
          <w:lang w:val="de-AT"/>
        </w:rPr>
        <w:t>value</w:t>
      </w:r>
      <w:r w:rsidRPr="00C1776E">
        <w:rPr>
          <w:rFonts w:ascii="Times New Roman" w:hAnsi="Times New Roman" w:cs="Times New Roman"/>
          <w:color w:val="000000"/>
          <w:sz w:val="28"/>
          <w:szCs w:val="28"/>
        </w:rPr>
        <w:t xml:space="preserve">- або </w:t>
      </w:r>
      <w:r w:rsidRPr="00703291">
        <w:rPr>
          <w:rFonts w:ascii="Times New Roman" w:hAnsi="Times New Roman" w:cs="Times New Roman"/>
          <w:color w:val="000000"/>
          <w:sz w:val="28"/>
          <w:szCs w:val="28"/>
          <w:lang w:val="de-AT"/>
        </w:rPr>
        <w:t>income</w:t>
      </w:r>
      <w:r w:rsidRPr="00C1776E">
        <w:rPr>
          <w:rFonts w:ascii="Times New Roman" w:hAnsi="Times New Roman" w:cs="Times New Roman"/>
          <w:color w:val="000000"/>
          <w:sz w:val="28"/>
          <w:szCs w:val="28"/>
        </w:rPr>
        <w:t xml:space="preserve">-стратегіям із фокусом на облігації та дивідендні акції. </w:t>
      </w:r>
      <w:r w:rsidRPr="00703291">
        <w:rPr>
          <w:rFonts w:ascii="Times New Roman" w:hAnsi="Times New Roman" w:cs="Times New Roman"/>
          <w:color w:val="000000"/>
          <w:sz w:val="28"/>
          <w:szCs w:val="28"/>
          <w:lang w:val="ru-RU"/>
        </w:rPr>
        <w:t>У цьому контексті важливо розрізняти абсолютну та відносну дохідність, оскільки кожна з них має різне аналітичне значення. Абсолютна дохідність відображає приріст вартості активу або портфеля незалежно від ринкового середовища, тоді як відносна дохідність порівнює результативність інвестицій з бенчмарком і дозволяє оцінити ефективність обраної стратегії. Чітке розмежування цих понять є необхідним для коректної інтерпретації фінансових результатів.</w:t>
      </w:r>
    </w:p>
    <w:p w:rsidR="00F30E41" w:rsidRPr="00703291" w:rsidRDefault="00F30E41" w:rsidP="00334113">
      <w:pPr>
        <w:tabs>
          <w:tab w:val="left" w:pos="6946"/>
        </w:tabs>
        <w:spacing w:after="0" w:line="360" w:lineRule="auto"/>
        <w:ind w:firstLineChars="253" w:firstLine="31680"/>
        <w:jc w:val="both"/>
        <w:rPr>
          <w:rFonts w:ascii="Times New Roman" w:hAnsi="Times New Roman" w:cs="Times New Roman"/>
          <w:color w:val="000000"/>
          <w:sz w:val="28"/>
          <w:szCs w:val="28"/>
          <w:lang w:val="ru-RU"/>
        </w:rPr>
      </w:pPr>
      <w:r w:rsidRPr="00703291">
        <w:rPr>
          <w:rFonts w:ascii="Times New Roman" w:hAnsi="Times New Roman" w:cs="Times New Roman"/>
          <w:color w:val="000000"/>
          <w:sz w:val="28"/>
          <w:szCs w:val="28"/>
          <w:lang w:val="ru-RU"/>
        </w:rPr>
        <w:t>Диверсифікація портфеля при цьому відіграє ключову роль у зниженні ризиків і забезпеченні стабільності. Поєднання різних підходів дозволяє сформувати збалансований портфель із помірним рівнем ризику та прогнозованою дохідністю. Остаточний вибір інвестиційної стратегії має враховувати індивідуальні цілі інвестора, прийнятний рівень ризику, горизонт інвестування та поточну макроекономічну ситуацію.</w:t>
      </w:r>
    </w:p>
    <w:p w:rsidR="00F30E41" w:rsidRPr="000F704B" w:rsidRDefault="00F30E41" w:rsidP="000F704B">
      <w:pPr>
        <w:tabs>
          <w:tab w:val="left" w:pos="6946"/>
        </w:tabs>
        <w:spacing w:after="0" w:line="360" w:lineRule="auto"/>
        <w:jc w:val="both"/>
        <w:rPr>
          <w:rFonts w:ascii="Times New Roman" w:hAnsi="Times New Roman" w:cs="Times New Roman"/>
          <w:color w:val="000000"/>
          <w:sz w:val="28"/>
          <w:szCs w:val="28"/>
          <w:lang w:val="ru-RU"/>
        </w:rPr>
      </w:pPr>
    </w:p>
    <w:p w:rsidR="00F30E41" w:rsidRDefault="00F30E41" w:rsidP="006E746C">
      <w:pPr>
        <w:tabs>
          <w:tab w:val="left" w:pos="6946"/>
        </w:tabs>
        <w:spacing w:after="0" w:line="360" w:lineRule="auto"/>
        <w:ind w:left="1080"/>
        <w:jc w:val="both"/>
        <w:rPr>
          <w:rFonts w:ascii="Times New Roman" w:hAnsi="Times New Roman" w:cs="Times New Roman"/>
          <w:b/>
          <w:bCs/>
          <w:color w:val="000000"/>
          <w:sz w:val="28"/>
          <w:szCs w:val="28"/>
          <w:lang w:val="ru-RU"/>
        </w:rPr>
      </w:pPr>
    </w:p>
    <w:p w:rsidR="00F30E41" w:rsidRDefault="00F30E41" w:rsidP="006E746C">
      <w:pPr>
        <w:tabs>
          <w:tab w:val="left" w:pos="6946"/>
        </w:tabs>
        <w:spacing w:after="0" w:line="360" w:lineRule="auto"/>
        <w:ind w:left="1080"/>
        <w:jc w:val="both"/>
        <w:rPr>
          <w:rFonts w:ascii="Times New Roman" w:hAnsi="Times New Roman" w:cs="Times New Roman"/>
          <w:b/>
          <w:bCs/>
          <w:color w:val="000000"/>
          <w:sz w:val="28"/>
          <w:szCs w:val="28"/>
          <w:lang w:val="ru-RU"/>
        </w:rPr>
      </w:pPr>
    </w:p>
    <w:p w:rsidR="00F30E41" w:rsidRDefault="00F30E41" w:rsidP="006E746C">
      <w:pPr>
        <w:tabs>
          <w:tab w:val="left" w:pos="6946"/>
        </w:tabs>
        <w:spacing w:after="0" w:line="360" w:lineRule="auto"/>
        <w:ind w:left="1080"/>
        <w:jc w:val="both"/>
        <w:rPr>
          <w:rFonts w:ascii="Times New Roman" w:hAnsi="Times New Roman" w:cs="Times New Roman"/>
          <w:b/>
          <w:bCs/>
          <w:color w:val="000000"/>
          <w:sz w:val="28"/>
          <w:szCs w:val="28"/>
          <w:lang w:val="ru-RU"/>
        </w:rPr>
      </w:pPr>
    </w:p>
    <w:p w:rsidR="00F30E41" w:rsidRPr="006E746C" w:rsidRDefault="00F30E41" w:rsidP="006E746C">
      <w:pPr>
        <w:tabs>
          <w:tab w:val="left" w:pos="6946"/>
        </w:tabs>
        <w:spacing w:after="0" w:line="360" w:lineRule="auto"/>
        <w:ind w:left="1080"/>
        <w:jc w:val="both"/>
        <w:rPr>
          <w:rFonts w:ascii="Times New Roman" w:hAnsi="Times New Roman" w:cs="Times New Roman"/>
          <w:b/>
          <w:bCs/>
          <w:color w:val="000000"/>
          <w:sz w:val="28"/>
          <w:szCs w:val="28"/>
        </w:rPr>
      </w:pPr>
      <w:r w:rsidRPr="001228C6">
        <w:rPr>
          <w:rFonts w:ascii="Times New Roman" w:hAnsi="Times New Roman" w:cs="Times New Roman"/>
          <w:b/>
          <w:bCs/>
          <w:color w:val="000000"/>
          <w:sz w:val="28"/>
          <w:szCs w:val="28"/>
        </w:rPr>
        <w:t xml:space="preserve">1.2 </w:t>
      </w:r>
      <w:r w:rsidRPr="006E746C">
        <w:rPr>
          <w:rFonts w:ascii="Times New Roman" w:hAnsi="Times New Roman" w:cs="Times New Roman"/>
          <w:b/>
          <w:bCs/>
          <w:color w:val="000000"/>
          <w:sz w:val="28"/>
          <w:szCs w:val="28"/>
        </w:rPr>
        <w:t>Модель процесу формування інвестиційного портфеля</w:t>
      </w:r>
    </w:p>
    <w:p w:rsidR="00F30E41" w:rsidRPr="008E3BC5" w:rsidRDefault="00F30E41" w:rsidP="00ED5DDF">
      <w:pPr>
        <w:tabs>
          <w:tab w:val="left" w:pos="6946"/>
        </w:tabs>
        <w:spacing w:after="0" w:line="360" w:lineRule="auto"/>
        <w:jc w:val="both"/>
        <w:rPr>
          <w:rFonts w:ascii="Times New Roman" w:hAnsi="Times New Roman" w:cs="Times New Roman"/>
          <w:color w:val="000000"/>
          <w:sz w:val="28"/>
          <w:szCs w:val="28"/>
        </w:rPr>
      </w:pPr>
    </w:p>
    <w:p w:rsidR="00F30E41" w:rsidRPr="00854466" w:rsidRDefault="00F30E41" w:rsidP="0021184B">
      <w:pPr>
        <w:tabs>
          <w:tab w:val="left" w:pos="6946"/>
        </w:tabs>
        <w:spacing w:after="0" w:line="360" w:lineRule="auto"/>
        <w:ind w:firstLine="709"/>
        <w:jc w:val="both"/>
        <w:rPr>
          <w:rFonts w:ascii="Times New Roman" w:hAnsi="Times New Roman" w:cs="Times New Roman"/>
          <w:color w:val="000000"/>
          <w:sz w:val="28"/>
          <w:szCs w:val="28"/>
        </w:rPr>
      </w:pPr>
      <w:r w:rsidRPr="00602372">
        <w:rPr>
          <w:rFonts w:ascii="Times New Roman" w:hAnsi="Times New Roman" w:cs="Times New Roman"/>
          <w:color w:val="000000"/>
          <w:sz w:val="28"/>
          <w:szCs w:val="28"/>
        </w:rPr>
        <w:t xml:space="preserve">Формування інвестиційного портфеля </w:t>
      </w:r>
      <w:r w:rsidRPr="000C203E">
        <w:rPr>
          <w:rFonts w:ascii="Times New Roman" w:hAnsi="Times New Roman" w:cs="Times New Roman"/>
          <w:color w:val="000000"/>
          <w:sz w:val="28"/>
          <w:szCs w:val="28"/>
        </w:rPr>
        <w:t>-</w:t>
      </w:r>
      <w:r w:rsidRPr="00602372">
        <w:rPr>
          <w:rFonts w:ascii="Times New Roman" w:hAnsi="Times New Roman" w:cs="Times New Roman"/>
          <w:color w:val="000000"/>
          <w:sz w:val="28"/>
          <w:szCs w:val="28"/>
        </w:rPr>
        <w:t xml:space="preserve"> ключове завдання для інвесторів, які прагнуть ефективно розподілити ресурси, мінімізувати ризики та досягти високої доходності. У змінних умовах фінансового ринку це потребує чіткого підходу та застосування математичних моделей. Основою є поетапна модель, заснована на принципах портфельної теорії Марковица, Шарпа й Тобіна. Вона передбачає раціональний розподіл активів, диверсифікацію ризиків і використання безризикових інструментів для досягнення оптимального співвідношення ризику та доходу.</w:t>
      </w:r>
    </w:p>
    <w:p w:rsidR="00F30E41" w:rsidRPr="008E3BC5" w:rsidRDefault="00F30E41" w:rsidP="0021184B">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 xml:space="preserve">Далі буде докладніше розглянуто етапи процесу формування портфеля. Їх розділяють на підготовку, вибір активів та ребалансування. </w:t>
      </w:r>
    </w:p>
    <w:p w:rsidR="00F30E41" w:rsidRPr="008E3BC5" w:rsidRDefault="00F30E41" w:rsidP="005D21F3">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На першому етапі інвестори визначають очікувану доходність портфеля та рівень прийнятного ризику.</w:t>
      </w:r>
      <w:r w:rsidRPr="008E3BC5">
        <w:rPr>
          <w:rFonts w:ascii="Times New Roman" w:hAnsi="Times New Roman" w:cs="Times New Roman"/>
        </w:rPr>
        <w:t xml:space="preserve"> </w:t>
      </w:r>
      <w:r w:rsidRPr="008E3BC5">
        <w:rPr>
          <w:rFonts w:ascii="Times New Roman" w:hAnsi="Times New Roman" w:cs="Times New Roman"/>
          <w:color w:val="000000"/>
          <w:sz w:val="28"/>
          <w:szCs w:val="28"/>
        </w:rPr>
        <w:t>Толерантність до ризику є ключовим аспектом, адже вона визначає, який обсяг можливих збитків інвестор готовий прийняти заради досягнення вищої доходності [1</w:t>
      </w:r>
      <w:r>
        <w:rPr>
          <w:rFonts w:ascii="Times New Roman" w:hAnsi="Times New Roman" w:cs="Times New Roman"/>
          <w:color w:val="000000"/>
          <w:sz w:val="28"/>
          <w:szCs w:val="28"/>
          <w:lang w:val="ru-RU"/>
        </w:rPr>
        <w:t>, с 335</w:t>
      </w:r>
      <w:r w:rsidRPr="008E3BC5">
        <w:rPr>
          <w:rFonts w:ascii="Times New Roman" w:hAnsi="Times New Roman" w:cs="Times New Roman"/>
          <w:color w:val="000000"/>
          <w:sz w:val="28"/>
          <w:szCs w:val="28"/>
        </w:rPr>
        <w:t xml:space="preserve">]. Для консервативних інвесторів оптимальним є портфель, орієнтований на 70% облігацій і 30% акцій, тоді як більш ризикові інвестори можуть обрати комбінацію з 20% облігацій і 80% акцій. </w:t>
      </w:r>
    </w:p>
    <w:p w:rsidR="00F30E41" w:rsidRPr="008E3BC5" w:rsidRDefault="00F30E41" w:rsidP="005D21F3">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Ризик інвестиційного портфеля поділяється на два основних види: систематичний та несистематичний. Систематичний ризик, також відомий як ринковий, пов’язаний із загальними економічними умовами і впливає на всі активи у портфелі. Його неможливо усунути за допомогою диверсифікації, адже він включає такі фактори, як зміна процентних ставок, економічні кризи або політична нестабільність. Несистематичний ризик, навпаки, є специфічним для окремих активів чи галузей і може бути значно знижений за допомогою диверсифікації портфеля [2</w:t>
      </w:r>
      <w:r>
        <w:rPr>
          <w:rFonts w:ascii="Times New Roman" w:hAnsi="Times New Roman" w:cs="Times New Roman"/>
          <w:color w:val="000000"/>
          <w:sz w:val="28"/>
          <w:szCs w:val="28"/>
          <w:lang w:val="ru-RU"/>
        </w:rPr>
        <w:t>, с. 172</w:t>
      </w:r>
      <w:r w:rsidRPr="008E3BC5">
        <w:rPr>
          <w:rFonts w:ascii="Times New Roman" w:hAnsi="Times New Roman" w:cs="Times New Roman"/>
          <w:color w:val="000000"/>
          <w:sz w:val="28"/>
          <w:szCs w:val="28"/>
        </w:rPr>
        <w:t>].</w:t>
      </w:r>
    </w:p>
    <w:p w:rsidR="00F30E41" w:rsidRPr="008E3BC5" w:rsidRDefault="00F30E41" w:rsidP="00FF0E49">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На цьому етапі важливу роль відіграє коефіцієнт бета, що дозволяє оцінити систематичний ризик активів, а також модель оцінки капітальних активів (CAPM), яка допомагає розрахувати очікувану доходність портфеля з урахуванням ринкових умов.</w:t>
      </w:r>
    </w:p>
    <w:p w:rsidR="00F30E41" w:rsidRPr="008E3BC5" w:rsidRDefault="00F30E41" w:rsidP="00FB46CE">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 xml:space="preserve"> Бета оцінюється за допомогою моделі оцінки капітальних активів (CAPM) або як її ще називають модель Шарпа. </w:t>
      </w:r>
    </w:p>
    <w:p w:rsidR="00F30E41" w:rsidRPr="00FB46CE" w:rsidRDefault="00F30E41" w:rsidP="00AB2447">
      <w:pPr>
        <w:tabs>
          <w:tab w:val="left" w:pos="6946"/>
        </w:tabs>
        <w:spacing w:after="0" w:line="360" w:lineRule="auto"/>
        <w:ind w:firstLine="709"/>
        <w:jc w:val="both"/>
        <w:rPr>
          <w:rFonts w:ascii="Times New Roman" w:hAnsi="Times New Roman" w:cs="Times New Roman"/>
          <w:color w:val="000000"/>
          <w:sz w:val="28"/>
          <w:szCs w:val="28"/>
        </w:rPr>
      </w:pPr>
      <w:r w:rsidRPr="000C203E">
        <w:rPr>
          <w:rFonts w:ascii="Times New Roman" w:hAnsi="Times New Roman" w:cs="Times New Roman"/>
          <w:color w:val="000000"/>
          <w:sz w:val="28"/>
          <w:szCs w:val="28"/>
        </w:rPr>
        <w:t xml:space="preserve">Коефіцієнт бета можна визначити за допомогою регресійного аналізу, порівнюючи дохідність активу з ринковим індексом </w:t>
      </w:r>
      <w:r w:rsidRPr="00AB2447">
        <w:rPr>
          <w:rFonts w:ascii="Times New Roman" w:hAnsi="Times New Roman" w:cs="Times New Roman"/>
          <w:color w:val="000000"/>
          <w:sz w:val="28"/>
          <w:szCs w:val="28"/>
        </w:rPr>
        <w:t>-</w:t>
      </w:r>
      <w:r w:rsidRPr="000C203E">
        <w:rPr>
          <w:rFonts w:ascii="Times New Roman" w:hAnsi="Times New Roman" w:cs="Times New Roman"/>
          <w:color w:val="000000"/>
          <w:sz w:val="28"/>
          <w:szCs w:val="28"/>
        </w:rPr>
        <w:t xml:space="preserve"> нахил регресійної лінії і є β. Для компаній без достатньої історії використовують середні галузеві значення або дані з фінансових порталів.</w:t>
      </w:r>
    </w:p>
    <w:p w:rsidR="00F30E41" w:rsidRDefault="00F30E41" w:rsidP="000C203E">
      <w:pPr>
        <w:tabs>
          <w:tab w:val="left" w:pos="6946"/>
        </w:tabs>
        <w:spacing w:after="0" w:line="360" w:lineRule="auto"/>
        <w:ind w:firstLine="709"/>
        <w:jc w:val="both"/>
        <w:rPr>
          <w:rFonts w:ascii="Times New Roman" w:hAnsi="Times New Roman" w:cs="Times New Roman"/>
          <w:color w:val="000000"/>
          <w:sz w:val="28"/>
          <w:szCs w:val="28"/>
          <w:lang w:val="ru-RU"/>
        </w:rPr>
      </w:pPr>
      <w:r w:rsidRPr="000C203E">
        <w:rPr>
          <w:rFonts w:ascii="Times New Roman" w:hAnsi="Times New Roman" w:cs="Times New Roman"/>
          <w:color w:val="000000"/>
          <w:sz w:val="28"/>
          <w:szCs w:val="28"/>
        </w:rPr>
        <w:t>Втім, модель CAPM має обмеження. Вона припускає сталість бета, хоча на практиці цей показник змінюється, особливо в умовах високої волатильності, що призводить до помилок у розрахунках [</w:t>
      </w:r>
      <w:r w:rsidRPr="00FB46CE">
        <w:rPr>
          <w:rFonts w:ascii="Times New Roman" w:hAnsi="Times New Roman" w:cs="Times New Roman"/>
          <w:color w:val="000000"/>
          <w:sz w:val="28"/>
          <w:szCs w:val="28"/>
          <w:lang w:val="ru-RU"/>
        </w:rPr>
        <w:t>3</w:t>
      </w:r>
      <w:r w:rsidRPr="000C203E">
        <w:rPr>
          <w:rFonts w:ascii="Times New Roman" w:hAnsi="Times New Roman" w:cs="Times New Roman"/>
          <w:color w:val="000000"/>
          <w:sz w:val="28"/>
          <w:szCs w:val="28"/>
        </w:rPr>
        <w:t xml:space="preserve">]. </w:t>
      </w:r>
      <w:r w:rsidRPr="00F72300">
        <w:rPr>
          <w:rFonts w:ascii="Times New Roman" w:hAnsi="Times New Roman" w:cs="Times New Roman"/>
          <w:color w:val="000000"/>
          <w:sz w:val="28"/>
          <w:szCs w:val="28"/>
        </w:rPr>
        <w:t>З</w:t>
      </w:r>
      <w:r w:rsidRPr="000C203E">
        <w:rPr>
          <w:rFonts w:ascii="Times New Roman" w:hAnsi="Times New Roman" w:cs="Times New Roman"/>
          <w:color w:val="000000"/>
          <w:sz w:val="28"/>
          <w:szCs w:val="28"/>
        </w:rPr>
        <w:t>в’язок між ризиком і доходністю може бути нелінійним, зокрема під час ринкових шоків. Для врахування змін у структурі ризику автори запропонували модель GC-GARCH, яка використовує графову структуру та копули для точнішої оцінки ризику й прогнозування доходності в нестабільних умовах [</w:t>
      </w:r>
      <w:r w:rsidRPr="00791ED8">
        <w:rPr>
          <w:rFonts w:ascii="Times New Roman" w:hAnsi="Times New Roman" w:cs="Times New Roman"/>
          <w:color w:val="000000"/>
          <w:sz w:val="28"/>
          <w:szCs w:val="28"/>
          <w:lang w:val="ru-RU"/>
        </w:rPr>
        <w:t>4</w:t>
      </w:r>
      <w:r w:rsidRPr="000C203E">
        <w:rPr>
          <w:rFonts w:ascii="Times New Roman" w:hAnsi="Times New Roman" w:cs="Times New Roman"/>
          <w:color w:val="000000"/>
          <w:sz w:val="28"/>
          <w:szCs w:val="28"/>
        </w:rPr>
        <w:t>].</w:t>
      </w:r>
    </w:p>
    <w:p w:rsidR="00F30E41" w:rsidRPr="0066754E" w:rsidRDefault="00F30E41" w:rsidP="0066754E">
      <w:pPr>
        <w:tabs>
          <w:tab w:val="left" w:pos="6946"/>
        </w:tabs>
        <w:spacing w:after="0" w:line="360" w:lineRule="auto"/>
        <w:ind w:firstLine="709"/>
        <w:jc w:val="both"/>
        <w:rPr>
          <w:rFonts w:ascii="Times New Roman" w:hAnsi="Times New Roman" w:cs="Times New Roman"/>
          <w:color w:val="000000"/>
          <w:sz w:val="28"/>
          <w:szCs w:val="28"/>
          <w:lang w:val="ru-RU"/>
        </w:rPr>
      </w:pPr>
      <w:r w:rsidRPr="0066754E">
        <w:rPr>
          <w:rFonts w:ascii="Times New Roman" w:hAnsi="Times New Roman" w:cs="Times New Roman"/>
          <w:color w:val="000000"/>
          <w:sz w:val="28"/>
          <w:szCs w:val="28"/>
          <w:lang w:val="ru-RU"/>
        </w:rPr>
        <w:t xml:space="preserve">Розширенням традиційної </w:t>
      </w:r>
      <w:r w:rsidRPr="0066754E">
        <w:rPr>
          <w:rFonts w:ascii="Times New Roman" w:hAnsi="Times New Roman" w:cs="Times New Roman"/>
          <w:color w:val="000000"/>
          <w:sz w:val="28"/>
          <w:szCs w:val="28"/>
          <w:lang w:val="de-AT"/>
        </w:rPr>
        <w:t>CAPM</w:t>
      </w:r>
      <w:r w:rsidRPr="0066754E">
        <w:rPr>
          <w:rFonts w:ascii="Times New Roman" w:hAnsi="Times New Roman" w:cs="Times New Roman"/>
          <w:color w:val="000000"/>
          <w:sz w:val="28"/>
          <w:szCs w:val="28"/>
          <w:lang w:val="ru-RU"/>
        </w:rPr>
        <w:t xml:space="preserve">, яке дозволяє краще враховувати ринкову динаміку та особливості поведінки активів, є трифакторна модель Фама-Френча. Вона була розроблена з метою усунення недоліків </w:t>
      </w:r>
      <w:r w:rsidRPr="0066754E">
        <w:rPr>
          <w:rFonts w:ascii="Times New Roman" w:hAnsi="Times New Roman" w:cs="Times New Roman"/>
          <w:color w:val="000000"/>
          <w:sz w:val="28"/>
          <w:szCs w:val="28"/>
          <w:lang w:val="de-AT"/>
        </w:rPr>
        <w:t>CAPM</w:t>
      </w:r>
      <w:r w:rsidRPr="0066754E">
        <w:rPr>
          <w:rFonts w:ascii="Times New Roman" w:hAnsi="Times New Roman" w:cs="Times New Roman"/>
          <w:color w:val="000000"/>
          <w:sz w:val="28"/>
          <w:szCs w:val="28"/>
          <w:lang w:val="ru-RU"/>
        </w:rPr>
        <w:t>, зокрема її неспроможності пояснити відмінності у доходності портфелів із різними характеристиками, такими як розмір компанії чи співвідношення ринкової ціни до балансової вартості</w:t>
      </w:r>
      <w:r w:rsidRPr="00AE37CC">
        <w:rPr>
          <w:rFonts w:ascii="Times New Roman" w:hAnsi="Times New Roman" w:cs="Times New Roman"/>
          <w:color w:val="000000"/>
          <w:sz w:val="28"/>
          <w:szCs w:val="28"/>
          <w:lang w:val="ru-RU"/>
        </w:rPr>
        <w:t xml:space="preserve"> </w:t>
      </w:r>
      <w:r w:rsidRPr="000C203E">
        <w:rPr>
          <w:rFonts w:ascii="Times New Roman" w:hAnsi="Times New Roman" w:cs="Times New Roman"/>
          <w:color w:val="000000"/>
          <w:sz w:val="28"/>
          <w:szCs w:val="28"/>
        </w:rPr>
        <w:t>[</w:t>
      </w:r>
      <w:r w:rsidRPr="00AE37CC">
        <w:rPr>
          <w:rFonts w:ascii="Times New Roman" w:hAnsi="Times New Roman" w:cs="Times New Roman"/>
          <w:color w:val="000000"/>
          <w:sz w:val="28"/>
          <w:szCs w:val="28"/>
          <w:lang w:val="ru-RU"/>
        </w:rPr>
        <w:t>5</w:t>
      </w:r>
      <w:r w:rsidRPr="000C203E">
        <w:rPr>
          <w:rFonts w:ascii="Times New Roman" w:hAnsi="Times New Roman" w:cs="Times New Roman"/>
          <w:color w:val="000000"/>
          <w:sz w:val="28"/>
          <w:szCs w:val="28"/>
        </w:rPr>
        <w:t>]</w:t>
      </w:r>
      <w:r w:rsidRPr="0066754E">
        <w:rPr>
          <w:rFonts w:ascii="Times New Roman" w:hAnsi="Times New Roman" w:cs="Times New Roman"/>
          <w:color w:val="000000"/>
          <w:sz w:val="28"/>
          <w:szCs w:val="28"/>
          <w:lang w:val="ru-RU"/>
        </w:rPr>
        <w:t>.</w:t>
      </w:r>
    </w:p>
    <w:p w:rsidR="00F30E41" w:rsidRPr="0066754E" w:rsidRDefault="00F30E41" w:rsidP="0066754E">
      <w:pPr>
        <w:tabs>
          <w:tab w:val="left" w:pos="6946"/>
        </w:tabs>
        <w:spacing w:after="0" w:line="360" w:lineRule="auto"/>
        <w:ind w:firstLine="709"/>
        <w:jc w:val="both"/>
        <w:rPr>
          <w:rFonts w:ascii="Times New Roman" w:hAnsi="Times New Roman" w:cs="Times New Roman"/>
          <w:color w:val="000000"/>
          <w:sz w:val="28"/>
          <w:szCs w:val="28"/>
          <w:lang w:val="ru-RU"/>
        </w:rPr>
      </w:pPr>
      <w:r w:rsidRPr="0066754E">
        <w:rPr>
          <w:rFonts w:ascii="Times New Roman" w:hAnsi="Times New Roman" w:cs="Times New Roman"/>
          <w:color w:val="000000"/>
          <w:sz w:val="28"/>
          <w:szCs w:val="28"/>
          <w:lang w:val="ru-RU"/>
        </w:rPr>
        <w:t>Модель Фама – Френча враховує три фактори:</w:t>
      </w:r>
    </w:p>
    <w:p w:rsidR="00F30E41" w:rsidRPr="0066754E" w:rsidRDefault="00F30E41" w:rsidP="0066754E">
      <w:pPr>
        <w:numPr>
          <w:ilvl w:val="0"/>
          <w:numId w:val="6"/>
        </w:numPr>
        <w:tabs>
          <w:tab w:val="left" w:pos="6946"/>
        </w:tabs>
        <w:spacing w:after="0" w:line="360" w:lineRule="auto"/>
        <w:jc w:val="both"/>
        <w:rPr>
          <w:rFonts w:ascii="Times New Roman" w:hAnsi="Times New Roman" w:cs="Times New Roman"/>
          <w:color w:val="000000"/>
          <w:sz w:val="28"/>
          <w:szCs w:val="28"/>
          <w:lang w:val="de-AT"/>
        </w:rPr>
      </w:pPr>
      <w:r w:rsidRPr="0066754E">
        <w:rPr>
          <w:rFonts w:ascii="Times New Roman" w:hAnsi="Times New Roman" w:cs="Times New Roman"/>
          <w:color w:val="000000"/>
          <w:sz w:val="28"/>
          <w:szCs w:val="28"/>
          <w:lang w:val="de-AT"/>
        </w:rPr>
        <w:t>ринковий ризик,</w:t>
      </w:r>
    </w:p>
    <w:p w:rsidR="00F30E41" w:rsidRPr="0066754E" w:rsidRDefault="00F30E41" w:rsidP="0066754E">
      <w:pPr>
        <w:numPr>
          <w:ilvl w:val="0"/>
          <w:numId w:val="6"/>
        </w:numPr>
        <w:tabs>
          <w:tab w:val="left" w:pos="6946"/>
        </w:tabs>
        <w:spacing w:after="0" w:line="360" w:lineRule="auto"/>
        <w:jc w:val="both"/>
        <w:rPr>
          <w:rFonts w:ascii="Times New Roman" w:hAnsi="Times New Roman" w:cs="Times New Roman"/>
          <w:color w:val="000000"/>
          <w:sz w:val="28"/>
          <w:szCs w:val="28"/>
          <w:lang w:val="en-US"/>
        </w:rPr>
      </w:pPr>
      <w:r w:rsidRPr="0066754E">
        <w:rPr>
          <w:rFonts w:ascii="Times New Roman" w:hAnsi="Times New Roman" w:cs="Times New Roman"/>
          <w:color w:val="000000"/>
          <w:sz w:val="28"/>
          <w:szCs w:val="28"/>
          <w:lang w:val="de-AT"/>
        </w:rPr>
        <w:t>премію</w:t>
      </w:r>
      <w:r w:rsidRPr="0066754E">
        <w:rPr>
          <w:rFonts w:ascii="Times New Roman" w:hAnsi="Times New Roman" w:cs="Times New Roman"/>
          <w:color w:val="000000"/>
          <w:sz w:val="28"/>
          <w:szCs w:val="28"/>
          <w:lang w:val="en-US"/>
        </w:rPr>
        <w:t xml:space="preserve"> </w:t>
      </w:r>
      <w:r w:rsidRPr="0066754E">
        <w:rPr>
          <w:rFonts w:ascii="Times New Roman" w:hAnsi="Times New Roman" w:cs="Times New Roman"/>
          <w:color w:val="000000"/>
          <w:sz w:val="28"/>
          <w:szCs w:val="28"/>
          <w:lang w:val="de-AT"/>
        </w:rPr>
        <w:t>за</w:t>
      </w:r>
      <w:r w:rsidRPr="0066754E">
        <w:rPr>
          <w:rFonts w:ascii="Times New Roman" w:hAnsi="Times New Roman" w:cs="Times New Roman"/>
          <w:color w:val="000000"/>
          <w:sz w:val="28"/>
          <w:szCs w:val="28"/>
          <w:lang w:val="en-US"/>
        </w:rPr>
        <w:t xml:space="preserve"> </w:t>
      </w:r>
      <w:r w:rsidRPr="0066754E">
        <w:rPr>
          <w:rFonts w:ascii="Times New Roman" w:hAnsi="Times New Roman" w:cs="Times New Roman"/>
          <w:color w:val="000000"/>
          <w:sz w:val="28"/>
          <w:szCs w:val="28"/>
          <w:lang w:val="de-AT"/>
        </w:rPr>
        <w:t>розмір</w:t>
      </w:r>
      <w:r w:rsidRPr="0066754E">
        <w:rPr>
          <w:rFonts w:ascii="Times New Roman" w:hAnsi="Times New Roman" w:cs="Times New Roman"/>
          <w:color w:val="000000"/>
          <w:sz w:val="28"/>
          <w:szCs w:val="28"/>
          <w:lang w:val="en-US"/>
        </w:rPr>
        <w:t xml:space="preserve"> (SMB </w:t>
      </w:r>
      <w:r>
        <w:rPr>
          <w:rFonts w:ascii="Times New Roman" w:hAnsi="Times New Roman" w:cs="Times New Roman"/>
          <w:color w:val="000000"/>
          <w:sz w:val="28"/>
          <w:szCs w:val="28"/>
          <w:lang w:val="en-US"/>
        </w:rPr>
        <w:t>-</w:t>
      </w:r>
      <w:r w:rsidRPr="0066754E">
        <w:rPr>
          <w:rFonts w:ascii="Times New Roman" w:hAnsi="Times New Roman" w:cs="Times New Roman"/>
          <w:color w:val="000000"/>
          <w:sz w:val="28"/>
          <w:szCs w:val="28"/>
          <w:lang w:val="en-US"/>
        </w:rPr>
        <w:t xml:space="preserve"> </w:t>
      </w:r>
      <w:r w:rsidRPr="0066754E">
        <w:rPr>
          <w:rFonts w:ascii="Times New Roman" w:hAnsi="Times New Roman" w:cs="Times New Roman"/>
          <w:i/>
          <w:iCs/>
          <w:color w:val="000000"/>
          <w:sz w:val="28"/>
          <w:szCs w:val="28"/>
          <w:lang w:val="en-US"/>
        </w:rPr>
        <w:t>Small Minus Big</w:t>
      </w:r>
      <w:r w:rsidRPr="0066754E">
        <w:rPr>
          <w:rFonts w:ascii="Times New Roman" w:hAnsi="Times New Roman" w:cs="Times New Roman"/>
          <w:color w:val="000000"/>
          <w:sz w:val="28"/>
          <w:szCs w:val="28"/>
          <w:lang w:val="en-US"/>
        </w:rPr>
        <w:t>),</w:t>
      </w:r>
    </w:p>
    <w:p w:rsidR="00F30E41" w:rsidRPr="0066754E" w:rsidRDefault="00F30E41" w:rsidP="0066754E">
      <w:pPr>
        <w:numPr>
          <w:ilvl w:val="0"/>
          <w:numId w:val="6"/>
        </w:numPr>
        <w:tabs>
          <w:tab w:val="left" w:pos="6946"/>
        </w:tabs>
        <w:spacing w:after="0" w:line="360" w:lineRule="auto"/>
        <w:jc w:val="both"/>
        <w:rPr>
          <w:rFonts w:ascii="Times New Roman" w:hAnsi="Times New Roman" w:cs="Times New Roman"/>
          <w:color w:val="000000"/>
          <w:sz w:val="28"/>
          <w:szCs w:val="28"/>
          <w:lang w:val="de-AT"/>
        </w:rPr>
      </w:pPr>
      <w:r w:rsidRPr="0066754E">
        <w:rPr>
          <w:rFonts w:ascii="Times New Roman" w:hAnsi="Times New Roman" w:cs="Times New Roman"/>
          <w:color w:val="000000"/>
          <w:sz w:val="28"/>
          <w:szCs w:val="28"/>
          <w:lang w:val="de-AT"/>
        </w:rPr>
        <w:t xml:space="preserve">премію за вартість (HML </w:t>
      </w:r>
      <w:r>
        <w:rPr>
          <w:rFonts w:ascii="Times New Roman" w:hAnsi="Times New Roman" w:cs="Times New Roman"/>
          <w:color w:val="000000"/>
          <w:sz w:val="28"/>
          <w:szCs w:val="28"/>
          <w:lang w:val="de-AT"/>
        </w:rPr>
        <w:t>-</w:t>
      </w:r>
      <w:r w:rsidRPr="0066754E">
        <w:rPr>
          <w:rFonts w:ascii="Times New Roman" w:hAnsi="Times New Roman" w:cs="Times New Roman"/>
          <w:color w:val="000000"/>
          <w:sz w:val="28"/>
          <w:szCs w:val="28"/>
          <w:lang w:val="de-AT"/>
        </w:rPr>
        <w:t xml:space="preserve"> </w:t>
      </w:r>
      <w:r w:rsidRPr="0066754E">
        <w:rPr>
          <w:rFonts w:ascii="Times New Roman" w:hAnsi="Times New Roman" w:cs="Times New Roman"/>
          <w:i/>
          <w:iCs/>
          <w:color w:val="000000"/>
          <w:sz w:val="28"/>
          <w:szCs w:val="28"/>
          <w:lang w:val="de-AT"/>
        </w:rPr>
        <w:t>High Minus Low</w:t>
      </w:r>
      <w:r w:rsidRPr="0066754E">
        <w:rPr>
          <w:rFonts w:ascii="Times New Roman" w:hAnsi="Times New Roman" w:cs="Times New Roman"/>
          <w:color w:val="000000"/>
          <w:sz w:val="28"/>
          <w:szCs w:val="28"/>
          <w:lang w:val="de-AT"/>
        </w:rPr>
        <w:t>).</w:t>
      </w:r>
    </w:p>
    <w:p w:rsidR="00F30E41" w:rsidRPr="0066754E" w:rsidRDefault="00F30E41" w:rsidP="0066754E">
      <w:pPr>
        <w:tabs>
          <w:tab w:val="left" w:pos="6946"/>
        </w:tabs>
        <w:spacing w:after="0" w:line="360" w:lineRule="auto"/>
        <w:ind w:firstLine="709"/>
        <w:jc w:val="both"/>
        <w:rPr>
          <w:rFonts w:ascii="Times New Roman" w:hAnsi="Times New Roman" w:cs="Times New Roman"/>
          <w:color w:val="000000"/>
          <w:sz w:val="28"/>
          <w:szCs w:val="28"/>
          <w:lang w:val="ru-RU"/>
        </w:rPr>
      </w:pPr>
      <w:r w:rsidRPr="0066754E">
        <w:rPr>
          <w:rFonts w:ascii="Times New Roman" w:hAnsi="Times New Roman" w:cs="Times New Roman"/>
          <w:color w:val="000000"/>
          <w:sz w:val="28"/>
          <w:szCs w:val="28"/>
          <w:lang w:val="ru-RU"/>
        </w:rPr>
        <w:t>Таким чином, формула має вигляд:</w:t>
      </w:r>
    </w:p>
    <w:p w:rsidR="00F30E41" w:rsidRPr="00DE22EB" w:rsidRDefault="00F30E41" w:rsidP="0066754E">
      <w:pPr>
        <w:tabs>
          <w:tab w:val="left" w:pos="6946"/>
        </w:tabs>
        <w:spacing w:after="0" w:line="360" w:lineRule="auto"/>
        <w:ind w:firstLine="709"/>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fldChar w:fldCharType="begin"/>
      </w:r>
      <w:r w:rsidRPr="00596352">
        <w:rPr>
          <w:rFonts w:ascii="Times New Roman" w:hAnsi="Times New Roman" w:cs="Times New Roman"/>
          <w:color w:val="000000"/>
          <w:sz w:val="28"/>
          <w:szCs w:val="28"/>
          <w:lang w:val="ru-RU"/>
        </w:rPr>
        <w:instrText xml:space="preserve"> QUOTE </w:instrText>
      </w:r>
      <w:r w:rsidRPr="0059635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17.25pt">
            <v:imagedata r:id="rId7" o:title="" chromakey="white"/>
          </v:shape>
        </w:pict>
      </w:r>
      <w:r w:rsidRPr="00596352">
        <w:rPr>
          <w:rFonts w:ascii="Times New Roman" w:hAnsi="Times New Roman" w:cs="Times New Roman"/>
          <w:color w:val="000000"/>
          <w:sz w:val="28"/>
          <w:szCs w:val="28"/>
          <w:lang w:val="ru-RU"/>
        </w:rPr>
        <w:instrText xml:space="preserve"> </w:instrText>
      </w:r>
      <w:r w:rsidRPr="00596352">
        <w:rPr>
          <w:rFonts w:ascii="Times New Roman" w:hAnsi="Times New Roman" w:cs="Times New Roman"/>
          <w:color w:val="000000"/>
          <w:sz w:val="28"/>
          <w:szCs w:val="28"/>
          <w:lang w:val="ru-RU"/>
        </w:rPr>
        <w:fldChar w:fldCharType="separate"/>
      </w:r>
      <w:r w:rsidRPr="00596352">
        <w:pict>
          <v:shape id="_x0000_i1026" type="#_x0000_t75" style="width:354pt;height:17.25pt">
            <v:imagedata r:id="rId7" o:title="" chromakey="white"/>
          </v:shape>
        </w:pict>
      </w:r>
      <w:r w:rsidRPr="00596352">
        <w:rPr>
          <w:rFonts w:ascii="Times New Roman" w:hAnsi="Times New Roman" w:cs="Times New Roman"/>
          <w:color w:val="000000"/>
          <w:sz w:val="28"/>
          <w:szCs w:val="28"/>
          <w:lang w:val="ru-RU"/>
        </w:rPr>
        <w:fldChar w:fldCharType="end"/>
      </w:r>
      <w:r w:rsidRPr="00DE22EB">
        <w:rPr>
          <w:rFonts w:ascii="Times New Roman" w:hAnsi="Times New Roman" w:cs="Times New Roman"/>
          <w:color w:val="000000"/>
          <w:sz w:val="28"/>
          <w:szCs w:val="28"/>
          <w:lang w:val="ru-RU"/>
        </w:rPr>
        <w:t xml:space="preserve">         (1</w:t>
      </w:r>
      <w:r w:rsidRPr="00A479AE">
        <w:rPr>
          <w:rFonts w:ascii="Times New Roman" w:hAnsi="Times New Roman" w:cs="Times New Roman"/>
          <w:color w:val="000000"/>
          <w:sz w:val="28"/>
          <w:szCs w:val="28"/>
          <w:lang w:val="ru-RU"/>
        </w:rPr>
        <w:t>.1</w:t>
      </w:r>
      <w:r w:rsidRPr="00DE22EB">
        <w:rPr>
          <w:rFonts w:ascii="Times New Roman" w:hAnsi="Times New Roman" w:cs="Times New Roman"/>
          <w:color w:val="000000"/>
          <w:sz w:val="28"/>
          <w:szCs w:val="28"/>
          <w:lang w:val="ru-RU"/>
        </w:rPr>
        <w:t>)</w:t>
      </w:r>
    </w:p>
    <w:p w:rsidR="00F30E41" w:rsidRPr="0066754E" w:rsidRDefault="00F30E41" w:rsidP="0066754E">
      <w:pPr>
        <w:tabs>
          <w:tab w:val="left" w:pos="6946"/>
        </w:tabs>
        <w:spacing w:after="0" w:line="360" w:lineRule="auto"/>
        <w:ind w:firstLine="709"/>
        <w:jc w:val="both"/>
        <w:rPr>
          <w:rFonts w:ascii="Times New Roman" w:hAnsi="Times New Roman" w:cs="Times New Roman"/>
          <w:color w:val="000000"/>
          <w:sz w:val="28"/>
          <w:szCs w:val="28"/>
          <w:lang w:val="de-AT"/>
        </w:rPr>
      </w:pPr>
      <w:r w:rsidRPr="0066754E">
        <w:rPr>
          <w:rFonts w:ascii="Times New Roman" w:hAnsi="Times New Roman" w:cs="Times New Roman"/>
          <w:color w:val="000000"/>
          <w:sz w:val="28"/>
          <w:szCs w:val="28"/>
          <w:lang w:val="de-AT"/>
        </w:rPr>
        <w:t>де:</w:t>
      </w:r>
    </w:p>
    <w:p w:rsidR="00F30E41" w:rsidRPr="007B3FE5" w:rsidRDefault="00F30E41" w:rsidP="007B3FE5">
      <w:pPr>
        <w:pStyle w:val="ListParagraph"/>
        <w:numPr>
          <w:ilvl w:val="0"/>
          <w:numId w:val="9"/>
        </w:numPr>
        <w:tabs>
          <w:tab w:val="left" w:pos="6946"/>
        </w:tabs>
        <w:spacing w:after="0" w:line="360" w:lineRule="auto"/>
        <w:jc w:val="both"/>
        <w:rPr>
          <w:rFonts w:ascii="Times New Roman" w:hAnsi="Times New Roman" w:cs="Times New Roman"/>
          <w:color w:val="000000"/>
          <w:sz w:val="28"/>
          <w:szCs w:val="28"/>
          <w:lang w:val="de-AT"/>
        </w:rPr>
      </w:pPr>
      <w:r w:rsidRPr="00596352">
        <w:rPr>
          <w:rFonts w:ascii="Times New Roman" w:hAnsi="Times New Roman" w:cs="Times New Roman"/>
          <w:color w:val="000000"/>
          <w:sz w:val="28"/>
          <w:szCs w:val="28"/>
          <w:lang w:val="de-AT"/>
        </w:rPr>
        <w:fldChar w:fldCharType="begin"/>
      </w:r>
      <w:r w:rsidRPr="00596352">
        <w:rPr>
          <w:rFonts w:ascii="Times New Roman" w:hAnsi="Times New Roman" w:cs="Times New Roman"/>
          <w:color w:val="000000"/>
          <w:sz w:val="28"/>
          <w:szCs w:val="28"/>
          <w:lang w:val="de-AT"/>
        </w:rPr>
        <w:instrText xml:space="preserve"> QUOTE </w:instrText>
      </w:r>
      <w:r w:rsidRPr="00596352">
        <w:pict>
          <v:shape id="_x0000_i1027" type="#_x0000_t75" style="width:15.75pt;height:14.25pt">
            <v:imagedata r:id="rId8" o:title="" chromakey="white"/>
          </v:shape>
        </w:pict>
      </w:r>
      <w:r w:rsidRPr="00596352">
        <w:rPr>
          <w:rFonts w:ascii="Times New Roman" w:hAnsi="Times New Roman" w:cs="Times New Roman"/>
          <w:color w:val="000000"/>
          <w:sz w:val="28"/>
          <w:szCs w:val="28"/>
          <w:lang w:val="de-AT"/>
        </w:rPr>
        <w:instrText xml:space="preserve"> </w:instrText>
      </w:r>
      <w:r w:rsidRPr="00596352">
        <w:rPr>
          <w:rFonts w:ascii="Times New Roman" w:hAnsi="Times New Roman" w:cs="Times New Roman"/>
          <w:color w:val="000000"/>
          <w:sz w:val="28"/>
          <w:szCs w:val="28"/>
          <w:lang w:val="de-AT"/>
        </w:rPr>
        <w:fldChar w:fldCharType="separate"/>
      </w:r>
      <w:r w:rsidRPr="00596352">
        <w:pict>
          <v:shape id="_x0000_i1028" type="#_x0000_t75" style="width:15.75pt;height:14.25pt">
            <v:imagedata r:id="rId8" o:title="" chromakey="white"/>
          </v:shape>
        </w:pict>
      </w:r>
      <w:r w:rsidRPr="00596352">
        <w:rPr>
          <w:rFonts w:ascii="Times New Roman" w:hAnsi="Times New Roman" w:cs="Times New Roman"/>
          <w:color w:val="000000"/>
          <w:sz w:val="28"/>
          <w:szCs w:val="28"/>
          <w:lang w:val="de-AT"/>
        </w:rPr>
        <w:fldChar w:fldCharType="end"/>
      </w:r>
      <w:r w:rsidRPr="007B3FE5">
        <w:rPr>
          <w:rFonts w:ascii="Times New Roman" w:hAnsi="Times New Roman" w:cs="Times New Roman"/>
          <w:color w:val="000000"/>
          <w:sz w:val="28"/>
          <w:szCs w:val="28"/>
          <w:lang w:val="de-AT"/>
        </w:rPr>
        <w:t>​ - дохідність активу;</w:t>
      </w:r>
    </w:p>
    <w:p w:rsidR="00F30E41" w:rsidRPr="007B3FE5" w:rsidRDefault="00F30E41" w:rsidP="007B3FE5">
      <w:pPr>
        <w:pStyle w:val="ListParagraph"/>
        <w:numPr>
          <w:ilvl w:val="0"/>
          <w:numId w:val="9"/>
        </w:numPr>
        <w:tabs>
          <w:tab w:val="left" w:pos="6946"/>
        </w:tabs>
        <w:spacing w:after="0" w:line="360" w:lineRule="auto"/>
        <w:jc w:val="both"/>
        <w:rPr>
          <w:rFonts w:ascii="Times New Roman" w:hAnsi="Times New Roman" w:cs="Times New Roman"/>
          <w:color w:val="000000"/>
          <w:sz w:val="28"/>
          <w:szCs w:val="28"/>
          <w:lang w:val="de-AT"/>
        </w:rPr>
      </w:pPr>
      <w:r w:rsidRPr="00596352">
        <w:rPr>
          <w:rFonts w:ascii="Times New Roman" w:hAnsi="Times New Roman" w:cs="Times New Roman"/>
          <w:color w:val="000000"/>
          <w:sz w:val="28"/>
          <w:szCs w:val="28"/>
          <w:lang w:val="de-AT"/>
        </w:rPr>
        <w:fldChar w:fldCharType="begin"/>
      </w:r>
      <w:r w:rsidRPr="00596352">
        <w:rPr>
          <w:rFonts w:ascii="Times New Roman" w:hAnsi="Times New Roman" w:cs="Times New Roman"/>
          <w:color w:val="000000"/>
          <w:sz w:val="28"/>
          <w:szCs w:val="28"/>
          <w:lang w:val="de-AT"/>
        </w:rPr>
        <w:instrText xml:space="preserve"> QUOTE </w:instrText>
      </w:r>
      <w:r w:rsidRPr="00596352">
        <w:pict>
          <v:shape id="_x0000_i1029" type="#_x0000_t75" style="width:17.25pt;height:16.5pt">
            <v:imagedata r:id="rId9" o:title="" chromakey="white"/>
          </v:shape>
        </w:pict>
      </w:r>
      <w:r w:rsidRPr="00596352">
        <w:rPr>
          <w:rFonts w:ascii="Times New Roman" w:hAnsi="Times New Roman" w:cs="Times New Roman"/>
          <w:color w:val="000000"/>
          <w:sz w:val="28"/>
          <w:szCs w:val="28"/>
          <w:lang w:val="de-AT"/>
        </w:rPr>
        <w:instrText xml:space="preserve"> </w:instrText>
      </w:r>
      <w:r w:rsidRPr="00596352">
        <w:rPr>
          <w:rFonts w:ascii="Times New Roman" w:hAnsi="Times New Roman" w:cs="Times New Roman"/>
          <w:color w:val="000000"/>
          <w:sz w:val="28"/>
          <w:szCs w:val="28"/>
          <w:lang w:val="de-AT"/>
        </w:rPr>
        <w:fldChar w:fldCharType="separate"/>
      </w:r>
      <w:r w:rsidRPr="00596352">
        <w:pict>
          <v:shape id="_x0000_i1030" type="#_x0000_t75" style="width:17.25pt;height:16.5pt">
            <v:imagedata r:id="rId9" o:title="" chromakey="white"/>
          </v:shape>
        </w:pict>
      </w:r>
      <w:r w:rsidRPr="00596352">
        <w:rPr>
          <w:rFonts w:ascii="Times New Roman" w:hAnsi="Times New Roman" w:cs="Times New Roman"/>
          <w:color w:val="000000"/>
          <w:sz w:val="28"/>
          <w:szCs w:val="28"/>
          <w:lang w:val="de-AT"/>
        </w:rPr>
        <w:fldChar w:fldCharType="end"/>
      </w:r>
      <w:r w:rsidRPr="007B3FE5">
        <w:rPr>
          <w:rFonts w:ascii="Times New Roman" w:hAnsi="Times New Roman" w:cs="Times New Roman"/>
          <w:color w:val="000000"/>
          <w:sz w:val="28"/>
          <w:szCs w:val="28"/>
          <w:lang w:val="de-AT"/>
        </w:rPr>
        <w:t xml:space="preserve"> - безризикова ставка;</w:t>
      </w:r>
    </w:p>
    <w:p w:rsidR="00F30E41" w:rsidRPr="007B3FE5" w:rsidRDefault="00F30E41" w:rsidP="007B3FE5">
      <w:pPr>
        <w:pStyle w:val="ListParagraph"/>
        <w:numPr>
          <w:ilvl w:val="0"/>
          <w:numId w:val="9"/>
        </w:numPr>
        <w:tabs>
          <w:tab w:val="left" w:pos="6946"/>
        </w:tabs>
        <w:spacing w:after="0" w:line="360" w:lineRule="auto"/>
        <w:jc w:val="both"/>
        <w:rPr>
          <w:rFonts w:ascii="Times New Roman" w:hAnsi="Times New Roman" w:cs="Times New Roman"/>
          <w:color w:val="000000"/>
          <w:sz w:val="28"/>
          <w:szCs w:val="28"/>
          <w:lang w:val="de-AT"/>
        </w:rPr>
      </w:pPr>
      <w:r w:rsidRPr="00596352">
        <w:rPr>
          <w:rFonts w:ascii="Times New Roman" w:hAnsi="Times New Roman" w:cs="Times New Roman"/>
          <w:color w:val="000000"/>
          <w:sz w:val="28"/>
          <w:szCs w:val="28"/>
          <w:lang w:val="de-AT"/>
        </w:rPr>
        <w:fldChar w:fldCharType="begin"/>
      </w:r>
      <w:r w:rsidRPr="00596352">
        <w:rPr>
          <w:rFonts w:ascii="Times New Roman" w:hAnsi="Times New Roman" w:cs="Times New Roman"/>
          <w:color w:val="000000"/>
          <w:sz w:val="28"/>
          <w:szCs w:val="28"/>
          <w:lang w:val="de-AT"/>
        </w:rPr>
        <w:instrText xml:space="preserve"> QUOTE </w:instrText>
      </w:r>
      <w:r w:rsidRPr="00596352">
        <w:pict>
          <v:shape id="_x0000_i1031" type="#_x0000_t75" style="width:21.75pt;height:13.5pt">
            <v:imagedata r:id="rId10" o:title="" chromakey="white"/>
          </v:shape>
        </w:pict>
      </w:r>
      <w:r w:rsidRPr="00596352">
        <w:rPr>
          <w:rFonts w:ascii="Times New Roman" w:hAnsi="Times New Roman" w:cs="Times New Roman"/>
          <w:color w:val="000000"/>
          <w:sz w:val="28"/>
          <w:szCs w:val="28"/>
          <w:lang w:val="de-AT"/>
        </w:rPr>
        <w:instrText xml:space="preserve"> </w:instrText>
      </w:r>
      <w:r w:rsidRPr="00596352">
        <w:rPr>
          <w:rFonts w:ascii="Times New Roman" w:hAnsi="Times New Roman" w:cs="Times New Roman"/>
          <w:color w:val="000000"/>
          <w:sz w:val="28"/>
          <w:szCs w:val="28"/>
          <w:lang w:val="de-AT"/>
        </w:rPr>
        <w:fldChar w:fldCharType="separate"/>
      </w:r>
      <w:r w:rsidRPr="00596352">
        <w:pict>
          <v:shape id="_x0000_i1032" type="#_x0000_t75" style="width:21.75pt;height:13.5pt">
            <v:imagedata r:id="rId10" o:title="" chromakey="white"/>
          </v:shape>
        </w:pict>
      </w:r>
      <w:r w:rsidRPr="00596352">
        <w:rPr>
          <w:rFonts w:ascii="Times New Roman" w:hAnsi="Times New Roman" w:cs="Times New Roman"/>
          <w:color w:val="000000"/>
          <w:sz w:val="28"/>
          <w:szCs w:val="28"/>
          <w:lang w:val="de-AT"/>
        </w:rPr>
        <w:fldChar w:fldCharType="end"/>
      </w:r>
      <w:r w:rsidRPr="007B3FE5">
        <w:rPr>
          <w:rFonts w:ascii="Times New Roman" w:hAnsi="Times New Roman" w:cs="Times New Roman"/>
          <w:color w:val="000000"/>
          <w:sz w:val="28"/>
          <w:szCs w:val="28"/>
          <w:lang w:val="de-AT"/>
        </w:rPr>
        <w:t>​ - ринкова дохідність;</w:t>
      </w:r>
    </w:p>
    <w:p w:rsidR="00F30E41" w:rsidRPr="007B3FE5" w:rsidRDefault="00F30E41" w:rsidP="007B3FE5">
      <w:pPr>
        <w:pStyle w:val="ListParagraph"/>
        <w:numPr>
          <w:ilvl w:val="0"/>
          <w:numId w:val="9"/>
        </w:num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fldChar w:fldCharType="begin"/>
      </w:r>
      <w:r w:rsidRPr="00596352">
        <w:rPr>
          <w:rFonts w:ascii="Times New Roman" w:hAnsi="Times New Roman" w:cs="Times New Roman"/>
          <w:color w:val="000000"/>
          <w:sz w:val="28"/>
          <w:szCs w:val="28"/>
          <w:lang w:val="ru-RU"/>
        </w:rPr>
        <w:instrText xml:space="preserve"> QUOTE </w:instrText>
      </w:r>
      <w:r w:rsidRPr="00596352">
        <w:pict>
          <v:shape id="_x0000_i1033" type="#_x0000_t75" style="width:33.75pt;height:16.5pt">
            <v:imagedata r:id="rId11" o:title="" chromakey="white"/>
          </v:shape>
        </w:pict>
      </w:r>
      <w:r w:rsidRPr="00596352">
        <w:rPr>
          <w:rFonts w:ascii="Times New Roman" w:hAnsi="Times New Roman" w:cs="Times New Roman"/>
          <w:color w:val="000000"/>
          <w:sz w:val="28"/>
          <w:szCs w:val="28"/>
          <w:lang w:val="ru-RU"/>
        </w:rPr>
        <w:instrText xml:space="preserve"> </w:instrText>
      </w:r>
      <w:r w:rsidRPr="00596352">
        <w:rPr>
          <w:rFonts w:ascii="Times New Roman" w:hAnsi="Times New Roman" w:cs="Times New Roman"/>
          <w:color w:val="000000"/>
          <w:sz w:val="28"/>
          <w:szCs w:val="28"/>
          <w:lang w:val="ru-RU"/>
        </w:rPr>
        <w:fldChar w:fldCharType="separate"/>
      </w:r>
      <w:r w:rsidRPr="00596352">
        <w:pict>
          <v:shape id="_x0000_i1034" type="#_x0000_t75" style="width:33.75pt;height:16.5pt">
            <v:imagedata r:id="rId11" o:title="" chromakey="white"/>
          </v:shape>
        </w:pict>
      </w:r>
      <w:r w:rsidRPr="00596352">
        <w:rPr>
          <w:rFonts w:ascii="Times New Roman" w:hAnsi="Times New Roman" w:cs="Times New Roman"/>
          <w:color w:val="000000"/>
          <w:sz w:val="28"/>
          <w:szCs w:val="28"/>
          <w:lang w:val="ru-RU"/>
        </w:rPr>
        <w:fldChar w:fldCharType="end"/>
      </w:r>
      <w:r w:rsidRPr="007B3FE5">
        <w:rPr>
          <w:rFonts w:ascii="Times New Roman" w:hAnsi="Times New Roman" w:cs="Times New Roman"/>
          <w:color w:val="000000"/>
          <w:sz w:val="28"/>
          <w:szCs w:val="28"/>
          <w:lang w:val="ru-RU"/>
        </w:rPr>
        <w:t xml:space="preserve"> -дохідність портфеля малих компаній мінус великих;</w:t>
      </w:r>
    </w:p>
    <w:p w:rsidR="00F30E41" w:rsidRPr="007B3FE5" w:rsidRDefault="00F30E41" w:rsidP="007B3FE5">
      <w:pPr>
        <w:pStyle w:val="ListParagraph"/>
        <w:numPr>
          <w:ilvl w:val="0"/>
          <w:numId w:val="9"/>
        </w:num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fldChar w:fldCharType="begin"/>
      </w:r>
      <w:r w:rsidRPr="00596352">
        <w:rPr>
          <w:rFonts w:ascii="Times New Roman" w:hAnsi="Times New Roman" w:cs="Times New Roman"/>
          <w:color w:val="000000"/>
          <w:sz w:val="28"/>
          <w:szCs w:val="28"/>
          <w:lang w:val="ru-RU"/>
        </w:rPr>
        <w:instrText xml:space="preserve"> QUOTE </w:instrText>
      </w:r>
      <w:r w:rsidRPr="00596352">
        <w:pict>
          <v:shape id="_x0000_i1035" type="#_x0000_t75" style="width:34.5pt;height:16.5pt">
            <v:imagedata r:id="rId12" o:title="" chromakey="white"/>
          </v:shape>
        </w:pict>
      </w:r>
      <w:r w:rsidRPr="00596352">
        <w:rPr>
          <w:rFonts w:ascii="Times New Roman" w:hAnsi="Times New Roman" w:cs="Times New Roman"/>
          <w:color w:val="000000"/>
          <w:sz w:val="28"/>
          <w:szCs w:val="28"/>
          <w:lang w:val="ru-RU"/>
        </w:rPr>
        <w:instrText xml:space="preserve"> </w:instrText>
      </w:r>
      <w:r w:rsidRPr="00596352">
        <w:rPr>
          <w:rFonts w:ascii="Times New Roman" w:hAnsi="Times New Roman" w:cs="Times New Roman"/>
          <w:color w:val="000000"/>
          <w:sz w:val="28"/>
          <w:szCs w:val="28"/>
          <w:lang w:val="ru-RU"/>
        </w:rPr>
        <w:fldChar w:fldCharType="separate"/>
      </w:r>
      <w:r w:rsidRPr="00596352">
        <w:pict>
          <v:shape id="_x0000_i1036" type="#_x0000_t75" style="width:34.5pt;height:16.5pt">
            <v:imagedata r:id="rId12" o:title="" chromakey="white"/>
          </v:shape>
        </w:pict>
      </w:r>
      <w:r w:rsidRPr="00596352">
        <w:rPr>
          <w:rFonts w:ascii="Times New Roman" w:hAnsi="Times New Roman" w:cs="Times New Roman"/>
          <w:color w:val="000000"/>
          <w:sz w:val="28"/>
          <w:szCs w:val="28"/>
          <w:lang w:val="ru-RU"/>
        </w:rPr>
        <w:fldChar w:fldCharType="end"/>
      </w:r>
      <w:r w:rsidRPr="007B3FE5">
        <w:rPr>
          <w:rFonts w:ascii="Times New Roman" w:hAnsi="Times New Roman" w:cs="Times New Roman"/>
          <w:color w:val="000000"/>
          <w:sz w:val="28"/>
          <w:szCs w:val="28"/>
          <w:lang w:val="ru-RU"/>
        </w:rPr>
        <w:t xml:space="preserve"> - дохідність акцій із високим </w:t>
      </w:r>
      <w:r w:rsidRPr="007B3FE5">
        <w:rPr>
          <w:rFonts w:ascii="Times New Roman" w:hAnsi="Times New Roman" w:cs="Times New Roman"/>
          <w:color w:val="000000"/>
          <w:sz w:val="28"/>
          <w:szCs w:val="28"/>
          <w:lang w:val="de-AT"/>
        </w:rPr>
        <w:t>book</w:t>
      </w:r>
      <w:r w:rsidRPr="007B3FE5">
        <w:rPr>
          <w:rFonts w:ascii="Times New Roman" w:hAnsi="Times New Roman" w:cs="Times New Roman"/>
          <w:color w:val="000000"/>
          <w:sz w:val="28"/>
          <w:szCs w:val="28"/>
          <w:lang w:val="ru-RU"/>
        </w:rPr>
        <w:t>-</w:t>
      </w:r>
      <w:r w:rsidRPr="007B3FE5">
        <w:rPr>
          <w:rFonts w:ascii="Times New Roman" w:hAnsi="Times New Roman" w:cs="Times New Roman"/>
          <w:color w:val="000000"/>
          <w:sz w:val="28"/>
          <w:szCs w:val="28"/>
          <w:lang w:val="de-AT"/>
        </w:rPr>
        <w:t>to</w:t>
      </w:r>
      <w:r w:rsidRPr="007B3FE5">
        <w:rPr>
          <w:rFonts w:ascii="Times New Roman" w:hAnsi="Times New Roman" w:cs="Times New Roman"/>
          <w:color w:val="000000"/>
          <w:sz w:val="28"/>
          <w:szCs w:val="28"/>
          <w:lang w:val="ru-RU"/>
        </w:rPr>
        <w:t>-</w:t>
      </w:r>
      <w:r w:rsidRPr="007B3FE5">
        <w:rPr>
          <w:rFonts w:ascii="Times New Roman" w:hAnsi="Times New Roman" w:cs="Times New Roman"/>
          <w:color w:val="000000"/>
          <w:sz w:val="28"/>
          <w:szCs w:val="28"/>
          <w:lang w:val="de-AT"/>
        </w:rPr>
        <w:t>market</w:t>
      </w:r>
      <w:r w:rsidRPr="007B3FE5">
        <w:rPr>
          <w:rFonts w:ascii="Times New Roman" w:hAnsi="Times New Roman" w:cs="Times New Roman"/>
          <w:color w:val="000000"/>
          <w:sz w:val="28"/>
          <w:szCs w:val="28"/>
          <w:lang w:val="ru-RU"/>
        </w:rPr>
        <w:t xml:space="preserve"> співвідношенням мінус із низьким;</w:t>
      </w:r>
    </w:p>
    <w:p w:rsidR="00F30E41" w:rsidRPr="007B3FE5" w:rsidRDefault="00F30E41" w:rsidP="007B3FE5">
      <w:pPr>
        <w:pStyle w:val="ListParagraph"/>
        <w:numPr>
          <w:ilvl w:val="0"/>
          <w:numId w:val="9"/>
        </w:num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fldChar w:fldCharType="begin"/>
      </w:r>
      <w:r w:rsidRPr="00596352">
        <w:rPr>
          <w:rFonts w:ascii="Times New Roman" w:hAnsi="Times New Roman" w:cs="Times New Roman"/>
          <w:color w:val="000000"/>
          <w:sz w:val="28"/>
          <w:szCs w:val="28"/>
          <w:lang w:val="ru-RU"/>
        </w:rPr>
        <w:instrText xml:space="preserve"> QUOTE </w:instrText>
      </w:r>
      <w:r w:rsidRPr="00596352">
        <w:pict>
          <v:shape id="_x0000_i1037" type="#_x0000_t75" style="width:14.25pt;height:16.5pt">
            <v:imagedata r:id="rId13" o:title="" chromakey="white"/>
          </v:shape>
        </w:pict>
      </w:r>
      <w:r w:rsidRPr="00596352">
        <w:rPr>
          <w:rFonts w:ascii="Times New Roman" w:hAnsi="Times New Roman" w:cs="Times New Roman"/>
          <w:color w:val="000000"/>
          <w:sz w:val="28"/>
          <w:szCs w:val="28"/>
          <w:lang w:val="ru-RU"/>
        </w:rPr>
        <w:instrText xml:space="preserve"> </w:instrText>
      </w:r>
      <w:r w:rsidRPr="00596352">
        <w:rPr>
          <w:rFonts w:ascii="Times New Roman" w:hAnsi="Times New Roman" w:cs="Times New Roman"/>
          <w:color w:val="000000"/>
          <w:sz w:val="28"/>
          <w:szCs w:val="28"/>
          <w:lang w:val="ru-RU"/>
        </w:rPr>
        <w:fldChar w:fldCharType="separate"/>
      </w:r>
      <w:r w:rsidRPr="00596352">
        <w:pict>
          <v:shape id="_x0000_i1038" type="#_x0000_t75" style="width:14.25pt;height:16.5pt">
            <v:imagedata r:id="rId13" o:title="" chromakey="white"/>
          </v:shape>
        </w:pict>
      </w:r>
      <w:r w:rsidRPr="00596352">
        <w:rPr>
          <w:rFonts w:ascii="Times New Roman" w:hAnsi="Times New Roman" w:cs="Times New Roman"/>
          <w:color w:val="000000"/>
          <w:sz w:val="28"/>
          <w:szCs w:val="28"/>
          <w:lang w:val="ru-RU"/>
        </w:rPr>
        <w:fldChar w:fldCharType="end"/>
      </w:r>
      <w:r w:rsidRPr="007B3FE5">
        <w:rPr>
          <w:rFonts w:ascii="Times New Roman" w:hAnsi="Times New Roman" w:cs="Times New Roman"/>
          <w:color w:val="000000"/>
          <w:sz w:val="28"/>
          <w:szCs w:val="28"/>
          <w:lang w:val="ru-RU"/>
        </w:rPr>
        <w:t xml:space="preserve"> - коефіцієнти чутливості активу до кожного з факторів;</w:t>
      </w:r>
    </w:p>
    <w:p w:rsidR="00F30E41" w:rsidRPr="00230427" w:rsidRDefault="00F30E41" w:rsidP="00230427">
      <w:pPr>
        <w:pStyle w:val="ListParagraph"/>
        <w:numPr>
          <w:ilvl w:val="0"/>
          <w:numId w:val="9"/>
        </w:numPr>
        <w:tabs>
          <w:tab w:val="left" w:pos="6946"/>
        </w:tabs>
        <w:spacing w:after="0" w:line="360" w:lineRule="auto"/>
        <w:jc w:val="both"/>
        <w:rPr>
          <w:rFonts w:ascii="Times New Roman" w:hAnsi="Times New Roman" w:cs="Times New Roman"/>
          <w:color w:val="000000"/>
          <w:sz w:val="28"/>
          <w:szCs w:val="28"/>
          <w:lang w:val="de-AT"/>
        </w:rPr>
      </w:pPr>
      <w:r w:rsidRPr="00596352">
        <w:rPr>
          <w:rFonts w:ascii="Times New Roman" w:hAnsi="Times New Roman" w:cs="Times New Roman"/>
          <w:color w:val="000000"/>
          <w:sz w:val="28"/>
          <w:szCs w:val="28"/>
          <w:lang w:val="ru-RU"/>
        </w:rPr>
        <w:fldChar w:fldCharType="begin"/>
      </w:r>
      <w:r w:rsidRPr="00596352">
        <w:rPr>
          <w:rFonts w:ascii="Times New Roman" w:hAnsi="Times New Roman" w:cs="Times New Roman"/>
          <w:color w:val="000000"/>
          <w:sz w:val="28"/>
          <w:szCs w:val="28"/>
          <w:lang w:val="ru-RU"/>
        </w:rPr>
        <w:instrText xml:space="preserve"> QUOTE </w:instrText>
      </w:r>
      <w:r w:rsidRPr="00596352">
        <w:pict>
          <v:shape id="_x0000_i1039" type="#_x0000_t75" style="width:12pt;height:16.5pt">
            <v:imagedata r:id="rId14" o:title="" chromakey="white"/>
          </v:shape>
        </w:pict>
      </w:r>
      <w:r w:rsidRPr="00596352">
        <w:rPr>
          <w:rFonts w:ascii="Times New Roman" w:hAnsi="Times New Roman" w:cs="Times New Roman"/>
          <w:color w:val="000000"/>
          <w:sz w:val="28"/>
          <w:szCs w:val="28"/>
          <w:lang w:val="ru-RU"/>
        </w:rPr>
        <w:instrText xml:space="preserve"> </w:instrText>
      </w:r>
      <w:r w:rsidRPr="00596352">
        <w:rPr>
          <w:rFonts w:ascii="Times New Roman" w:hAnsi="Times New Roman" w:cs="Times New Roman"/>
          <w:color w:val="000000"/>
          <w:sz w:val="28"/>
          <w:szCs w:val="28"/>
          <w:lang w:val="ru-RU"/>
        </w:rPr>
        <w:fldChar w:fldCharType="separate"/>
      </w:r>
      <w:r w:rsidRPr="00596352">
        <w:pict>
          <v:shape id="_x0000_i1040" type="#_x0000_t75" style="width:12pt;height:16.5pt">
            <v:imagedata r:id="rId14" o:title="" chromakey="white"/>
          </v:shape>
        </w:pict>
      </w:r>
      <w:r w:rsidRPr="00596352">
        <w:rPr>
          <w:rFonts w:ascii="Times New Roman" w:hAnsi="Times New Roman" w:cs="Times New Roman"/>
          <w:color w:val="000000"/>
          <w:sz w:val="28"/>
          <w:szCs w:val="28"/>
          <w:lang w:val="ru-RU"/>
        </w:rPr>
        <w:fldChar w:fldCharType="end"/>
      </w:r>
      <w:r w:rsidRPr="00230427">
        <w:rPr>
          <w:rFonts w:ascii="Times New Roman" w:hAnsi="Times New Roman" w:cs="Times New Roman"/>
          <w:color w:val="000000"/>
          <w:sz w:val="28"/>
          <w:szCs w:val="28"/>
          <w:lang w:val="ru-RU"/>
        </w:rPr>
        <w:t xml:space="preserve"> - випадкова складова.</w:t>
      </w:r>
    </w:p>
    <w:p w:rsidR="00F30E41" w:rsidRPr="00854466" w:rsidRDefault="00F30E41" w:rsidP="00AC1C14">
      <w:pPr>
        <w:tabs>
          <w:tab w:val="left" w:pos="6946"/>
        </w:tabs>
        <w:spacing w:after="0" w:line="360" w:lineRule="auto"/>
        <w:ind w:firstLine="709"/>
        <w:jc w:val="both"/>
        <w:rPr>
          <w:rFonts w:ascii="Times New Roman" w:hAnsi="Times New Roman" w:cs="Times New Roman"/>
          <w:color w:val="000000"/>
          <w:sz w:val="28"/>
          <w:szCs w:val="28"/>
          <w:lang w:val="ru-RU"/>
        </w:rPr>
      </w:pPr>
      <w:r w:rsidRPr="00D259FC">
        <w:rPr>
          <w:rFonts w:ascii="Times New Roman" w:hAnsi="Times New Roman" w:cs="Times New Roman"/>
          <w:color w:val="000000"/>
          <w:sz w:val="28"/>
          <w:szCs w:val="28"/>
        </w:rPr>
        <w:t>У цілому, трифакторна модель Фама</w:t>
      </w:r>
      <w:r w:rsidRPr="00D259FC">
        <w:rPr>
          <w:rFonts w:ascii="Times New Roman" w:hAnsi="Times New Roman" w:cs="Times New Roman"/>
          <w:color w:val="000000"/>
          <w:sz w:val="28"/>
          <w:szCs w:val="28"/>
          <w:lang w:val="ru-RU"/>
        </w:rPr>
        <w:t>-</w:t>
      </w:r>
      <w:r w:rsidRPr="00D259FC">
        <w:rPr>
          <w:rFonts w:ascii="Times New Roman" w:hAnsi="Times New Roman" w:cs="Times New Roman"/>
          <w:color w:val="000000"/>
          <w:sz w:val="28"/>
          <w:szCs w:val="28"/>
        </w:rPr>
        <w:t xml:space="preserve">Френча розглядається як значно точніший інструмент для оцінки очікуваної дохідності активів, особливо в нестабільному або посткризовому середовищі, де проста CAPM вже не дає достовірних результатів. </w:t>
      </w:r>
    </w:p>
    <w:p w:rsidR="00F30E41" w:rsidRPr="008E3BC5" w:rsidRDefault="00F30E41" w:rsidP="00AC1C14">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Другий етап формування інвестиційного портфеля спрямований на розподіл капіталу між конкретними активами та побудову його структури. Цей етап включає два основних підходи, які дозволяють зробити портфель більш збалансованим і відповідним цілям інвестора.</w:t>
      </w:r>
    </w:p>
    <w:p w:rsidR="00F30E41" w:rsidRPr="008E3BC5" w:rsidRDefault="00F30E41" w:rsidP="005C6FEB">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Спочатку за допомогою моделі Марковица визначається, яку частку портфеля має займати кожен клас активів, таких як акції, облігації чи нерухомість. Ця модель спрямована на розподіл капіталу між активами таким чином, щоб мінімізувати несистематичний ризик, використовуючи активи з низькою або негативною кореляцією, і одночасно забезпечити максимальну очікувану дохідність.</w:t>
      </w:r>
    </w:p>
    <w:p w:rsidR="00F30E41" w:rsidRDefault="00F30E41" w:rsidP="00434AE2">
      <w:pPr>
        <w:tabs>
          <w:tab w:val="left" w:pos="6946"/>
        </w:tabs>
        <w:spacing w:after="0" w:line="360" w:lineRule="auto"/>
        <w:ind w:firstLine="709"/>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Марковиц зазначав, що навіть портфель із 60 цінних паперів із однієї галузі, залишатиметься ризикованим, оскільки всі активи піддаються однаковим галузевим ризикам. Для зменшення цього ризику портфель повинен містити активи з різних галузей, що мають низьку коваріацію між собою. Це забезпечує стійкість портфеля до спаду в окремих секторах економіки [</w:t>
      </w:r>
      <w:r>
        <w:rPr>
          <w:rFonts w:ascii="Times New Roman" w:hAnsi="Times New Roman" w:cs="Times New Roman"/>
          <w:color w:val="000000"/>
          <w:sz w:val="28"/>
          <w:szCs w:val="28"/>
        </w:rPr>
        <w:t>6</w:t>
      </w:r>
      <w:r w:rsidRPr="008E3BC5">
        <w:rPr>
          <w:rFonts w:ascii="Times New Roman" w:hAnsi="Times New Roman" w:cs="Times New Roman"/>
          <w:color w:val="000000"/>
          <w:sz w:val="28"/>
          <w:szCs w:val="28"/>
        </w:rPr>
        <w:t>].</w:t>
      </w:r>
    </w:p>
    <w:p w:rsidR="00F30E41" w:rsidRDefault="00F30E41" w:rsidP="00434AE2">
      <w:pPr>
        <w:tabs>
          <w:tab w:val="left" w:pos="6946"/>
        </w:tabs>
        <w:spacing w:after="0" w:line="360" w:lineRule="auto"/>
        <w:ind w:firstLine="709"/>
        <w:jc w:val="both"/>
        <w:rPr>
          <w:rFonts w:ascii="Times New Roman" w:hAnsi="Times New Roman" w:cs="Times New Roman"/>
          <w:color w:val="000000"/>
          <w:sz w:val="28"/>
          <w:szCs w:val="28"/>
          <w:lang w:val="ru-RU"/>
        </w:rPr>
      </w:pPr>
      <w:r w:rsidRPr="009B4180">
        <w:rPr>
          <w:rFonts w:ascii="Times New Roman" w:hAnsi="Times New Roman" w:cs="Times New Roman"/>
          <w:color w:val="000000"/>
          <w:sz w:val="28"/>
          <w:szCs w:val="28"/>
          <w:lang w:val="ru-RU"/>
        </w:rPr>
        <w:t>У нестабільних ринкових умовах модель Марковиця стикається з низкою обмежень, пов’язаних із її залежністю від точних прогнозів дохідності та коваріації активів. Це робить її вразливою до помилок у ввідних даних. Як зазначено у Ghahtarani et al. (2021), стандартна модель не враховує різницю між позитивними і негативними коливаннями, оцінюючи ризик лише через загальну дисперсію. У результаті вона може переоцінювати ризики під час волатильності й не забезпечує належного захисту в періоди ринкових криз. Для вирішення цієї проблеми автори пропонують застосування робастних методів, зокрема Worst-Case Value at Risk (WCVaR), який враховує потенційні екстремальні втрати та знижує вплив неточностей у вхідних параметрах [7].</w:t>
      </w:r>
    </w:p>
    <w:p w:rsidR="00F30E41" w:rsidRPr="00854466" w:rsidRDefault="00F30E41" w:rsidP="00434AE2">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 xml:space="preserve">Наступний крок - це визначення мінімальної кількості акцій, необхідних для досягнення ефективної диверсифікації. Дослідження, яке провів Статман, вказує, що мінімальна кількість акцій для успішної диверсифікації портфеля </w:t>
      </w:r>
      <w:r w:rsidRPr="00F76842">
        <w:rPr>
          <w:rFonts w:ascii="Times New Roman" w:hAnsi="Times New Roman" w:cs="Times New Roman"/>
          <w:color w:val="000000"/>
          <w:sz w:val="28"/>
          <w:szCs w:val="28"/>
        </w:rPr>
        <w:t>-</w:t>
      </w:r>
      <w:r w:rsidRPr="008E3BC5">
        <w:rPr>
          <w:rFonts w:ascii="Times New Roman" w:hAnsi="Times New Roman" w:cs="Times New Roman"/>
          <w:color w:val="000000"/>
          <w:sz w:val="28"/>
          <w:szCs w:val="28"/>
        </w:rPr>
        <w:t xml:space="preserve"> 30 [</w:t>
      </w:r>
      <w:r w:rsidRPr="007B4421">
        <w:rPr>
          <w:rFonts w:ascii="Times New Roman" w:hAnsi="Times New Roman" w:cs="Times New Roman"/>
          <w:color w:val="000000"/>
          <w:sz w:val="28"/>
          <w:szCs w:val="28"/>
        </w:rPr>
        <w:t>8</w:t>
      </w:r>
      <w:r w:rsidRPr="00634AD1">
        <w:rPr>
          <w:rFonts w:ascii="Times New Roman" w:hAnsi="Times New Roman" w:cs="Times New Roman"/>
          <w:color w:val="000000"/>
          <w:sz w:val="28"/>
          <w:szCs w:val="28"/>
        </w:rPr>
        <w:t>, с 337</w:t>
      </w:r>
      <w:r w:rsidRPr="008E3BC5">
        <w:rPr>
          <w:rFonts w:ascii="Times New Roman" w:hAnsi="Times New Roman" w:cs="Times New Roman"/>
          <w:color w:val="000000"/>
          <w:sz w:val="28"/>
          <w:szCs w:val="28"/>
        </w:rPr>
        <w:t>].</w:t>
      </w:r>
    </w:p>
    <w:p w:rsidR="00F30E41" w:rsidRPr="008E3BC5" w:rsidRDefault="00F30E41" w:rsidP="00A90EBC">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Далі знов використовується модель Шарпа, яку ми розглядали раніше. Вона допомагає розподілити кошти всередині кожного обраного сегмента. Наприклад, якщо було вирішено інвестувати в акції, модель Шарпа підкаже, які саме акції вибрати, щоб зберегти баланс між ризиком і доходністю. Так само відбувається з іншими сегментами, наприклад, облігаціями чи деривативами.</w:t>
      </w:r>
    </w:p>
    <w:p w:rsidR="00F30E41" w:rsidRPr="008E3BC5" w:rsidRDefault="00F30E41" w:rsidP="00A90EBC">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Цей підхід дозволяє детально продумати кожен елемент портфеля, зробити його ефективним і водночас стабільним. Поєднання моделей Марковица і Шарпа на цьому етапі допомагає інвестору отримати максимально точну структуру портфеля, яка відповідає його цілям і враховує ринкові умови.</w:t>
      </w:r>
    </w:p>
    <w:p w:rsidR="00F30E41" w:rsidRPr="008E3BC5" w:rsidRDefault="00F30E41" w:rsidP="004E0536">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 xml:space="preserve">Останній етап формування інвестиційного портфеля </w:t>
      </w:r>
      <w:r>
        <w:rPr>
          <w:rFonts w:ascii="Times New Roman" w:hAnsi="Times New Roman" w:cs="Times New Roman"/>
          <w:color w:val="000000"/>
          <w:sz w:val="28"/>
          <w:szCs w:val="28"/>
        </w:rPr>
        <w:t>-</w:t>
      </w:r>
      <w:r w:rsidRPr="008E3BC5">
        <w:rPr>
          <w:rFonts w:ascii="Times New Roman" w:hAnsi="Times New Roman" w:cs="Times New Roman"/>
          <w:color w:val="000000"/>
          <w:sz w:val="28"/>
          <w:szCs w:val="28"/>
        </w:rPr>
        <w:t xml:space="preserve"> це ребалансування, тобто процес коригування структури активів, щоб підтримувати портфель у відповідності до початкових цілей інвестора. Цей етап особливо важливий, адже ринок постійно змінюється, і без таких коригувань портфель може стати занадто ризиковим або втратити свою ефективність.</w:t>
      </w:r>
    </w:p>
    <w:p w:rsidR="00F30E41" w:rsidRPr="003B77FC" w:rsidRDefault="00F30E41" w:rsidP="00FC6068">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Ребалансування є важливим інструментом для підтримки ефективності інвестиційного портфеля, який дозволяє зберігати оптимальну структуру активів та адаптуватися до змін ринку. У сучасному світі цей процес часто здійснюється за допомогою адаптивних стратегій, наприклад, встановлення меж, за якими ваги активів можуть змінюватися, що дозволяє уникати зайвих транзакцій і зберігати ефективну структуру портфеля. Дослідження підтверджують, що такі підходи не лише знижують витрати, а й підвищують ефективність портфеля за коефіцієнтом Шарпа, тобто співвідношенням ризику і дохідності [</w:t>
      </w:r>
      <w:r w:rsidRPr="007B4421">
        <w:rPr>
          <w:rFonts w:ascii="Times New Roman" w:hAnsi="Times New Roman" w:cs="Times New Roman"/>
          <w:color w:val="000000"/>
          <w:sz w:val="28"/>
          <w:szCs w:val="28"/>
        </w:rPr>
        <w:t>9</w:t>
      </w:r>
      <w:r w:rsidRPr="008E3BC5">
        <w:rPr>
          <w:rFonts w:ascii="Times New Roman" w:hAnsi="Times New Roman" w:cs="Times New Roman"/>
          <w:color w:val="000000"/>
          <w:sz w:val="28"/>
          <w:szCs w:val="28"/>
        </w:rPr>
        <w:t>].</w:t>
      </w:r>
    </w:p>
    <w:p w:rsidR="00F30E41" w:rsidRPr="00854466" w:rsidRDefault="00F30E41" w:rsidP="00DD02DB">
      <w:pPr>
        <w:tabs>
          <w:tab w:val="left" w:pos="6946"/>
        </w:tabs>
        <w:spacing w:after="0" w:line="360" w:lineRule="auto"/>
        <w:ind w:firstLine="709"/>
        <w:jc w:val="both"/>
        <w:rPr>
          <w:rFonts w:ascii="Times New Roman" w:hAnsi="Times New Roman" w:cs="Times New Roman"/>
          <w:color w:val="000000"/>
          <w:sz w:val="28"/>
          <w:szCs w:val="28"/>
        </w:rPr>
      </w:pPr>
      <w:r w:rsidRPr="00DD02DB">
        <w:rPr>
          <w:rFonts w:ascii="Times New Roman" w:hAnsi="Times New Roman" w:cs="Times New Roman"/>
          <w:color w:val="000000"/>
          <w:sz w:val="28"/>
          <w:szCs w:val="28"/>
        </w:rPr>
        <w:t>У сучасному фінансовому середовищі штучний інтелект виступає ефективним інструментом для ребалансування портфеля. Завдяки здатності аналізувати великі обсяги даних у реальному часі, AI враховує ринкову волатильність, кореляції між активами, витрати на транзакції та податкові наслідки, що дозволяє точно визначати оптимальні моменти для корекції портфеля [10].</w:t>
      </w:r>
    </w:p>
    <w:p w:rsidR="00F30E41" w:rsidRPr="00C1776E" w:rsidRDefault="00F30E41" w:rsidP="000F1A8E">
      <w:pPr>
        <w:tabs>
          <w:tab w:val="left" w:pos="6946"/>
        </w:tabs>
        <w:spacing w:after="0" w:line="360" w:lineRule="auto"/>
        <w:ind w:firstLine="709"/>
        <w:jc w:val="both"/>
        <w:rPr>
          <w:rFonts w:ascii="Times New Roman" w:hAnsi="Times New Roman" w:cs="Times New Roman"/>
          <w:color w:val="000000"/>
          <w:sz w:val="28"/>
          <w:szCs w:val="28"/>
        </w:rPr>
      </w:pPr>
      <w:r w:rsidRPr="000F1A8E">
        <w:rPr>
          <w:rFonts w:ascii="Times New Roman" w:hAnsi="Times New Roman" w:cs="Times New Roman"/>
          <w:color w:val="000000"/>
          <w:sz w:val="28"/>
          <w:szCs w:val="28"/>
        </w:rPr>
        <w:t>Частота ребалансування залежить від типу активів: акції та сировинні товари потребують частіших коригувань через високу волатильність, тоді як облігації та REIT менш чутливі до змін. Використання AI дозволяє автоматизувати цей процес, адаптуючи управління портфелем до поточних умов. Поєднання традиційних методів і алгоритмів штучного інтелекту сприяє підвищенню стійкості портфеля та досягненню інвестиційних цілей.</w:t>
      </w:r>
    </w:p>
    <w:p w:rsidR="00F30E41" w:rsidRPr="000F1A8E" w:rsidRDefault="00F30E41" w:rsidP="000F1A8E">
      <w:pPr>
        <w:tabs>
          <w:tab w:val="left" w:pos="6946"/>
        </w:tabs>
        <w:spacing w:after="0" w:line="360" w:lineRule="auto"/>
        <w:ind w:firstLine="709"/>
        <w:jc w:val="both"/>
        <w:rPr>
          <w:rFonts w:ascii="Times New Roman" w:hAnsi="Times New Roman" w:cs="Times New Roman"/>
          <w:color w:val="000000"/>
          <w:sz w:val="28"/>
          <w:szCs w:val="28"/>
          <w:lang w:val="ru-RU"/>
        </w:rPr>
      </w:pPr>
      <w:r w:rsidRPr="000F1A8E">
        <w:rPr>
          <w:rFonts w:ascii="Times New Roman" w:hAnsi="Times New Roman" w:cs="Times New Roman"/>
          <w:color w:val="000000"/>
          <w:sz w:val="28"/>
          <w:szCs w:val="28"/>
        </w:rPr>
        <w:t>У цьому контексті варто враховувати вплив глобальних криз на інвестиційні стратегії. Так, у період пандемії COVID-19 структура оптимальних портфелів зазнала суттєвих змін: зросла частка активів, які вважаються «тихою гаванню», таких як золото, державні облігації та акції сектору охорони здоров’я [11]. Водночас, ефективність класичних моделей, зокрема Марковіца, знижувалася через неспроможність адекватно реагувати на підвищену волатильність.</w:t>
      </w:r>
    </w:p>
    <w:p w:rsidR="00F30E41" w:rsidRPr="000F1A8E" w:rsidRDefault="00F30E41" w:rsidP="000F1A8E">
      <w:pPr>
        <w:tabs>
          <w:tab w:val="left" w:pos="6946"/>
        </w:tabs>
        <w:spacing w:after="0" w:line="360" w:lineRule="auto"/>
        <w:ind w:firstLine="709"/>
        <w:jc w:val="both"/>
        <w:rPr>
          <w:rFonts w:ascii="Times New Roman" w:hAnsi="Times New Roman" w:cs="Times New Roman"/>
          <w:color w:val="000000"/>
          <w:sz w:val="28"/>
          <w:szCs w:val="28"/>
        </w:rPr>
      </w:pPr>
      <w:r w:rsidRPr="000F1A8E">
        <w:rPr>
          <w:rFonts w:ascii="Times New Roman" w:hAnsi="Times New Roman" w:cs="Times New Roman"/>
          <w:color w:val="000000"/>
          <w:sz w:val="28"/>
          <w:szCs w:val="28"/>
        </w:rPr>
        <w:t>Крім того, дослідження показали зміну поведінки індивідуальних інвесторів: у кризових умовах вони переорієнтовувалися на менш ризикові активи та посилювали диверсифікацію [</w:t>
      </w:r>
      <w:r>
        <w:rPr>
          <w:rFonts w:ascii="Times New Roman" w:hAnsi="Times New Roman" w:cs="Times New Roman"/>
          <w:color w:val="000000"/>
          <w:sz w:val="28"/>
          <w:szCs w:val="28"/>
          <w:lang w:val="ru-RU"/>
        </w:rPr>
        <w:t>12</w:t>
      </w:r>
      <w:r w:rsidRPr="000F1A8E">
        <w:rPr>
          <w:rFonts w:ascii="Times New Roman" w:hAnsi="Times New Roman" w:cs="Times New Roman"/>
          <w:color w:val="000000"/>
          <w:sz w:val="28"/>
          <w:szCs w:val="28"/>
        </w:rPr>
        <w:t>]. Це підтверджує актуальність адаптивного управління портфелем у нестабільному ринковому середовищі.</w:t>
      </w:r>
    </w:p>
    <w:p w:rsidR="00F30E41" w:rsidRPr="00854466" w:rsidRDefault="00F30E41" w:rsidP="00DD02DB">
      <w:pPr>
        <w:tabs>
          <w:tab w:val="left" w:pos="6946"/>
        </w:tabs>
        <w:spacing w:after="0" w:line="360" w:lineRule="auto"/>
        <w:ind w:firstLine="709"/>
        <w:jc w:val="both"/>
        <w:rPr>
          <w:rFonts w:ascii="Times New Roman" w:hAnsi="Times New Roman" w:cs="Times New Roman"/>
          <w:color w:val="000000"/>
          <w:sz w:val="28"/>
          <w:szCs w:val="28"/>
        </w:rPr>
      </w:pPr>
    </w:p>
    <w:p w:rsidR="00F30E41" w:rsidRPr="008E3BC5" w:rsidRDefault="00F30E41" w:rsidP="00DB0830">
      <w:pPr>
        <w:tabs>
          <w:tab w:val="left" w:pos="6946"/>
        </w:tabs>
        <w:spacing w:after="0" w:line="360" w:lineRule="auto"/>
        <w:ind w:firstLine="709"/>
        <w:jc w:val="both"/>
        <w:rPr>
          <w:rFonts w:ascii="Times New Roman" w:hAnsi="Times New Roman" w:cs="Times New Roman"/>
          <w:b/>
          <w:bCs/>
          <w:color w:val="000000"/>
          <w:sz w:val="28"/>
          <w:szCs w:val="28"/>
        </w:rPr>
      </w:pPr>
      <w:r w:rsidRPr="008E3BC5">
        <w:rPr>
          <w:rFonts w:ascii="Times New Roman" w:hAnsi="Times New Roman" w:cs="Times New Roman"/>
          <w:b/>
          <w:bCs/>
          <w:color w:val="000000"/>
          <w:sz w:val="28"/>
          <w:szCs w:val="28"/>
        </w:rPr>
        <w:t>1.3. Технології управління інвестиційним портфелем: інструменти та підходи</w:t>
      </w:r>
    </w:p>
    <w:p w:rsidR="00F30E41" w:rsidRPr="008E3BC5" w:rsidRDefault="00F30E41" w:rsidP="00DB0830">
      <w:pPr>
        <w:tabs>
          <w:tab w:val="left" w:pos="6946"/>
        </w:tabs>
        <w:spacing w:after="0" w:line="360" w:lineRule="auto"/>
        <w:ind w:firstLine="709"/>
        <w:jc w:val="both"/>
        <w:rPr>
          <w:rFonts w:ascii="Times New Roman" w:hAnsi="Times New Roman" w:cs="Times New Roman"/>
          <w:b/>
          <w:bCs/>
          <w:color w:val="000000"/>
          <w:sz w:val="28"/>
          <w:szCs w:val="28"/>
        </w:rPr>
      </w:pPr>
    </w:p>
    <w:p w:rsidR="00F30E41" w:rsidRPr="008E3BC5" w:rsidRDefault="00F30E41" w:rsidP="00BE0144">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 xml:space="preserve">Управління інвестиційним портфелем </w:t>
      </w:r>
      <w:r>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це важливий елемент сучасного фінансового менеджменту, який допомагає правильно розподіляти ресурси та досягати фінансових цілей. Сутність цього процесу полягає у мінімізації рисків та збільшення прибутковості [</w:t>
      </w:r>
      <w:r w:rsidRPr="00D8093F">
        <w:rPr>
          <w:rFonts w:ascii="Times New Roman" w:hAnsi="Times New Roman" w:cs="Times New Roman"/>
          <w:color w:val="000000"/>
          <w:sz w:val="28"/>
          <w:szCs w:val="28"/>
        </w:rPr>
        <w:t>1</w:t>
      </w:r>
      <w:r w:rsidRPr="00200CA4">
        <w:rPr>
          <w:rFonts w:ascii="Times New Roman" w:hAnsi="Times New Roman" w:cs="Times New Roman"/>
          <w:color w:val="000000"/>
          <w:sz w:val="28"/>
          <w:szCs w:val="28"/>
        </w:rPr>
        <w:t>3</w:t>
      </w:r>
      <w:r w:rsidRPr="008E3BC5">
        <w:rPr>
          <w:rFonts w:ascii="Times New Roman" w:hAnsi="Times New Roman" w:cs="Times New Roman"/>
          <w:color w:val="000000"/>
          <w:sz w:val="28"/>
          <w:szCs w:val="28"/>
        </w:rPr>
        <w:t>]. Однак, управління портфелем може набувати ширшого значення залежно від цілей інвестора, його інвестиційних уподобань та інших факторів. Це ускладнює формулювання універсального визначення цього поняття, залишаючи простір для різних його трактувань. Загалом у фінансовій теорії управління інвестиційним портфелем зазвичай поділяється на дві ключові стратегії: активну та пасивну.</w:t>
      </w:r>
    </w:p>
    <w:p w:rsidR="00F30E41" w:rsidRPr="008E3BC5" w:rsidRDefault="00F30E41" w:rsidP="0095565E">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 xml:space="preserve"> Активне управління портфелем зосереджується на досягненні результатів, які перевищують середньоринкові показники [</w:t>
      </w:r>
      <w:r w:rsidRPr="00D8093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3</w:t>
      </w:r>
      <w:r w:rsidRPr="008E3BC5">
        <w:rPr>
          <w:rFonts w:ascii="Times New Roman" w:hAnsi="Times New Roman" w:cs="Times New Roman"/>
          <w:color w:val="000000"/>
          <w:sz w:val="28"/>
          <w:szCs w:val="28"/>
        </w:rPr>
        <w:t>, c. 301]. Інвестиційний менеджер використовує стратегії, такі як розподіл активів, ретельний вибір цінних паперів та оптимальний час для здійснення угод. Головною метою є перевершення визначеного індексу-бенчмарку, наприклад, S&amp;P500. При цьому оцінка успіху може базуватися як на абсолютній дохідності, так і на показниках, що враховують ризики, зокрема на коефіцієнті Шарпа. Цей підхід передбачає активну торгівлю цінними паперами для забезпечення конкурентної переваги на ринку.</w:t>
      </w:r>
    </w:p>
    <w:p w:rsidR="00F30E41" w:rsidRPr="009A1D61" w:rsidRDefault="00F30E41" w:rsidP="009A1D61">
      <w:pPr>
        <w:tabs>
          <w:tab w:val="left" w:pos="6946"/>
        </w:tabs>
        <w:spacing w:after="0" w:line="360" w:lineRule="auto"/>
        <w:ind w:firstLine="709"/>
        <w:jc w:val="both"/>
        <w:rPr>
          <w:rFonts w:ascii="Times New Roman" w:hAnsi="Times New Roman" w:cs="Times New Roman"/>
          <w:color w:val="000000"/>
          <w:sz w:val="28"/>
          <w:szCs w:val="28"/>
        </w:rPr>
      </w:pPr>
      <w:r w:rsidRPr="009A1D61">
        <w:rPr>
          <w:rFonts w:ascii="Times New Roman" w:hAnsi="Times New Roman" w:cs="Times New Roman"/>
          <w:color w:val="000000"/>
          <w:sz w:val="28"/>
          <w:szCs w:val="28"/>
        </w:rPr>
        <w:t>Пасивний підхід до управління інвестиційним портфелем має кілька трактувань. Одні дослідники вважають, що він полягає у створенні диверсифікованого портфеля з фіксованим рівнем ризику, який утримується без змін, поки портфель відповідає профілю інвестора</w:t>
      </w:r>
      <w:r w:rsidRPr="008E3BC5">
        <w:rPr>
          <w:rFonts w:ascii="Times New Roman" w:hAnsi="Times New Roman" w:cs="Times New Roman"/>
          <w:color w:val="000000"/>
          <w:sz w:val="28"/>
          <w:szCs w:val="28"/>
        </w:rPr>
        <w:t xml:space="preserve"> [</w:t>
      </w:r>
      <w:r w:rsidRPr="00CF31E7">
        <w:rPr>
          <w:rFonts w:ascii="Times New Roman" w:hAnsi="Times New Roman" w:cs="Times New Roman"/>
          <w:color w:val="000000"/>
          <w:sz w:val="28"/>
          <w:szCs w:val="28"/>
        </w:rPr>
        <w:t>1</w:t>
      </w:r>
      <w:r w:rsidRPr="00200CA4">
        <w:rPr>
          <w:rFonts w:ascii="Times New Roman" w:hAnsi="Times New Roman" w:cs="Times New Roman"/>
          <w:color w:val="000000"/>
          <w:sz w:val="28"/>
          <w:szCs w:val="28"/>
        </w:rPr>
        <w:t>3</w:t>
      </w:r>
      <w:r w:rsidRPr="008E3BC5">
        <w:rPr>
          <w:rFonts w:ascii="Times New Roman" w:hAnsi="Times New Roman" w:cs="Times New Roman"/>
          <w:color w:val="000000"/>
          <w:sz w:val="28"/>
          <w:szCs w:val="28"/>
        </w:rPr>
        <w:t>, c. 303]</w:t>
      </w:r>
      <w:r w:rsidRPr="009A1D61">
        <w:rPr>
          <w:rFonts w:ascii="Times New Roman" w:hAnsi="Times New Roman" w:cs="Times New Roman"/>
          <w:color w:val="000000"/>
          <w:sz w:val="28"/>
          <w:szCs w:val="28"/>
        </w:rPr>
        <w:t>. Інші наголошують, що основою пасивного підходу є індексне інвестування, де портфель повторює структуру ринкового індексу, наприклад, S&amp;P500</w:t>
      </w:r>
      <w:r w:rsidRPr="008E3BC5">
        <w:rPr>
          <w:rFonts w:ascii="Times New Roman" w:hAnsi="Times New Roman" w:cs="Times New Roman"/>
          <w:color w:val="000000"/>
          <w:sz w:val="28"/>
          <w:szCs w:val="28"/>
        </w:rPr>
        <w:t xml:space="preserve"> [</w:t>
      </w:r>
      <w:r w:rsidRPr="00CF31E7">
        <w:rPr>
          <w:rFonts w:ascii="Times New Roman" w:hAnsi="Times New Roman" w:cs="Times New Roman"/>
          <w:color w:val="000000"/>
          <w:sz w:val="28"/>
          <w:szCs w:val="28"/>
        </w:rPr>
        <w:t>1</w:t>
      </w:r>
      <w:r w:rsidRPr="00200CA4">
        <w:rPr>
          <w:rFonts w:ascii="Times New Roman" w:hAnsi="Times New Roman" w:cs="Times New Roman"/>
          <w:color w:val="000000"/>
          <w:sz w:val="28"/>
          <w:szCs w:val="28"/>
        </w:rPr>
        <w:t>4</w:t>
      </w:r>
      <w:r w:rsidRPr="008E3BC5">
        <w:rPr>
          <w:rFonts w:ascii="Times New Roman" w:hAnsi="Times New Roman" w:cs="Times New Roman"/>
          <w:color w:val="000000"/>
          <w:sz w:val="28"/>
          <w:szCs w:val="28"/>
        </w:rPr>
        <w:t>, c. 23]</w:t>
      </w:r>
      <w:r w:rsidRPr="009A1D61">
        <w:rPr>
          <w:rFonts w:ascii="Times New Roman" w:hAnsi="Times New Roman" w:cs="Times New Roman"/>
          <w:color w:val="000000"/>
          <w:sz w:val="28"/>
          <w:szCs w:val="28"/>
        </w:rPr>
        <w:t>.</w:t>
      </w:r>
    </w:p>
    <w:p w:rsidR="00F30E41" w:rsidRPr="001B62FF" w:rsidRDefault="00F30E41" w:rsidP="009A1D61">
      <w:pPr>
        <w:tabs>
          <w:tab w:val="left" w:pos="6946"/>
        </w:tabs>
        <w:spacing w:after="0" w:line="360" w:lineRule="auto"/>
        <w:ind w:firstLine="709"/>
        <w:jc w:val="both"/>
        <w:rPr>
          <w:rFonts w:ascii="Times New Roman" w:hAnsi="Times New Roman" w:cs="Times New Roman"/>
          <w:color w:val="000000"/>
          <w:sz w:val="28"/>
          <w:szCs w:val="28"/>
        </w:rPr>
      </w:pPr>
      <w:r w:rsidRPr="009A1D61">
        <w:rPr>
          <w:rFonts w:ascii="Times New Roman" w:hAnsi="Times New Roman" w:cs="Times New Roman"/>
          <w:color w:val="000000"/>
          <w:sz w:val="28"/>
          <w:szCs w:val="28"/>
        </w:rPr>
        <w:t>Обидва підходи згодні, що після формування портфеля операції з активами зводяться до мінімуму, що знижує витрати на управління. Пасивний підхід підходить для інвесторів, які прагнуть стабільної дохідності з мінімальними ризиками, і завдяки низьким витратам набув популярності серед довгострокових інвесторів.</w:t>
      </w:r>
    </w:p>
    <w:p w:rsidR="00F30E41" w:rsidRDefault="00F30E41" w:rsidP="00FF1326">
      <w:pPr>
        <w:tabs>
          <w:tab w:val="left" w:pos="6946"/>
        </w:tabs>
        <w:spacing w:after="0" w:line="360" w:lineRule="auto"/>
        <w:ind w:firstLine="709"/>
        <w:jc w:val="both"/>
        <w:rPr>
          <w:rFonts w:ascii="Times New Roman" w:hAnsi="Times New Roman" w:cs="Times New Roman"/>
          <w:color w:val="000000"/>
          <w:sz w:val="28"/>
          <w:szCs w:val="28"/>
          <w:lang w:val="ru-RU"/>
        </w:rPr>
      </w:pPr>
      <w:r w:rsidRPr="00FF1326">
        <w:rPr>
          <w:rFonts w:ascii="Times New Roman" w:hAnsi="Times New Roman" w:cs="Times New Roman"/>
          <w:color w:val="000000"/>
          <w:sz w:val="28"/>
          <w:szCs w:val="28"/>
          <w:lang w:val="ru-RU"/>
        </w:rPr>
        <w:t>Ефективність активного чи пасивного управління залежить від рівня інформаційної ефективності ринку. На високо ефективних ринках (наприклад, фондовий ринок США) інформація швидко враховується в цінах, тому активне управління стає менш ефективним. На менш ефективних ринках (наприклад, ринки, що розвиваються) активні менеджери можуть отримати перевагу, оскільки інформація поширюється повільніше, що створює можливості для арбітражу. Дослідження підтверджують, що в умовах високої ефективності ринку важко досягти додаткової дохідності за рахунок активного управління, оскільки ринкові ціни вже враховують усі доступні дані</w:t>
      </w:r>
      <w:r w:rsidRPr="00CF31E7">
        <w:rPr>
          <w:rFonts w:ascii="Times New Roman" w:hAnsi="Times New Roman" w:cs="Times New Roman"/>
          <w:color w:val="000000"/>
          <w:sz w:val="28"/>
          <w:szCs w:val="28"/>
          <w:lang w:val="ru-RU"/>
        </w:rPr>
        <w:t xml:space="preserve"> </w:t>
      </w:r>
      <w:r w:rsidRPr="008E3BC5">
        <w:rPr>
          <w:rFonts w:ascii="Times New Roman" w:hAnsi="Times New Roman" w:cs="Times New Roman"/>
          <w:color w:val="000000"/>
          <w:sz w:val="28"/>
          <w:szCs w:val="28"/>
        </w:rPr>
        <w:t>[</w:t>
      </w:r>
      <w:r w:rsidRPr="00CF31E7">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5</w:t>
      </w:r>
      <w:r w:rsidRPr="008E3BC5">
        <w:rPr>
          <w:rFonts w:ascii="Times New Roman" w:hAnsi="Times New Roman" w:cs="Times New Roman"/>
          <w:color w:val="000000"/>
          <w:sz w:val="28"/>
          <w:szCs w:val="28"/>
        </w:rPr>
        <w:t>]</w:t>
      </w:r>
      <w:r w:rsidRPr="00FF1326">
        <w:rPr>
          <w:rFonts w:ascii="Times New Roman" w:hAnsi="Times New Roman" w:cs="Times New Roman"/>
          <w:color w:val="000000"/>
          <w:sz w:val="28"/>
          <w:szCs w:val="28"/>
          <w:lang w:val="ru-RU"/>
        </w:rPr>
        <w:t>.</w:t>
      </w:r>
    </w:p>
    <w:p w:rsidR="00F30E41" w:rsidRPr="007B4421" w:rsidRDefault="00F30E41" w:rsidP="004E01B5">
      <w:pPr>
        <w:tabs>
          <w:tab w:val="left" w:pos="6946"/>
        </w:tabs>
        <w:spacing w:after="0" w:line="360" w:lineRule="auto"/>
        <w:ind w:firstLine="709"/>
        <w:jc w:val="both"/>
        <w:rPr>
          <w:rFonts w:ascii="Times New Roman" w:hAnsi="Times New Roman" w:cs="Times New Roman"/>
          <w:color w:val="000000"/>
          <w:sz w:val="28"/>
          <w:szCs w:val="28"/>
          <w:lang w:val="ru-RU"/>
        </w:rPr>
      </w:pPr>
      <w:r w:rsidRPr="00317F6A">
        <w:rPr>
          <w:rFonts w:ascii="Times New Roman" w:hAnsi="Times New Roman" w:cs="Times New Roman"/>
          <w:color w:val="000000"/>
          <w:sz w:val="28"/>
          <w:szCs w:val="28"/>
          <w:lang w:val="ru-RU"/>
        </w:rPr>
        <w:t>На розвинених ринках пасивне інвестування зазвичай перевершує активне управління. Дослідження Šindelář (2022) ďîęŕçŕëî, ůî ďŕńčâíł ńňđŕňĺăłż ďĺđĺâĺđřóâŕëč ŕęňčâíł çŕ ńĺđĺäíüîţ äîőłäíłńňţ ňŕ ęîĺôłöłşíňîě Řŕđďŕ íŕ ôîíäîâčő đčíęŕő ŃŘŔ ó ďĺđłîä 1990</w:t>
      </w:r>
      <w:r>
        <w:rPr>
          <w:rFonts w:ascii="Times New Roman" w:hAnsi="Times New Roman" w:cs="Times New Roman"/>
          <w:color w:val="000000"/>
          <w:sz w:val="28"/>
          <w:szCs w:val="28"/>
          <w:lang w:val="ru-RU"/>
        </w:rPr>
        <w:t>-</w:t>
      </w:r>
      <w:r w:rsidRPr="00317F6A">
        <w:rPr>
          <w:rFonts w:ascii="Times New Roman" w:hAnsi="Times New Roman" w:cs="Times New Roman"/>
          <w:color w:val="000000"/>
          <w:sz w:val="28"/>
          <w:szCs w:val="28"/>
          <w:lang w:val="ru-RU"/>
        </w:rPr>
        <w:t>2021 рр</w:t>
      </w:r>
      <w:r w:rsidRPr="004E01B5">
        <w:rPr>
          <w:rFonts w:ascii="Times New Roman" w:hAnsi="Times New Roman" w:cs="Times New Roman"/>
          <w:color w:val="000000"/>
          <w:sz w:val="28"/>
          <w:szCs w:val="28"/>
          <w:lang w:val="ru-RU"/>
        </w:rPr>
        <w:t xml:space="preserve"> </w:t>
      </w:r>
      <w:r w:rsidRPr="008E3BC5">
        <w:rPr>
          <w:rFonts w:ascii="Times New Roman" w:hAnsi="Times New Roman" w:cs="Times New Roman"/>
          <w:color w:val="000000"/>
          <w:sz w:val="28"/>
          <w:szCs w:val="28"/>
        </w:rPr>
        <w:t>[</w:t>
      </w:r>
      <w:r w:rsidRPr="004E01B5">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6</w:t>
      </w:r>
      <w:r w:rsidRPr="008E3BC5">
        <w:rPr>
          <w:rFonts w:ascii="Times New Roman" w:hAnsi="Times New Roman" w:cs="Times New Roman"/>
          <w:color w:val="000000"/>
          <w:sz w:val="28"/>
          <w:szCs w:val="28"/>
        </w:rPr>
        <w:t>]</w:t>
      </w:r>
      <w:r w:rsidRPr="00317F6A">
        <w:rPr>
          <w:rFonts w:ascii="Times New Roman" w:hAnsi="Times New Roman" w:cs="Times New Roman"/>
          <w:color w:val="000000"/>
          <w:sz w:val="28"/>
          <w:szCs w:val="28"/>
          <w:lang w:val="ru-RU"/>
        </w:rPr>
        <w:t>.</w:t>
      </w:r>
    </w:p>
    <w:p w:rsidR="00F30E41" w:rsidRPr="007B4421" w:rsidRDefault="00F30E41" w:rsidP="00F10C8A">
      <w:pPr>
        <w:tabs>
          <w:tab w:val="left" w:pos="6946"/>
        </w:tabs>
        <w:spacing w:after="0" w:line="360" w:lineRule="auto"/>
        <w:ind w:firstLine="709"/>
        <w:jc w:val="both"/>
        <w:rPr>
          <w:rFonts w:ascii="Times New Roman" w:hAnsi="Times New Roman" w:cs="Times New Roman"/>
          <w:color w:val="000000"/>
          <w:sz w:val="28"/>
          <w:szCs w:val="28"/>
          <w:lang w:val="ru-RU"/>
        </w:rPr>
      </w:pPr>
      <w:r w:rsidRPr="00EC659D">
        <w:rPr>
          <w:rFonts w:ascii="Times New Roman" w:hAnsi="Times New Roman" w:cs="Times New Roman"/>
          <w:color w:val="000000"/>
          <w:sz w:val="28"/>
          <w:szCs w:val="28"/>
        </w:rPr>
        <w:t xml:space="preserve">На ринках, що розвиваються, ситуація інша. Дослідження Gopane et al. (2024) показує, що в умовах спаду цін (ведмежий ринок) та стабільного ринку активні фонди дають кращі результати, ніж ринковий бенчмарк і пасивні стратегії. Але під час зростання цін (бичачий ринок) пасивне інвестування перевершує як ринок, так і активні фонди. Це підтверджує, що на менш ефективних ринках активне управління може давати перевагу завдяки кращому використанню ринкових коливань і інформаційних переваг </w:t>
      </w:r>
      <w:r w:rsidRPr="008E3BC5">
        <w:rPr>
          <w:rFonts w:ascii="Times New Roman" w:hAnsi="Times New Roman" w:cs="Times New Roman"/>
          <w:color w:val="000000"/>
          <w:sz w:val="28"/>
          <w:szCs w:val="28"/>
        </w:rPr>
        <w:t>[</w:t>
      </w:r>
      <w:r w:rsidRPr="004E01B5">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7</w:t>
      </w:r>
      <w:r w:rsidRPr="008E3BC5">
        <w:rPr>
          <w:rFonts w:ascii="Times New Roman" w:hAnsi="Times New Roman" w:cs="Times New Roman"/>
          <w:color w:val="000000"/>
          <w:sz w:val="28"/>
          <w:szCs w:val="28"/>
        </w:rPr>
        <w:t>]</w:t>
      </w:r>
      <w:r w:rsidRPr="00317F6A">
        <w:rPr>
          <w:rFonts w:ascii="Times New Roman" w:hAnsi="Times New Roman" w:cs="Times New Roman"/>
          <w:color w:val="000000"/>
          <w:sz w:val="28"/>
          <w:szCs w:val="28"/>
          <w:lang w:val="ru-RU"/>
        </w:rPr>
        <w:t>.</w:t>
      </w:r>
    </w:p>
    <w:p w:rsidR="00F30E41" w:rsidRDefault="00F30E41" w:rsidP="00317F6A">
      <w:pPr>
        <w:tabs>
          <w:tab w:val="left" w:pos="6946"/>
        </w:tabs>
        <w:spacing w:after="0" w:line="360" w:lineRule="auto"/>
        <w:ind w:firstLine="709"/>
        <w:jc w:val="both"/>
        <w:rPr>
          <w:rFonts w:ascii="Times New Roman" w:hAnsi="Times New Roman" w:cs="Times New Roman"/>
          <w:color w:val="000000"/>
          <w:sz w:val="28"/>
          <w:szCs w:val="28"/>
          <w:lang w:val="ru-RU"/>
        </w:rPr>
      </w:pPr>
      <w:r w:rsidRPr="00317F6A">
        <w:rPr>
          <w:rFonts w:ascii="Times New Roman" w:hAnsi="Times New Roman" w:cs="Times New Roman"/>
          <w:color w:val="000000"/>
          <w:sz w:val="28"/>
          <w:szCs w:val="28"/>
          <w:lang w:val="ru-RU"/>
        </w:rPr>
        <w:t>На волатильних ринках, таких як криптовалюти, активне управління також демонструє переваги. Дослідження Bianchi &amp; Babiak (2022) показало, що активні криптовалютні фонди генерували істотну позитивну альфу порівняно з пасивними фондами у періоди сильних коливань цін</w:t>
      </w:r>
      <w:r w:rsidRPr="00F10C8A">
        <w:rPr>
          <w:rFonts w:ascii="Times New Roman" w:hAnsi="Times New Roman" w:cs="Times New Roman"/>
          <w:color w:val="000000"/>
          <w:sz w:val="28"/>
          <w:szCs w:val="28"/>
          <w:lang w:val="ru-RU"/>
        </w:rPr>
        <w:t xml:space="preserve">  </w:t>
      </w:r>
      <w:r w:rsidRPr="008E3BC5">
        <w:rPr>
          <w:rFonts w:ascii="Times New Roman" w:hAnsi="Times New Roman" w:cs="Times New Roman"/>
          <w:color w:val="000000"/>
          <w:sz w:val="28"/>
          <w:szCs w:val="28"/>
        </w:rPr>
        <w:t>[</w:t>
      </w:r>
      <w:r w:rsidRPr="00F10C8A">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8</w:t>
      </w:r>
      <w:r w:rsidRPr="008E3BC5">
        <w:rPr>
          <w:rFonts w:ascii="Times New Roman" w:hAnsi="Times New Roman" w:cs="Times New Roman"/>
          <w:color w:val="000000"/>
          <w:sz w:val="28"/>
          <w:szCs w:val="28"/>
        </w:rPr>
        <w:t>]</w:t>
      </w:r>
      <w:r w:rsidRPr="00317F6A">
        <w:rPr>
          <w:rFonts w:ascii="Times New Roman" w:hAnsi="Times New Roman" w:cs="Times New Roman"/>
          <w:color w:val="000000"/>
          <w:sz w:val="28"/>
          <w:szCs w:val="28"/>
          <w:lang w:val="ru-RU"/>
        </w:rPr>
        <w:t>.</w:t>
      </w:r>
    </w:p>
    <w:p w:rsidR="00F30E41" w:rsidRPr="00FF1326" w:rsidRDefault="00F30E41" w:rsidP="00317F6A">
      <w:pPr>
        <w:tabs>
          <w:tab w:val="left" w:pos="6946"/>
        </w:tabs>
        <w:spacing w:after="0" w:line="360" w:lineRule="auto"/>
        <w:ind w:firstLine="709"/>
        <w:jc w:val="both"/>
        <w:rPr>
          <w:rFonts w:ascii="Times New Roman" w:hAnsi="Times New Roman" w:cs="Times New Roman"/>
          <w:color w:val="000000"/>
          <w:sz w:val="28"/>
          <w:szCs w:val="28"/>
          <w:lang w:val="ru-RU"/>
        </w:rPr>
      </w:pPr>
      <w:r w:rsidRPr="00317F6A">
        <w:rPr>
          <w:rFonts w:ascii="Times New Roman" w:hAnsi="Times New Roman" w:cs="Times New Roman"/>
          <w:color w:val="000000"/>
          <w:sz w:val="28"/>
          <w:szCs w:val="28"/>
          <w:lang w:val="ru-RU"/>
        </w:rPr>
        <w:t>Результати дослідження EFAMA (2024) показують, що пасивні фонди мають перевагу в технологічному та медичному секторах через високу ефективність цих ринків. Однак в енергетичному секторі та фінансовій сфері активне управління перевершувало пасивне, оскільки менеджери могли краще реагувати на зміну ринкових умов. У секторі нерухомості активні фонди перевищували пасивні індекси приблизно на 3,2% на рік</w:t>
      </w:r>
      <w:r w:rsidRPr="00F10C8A">
        <w:rPr>
          <w:rFonts w:ascii="Times New Roman" w:hAnsi="Times New Roman" w:cs="Times New Roman"/>
          <w:color w:val="000000"/>
          <w:sz w:val="28"/>
          <w:szCs w:val="28"/>
          <w:lang w:val="ru-RU"/>
        </w:rPr>
        <w:t xml:space="preserve"> </w:t>
      </w:r>
      <w:r w:rsidRPr="008E3BC5">
        <w:rPr>
          <w:rFonts w:ascii="Times New Roman" w:hAnsi="Times New Roman" w:cs="Times New Roman"/>
          <w:color w:val="000000"/>
          <w:sz w:val="28"/>
          <w:szCs w:val="28"/>
        </w:rPr>
        <w:t>[</w:t>
      </w:r>
      <w:r w:rsidRPr="00F10C8A">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9</w:t>
      </w:r>
      <w:r w:rsidRPr="008E3BC5">
        <w:rPr>
          <w:rFonts w:ascii="Times New Roman" w:hAnsi="Times New Roman" w:cs="Times New Roman"/>
          <w:color w:val="000000"/>
          <w:sz w:val="28"/>
          <w:szCs w:val="28"/>
        </w:rPr>
        <w:t>]</w:t>
      </w:r>
      <w:r w:rsidRPr="00317F6A">
        <w:rPr>
          <w:rFonts w:ascii="Times New Roman" w:hAnsi="Times New Roman" w:cs="Times New Roman"/>
          <w:color w:val="000000"/>
          <w:sz w:val="28"/>
          <w:szCs w:val="28"/>
          <w:lang w:val="ru-RU"/>
        </w:rPr>
        <w:t>.</w:t>
      </w:r>
    </w:p>
    <w:p w:rsidR="00F30E41" w:rsidRPr="00FF1326" w:rsidRDefault="00F30E41" w:rsidP="00FF1326">
      <w:pPr>
        <w:tabs>
          <w:tab w:val="left" w:pos="6946"/>
        </w:tabs>
        <w:spacing w:after="0" w:line="360" w:lineRule="auto"/>
        <w:ind w:firstLine="709"/>
        <w:jc w:val="both"/>
        <w:rPr>
          <w:rFonts w:ascii="Times New Roman" w:hAnsi="Times New Roman" w:cs="Times New Roman"/>
          <w:color w:val="000000"/>
          <w:sz w:val="28"/>
          <w:szCs w:val="28"/>
          <w:lang w:val="ru-RU"/>
        </w:rPr>
      </w:pPr>
      <w:r w:rsidRPr="00FF1326">
        <w:rPr>
          <w:rFonts w:ascii="Times New Roman" w:hAnsi="Times New Roman" w:cs="Times New Roman"/>
          <w:color w:val="000000"/>
          <w:sz w:val="28"/>
          <w:szCs w:val="28"/>
          <w:lang w:val="ru-RU"/>
        </w:rPr>
        <w:t>У цьому контексті вибір між активним та пасивним управлінням часто залежить від типу активів та ринкових умов. Пасивне управління зазвичай використовується для великих, ліквідних активів, які входять до основних ринкових індексів (наприклад, S&amp;P 500), оскільки у таких умовах важко отримати конкурентну перевагу за допомогою активного підходу. Натомість активне управління може забезпечити переваги у випадку менш ліквідних активів або в умовах ринкової нестабільності. Поєднання обох підходів дозволяє отримати стабільність пасивного управління та потенційну додаткову дохідність від активних стратегій.</w:t>
      </w:r>
    </w:p>
    <w:p w:rsidR="00F30E41" w:rsidRPr="008E3BC5" w:rsidRDefault="00F30E41" w:rsidP="008E3BC5">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Останнім часом було багато досліджень, ціллю яких було визначення найефективнішого підходу до управління інвестиційним портфелем [</w:t>
      </w:r>
      <w:r>
        <w:rPr>
          <w:rFonts w:ascii="Times New Roman" w:hAnsi="Times New Roman" w:cs="Times New Roman"/>
          <w:color w:val="000000"/>
          <w:sz w:val="28"/>
          <w:szCs w:val="28"/>
          <w:lang w:val="ru-RU"/>
        </w:rPr>
        <w:t>20, 21</w:t>
      </w:r>
      <w:r w:rsidRPr="008E3BC5">
        <w:rPr>
          <w:rFonts w:ascii="Times New Roman" w:hAnsi="Times New Roman" w:cs="Times New Roman"/>
          <w:color w:val="000000"/>
          <w:sz w:val="28"/>
          <w:szCs w:val="28"/>
        </w:rPr>
        <w:t>]. Загалом вони дійшли висновку, що інтегрований підхід, який поєднує сильні сторони активного та пасивного управління, є найбільш оптимальним. Основна ідея полягає у знаходженні балансу між цими двома підходами: активне управління дозволяє максимально використати ринкові можливості, тоді як пасивне забезпечує стабільність і мінімізацію витрат.</w:t>
      </w:r>
    </w:p>
    <w:p w:rsidR="00F30E41" w:rsidRPr="008E3BC5" w:rsidRDefault="00F30E41" w:rsidP="008E3BC5">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 xml:space="preserve">Варто зазначити, що в останні роки пасивне інвестування значно переповнило ринок, ставши домінуючим підходом у розвинених країнах. Така популярність обумовлена простотою реалізації, низькими комісійними витратами та стабільністю довгострокових результатів. Проте </w:t>
      </w:r>
      <w:r w:rsidRPr="00D955E1">
        <w:rPr>
          <w:rFonts w:ascii="Times New Roman" w:hAnsi="Times New Roman" w:cs="Times New Roman"/>
          <w:color w:val="000000"/>
          <w:sz w:val="28"/>
          <w:szCs w:val="28"/>
        </w:rPr>
        <w:t>зниження вартості пасивного управління призводить до збільшення кількості пасивних інвесторів і зменшення кількості активних інвесторів. Це, своєю чергою, збільшує загальну ринкову неефективність, особливо макронеефективність</w:t>
      </w:r>
      <w:r>
        <w:rPr>
          <w:rFonts w:ascii="Times New Roman" w:hAnsi="Times New Roman" w:cs="Times New Roman"/>
          <w:color w:val="000000"/>
          <w:sz w:val="28"/>
          <w:szCs w:val="28"/>
          <w:lang w:val="ru-RU"/>
        </w:rPr>
        <w:t xml:space="preserve"> </w:t>
      </w:r>
      <w:r w:rsidRPr="008E3BC5">
        <w:rPr>
          <w:rFonts w:ascii="Times New Roman" w:hAnsi="Times New Roman" w:cs="Times New Roman"/>
          <w:color w:val="000000"/>
          <w:sz w:val="28"/>
          <w:szCs w:val="28"/>
        </w:rPr>
        <w:t>[</w:t>
      </w:r>
      <w:r w:rsidRPr="0037534C">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2, с. 393</w:t>
      </w:r>
      <w:r w:rsidRPr="008E3BC5">
        <w:rPr>
          <w:rFonts w:ascii="Times New Roman" w:hAnsi="Times New Roman" w:cs="Times New Roman"/>
          <w:color w:val="000000"/>
          <w:sz w:val="28"/>
          <w:szCs w:val="28"/>
        </w:rPr>
        <w:t>]</w:t>
      </w:r>
      <w:r w:rsidRPr="00D955E1">
        <w:rPr>
          <w:rFonts w:ascii="Times New Roman" w:hAnsi="Times New Roman" w:cs="Times New Roman"/>
          <w:color w:val="000000"/>
          <w:sz w:val="28"/>
          <w:szCs w:val="28"/>
        </w:rPr>
        <w:t>.</w:t>
      </w:r>
      <w:r w:rsidRPr="008E3BC5">
        <w:rPr>
          <w:rFonts w:ascii="Times New Roman" w:hAnsi="Times New Roman" w:cs="Times New Roman"/>
          <w:color w:val="000000"/>
          <w:sz w:val="28"/>
          <w:szCs w:val="28"/>
        </w:rPr>
        <w:t xml:space="preserve"> Це спонукає до пошуку інтегрованого підходу, який дозволяє поєднати стабільність пасивного управління з гнучкістю та аналітичним потенціалом активного.</w:t>
      </w:r>
    </w:p>
    <w:p w:rsidR="00F30E41" w:rsidRPr="008E3BC5" w:rsidRDefault="00F30E41" w:rsidP="00BA4509">
      <w:pPr>
        <w:tabs>
          <w:tab w:val="left" w:pos="6946"/>
        </w:tabs>
        <w:spacing w:after="0" w:line="360" w:lineRule="auto"/>
        <w:ind w:firstLine="709"/>
        <w:jc w:val="both"/>
        <w:rPr>
          <w:rFonts w:ascii="Times New Roman" w:hAnsi="Times New Roman" w:cs="Times New Roman"/>
          <w:color w:val="000000"/>
          <w:sz w:val="28"/>
          <w:szCs w:val="28"/>
        </w:rPr>
      </w:pPr>
      <w:r w:rsidRPr="00C71F76">
        <w:rPr>
          <w:rFonts w:ascii="Times New Roman" w:hAnsi="Times New Roman" w:cs="Times New Roman"/>
          <w:color w:val="000000"/>
          <w:sz w:val="28"/>
          <w:szCs w:val="28"/>
        </w:rPr>
        <w:t>Сучасні інструменти управління портфелем значно розширюють можливості інвесторів завдяки використанню аналітики великих даних (Big Data) [2</w:t>
      </w:r>
      <w:r>
        <w:rPr>
          <w:rFonts w:ascii="Times New Roman" w:hAnsi="Times New Roman" w:cs="Times New Roman"/>
          <w:color w:val="000000"/>
          <w:sz w:val="28"/>
          <w:szCs w:val="28"/>
          <w:lang w:val="ru-RU"/>
        </w:rPr>
        <w:t>3</w:t>
      </w:r>
      <w:r w:rsidRPr="00C71F76">
        <w:rPr>
          <w:rFonts w:ascii="Times New Roman" w:hAnsi="Times New Roman" w:cs="Times New Roman"/>
          <w:color w:val="000000"/>
          <w:sz w:val="28"/>
          <w:szCs w:val="28"/>
        </w:rPr>
        <w:t xml:space="preserve">]. Це дає змогу краще розуміти ринкові тенденції, оперативно реагувати на зміни та адаптувати портфель, використовуючи як традиційні, так і альтернативні джерела інформації </w:t>
      </w:r>
      <w:r w:rsidRPr="00FC0B27">
        <w:rPr>
          <w:rFonts w:ascii="Times New Roman" w:hAnsi="Times New Roman" w:cs="Times New Roman"/>
          <w:color w:val="000000"/>
          <w:sz w:val="28"/>
          <w:szCs w:val="28"/>
        </w:rPr>
        <w:t>-</w:t>
      </w:r>
      <w:r w:rsidRPr="00C71F76">
        <w:rPr>
          <w:rFonts w:ascii="Times New Roman" w:hAnsi="Times New Roman" w:cs="Times New Roman"/>
          <w:color w:val="000000"/>
          <w:sz w:val="28"/>
          <w:szCs w:val="28"/>
        </w:rPr>
        <w:t xml:space="preserve"> новини, соціальні мережі та інші неструктуровані дані. Такий підхід сприяє точнішому прогнозуванню, зниженню ризиків і підвищенню ефективності управління [2</w:t>
      </w:r>
      <w:r w:rsidRPr="00515148">
        <w:rPr>
          <w:rFonts w:ascii="Times New Roman" w:hAnsi="Times New Roman" w:cs="Times New Roman"/>
          <w:color w:val="000000"/>
          <w:sz w:val="28"/>
          <w:szCs w:val="28"/>
        </w:rPr>
        <w:t>4</w:t>
      </w:r>
      <w:r w:rsidRPr="00C71F76">
        <w:rPr>
          <w:rFonts w:ascii="Times New Roman" w:hAnsi="Times New Roman" w:cs="Times New Roman"/>
          <w:color w:val="000000"/>
          <w:sz w:val="28"/>
          <w:szCs w:val="28"/>
        </w:rPr>
        <w:t>].</w:t>
      </w:r>
      <w:r w:rsidRPr="00FC0B27">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 xml:space="preserve">Наприклад, платформи типу Bloomberg Terminal та Refinitiv Eikon надають інструменти для моніторингу ринку, аналізу даних та оптимізації портфеля. </w:t>
      </w:r>
    </w:p>
    <w:p w:rsidR="00F30E41" w:rsidRPr="008E3BC5" w:rsidRDefault="00F30E41" w:rsidP="00BA4509">
      <w:pPr>
        <w:tabs>
          <w:tab w:val="left" w:pos="6946"/>
        </w:tabs>
        <w:spacing w:after="0" w:line="360" w:lineRule="auto"/>
        <w:ind w:firstLine="709"/>
        <w:jc w:val="both"/>
        <w:rPr>
          <w:rFonts w:ascii="Times New Roman" w:hAnsi="Times New Roman" w:cs="Times New Roman"/>
          <w:color w:val="000000"/>
          <w:sz w:val="28"/>
          <w:szCs w:val="28"/>
        </w:rPr>
      </w:pPr>
      <w:r w:rsidRPr="008E3BC5">
        <w:rPr>
          <w:rFonts w:ascii="Times New Roman" w:hAnsi="Times New Roman" w:cs="Times New Roman"/>
          <w:color w:val="000000"/>
          <w:sz w:val="28"/>
          <w:szCs w:val="28"/>
        </w:rPr>
        <w:t>Окрім Big Data останнім часом інвестори використовують машинне навчання та штучний інтелект, які дозволяють автоматизувати прогнозування, створення портфелів та управління ризиками. Зокрема, алгоритми глибокого навчання забезпечують високу точність у передбаченні цінових змін на основі історичних даних [</w:t>
      </w:r>
      <w:r w:rsidRPr="00CC684D">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5</w:t>
      </w:r>
      <w:r w:rsidRPr="008E3BC5">
        <w:rPr>
          <w:rFonts w:ascii="Times New Roman" w:hAnsi="Times New Roman" w:cs="Times New Roman"/>
          <w:color w:val="000000"/>
          <w:sz w:val="28"/>
          <w:szCs w:val="28"/>
        </w:rPr>
        <w:t xml:space="preserve">]. </w:t>
      </w:r>
    </w:p>
    <w:p w:rsidR="00F30E41" w:rsidRDefault="00F30E41" w:rsidP="00641558">
      <w:pPr>
        <w:tabs>
          <w:tab w:val="left" w:pos="6946"/>
        </w:tabs>
        <w:spacing w:after="0" w:line="360" w:lineRule="auto"/>
        <w:ind w:firstLine="709"/>
        <w:jc w:val="both"/>
        <w:rPr>
          <w:rFonts w:ascii="Times New Roman" w:hAnsi="Times New Roman" w:cs="Times New Roman"/>
          <w:color w:val="000000"/>
          <w:sz w:val="28"/>
          <w:szCs w:val="28"/>
          <w:lang w:val="ru-RU"/>
        </w:rPr>
      </w:pPr>
      <w:r w:rsidRPr="008E3BC5">
        <w:rPr>
          <w:rFonts w:ascii="Times New Roman" w:hAnsi="Times New Roman" w:cs="Times New Roman"/>
          <w:color w:val="000000"/>
          <w:sz w:val="28"/>
          <w:szCs w:val="28"/>
        </w:rPr>
        <w:t>Value at Risk  та Conditional Value at Risk також є ключовими інструментами для оцінки фінансових ризиків, які використовуються для визначення потенційних втрат при заданому рівні довіри. Нещодавно запропоновані байєсовські підходи до оцінки цих показників значно розширили їх можливості. Використання узагальненого розподілу Парето дозволяє більш точно моделювати екстремальні втрати, зокрема "хвости" розподілу даних, які мають вирішальне значення для аналізу ризиків. Байєсовська методологія додає гнучкості, інтегруючи інформативні апріорні розподіли для більш надійних прогнозів. Це робить VaR і CVaR незамінними для аналізу ризиків у сучасних умовах, особливо при роботі з фінансовими ринками високої волатильності [</w:t>
      </w:r>
      <w:r w:rsidRPr="00CC684D">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6</w:t>
      </w:r>
      <w:r w:rsidRPr="008E3BC5">
        <w:rPr>
          <w:rFonts w:ascii="Times New Roman" w:hAnsi="Times New Roman" w:cs="Times New Roman"/>
          <w:color w:val="000000"/>
          <w:sz w:val="28"/>
          <w:szCs w:val="28"/>
        </w:rPr>
        <w:t>].</w:t>
      </w:r>
    </w:p>
    <w:p w:rsidR="00F30E41" w:rsidRDefault="00F30E41" w:rsidP="00641558">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Default="00F30E41" w:rsidP="00641558">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Default="00F30E41" w:rsidP="00FC0B27">
      <w:pPr>
        <w:tabs>
          <w:tab w:val="left" w:pos="6946"/>
        </w:tabs>
        <w:spacing w:after="0" w:line="360" w:lineRule="auto"/>
        <w:jc w:val="both"/>
        <w:rPr>
          <w:rFonts w:ascii="Times New Roman" w:hAnsi="Times New Roman" w:cs="Times New Roman"/>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p>
    <w:p w:rsidR="00F30E41" w:rsidRPr="000B0E7A" w:rsidRDefault="00F30E41" w:rsidP="000B0E7A">
      <w:pPr>
        <w:tabs>
          <w:tab w:val="left" w:pos="6946"/>
        </w:tabs>
        <w:spacing w:after="0" w:line="360" w:lineRule="auto"/>
        <w:jc w:val="center"/>
        <w:rPr>
          <w:rFonts w:ascii="Times New Roman" w:hAnsi="Times New Roman" w:cs="Times New Roman"/>
          <w:b/>
          <w:bCs/>
          <w:color w:val="000000"/>
          <w:sz w:val="28"/>
          <w:szCs w:val="28"/>
          <w:lang w:val="ru-RU"/>
        </w:rPr>
      </w:pPr>
      <w:r w:rsidRPr="000B0E7A">
        <w:rPr>
          <w:rFonts w:ascii="Times New Roman" w:hAnsi="Times New Roman" w:cs="Times New Roman"/>
          <w:b/>
          <w:bCs/>
          <w:color w:val="000000"/>
          <w:sz w:val="28"/>
          <w:szCs w:val="28"/>
        </w:rPr>
        <w:t>РОЗДІЛ 2</w:t>
      </w:r>
    </w:p>
    <w:p w:rsidR="00F30E41" w:rsidRDefault="00F30E41" w:rsidP="000B0E7A">
      <w:pPr>
        <w:tabs>
          <w:tab w:val="left" w:pos="6946"/>
        </w:tabs>
        <w:spacing w:after="0" w:line="360" w:lineRule="auto"/>
        <w:ind w:firstLine="709"/>
        <w:jc w:val="center"/>
        <w:rPr>
          <w:rFonts w:ascii="Times New Roman" w:hAnsi="Times New Roman" w:cs="Times New Roman"/>
          <w:b/>
          <w:bCs/>
          <w:color w:val="000000"/>
          <w:sz w:val="28"/>
          <w:szCs w:val="28"/>
          <w:lang w:val="ru-RU"/>
        </w:rPr>
      </w:pPr>
      <w:r w:rsidRPr="000B0E7A">
        <w:rPr>
          <w:rFonts w:ascii="Times New Roman" w:hAnsi="Times New Roman" w:cs="Times New Roman"/>
          <w:b/>
          <w:bCs/>
          <w:color w:val="000000"/>
          <w:sz w:val="28"/>
          <w:szCs w:val="28"/>
        </w:rPr>
        <w:t>АНАЛІЗ ДОХІДНОСТІ ІНВЕСТИЦІЙНИХ ПОРТФЕЛІВ У РІЗНИХ ГАЛУЗЯХ</w:t>
      </w:r>
    </w:p>
    <w:p w:rsidR="00F30E41" w:rsidRPr="00BA4957" w:rsidRDefault="00F30E41" w:rsidP="000B0E7A">
      <w:pPr>
        <w:tabs>
          <w:tab w:val="left" w:pos="6946"/>
        </w:tabs>
        <w:spacing w:after="0" w:line="360" w:lineRule="auto"/>
        <w:ind w:firstLine="709"/>
        <w:jc w:val="center"/>
        <w:rPr>
          <w:rFonts w:ascii="Times New Roman" w:hAnsi="Times New Roman" w:cs="Times New Roman"/>
          <w:b/>
          <w:bCs/>
          <w:color w:val="000000"/>
          <w:sz w:val="28"/>
          <w:szCs w:val="28"/>
          <w:lang w:val="ru-RU"/>
        </w:rPr>
      </w:pPr>
    </w:p>
    <w:p w:rsidR="00F30E41" w:rsidRDefault="00F30E41" w:rsidP="00BA4957">
      <w:pPr>
        <w:tabs>
          <w:tab w:val="left" w:pos="6946"/>
        </w:tabs>
        <w:spacing w:after="0" w:line="360" w:lineRule="auto"/>
        <w:ind w:firstLine="709"/>
        <w:jc w:val="both"/>
        <w:rPr>
          <w:rFonts w:ascii="Times New Roman" w:hAnsi="Times New Roman" w:cs="Times New Roman"/>
          <w:b/>
          <w:bCs/>
          <w:color w:val="000000"/>
          <w:sz w:val="28"/>
          <w:szCs w:val="28"/>
          <w:lang w:val="ru-RU"/>
        </w:rPr>
      </w:pPr>
      <w:r w:rsidRPr="00BA4957">
        <w:rPr>
          <w:rFonts w:ascii="Times New Roman" w:hAnsi="Times New Roman" w:cs="Times New Roman"/>
          <w:b/>
          <w:bCs/>
          <w:color w:val="000000"/>
          <w:sz w:val="28"/>
          <w:szCs w:val="28"/>
          <w:lang w:val="ru-RU"/>
        </w:rPr>
        <w:t>2.1 Аналіз галузевої структури та основних ринкових тенденцій</w:t>
      </w:r>
    </w:p>
    <w:p w:rsidR="00F30E41" w:rsidRDefault="00F30E41" w:rsidP="00BA4957">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Default="00F30E41" w:rsidP="00BA4957">
      <w:pPr>
        <w:tabs>
          <w:tab w:val="left" w:pos="6946"/>
        </w:tabs>
        <w:spacing w:after="0" w:line="360" w:lineRule="auto"/>
        <w:ind w:firstLine="709"/>
        <w:jc w:val="both"/>
        <w:rPr>
          <w:rFonts w:ascii="Times New Roman" w:hAnsi="Times New Roman" w:cs="Times New Roman"/>
          <w:color w:val="000000"/>
          <w:sz w:val="28"/>
          <w:szCs w:val="28"/>
        </w:rPr>
      </w:pPr>
      <w:r w:rsidRPr="00690F26">
        <w:rPr>
          <w:rFonts w:ascii="Times New Roman" w:hAnsi="Times New Roman" w:cs="Times New Roman"/>
          <w:color w:val="000000"/>
          <w:sz w:val="28"/>
          <w:szCs w:val="28"/>
        </w:rPr>
        <w:t>У процесі формування міжнародного інвестиційного портфеля особливу увагу необхідно приділяти галузевій структурі активів, адже саме вона визначає рівень ризику, доходності та здатність портфеля адаптуватися до змін економічного середовища. В умовах економічної невизначеності галузеві відмінності відіграють ключову роль у досягненні фінансової стійкості.</w:t>
      </w:r>
    </w:p>
    <w:p w:rsidR="00F30E41" w:rsidRPr="002C1D30" w:rsidRDefault="00F30E41" w:rsidP="002C1D30">
      <w:pPr>
        <w:spacing w:after="0" w:line="360" w:lineRule="auto"/>
        <w:ind w:firstLine="708"/>
        <w:jc w:val="both"/>
        <w:rPr>
          <w:rFonts w:ascii="Times New Roman" w:hAnsi="Times New Roman" w:cs="Times New Roman"/>
          <w:sz w:val="28"/>
          <w:szCs w:val="28"/>
        </w:rPr>
      </w:pPr>
      <w:r w:rsidRPr="001B62FF">
        <w:rPr>
          <w:rFonts w:ascii="Times New Roman" w:hAnsi="Times New Roman" w:cs="Times New Roman"/>
          <w:color w:val="000000"/>
          <w:sz w:val="28"/>
          <w:szCs w:val="28"/>
        </w:rPr>
        <w:t xml:space="preserve"> </w:t>
      </w:r>
      <w:r w:rsidRPr="009C5646">
        <w:rPr>
          <w:rFonts w:ascii="Times New Roman" w:hAnsi="Times New Roman" w:cs="Times New Roman"/>
          <w:color w:val="000000"/>
          <w:sz w:val="28"/>
          <w:szCs w:val="28"/>
          <w:lang w:val="ru-RU"/>
        </w:rPr>
        <w:t xml:space="preserve">У цьому дослідженні </w:t>
      </w:r>
      <w:r>
        <w:rPr>
          <w:rFonts w:ascii="Times New Roman" w:hAnsi="Times New Roman" w:cs="Times New Roman"/>
          <w:color w:val="000000"/>
          <w:sz w:val="28"/>
          <w:szCs w:val="28"/>
          <w:lang w:val="ru-RU"/>
        </w:rPr>
        <w:t xml:space="preserve">було </w:t>
      </w:r>
      <w:r w:rsidRPr="009C5646">
        <w:rPr>
          <w:rFonts w:ascii="Times New Roman" w:hAnsi="Times New Roman" w:cs="Times New Roman"/>
          <w:color w:val="000000"/>
          <w:sz w:val="28"/>
          <w:szCs w:val="28"/>
          <w:lang w:val="ru-RU"/>
        </w:rPr>
        <w:t xml:space="preserve">обрано три сектори: технологічний, охорони здоров’я та енергетичний. </w:t>
      </w:r>
      <w:r w:rsidRPr="005D05DC">
        <w:rPr>
          <w:rFonts w:ascii="Times New Roman" w:hAnsi="Times New Roman" w:cs="Times New Roman"/>
          <w:sz w:val="28"/>
          <w:szCs w:val="28"/>
          <w:lang w:val="ru-RU"/>
        </w:rPr>
        <w:t>Вибір зумовлений їхнім значенням для</w:t>
      </w:r>
      <w:r>
        <w:rPr>
          <w:rFonts w:ascii="Times New Roman" w:hAnsi="Times New Roman" w:cs="Times New Roman"/>
          <w:sz w:val="28"/>
          <w:szCs w:val="28"/>
          <w:lang w:val="ru-RU"/>
        </w:rPr>
        <w:t xml:space="preserve"> </w:t>
      </w:r>
      <w:r w:rsidRPr="005D05DC">
        <w:rPr>
          <w:rFonts w:ascii="Times New Roman" w:hAnsi="Times New Roman" w:cs="Times New Roman"/>
          <w:sz w:val="28"/>
          <w:szCs w:val="28"/>
          <w:lang w:val="ru-RU"/>
        </w:rPr>
        <w:t>інноваціного розвитку економіки та потенційною інвестиційною</w:t>
      </w:r>
      <w:r>
        <w:rPr>
          <w:rFonts w:ascii="Times New Roman" w:hAnsi="Times New Roman" w:cs="Times New Roman"/>
          <w:sz w:val="28"/>
          <w:szCs w:val="28"/>
          <w:lang w:val="ru-RU"/>
        </w:rPr>
        <w:t xml:space="preserve"> </w:t>
      </w:r>
      <w:r w:rsidRPr="005D05DC">
        <w:rPr>
          <w:rFonts w:ascii="Times New Roman" w:hAnsi="Times New Roman" w:cs="Times New Roman"/>
          <w:sz w:val="28"/>
          <w:szCs w:val="28"/>
          <w:lang w:val="ru-RU"/>
        </w:rPr>
        <w:t xml:space="preserve">привабливістю в умовах </w:t>
      </w:r>
      <w:r>
        <w:rPr>
          <w:rFonts w:ascii="Times New Roman" w:hAnsi="Times New Roman" w:cs="Times New Roman"/>
          <w:sz w:val="28"/>
          <w:szCs w:val="28"/>
          <w:lang w:val="ru-RU"/>
        </w:rPr>
        <w:t>невизначеност</w:t>
      </w:r>
      <w:r>
        <w:rPr>
          <w:rFonts w:ascii="Times New Roman" w:hAnsi="Times New Roman" w:cs="Times New Roman"/>
          <w:sz w:val="28"/>
          <w:szCs w:val="28"/>
        </w:rPr>
        <w:t>і.</w:t>
      </w:r>
    </w:p>
    <w:p w:rsidR="00F30E41" w:rsidRPr="00963732" w:rsidRDefault="00F30E41" w:rsidP="00A815E1">
      <w:pPr>
        <w:tabs>
          <w:tab w:val="left" w:pos="6946"/>
        </w:tabs>
        <w:spacing w:after="0" w:line="360" w:lineRule="auto"/>
        <w:ind w:firstLine="709"/>
        <w:jc w:val="both"/>
        <w:rPr>
          <w:rFonts w:ascii="Times New Roman" w:hAnsi="Times New Roman" w:cs="Times New Roman"/>
          <w:color w:val="000000"/>
          <w:sz w:val="28"/>
          <w:szCs w:val="28"/>
        </w:rPr>
      </w:pPr>
      <w:r w:rsidRPr="002C1D30">
        <w:rPr>
          <w:rFonts w:ascii="Times New Roman" w:hAnsi="Times New Roman" w:cs="Times New Roman"/>
          <w:color w:val="000000"/>
          <w:sz w:val="28"/>
          <w:szCs w:val="28"/>
        </w:rPr>
        <w:t xml:space="preserve">Згідно з </w:t>
      </w:r>
      <w:r w:rsidRPr="009C5646">
        <w:rPr>
          <w:rFonts w:ascii="Times New Roman" w:hAnsi="Times New Roman" w:cs="Times New Roman"/>
          <w:color w:val="000000"/>
          <w:sz w:val="28"/>
          <w:szCs w:val="28"/>
          <w:lang w:val="de-AT"/>
        </w:rPr>
        <w:t>MSCI</w:t>
      </w:r>
      <w:r w:rsidRPr="002C1D30">
        <w:rPr>
          <w:rFonts w:ascii="Times New Roman" w:hAnsi="Times New Roman" w:cs="Times New Roman"/>
          <w:color w:val="000000"/>
          <w:sz w:val="28"/>
          <w:szCs w:val="28"/>
        </w:rPr>
        <w:t xml:space="preserve"> </w:t>
      </w:r>
      <w:r w:rsidRPr="009C5646">
        <w:rPr>
          <w:rFonts w:ascii="Times New Roman" w:hAnsi="Times New Roman" w:cs="Times New Roman"/>
          <w:color w:val="000000"/>
          <w:sz w:val="28"/>
          <w:szCs w:val="28"/>
          <w:lang w:val="de-AT"/>
        </w:rPr>
        <w:t>World</w:t>
      </w:r>
      <w:r w:rsidRPr="002C1D30">
        <w:rPr>
          <w:rFonts w:ascii="Times New Roman" w:hAnsi="Times New Roman" w:cs="Times New Roman"/>
          <w:color w:val="000000"/>
          <w:sz w:val="28"/>
          <w:szCs w:val="28"/>
        </w:rPr>
        <w:t xml:space="preserve"> </w:t>
      </w:r>
      <w:r w:rsidRPr="009C5646">
        <w:rPr>
          <w:rFonts w:ascii="Times New Roman" w:hAnsi="Times New Roman" w:cs="Times New Roman"/>
          <w:color w:val="000000"/>
          <w:sz w:val="28"/>
          <w:szCs w:val="28"/>
          <w:lang w:val="de-AT"/>
        </w:rPr>
        <w:t>Index</w:t>
      </w:r>
      <w:r w:rsidRPr="002C1D30">
        <w:rPr>
          <w:rFonts w:ascii="Times New Roman" w:hAnsi="Times New Roman" w:cs="Times New Roman"/>
          <w:color w:val="000000"/>
          <w:sz w:val="28"/>
          <w:szCs w:val="28"/>
        </w:rPr>
        <w:t xml:space="preserve"> на 2025 рік, технологічний сектор охоплює понад 23% ринкової капіталізації, а охорона здоров’я - близько 11%. </w:t>
      </w:r>
      <w:r w:rsidRPr="000C48B3">
        <w:rPr>
          <w:rFonts w:ascii="Times New Roman" w:hAnsi="Times New Roman" w:cs="Times New Roman"/>
          <w:color w:val="000000"/>
          <w:sz w:val="28"/>
          <w:szCs w:val="28"/>
        </w:rPr>
        <w:t xml:space="preserve">Вони вирізняються стабільним зростанням, інноваційністю та державною підтримкою. Попри нижчу капіталізацію </w:t>
      </w:r>
      <w:r w:rsidRPr="00963732">
        <w:rPr>
          <w:rFonts w:ascii="Times New Roman" w:hAnsi="Times New Roman" w:cs="Times New Roman"/>
          <w:color w:val="000000"/>
          <w:sz w:val="28"/>
          <w:szCs w:val="28"/>
        </w:rPr>
        <w:t xml:space="preserve">(близько 4%), енергетика є критично важливою галуззю </w:t>
      </w:r>
      <w:r w:rsidRPr="008E3BC5">
        <w:rPr>
          <w:rFonts w:ascii="Times New Roman" w:hAnsi="Times New Roman" w:cs="Times New Roman"/>
          <w:color w:val="000000"/>
          <w:sz w:val="28"/>
          <w:szCs w:val="28"/>
        </w:rPr>
        <w:t>[</w:t>
      </w:r>
      <w:r w:rsidRPr="00963732">
        <w:rPr>
          <w:rFonts w:ascii="Times New Roman" w:hAnsi="Times New Roman" w:cs="Times New Roman"/>
          <w:color w:val="000000"/>
          <w:sz w:val="28"/>
          <w:szCs w:val="28"/>
        </w:rPr>
        <w:t>2</w:t>
      </w:r>
      <w:r w:rsidRPr="00334113">
        <w:rPr>
          <w:rFonts w:ascii="Times New Roman" w:hAnsi="Times New Roman" w:cs="Times New Roman"/>
          <w:color w:val="000000"/>
          <w:sz w:val="28"/>
          <w:szCs w:val="28"/>
        </w:rPr>
        <w:t>7</w:t>
      </w:r>
      <w:r w:rsidRPr="008E3BC5">
        <w:rPr>
          <w:rFonts w:ascii="Times New Roman" w:hAnsi="Times New Roman" w:cs="Times New Roman"/>
          <w:color w:val="000000"/>
          <w:sz w:val="28"/>
          <w:szCs w:val="28"/>
        </w:rPr>
        <w:t>]</w:t>
      </w:r>
      <w:r w:rsidRPr="00963732">
        <w:rPr>
          <w:rFonts w:ascii="Times New Roman" w:hAnsi="Times New Roman" w:cs="Times New Roman"/>
          <w:color w:val="000000"/>
          <w:sz w:val="28"/>
          <w:szCs w:val="28"/>
        </w:rPr>
        <w:t>. Вона</w:t>
      </w:r>
      <w:r w:rsidRPr="00A815E1">
        <w:rPr>
          <w:rFonts w:ascii="Times New Roman" w:hAnsi="Times New Roman" w:cs="Times New Roman"/>
          <w:color w:val="000000"/>
          <w:sz w:val="28"/>
          <w:szCs w:val="28"/>
        </w:rPr>
        <w:t xml:space="preserve"> відіграє фундаментальну роль у забезпеченні функціонування всіх інших секторів економіки.</w:t>
      </w:r>
    </w:p>
    <w:p w:rsidR="00F30E41" w:rsidRPr="00344164" w:rsidRDefault="00F30E41" w:rsidP="00F653E6">
      <w:pPr>
        <w:tabs>
          <w:tab w:val="left" w:pos="6946"/>
        </w:tabs>
        <w:spacing w:after="0" w:line="360" w:lineRule="auto"/>
        <w:ind w:firstLine="709"/>
        <w:jc w:val="both"/>
        <w:rPr>
          <w:rFonts w:ascii="Times New Roman" w:hAnsi="Times New Roman" w:cs="Times New Roman"/>
          <w:color w:val="000000"/>
          <w:sz w:val="28"/>
          <w:szCs w:val="28"/>
        </w:rPr>
      </w:pPr>
      <w:r w:rsidRPr="00F653E6">
        <w:rPr>
          <w:rFonts w:ascii="Times New Roman" w:hAnsi="Times New Roman" w:cs="Times New Roman"/>
          <w:color w:val="000000"/>
          <w:sz w:val="28"/>
          <w:szCs w:val="28"/>
        </w:rPr>
        <w:t xml:space="preserve">Насамперед доцільно розглянути технологічний сектор. </w:t>
      </w:r>
      <w:r w:rsidRPr="00344164">
        <w:rPr>
          <w:rFonts w:ascii="Times New Roman" w:hAnsi="Times New Roman" w:cs="Times New Roman"/>
          <w:color w:val="000000"/>
          <w:sz w:val="28"/>
          <w:szCs w:val="28"/>
        </w:rPr>
        <w:t>Технологічний сектор відіграє ключову роль у трансформації бізнесу, сприяючи цифровізації, автоматизації та впровадженню інновацій. Його вплив поширюється на всі інші галузі, роблячи його одним із найпривабливіших для інвесторів.</w:t>
      </w:r>
    </w:p>
    <w:p w:rsidR="00F30E41" w:rsidRPr="00C05EAE" w:rsidRDefault="00F30E41" w:rsidP="00F653E6">
      <w:pPr>
        <w:tabs>
          <w:tab w:val="left" w:pos="6946"/>
        </w:tabs>
        <w:spacing w:after="0" w:line="360" w:lineRule="auto"/>
        <w:ind w:firstLine="709"/>
        <w:jc w:val="both"/>
        <w:rPr>
          <w:rFonts w:ascii="Times New Roman" w:hAnsi="Times New Roman" w:cs="Times New Roman"/>
          <w:color w:val="000000"/>
          <w:sz w:val="28"/>
          <w:szCs w:val="28"/>
        </w:rPr>
      </w:pPr>
      <w:r w:rsidRPr="00C05EAE">
        <w:rPr>
          <w:rFonts w:ascii="Times New Roman" w:hAnsi="Times New Roman" w:cs="Times New Roman"/>
          <w:color w:val="000000"/>
          <w:sz w:val="28"/>
          <w:szCs w:val="28"/>
        </w:rPr>
        <w:t>Для глибшого розуміння тенденцій розвитку ІТ-сектору проаналізовано динаміку глобальних витрат за підсекторами з 2019 по 2025 роки (д</w:t>
      </w:r>
      <w:r>
        <w:rPr>
          <w:rFonts w:ascii="Times New Roman" w:hAnsi="Times New Roman" w:cs="Times New Roman"/>
          <w:color w:val="000000"/>
          <w:sz w:val="28"/>
          <w:szCs w:val="28"/>
          <w:lang w:val="ru-RU"/>
        </w:rPr>
        <w:t>ив. табл. 2.1)</w:t>
      </w:r>
      <w:r w:rsidRPr="00C05EAE">
        <w:rPr>
          <w:rFonts w:ascii="Times New Roman" w:hAnsi="Times New Roman" w:cs="Times New Roman"/>
          <w:color w:val="000000"/>
          <w:sz w:val="28"/>
          <w:szCs w:val="28"/>
        </w:rPr>
        <w:t>. Це дозволяє виявити найперспективніші напрями та оцінити темпи їхнього зростання.</w:t>
      </w:r>
    </w:p>
    <w:p w:rsidR="00F30E41" w:rsidRPr="00C05EAE" w:rsidRDefault="00F30E41" w:rsidP="00F653E6">
      <w:pPr>
        <w:tabs>
          <w:tab w:val="left" w:pos="6946"/>
        </w:tabs>
        <w:spacing w:after="0" w:line="360" w:lineRule="auto"/>
        <w:ind w:firstLine="709"/>
        <w:jc w:val="right"/>
        <w:rPr>
          <w:rFonts w:ascii="Times New Roman" w:hAnsi="Times New Roman" w:cs="Times New Roman"/>
          <w:color w:val="000000"/>
          <w:sz w:val="28"/>
          <w:szCs w:val="28"/>
        </w:rPr>
      </w:pPr>
    </w:p>
    <w:p w:rsidR="00F30E41" w:rsidRPr="00C05EAE" w:rsidRDefault="00F30E41" w:rsidP="00CF335F">
      <w:pPr>
        <w:tabs>
          <w:tab w:val="left" w:pos="6946"/>
        </w:tabs>
        <w:spacing w:after="0" w:line="360" w:lineRule="auto"/>
        <w:rPr>
          <w:rFonts w:ascii="Times New Roman" w:hAnsi="Times New Roman" w:cs="Times New Roman"/>
          <w:color w:val="000000"/>
          <w:sz w:val="28"/>
          <w:szCs w:val="28"/>
        </w:rPr>
      </w:pPr>
    </w:p>
    <w:p w:rsidR="00F30E41" w:rsidRDefault="00F30E41" w:rsidP="00F653E6">
      <w:pPr>
        <w:tabs>
          <w:tab w:val="left" w:pos="6946"/>
        </w:tabs>
        <w:spacing w:after="0" w:line="36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Таблиця 2.1</w:t>
      </w:r>
    </w:p>
    <w:p w:rsidR="00F30E41" w:rsidRPr="00882349" w:rsidRDefault="00F30E41" w:rsidP="008D22BF">
      <w:pPr>
        <w:tabs>
          <w:tab w:val="left" w:pos="6946"/>
        </w:tabs>
        <w:spacing w:after="0" w:line="360" w:lineRule="auto"/>
        <w:ind w:firstLine="709"/>
        <w:jc w:val="center"/>
        <w:rPr>
          <w:rFonts w:ascii="Times New Roman" w:hAnsi="Times New Roman" w:cs="Times New Roman"/>
          <w:color w:val="000000"/>
          <w:sz w:val="28"/>
          <w:szCs w:val="28"/>
          <w:lang w:val="ru-RU"/>
        </w:rPr>
      </w:pPr>
      <w:r w:rsidRPr="008D22BF">
        <w:rPr>
          <w:rFonts w:ascii="Times New Roman" w:hAnsi="Times New Roman" w:cs="Times New Roman"/>
          <w:color w:val="000000"/>
          <w:sz w:val="28"/>
          <w:szCs w:val="28"/>
        </w:rPr>
        <w:t>Динаміка глобальних витрат на інформаційні технології за секторами у 2019–2025 роках, млрд. доларів США»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7"/>
        <w:gridCol w:w="1075"/>
        <w:gridCol w:w="1054"/>
        <w:gridCol w:w="1043"/>
        <w:gridCol w:w="1003"/>
        <w:gridCol w:w="1003"/>
        <w:gridCol w:w="1003"/>
        <w:gridCol w:w="1348"/>
      </w:tblGrid>
      <w:tr w:rsidR="00F30E41" w:rsidRPr="00596352">
        <w:tc>
          <w:tcPr>
            <w:tcW w:w="2263"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p>
        </w:tc>
        <w:tc>
          <w:tcPr>
            <w:tcW w:w="110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lang w:val="en-US"/>
              </w:rPr>
              <w:t>2019</w:t>
            </w:r>
          </w:p>
        </w:tc>
        <w:tc>
          <w:tcPr>
            <w:tcW w:w="1076"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2020</w:t>
            </w:r>
          </w:p>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p>
        </w:tc>
        <w:tc>
          <w:tcPr>
            <w:tcW w:w="1064"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2021</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2022</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2023</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2024</w:t>
            </w:r>
          </w:p>
        </w:tc>
        <w:tc>
          <w:tcPr>
            <w:tcW w:w="1348"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2025</w:t>
            </w:r>
          </w:p>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(прогноз)</w:t>
            </w:r>
          </w:p>
        </w:tc>
      </w:tr>
      <w:tr w:rsidR="00F30E41" w:rsidRPr="00596352">
        <w:tc>
          <w:tcPr>
            <w:tcW w:w="2263"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rPr>
              <w:t>Системи центрів обробки даних</w:t>
            </w:r>
          </w:p>
        </w:tc>
        <w:tc>
          <w:tcPr>
            <w:tcW w:w="110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lang w:val="en-US"/>
              </w:rPr>
              <w:t>205</w:t>
            </w:r>
          </w:p>
        </w:tc>
        <w:tc>
          <w:tcPr>
            <w:tcW w:w="1076"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lang w:val="en-US"/>
              </w:rPr>
              <w:t>2</w:t>
            </w:r>
            <w:r w:rsidRPr="00596352">
              <w:rPr>
                <w:rFonts w:ascii="Times New Roman" w:hAnsi="Times New Roman" w:cs="Times New Roman"/>
                <w:color w:val="000000"/>
                <w:sz w:val="28"/>
                <w:szCs w:val="28"/>
              </w:rPr>
              <w:t>14</w:t>
            </w:r>
          </w:p>
        </w:tc>
        <w:tc>
          <w:tcPr>
            <w:tcW w:w="1064"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rPr>
              <w:t>216</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212</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236</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329</w:t>
            </w:r>
          </w:p>
        </w:tc>
        <w:tc>
          <w:tcPr>
            <w:tcW w:w="1348"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405</w:t>
            </w:r>
          </w:p>
        </w:tc>
      </w:tr>
      <w:tr w:rsidR="00F30E41" w:rsidRPr="00596352">
        <w:tc>
          <w:tcPr>
            <w:tcW w:w="2263"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rPr>
              <w:t>Пристрої</w:t>
            </w:r>
          </w:p>
        </w:tc>
        <w:tc>
          <w:tcPr>
            <w:tcW w:w="110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lang w:val="en-US"/>
              </w:rPr>
              <w:t>456</w:t>
            </w:r>
          </w:p>
        </w:tc>
        <w:tc>
          <w:tcPr>
            <w:tcW w:w="1076"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rPr>
              <w:t>465</w:t>
            </w:r>
          </w:p>
        </w:tc>
        <w:tc>
          <w:tcPr>
            <w:tcW w:w="1064"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rPr>
              <w:t>604</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783</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692</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734</w:t>
            </w:r>
          </w:p>
        </w:tc>
        <w:tc>
          <w:tcPr>
            <w:tcW w:w="1348"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810</w:t>
            </w:r>
          </w:p>
        </w:tc>
      </w:tr>
      <w:tr w:rsidR="00F30E41" w:rsidRPr="00596352">
        <w:tc>
          <w:tcPr>
            <w:tcW w:w="2263"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rPr>
              <w:t>Програмне забезпечення</w:t>
            </w:r>
          </w:p>
        </w:tc>
        <w:tc>
          <w:tcPr>
            <w:tcW w:w="110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lang w:val="en-US"/>
              </w:rPr>
              <w:t>682</w:t>
            </w:r>
          </w:p>
        </w:tc>
        <w:tc>
          <w:tcPr>
            <w:tcW w:w="1076"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lang w:val="en-US"/>
              </w:rPr>
              <w:t>6</w:t>
            </w:r>
            <w:r w:rsidRPr="00596352">
              <w:rPr>
                <w:rFonts w:ascii="Times New Roman" w:hAnsi="Times New Roman" w:cs="Times New Roman"/>
                <w:color w:val="000000"/>
                <w:sz w:val="28"/>
                <w:szCs w:val="28"/>
              </w:rPr>
              <w:t>53</w:t>
            </w:r>
          </w:p>
        </w:tc>
        <w:tc>
          <w:tcPr>
            <w:tcW w:w="1064"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rPr>
              <w:t>787</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722</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974</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1,091</w:t>
            </w:r>
          </w:p>
        </w:tc>
        <w:tc>
          <w:tcPr>
            <w:tcW w:w="1348"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1,246</w:t>
            </w:r>
          </w:p>
        </w:tc>
      </w:tr>
      <w:tr w:rsidR="00F30E41" w:rsidRPr="00596352">
        <w:tc>
          <w:tcPr>
            <w:tcW w:w="2263"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rPr>
              <w:t>IT-послуги</w:t>
            </w:r>
          </w:p>
        </w:tc>
        <w:tc>
          <w:tcPr>
            <w:tcW w:w="110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lang w:val="en-US"/>
              </w:rPr>
              <w:t>1,030</w:t>
            </w:r>
          </w:p>
        </w:tc>
        <w:tc>
          <w:tcPr>
            <w:tcW w:w="1076"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lang w:val="en-US"/>
              </w:rPr>
              <w:t>1,0</w:t>
            </w:r>
            <w:r w:rsidRPr="00596352">
              <w:rPr>
                <w:rFonts w:ascii="Times New Roman" w:hAnsi="Times New Roman" w:cs="Times New Roman"/>
                <w:color w:val="000000"/>
                <w:sz w:val="28"/>
                <w:szCs w:val="28"/>
              </w:rPr>
              <w:t>11</w:t>
            </w:r>
          </w:p>
        </w:tc>
        <w:tc>
          <w:tcPr>
            <w:tcW w:w="1064"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rPr>
              <w:t>1,186</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1,244</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1,503</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1,588</w:t>
            </w:r>
          </w:p>
        </w:tc>
        <w:tc>
          <w:tcPr>
            <w:tcW w:w="1348"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1,731</w:t>
            </w:r>
          </w:p>
        </w:tc>
      </w:tr>
      <w:tr w:rsidR="00F30E41" w:rsidRPr="00596352">
        <w:tc>
          <w:tcPr>
            <w:tcW w:w="2263"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rPr>
              <w:t>Послуги зв’язку</w:t>
            </w:r>
          </w:p>
        </w:tc>
        <w:tc>
          <w:tcPr>
            <w:tcW w:w="110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lang w:val="en-US"/>
              </w:rPr>
              <w:t>1,364</w:t>
            </w:r>
          </w:p>
        </w:tc>
        <w:tc>
          <w:tcPr>
            <w:tcW w:w="1076"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lang w:val="en-US"/>
              </w:rPr>
              <w:t>1,3</w:t>
            </w:r>
            <w:r w:rsidRPr="00596352">
              <w:rPr>
                <w:rFonts w:ascii="Times New Roman" w:hAnsi="Times New Roman" w:cs="Times New Roman"/>
                <w:color w:val="000000"/>
                <w:sz w:val="28"/>
                <w:szCs w:val="28"/>
              </w:rPr>
              <w:t>49</w:t>
            </w:r>
          </w:p>
        </w:tc>
        <w:tc>
          <w:tcPr>
            <w:tcW w:w="1064"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rPr>
              <w:t>1,444</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1,422</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1,491</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1,371</w:t>
            </w:r>
          </w:p>
        </w:tc>
        <w:tc>
          <w:tcPr>
            <w:tcW w:w="1348"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1,423</w:t>
            </w:r>
          </w:p>
        </w:tc>
      </w:tr>
      <w:tr w:rsidR="00F30E41" w:rsidRPr="00596352">
        <w:tc>
          <w:tcPr>
            <w:tcW w:w="2263"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rPr>
              <w:t>Загальні витрати на IT</w:t>
            </w:r>
          </w:p>
        </w:tc>
        <w:tc>
          <w:tcPr>
            <w:tcW w:w="110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en-US"/>
              </w:rPr>
            </w:pPr>
            <w:r w:rsidRPr="00596352">
              <w:rPr>
                <w:rFonts w:ascii="Times New Roman" w:hAnsi="Times New Roman" w:cs="Times New Roman"/>
                <w:color w:val="000000"/>
                <w:sz w:val="28"/>
                <w:szCs w:val="28"/>
                <w:lang w:val="en-US"/>
              </w:rPr>
              <w:t>3,737</w:t>
            </w:r>
          </w:p>
        </w:tc>
        <w:tc>
          <w:tcPr>
            <w:tcW w:w="1076"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lang w:val="en-US"/>
              </w:rPr>
              <w:t>3,</w:t>
            </w:r>
            <w:r w:rsidRPr="00596352">
              <w:rPr>
                <w:rFonts w:ascii="Times New Roman" w:hAnsi="Times New Roman" w:cs="Times New Roman"/>
                <w:color w:val="000000"/>
                <w:sz w:val="28"/>
                <w:szCs w:val="28"/>
              </w:rPr>
              <w:t>694</w:t>
            </w:r>
          </w:p>
        </w:tc>
        <w:tc>
          <w:tcPr>
            <w:tcW w:w="1064"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rPr>
            </w:pPr>
            <w:r w:rsidRPr="00596352">
              <w:rPr>
                <w:rFonts w:ascii="Times New Roman" w:hAnsi="Times New Roman" w:cs="Times New Roman"/>
                <w:color w:val="000000"/>
                <w:sz w:val="28"/>
                <w:szCs w:val="28"/>
              </w:rPr>
              <w:t>4,239</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4,385</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4,898</w:t>
            </w:r>
          </w:p>
        </w:tc>
        <w:tc>
          <w:tcPr>
            <w:tcW w:w="1020"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5,114</w:t>
            </w:r>
          </w:p>
        </w:tc>
        <w:tc>
          <w:tcPr>
            <w:tcW w:w="1348" w:type="dxa"/>
          </w:tcPr>
          <w:p w:rsidR="00F30E41" w:rsidRPr="00596352" w:rsidRDefault="00F30E41" w:rsidP="00596352">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color w:val="000000"/>
                <w:sz w:val="28"/>
                <w:szCs w:val="28"/>
                <w:lang w:val="ru-RU"/>
              </w:rPr>
              <w:t>5,617</w:t>
            </w:r>
          </w:p>
        </w:tc>
      </w:tr>
    </w:tbl>
    <w:p w:rsidR="00F30E41" w:rsidRPr="006661C0" w:rsidRDefault="00F30E41" w:rsidP="00C5531C">
      <w:pPr>
        <w:tabs>
          <w:tab w:val="left" w:pos="6946"/>
        </w:tabs>
        <w:spacing w:after="0" w:line="360" w:lineRule="auto"/>
        <w:jc w:val="both"/>
        <w:rPr>
          <w:rFonts w:ascii="Times New Roman" w:hAnsi="Times New Roman" w:cs="Times New Roman"/>
          <w:color w:val="000000"/>
          <w:sz w:val="28"/>
          <w:szCs w:val="28"/>
          <w:lang w:val="ru-RU"/>
        </w:rPr>
      </w:pPr>
      <w:r w:rsidRPr="00607458">
        <w:rPr>
          <w:rFonts w:ascii="Times New Roman" w:hAnsi="Times New Roman" w:cs="Times New Roman"/>
          <w:color w:val="000000"/>
          <w:sz w:val="28"/>
          <w:szCs w:val="28"/>
          <w:lang w:val="ru-RU"/>
        </w:rPr>
        <w:t>Складено автором на основ</w:t>
      </w:r>
      <w:r w:rsidRPr="00607458">
        <w:rPr>
          <w:rFonts w:ascii="Times New Roman" w:hAnsi="Times New Roman" w:cs="Times New Roman"/>
          <w:color w:val="000000"/>
          <w:sz w:val="28"/>
          <w:szCs w:val="28"/>
        </w:rPr>
        <w:t>і</w:t>
      </w:r>
      <w:r>
        <w:rPr>
          <w:rFonts w:ascii="Times New Roman" w:hAnsi="Times New Roman" w:cs="Times New Roman"/>
          <w:color w:val="000000"/>
          <w:sz w:val="28"/>
          <w:szCs w:val="28"/>
          <w:lang w:val="ru-RU"/>
        </w:rPr>
        <w:t xml:space="preserve"> </w:t>
      </w:r>
      <w:r w:rsidRPr="008E3BC5">
        <w:rPr>
          <w:rFonts w:ascii="Times New Roman" w:hAnsi="Times New Roman" w:cs="Times New Roman"/>
          <w:color w:val="000000"/>
          <w:sz w:val="28"/>
          <w:szCs w:val="28"/>
        </w:rPr>
        <w:t>[</w:t>
      </w:r>
      <w:r w:rsidRPr="00CC684D">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8</w:t>
      </w:r>
      <w:r w:rsidRPr="008E3BC5">
        <w:rPr>
          <w:rFonts w:ascii="Times New Roman" w:hAnsi="Times New Roman" w:cs="Times New Roman"/>
          <w:color w:val="000000"/>
          <w:sz w:val="28"/>
          <w:szCs w:val="28"/>
        </w:rPr>
        <w:t>].</w:t>
      </w:r>
    </w:p>
    <w:p w:rsidR="00F30E41" w:rsidRDefault="00F30E41" w:rsidP="00344164">
      <w:pPr>
        <w:tabs>
          <w:tab w:val="left" w:pos="6946"/>
        </w:tabs>
        <w:spacing w:after="0" w:line="360" w:lineRule="auto"/>
        <w:ind w:firstLine="709"/>
        <w:jc w:val="both"/>
        <w:rPr>
          <w:rFonts w:ascii="Times New Roman" w:hAnsi="Times New Roman" w:cs="Times New Roman"/>
          <w:color w:val="000000"/>
          <w:sz w:val="28"/>
          <w:szCs w:val="28"/>
          <w:lang w:val="ru-RU"/>
        </w:rPr>
      </w:pPr>
      <w:r w:rsidRPr="00FC22E2">
        <w:rPr>
          <w:rFonts w:ascii="Times New Roman" w:hAnsi="Times New Roman" w:cs="Times New Roman"/>
          <w:sz w:val="28"/>
          <w:szCs w:val="28"/>
          <w:lang w:val="ru-RU"/>
        </w:rPr>
        <w:t>Дані свідчать</w:t>
      </w:r>
      <w:r>
        <w:rPr>
          <w:rFonts w:ascii="Times New Roman" w:hAnsi="Times New Roman" w:cs="Times New Roman"/>
          <w:sz w:val="28"/>
          <w:szCs w:val="28"/>
          <w:lang w:val="ru-RU"/>
        </w:rPr>
        <w:t>, що в період з</w:t>
      </w:r>
      <w:r w:rsidRPr="00344164">
        <w:rPr>
          <w:rFonts w:ascii="Times New Roman" w:hAnsi="Times New Roman" w:cs="Times New Roman"/>
          <w:color w:val="000000"/>
          <w:sz w:val="28"/>
          <w:szCs w:val="28"/>
          <w:lang w:val="ru-RU"/>
        </w:rPr>
        <w:t xml:space="preserve"> 2019</w:t>
      </w:r>
      <w:r>
        <w:rPr>
          <w:rFonts w:ascii="Times New Roman" w:hAnsi="Times New Roman" w:cs="Times New Roman"/>
          <w:color w:val="000000"/>
          <w:sz w:val="28"/>
          <w:szCs w:val="28"/>
          <w:lang w:val="ru-RU"/>
        </w:rPr>
        <w:t xml:space="preserve"> по </w:t>
      </w:r>
      <w:r w:rsidRPr="00344164">
        <w:rPr>
          <w:rFonts w:ascii="Times New Roman" w:hAnsi="Times New Roman" w:cs="Times New Roman"/>
          <w:color w:val="000000"/>
          <w:sz w:val="28"/>
          <w:szCs w:val="28"/>
          <w:lang w:val="ru-RU"/>
        </w:rPr>
        <w:t>2025 ро</w:t>
      </w:r>
      <w:r>
        <w:rPr>
          <w:rFonts w:ascii="Times New Roman" w:hAnsi="Times New Roman" w:cs="Times New Roman"/>
          <w:color w:val="000000"/>
          <w:sz w:val="28"/>
          <w:szCs w:val="28"/>
          <w:lang w:val="ru-RU"/>
        </w:rPr>
        <w:t>ки</w:t>
      </w:r>
      <w:r w:rsidRPr="00344164">
        <w:rPr>
          <w:rFonts w:ascii="Times New Roman" w:hAnsi="Times New Roman" w:cs="Times New Roman"/>
          <w:color w:val="000000"/>
          <w:sz w:val="28"/>
          <w:szCs w:val="28"/>
          <w:lang w:val="ru-RU"/>
        </w:rPr>
        <w:t xml:space="preserve"> обсяг глобальних витрат на ІТ зр</w:t>
      </w:r>
      <w:r>
        <w:rPr>
          <w:rFonts w:ascii="Times New Roman" w:hAnsi="Times New Roman" w:cs="Times New Roman"/>
          <w:color w:val="000000"/>
          <w:sz w:val="28"/>
          <w:szCs w:val="28"/>
          <w:lang w:val="ru-RU"/>
        </w:rPr>
        <w:t>іс</w:t>
      </w:r>
      <w:r w:rsidRPr="00344164">
        <w:rPr>
          <w:rFonts w:ascii="Times New Roman" w:hAnsi="Times New Roman" w:cs="Times New Roman"/>
          <w:color w:val="000000"/>
          <w:sz w:val="28"/>
          <w:szCs w:val="28"/>
          <w:lang w:val="ru-RU"/>
        </w:rPr>
        <w:t xml:space="preserve"> з 3,7 до 5,6 трлн дол. США. Найшвидше розвиваються сегменти програмного забезпечення та ІТ-послуг, що свідчить про зростання попиту на цифрові рішення та технічну підтримку. Значне зростання витрат на пристрої у 2021</w:t>
      </w:r>
      <w:r>
        <w:rPr>
          <w:rFonts w:ascii="Times New Roman" w:hAnsi="Times New Roman" w:cs="Times New Roman"/>
          <w:color w:val="000000"/>
          <w:sz w:val="28"/>
          <w:szCs w:val="28"/>
          <w:lang w:val="ru-RU"/>
        </w:rPr>
        <w:t>-</w:t>
      </w:r>
      <w:r w:rsidRPr="00344164">
        <w:rPr>
          <w:rFonts w:ascii="Times New Roman" w:hAnsi="Times New Roman" w:cs="Times New Roman"/>
          <w:color w:val="000000"/>
          <w:sz w:val="28"/>
          <w:szCs w:val="28"/>
          <w:lang w:val="ru-RU"/>
        </w:rPr>
        <w:t xml:space="preserve">2022 роках пов’язане з переходом на дистанційну роботу. У той час як комунікаційні послуги залишаються стабільними, витрати на центри обробки даних суттєво зросли після 2023 року. </w:t>
      </w:r>
    </w:p>
    <w:p w:rsidR="00F30E41" w:rsidRPr="00344164" w:rsidRDefault="00F30E41" w:rsidP="00344164">
      <w:pPr>
        <w:tabs>
          <w:tab w:val="left" w:pos="6946"/>
        </w:tabs>
        <w:spacing w:after="0" w:line="360" w:lineRule="auto"/>
        <w:ind w:firstLine="709"/>
        <w:jc w:val="both"/>
        <w:rPr>
          <w:rFonts w:ascii="Times New Roman" w:hAnsi="Times New Roman" w:cs="Times New Roman"/>
          <w:color w:val="000000"/>
          <w:sz w:val="28"/>
          <w:szCs w:val="28"/>
          <w:lang w:val="ru-RU"/>
        </w:rPr>
      </w:pPr>
      <w:r w:rsidRPr="00344164">
        <w:rPr>
          <w:rFonts w:ascii="Times New Roman" w:hAnsi="Times New Roman" w:cs="Times New Roman"/>
          <w:color w:val="000000"/>
          <w:sz w:val="28"/>
          <w:szCs w:val="28"/>
          <w:lang w:val="ru-RU"/>
        </w:rPr>
        <w:t>Окрему увагу заслуговує ринок Big Data, що демонструє стабільне зростання</w:t>
      </w:r>
      <w:r>
        <w:rPr>
          <w:rFonts w:ascii="Times New Roman" w:hAnsi="Times New Roman" w:cs="Times New Roman"/>
          <w:color w:val="000000"/>
          <w:sz w:val="28"/>
          <w:szCs w:val="28"/>
          <w:lang w:val="ru-RU"/>
        </w:rPr>
        <w:t xml:space="preserve"> (див. рис. 2.1)</w:t>
      </w:r>
      <w:r w:rsidRPr="00344164">
        <w:rPr>
          <w:rFonts w:ascii="Times New Roman" w:hAnsi="Times New Roman" w:cs="Times New Roman"/>
          <w:color w:val="000000"/>
          <w:sz w:val="28"/>
          <w:szCs w:val="28"/>
          <w:lang w:val="ru-RU"/>
        </w:rPr>
        <w:t>: з 7,6 млрд дол. у 2011 році до прогнозованих 103 млрд у 2027-му. Така динаміка пояснюється розвитком хмарних технологій, IoT і попитом на аналітику даних у бізнесі, що робить Big Data одним із найстійкіших і перспективніших напрямів у цифровій економіці</w:t>
      </w:r>
      <w:r>
        <w:rPr>
          <w:rFonts w:ascii="Times New Roman" w:hAnsi="Times New Roman" w:cs="Times New Roman"/>
          <w:color w:val="000000"/>
          <w:sz w:val="28"/>
          <w:szCs w:val="28"/>
          <w:lang w:val="ru-RU"/>
        </w:rPr>
        <w:t xml:space="preserve"> </w:t>
      </w:r>
      <w:r w:rsidRPr="00F4416C">
        <w:rPr>
          <w:rFonts w:ascii="Times New Roman" w:hAnsi="Times New Roman" w:cs="Times New Roman"/>
          <w:color w:val="000000"/>
          <w:sz w:val="28"/>
          <w:szCs w:val="28"/>
          <w:lang w:val="ru-RU"/>
        </w:rPr>
        <w:t>2016 року, що збігається з поширенням хмарних обчислень, інтернету речей (</w:t>
      </w:r>
      <w:r w:rsidRPr="00F4416C">
        <w:rPr>
          <w:rFonts w:ascii="Times New Roman" w:hAnsi="Times New Roman" w:cs="Times New Roman"/>
          <w:color w:val="000000"/>
          <w:sz w:val="28"/>
          <w:szCs w:val="28"/>
          <w:lang w:val="de-AT"/>
        </w:rPr>
        <w:t>IoT</w:t>
      </w:r>
      <w:r w:rsidRPr="00F4416C">
        <w:rPr>
          <w:rFonts w:ascii="Times New Roman" w:hAnsi="Times New Roman" w:cs="Times New Roman"/>
          <w:color w:val="000000"/>
          <w:sz w:val="28"/>
          <w:szCs w:val="28"/>
          <w:lang w:val="ru-RU"/>
        </w:rPr>
        <w:t xml:space="preserve">) та активного використання </w:t>
      </w:r>
      <w:r>
        <w:rPr>
          <w:noProof/>
          <w:lang w:val="ru-RU" w:eastAsia="ru-RU"/>
        </w:rPr>
        <w:pict>
          <v:shape id="_x0000_s1026" type="#_x0000_t75" style="position:absolute;left:0;text-align:left;margin-left:25.75pt;margin-top:48.2pt;width:453.1pt;height:233.3pt;z-index:251650560;visibility:visible;mso-position-horizontal-relative:text;mso-position-vertical-relative:text">
            <v:imagedata r:id="rId15" o:title=""/>
            <w10:wrap type="topAndBottom"/>
          </v:shape>
          <o:OLEObject Type="Embed" ProgID="Excel.Chart.8" ShapeID="_x0000_s1026" DrawAspect="Content" ObjectID="_1811317234" r:id="rId16"/>
        </w:pict>
      </w:r>
      <w:r w:rsidRPr="00F4416C">
        <w:rPr>
          <w:rFonts w:ascii="Times New Roman" w:hAnsi="Times New Roman" w:cs="Times New Roman"/>
          <w:color w:val="000000"/>
          <w:sz w:val="28"/>
          <w:szCs w:val="28"/>
          <w:lang w:val="ru-RU"/>
        </w:rPr>
        <w:t>аналітики даних у бізнесі</w:t>
      </w:r>
      <w:r>
        <w:rPr>
          <w:rFonts w:ascii="Times New Roman" w:hAnsi="Times New Roman" w:cs="Times New Roman"/>
          <w:color w:val="000000"/>
          <w:sz w:val="28"/>
          <w:szCs w:val="28"/>
          <w:lang w:val="ru-RU"/>
        </w:rPr>
        <w:t>.</w:t>
      </w:r>
    </w:p>
    <w:p w:rsidR="00F30E41" w:rsidRDefault="00F30E41" w:rsidP="00A815E1">
      <w:pPr>
        <w:tabs>
          <w:tab w:val="left" w:pos="6946"/>
        </w:tabs>
        <w:spacing w:after="0" w:line="360" w:lineRule="auto"/>
        <w:ind w:firstLine="709"/>
        <w:jc w:val="both"/>
        <w:rPr>
          <w:rFonts w:ascii="Times New Roman" w:hAnsi="Times New Roman" w:cs="Times New Roman"/>
          <w:color w:val="000000"/>
          <w:sz w:val="28"/>
          <w:szCs w:val="28"/>
          <w:lang w:val="ru-RU"/>
        </w:rPr>
      </w:pPr>
      <w:r w:rsidRPr="00257227">
        <w:rPr>
          <w:rFonts w:ascii="Times New Roman" w:hAnsi="Times New Roman" w:cs="Times New Roman"/>
          <w:color w:val="000000"/>
          <w:sz w:val="28"/>
          <w:szCs w:val="28"/>
        </w:rPr>
        <w:t>Рис 2.1</w:t>
      </w:r>
      <w:r>
        <w:rPr>
          <w:rFonts w:ascii="Times New Roman" w:hAnsi="Times New Roman" w:cs="Times New Roman"/>
          <w:color w:val="000000"/>
          <w:sz w:val="28"/>
          <w:szCs w:val="28"/>
          <w:lang w:val="ru-RU"/>
        </w:rPr>
        <w:t xml:space="preserve"> Обсяг ринку великих даних за 2011-2027 роки </w:t>
      </w:r>
      <w:r w:rsidRPr="004C3614">
        <w:rPr>
          <w:rFonts w:ascii="Times New Roman" w:hAnsi="Times New Roman" w:cs="Times New Roman"/>
          <w:color w:val="000000"/>
          <w:sz w:val="28"/>
          <w:szCs w:val="28"/>
          <w:lang w:val="ru-RU"/>
        </w:rPr>
        <w:t>(</w:t>
      </w:r>
      <w:r w:rsidRPr="00607458">
        <w:rPr>
          <w:rFonts w:ascii="Times New Roman" w:hAnsi="Times New Roman" w:cs="Times New Roman"/>
          <w:color w:val="000000"/>
          <w:sz w:val="28"/>
          <w:szCs w:val="28"/>
        </w:rPr>
        <w:t>млрд. дол.)</w:t>
      </w:r>
      <w:r>
        <w:rPr>
          <w:rFonts w:ascii="Times New Roman" w:hAnsi="Times New Roman" w:cs="Times New Roman"/>
          <w:color w:val="000000"/>
          <w:sz w:val="28"/>
          <w:szCs w:val="28"/>
          <w:lang w:val="ru-RU"/>
        </w:rPr>
        <w:t xml:space="preserve"> </w:t>
      </w:r>
    </w:p>
    <w:p w:rsidR="00F30E41" w:rsidRPr="00F4416C" w:rsidRDefault="00F30E41" w:rsidP="000A5FA5">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w:t>
      </w:r>
      <w:r w:rsidRPr="00CC684D">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9</w:t>
      </w:r>
      <w:r w:rsidRPr="008E3BC5">
        <w:rPr>
          <w:rFonts w:ascii="Times New Roman" w:hAnsi="Times New Roman" w:cs="Times New Roman"/>
          <w:color w:val="000000"/>
          <w:sz w:val="28"/>
          <w:szCs w:val="28"/>
        </w:rPr>
        <w:t>].</w:t>
      </w:r>
    </w:p>
    <w:p w:rsidR="00F30E41" w:rsidRDefault="00F30E41" w:rsidP="00A815E1">
      <w:pPr>
        <w:tabs>
          <w:tab w:val="left" w:pos="6946"/>
        </w:tabs>
        <w:spacing w:after="0" w:line="360" w:lineRule="auto"/>
        <w:ind w:firstLine="709"/>
        <w:jc w:val="both"/>
        <w:rPr>
          <w:rFonts w:ascii="Times New Roman" w:hAnsi="Times New Roman" w:cs="Times New Roman"/>
          <w:color w:val="000000"/>
          <w:sz w:val="28"/>
          <w:szCs w:val="28"/>
          <w:lang w:val="ru-RU"/>
        </w:rPr>
      </w:pPr>
      <w:r w:rsidRPr="00CE2EB4">
        <w:rPr>
          <w:rFonts w:ascii="Times New Roman" w:hAnsi="Times New Roman" w:cs="Times New Roman"/>
          <w:color w:val="000000"/>
          <w:sz w:val="28"/>
          <w:szCs w:val="28"/>
          <w:lang w:val="ru-RU"/>
        </w:rPr>
        <w:t xml:space="preserve">Технології </w:t>
      </w:r>
      <w:r w:rsidRPr="00CE2EB4">
        <w:rPr>
          <w:rFonts w:ascii="Times New Roman" w:hAnsi="Times New Roman" w:cs="Times New Roman"/>
          <w:color w:val="000000"/>
          <w:sz w:val="28"/>
          <w:szCs w:val="28"/>
          <w:lang w:val="de-AT"/>
        </w:rPr>
        <w:t>Big</w:t>
      </w:r>
      <w:r w:rsidRPr="00CE2EB4">
        <w:rPr>
          <w:rFonts w:ascii="Times New Roman" w:hAnsi="Times New Roman" w:cs="Times New Roman"/>
          <w:color w:val="000000"/>
          <w:sz w:val="28"/>
          <w:szCs w:val="28"/>
          <w:lang w:val="ru-RU"/>
        </w:rPr>
        <w:t xml:space="preserve"> </w:t>
      </w:r>
      <w:r w:rsidRPr="00CE2EB4">
        <w:rPr>
          <w:rFonts w:ascii="Times New Roman" w:hAnsi="Times New Roman" w:cs="Times New Roman"/>
          <w:color w:val="000000"/>
          <w:sz w:val="28"/>
          <w:szCs w:val="28"/>
          <w:lang w:val="de-AT"/>
        </w:rPr>
        <w:t>Data</w:t>
      </w:r>
      <w:r w:rsidRPr="00CE2EB4">
        <w:rPr>
          <w:rFonts w:ascii="Times New Roman" w:hAnsi="Times New Roman" w:cs="Times New Roman"/>
          <w:color w:val="000000"/>
          <w:sz w:val="28"/>
          <w:szCs w:val="28"/>
          <w:lang w:val="ru-RU"/>
        </w:rPr>
        <w:t xml:space="preserve"> вже сьогодні активно використовуються у прогнозуванні, фінансовому моделюванні, управлінні та розвитку ШІ. Вони підвищують ефективність бізнесу, знижують витрати та покращують взаємодію з клієнтами. Найбільший ефект спостерігається у роздрібній торгівлі, фінансах, охороні здоров’я та виробництві </w:t>
      </w:r>
      <w:r>
        <w:rPr>
          <w:rFonts w:ascii="Times New Roman" w:hAnsi="Times New Roman" w:cs="Times New Roman"/>
          <w:color w:val="000000"/>
          <w:sz w:val="28"/>
          <w:szCs w:val="28"/>
          <w:lang w:val="ru-RU"/>
        </w:rPr>
        <w:t>-</w:t>
      </w:r>
      <w:r w:rsidRPr="00CE2EB4">
        <w:rPr>
          <w:rFonts w:ascii="Times New Roman" w:hAnsi="Times New Roman" w:cs="Times New Roman"/>
          <w:color w:val="000000"/>
          <w:sz w:val="28"/>
          <w:szCs w:val="28"/>
          <w:lang w:val="ru-RU"/>
        </w:rPr>
        <w:t xml:space="preserve"> для персоналізації, логістики, прогнозування попиту та автоматизації. </w:t>
      </w:r>
      <w:r w:rsidRPr="00CE2EB4">
        <w:rPr>
          <w:rFonts w:ascii="Times New Roman" w:hAnsi="Times New Roman" w:cs="Times New Roman"/>
          <w:color w:val="000000"/>
          <w:sz w:val="28"/>
          <w:szCs w:val="28"/>
          <w:lang w:val="de-AT"/>
        </w:rPr>
        <w:t>Big</w:t>
      </w:r>
      <w:r w:rsidRPr="00CE2EB4">
        <w:rPr>
          <w:rFonts w:ascii="Times New Roman" w:hAnsi="Times New Roman" w:cs="Times New Roman"/>
          <w:color w:val="000000"/>
          <w:sz w:val="28"/>
          <w:szCs w:val="28"/>
          <w:lang w:val="ru-RU"/>
        </w:rPr>
        <w:t xml:space="preserve"> </w:t>
      </w:r>
      <w:r w:rsidRPr="00CE2EB4">
        <w:rPr>
          <w:rFonts w:ascii="Times New Roman" w:hAnsi="Times New Roman" w:cs="Times New Roman"/>
          <w:color w:val="000000"/>
          <w:sz w:val="28"/>
          <w:szCs w:val="28"/>
          <w:lang w:val="de-AT"/>
        </w:rPr>
        <w:t>Data</w:t>
      </w:r>
      <w:r w:rsidRPr="00CE2EB4">
        <w:rPr>
          <w:rFonts w:ascii="Times New Roman" w:hAnsi="Times New Roman" w:cs="Times New Roman"/>
          <w:color w:val="000000"/>
          <w:sz w:val="28"/>
          <w:szCs w:val="28"/>
          <w:lang w:val="ru-RU"/>
        </w:rPr>
        <w:t xml:space="preserve"> стає ключовим ресурсом цифрової економіки та формує нові конкурентні переваги</w:t>
      </w:r>
      <w:r>
        <w:rPr>
          <w:rFonts w:ascii="Times New Roman" w:hAnsi="Times New Roman" w:cs="Times New Roman"/>
          <w:color w:val="000000"/>
          <w:sz w:val="28"/>
          <w:szCs w:val="28"/>
          <w:lang w:val="ru-RU"/>
        </w:rPr>
        <w:t xml:space="preserve"> </w:t>
      </w:r>
      <w:r w:rsidRPr="000012A2">
        <w:rPr>
          <w:rFonts w:ascii="Times New Roman" w:hAnsi="Times New Roman" w:cs="Times New Roman"/>
          <w:color w:val="000000"/>
          <w:sz w:val="28"/>
          <w:szCs w:val="28"/>
        </w:rPr>
        <w:t>[</w:t>
      </w:r>
      <w:r>
        <w:rPr>
          <w:rFonts w:ascii="Times New Roman" w:hAnsi="Times New Roman" w:cs="Times New Roman"/>
          <w:color w:val="000000"/>
          <w:sz w:val="28"/>
          <w:szCs w:val="28"/>
          <w:lang w:val="ru-RU"/>
        </w:rPr>
        <w:t>30</w:t>
      </w:r>
      <w:r w:rsidRPr="000012A2">
        <w:rPr>
          <w:rFonts w:ascii="Times New Roman" w:hAnsi="Times New Roman" w:cs="Times New Roman"/>
          <w:color w:val="000000"/>
          <w:sz w:val="28"/>
          <w:szCs w:val="28"/>
        </w:rPr>
        <w:t>]</w:t>
      </w:r>
      <w:r w:rsidRPr="00CE2EB4">
        <w:rPr>
          <w:rFonts w:ascii="Times New Roman" w:hAnsi="Times New Roman" w:cs="Times New Roman"/>
          <w:color w:val="000000"/>
          <w:sz w:val="28"/>
          <w:szCs w:val="28"/>
          <w:lang w:val="ru-RU"/>
        </w:rPr>
        <w:t>.</w:t>
      </w:r>
    </w:p>
    <w:p w:rsidR="00F30E41" w:rsidRPr="00167DFA" w:rsidRDefault="00F30E41" w:rsidP="00A815E1">
      <w:pPr>
        <w:tabs>
          <w:tab w:val="left" w:pos="6946"/>
        </w:tabs>
        <w:spacing w:after="0" w:line="360" w:lineRule="auto"/>
        <w:ind w:firstLine="709"/>
        <w:jc w:val="both"/>
        <w:rPr>
          <w:rFonts w:ascii="Times New Roman" w:hAnsi="Times New Roman" w:cs="Times New Roman"/>
          <w:color w:val="000000"/>
          <w:sz w:val="28"/>
          <w:szCs w:val="28"/>
          <w:lang w:val="ru-RU"/>
        </w:rPr>
      </w:pPr>
      <w:r w:rsidRPr="00CE2EB4">
        <w:rPr>
          <w:rFonts w:ascii="Times New Roman" w:hAnsi="Times New Roman" w:cs="Times New Roman"/>
          <w:color w:val="000000"/>
          <w:sz w:val="28"/>
          <w:szCs w:val="28"/>
          <w:lang w:val="ru-RU"/>
        </w:rPr>
        <w:t xml:space="preserve">Стан технологічного сектору також відображає індекс </w:t>
      </w:r>
      <w:r w:rsidRPr="00CE2EB4">
        <w:rPr>
          <w:rFonts w:ascii="Times New Roman" w:hAnsi="Times New Roman" w:cs="Times New Roman"/>
          <w:color w:val="000000"/>
          <w:sz w:val="28"/>
          <w:szCs w:val="28"/>
          <w:lang w:val="de-AT"/>
        </w:rPr>
        <w:t>Nasdaq</w:t>
      </w:r>
      <w:r w:rsidRPr="00CE2EB4">
        <w:rPr>
          <w:rFonts w:ascii="Times New Roman" w:hAnsi="Times New Roman" w:cs="Times New Roman"/>
          <w:color w:val="000000"/>
          <w:sz w:val="28"/>
          <w:szCs w:val="28"/>
          <w:lang w:val="ru-RU"/>
        </w:rPr>
        <w:t>, що охоплює провідні ІТ-компанії. За останнє десятиліття він демонстрував переважно позитивну динаміку, зокрема в 2019 та 2020 роках, коли річна дохідність склала 39% і 48,5% відповідно</w:t>
      </w:r>
      <w:r>
        <w:rPr>
          <w:rFonts w:ascii="Times New Roman" w:hAnsi="Times New Roman" w:cs="Times New Roman"/>
          <w:color w:val="000000"/>
          <w:sz w:val="28"/>
          <w:szCs w:val="28"/>
          <w:lang w:val="ru-RU"/>
        </w:rPr>
        <w:t xml:space="preserve"> (див. рис. 2.2)</w:t>
      </w:r>
      <w:r w:rsidRPr="00CE2EB4">
        <w:rPr>
          <w:rFonts w:ascii="Times New Roman" w:hAnsi="Times New Roman" w:cs="Times New Roman"/>
          <w:color w:val="000000"/>
          <w:sz w:val="28"/>
          <w:szCs w:val="28"/>
          <w:lang w:val="ru-RU"/>
        </w:rPr>
        <w:t>. Це свідчить про високий інтерес інвесторів до технологічних активів, особливо в умовах прискореної цифрової трансформації.</w:t>
      </w:r>
    </w:p>
    <w:p w:rsidR="00F30E41" w:rsidRDefault="00F30E41" w:rsidP="00A815E1">
      <w:pPr>
        <w:tabs>
          <w:tab w:val="left" w:pos="6946"/>
        </w:tabs>
        <w:spacing w:after="0" w:line="360" w:lineRule="auto"/>
        <w:ind w:firstLine="709"/>
        <w:rPr>
          <w:rFonts w:ascii="Times New Roman" w:hAnsi="Times New Roman" w:cs="Times New Roman"/>
          <w:color w:val="000000"/>
          <w:sz w:val="28"/>
          <w:szCs w:val="28"/>
          <w:lang w:val="ru-RU"/>
        </w:rPr>
      </w:pPr>
      <w:r>
        <w:rPr>
          <w:noProof/>
          <w:lang w:val="ru-RU" w:eastAsia="ru-RU"/>
        </w:rPr>
        <w:pict>
          <v:shape id="_x0000_s1027" type="#_x0000_t75" style="position:absolute;left:0;text-align:left;margin-left:26.35pt;margin-top:-.5pt;width:392.65pt;height:194.9pt;z-index:251651584;visibility:visible">
            <v:imagedata r:id="rId17" o:title=""/>
            <w10:wrap type="topAndBottom"/>
          </v:shape>
          <o:OLEObject Type="Embed" ProgID="Excel.Chart.8" ShapeID="_x0000_s1027" DrawAspect="Content" ObjectID="_1811317235" r:id="rId18"/>
        </w:pict>
      </w:r>
      <w:r w:rsidRPr="00257227">
        <w:rPr>
          <w:rFonts w:ascii="Times New Roman" w:hAnsi="Times New Roman" w:cs="Times New Roman"/>
          <w:color w:val="000000"/>
          <w:sz w:val="28"/>
          <w:szCs w:val="28"/>
        </w:rPr>
        <w:t>Рис 2.</w:t>
      </w:r>
      <w:r>
        <w:rPr>
          <w:rFonts w:ascii="Times New Roman" w:hAnsi="Times New Roman" w:cs="Times New Roman"/>
          <w:color w:val="000000"/>
          <w:sz w:val="28"/>
          <w:szCs w:val="28"/>
          <w:lang w:val="ru-RU"/>
        </w:rPr>
        <w:t xml:space="preserve">2 </w:t>
      </w:r>
      <w:r w:rsidRPr="001872AB">
        <w:rPr>
          <w:rFonts w:ascii="Times New Roman" w:hAnsi="Times New Roman" w:cs="Times New Roman"/>
          <w:color w:val="000000"/>
          <w:sz w:val="28"/>
          <w:szCs w:val="28"/>
          <w:lang w:val="ru-RU"/>
        </w:rPr>
        <w:t>Річна дохідність індексу Nasdaq</w:t>
      </w:r>
      <w:r>
        <w:rPr>
          <w:rFonts w:ascii="Times New Roman" w:hAnsi="Times New Roman" w:cs="Times New Roman"/>
          <w:color w:val="000000"/>
          <w:sz w:val="28"/>
          <w:szCs w:val="28"/>
          <w:lang w:val="ru-RU"/>
        </w:rPr>
        <w:t xml:space="preserve"> за 2013-2024 роки.</w:t>
      </w:r>
    </w:p>
    <w:p w:rsidR="00F30E41" w:rsidRPr="00F4416C" w:rsidRDefault="00F30E41" w:rsidP="001872AB">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31</w:t>
      </w:r>
      <w:r w:rsidRPr="008E3BC5">
        <w:rPr>
          <w:rFonts w:ascii="Times New Roman" w:hAnsi="Times New Roman" w:cs="Times New Roman"/>
          <w:color w:val="000000"/>
          <w:sz w:val="28"/>
          <w:szCs w:val="28"/>
        </w:rPr>
        <w:t>].</w:t>
      </w:r>
    </w:p>
    <w:p w:rsidR="00F30E41" w:rsidRPr="00673BD5" w:rsidRDefault="00F30E41" w:rsidP="00CE2A80">
      <w:pPr>
        <w:tabs>
          <w:tab w:val="left" w:pos="6946"/>
        </w:tabs>
        <w:spacing w:after="0" w:line="360" w:lineRule="auto"/>
        <w:ind w:firstLine="709"/>
        <w:jc w:val="both"/>
        <w:rPr>
          <w:rFonts w:ascii="Times New Roman" w:hAnsi="Times New Roman" w:cs="Times New Roman"/>
          <w:color w:val="000000"/>
          <w:sz w:val="28"/>
          <w:szCs w:val="28"/>
        </w:rPr>
      </w:pPr>
      <w:r w:rsidRPr="00920029">
        <w:rPr>
          <w:rFonts w:ascii="Times New Roman" w:hAnsi="Times New Roman" w:cs="Times New Roman"/>
          <w:color w:val="000000"/>
          <w:sz w:val="28"/>
          <w:szCs w:val="28"/>
        </w:rPr>
        <w:t xml:space="preserve">У 2022 році Nasdaq продемонстрував від’ємне значення </w:t>
      </w:r>
      <w:r>
        <w:rPr>
          <w:rFonts w:ascii="Times New Roman" w:hAnsi="Times New Roman" w:cs="Times New Roman"/>
          <w:color w:val="000000"/>
          <w:sz w:val="28"/>
          <w:szCs w:val="28"/>
        </w:rPr>
        <w:t>-</w:t>
      </w:r>
      <w:r w:rsidRPr="00920029">
        <w:rPr>
          <w:rFonts w:ascii="Times New Roman" w:hAnsi="Times New Roman" w:cs="Times New Roman"/>
          <w:color w:val="000000"/>
          <w:sz w:val="28"/>
          <w:szCs w:val="28"/>
        </w:rPr>
        <w:t xml:space="preserve"> мінус 32,6%, однак уже наступного року спостерігалося суттєве відновлення. Загалом, стабільно високі показники в окремі роки свідчать про перспективність технологічного сектору та його здатність до швидкого відновлення.</w:t>
      </w:r>
    </w:p>
    <w:p w:rsidR="00F30E41" w:rsidRPr="001B672B" w:rsidRDefault="00F30E41" w:rsidP="001872AB">
      <w:pPr>
        <w:tabs>
          <w:tab w:val="left" w:pos="6946"/>
        </w:tabs>
        <w:spacing w:after="0" w:line="360" w:lineRule="auto"/>
        <w:ind w:firstLine="709"/>
        <w:jc w:val="both"/>
        <w:rPr>
          <w:rFonts w:ascii="Times New Roman" w:hAnsi="Times New Roman" w:cs="Times New Roman"/>
          <w:color w:val="000000"/>
          <w:sz w:val="28"/>
          <w:szCs w:val="28"/>
        </w:rPr>
      </w:pPr>
      <w:r>
        <w:rPr>
          <w:noProof/>
          <w:lang w:val="ru-RU" w:eastAsia="ru-RU"/>
        </w:rPr>
        <w:pict>
          <v:shape id="_x0000_s1028" type="#_x0000_t75" style="position:absolute;left:0;text-align:left;margin-left:16.75pt;margin-top:92.9pt;width:417.6pt;height:173.75pt;z-index:251652608;visibility:visible;mso-wrap-distance-bottom:.12pt">
            <v:imagedata r:id="rId19" o:title=""/>
            <w10:wrap type="topAndBottom"/>
          </v:shape>
          <o:OLEObject Type="Embed" ProgID="Excel.Chart.8" ShapeID="_x0000_s1028" DrawAspect="Content" ObjectID="_1811317236" r:id="rId20"/>
        </w:pict>
      </w:r>
      <w:r w:rsidRPr="007231CE">
        <w:rPr>
          <w:rFonts w:ascii="Times New Roman" w:hAnsi="Times New Roman" w:cs="Times New Roman"/>
          <w:color w:val="000000"/>
          <w:sz w:val="28"/>
          <w:szCs w:val="28"/>
        </w:rPr>
        <w:t>Втім, поряд із високими показниками дохідності, важливо враховувати і рівень ризику, що супроводжує інвестиції в технологічний сектор. Це особливо помітно при розгляді індексу волатильності CBOE NASDAQ 100 Volatility (VXN), який відображає очікувану ринкову нестабільність</w:t>
      </w:r>
      <w:r w:rsidRPr="00CD7282">
        <w:rPr>
          <w:rFonts w:ascii="Times New Roman" w:hAnsi="Times New Roman" w:cs="Times New Roman"/>
          <w:color w:val="000000"/>
          <w:sz w:val="28"/>
          <w:szCs w:val="28"/>
        </w:rPr>
        <w:t xml:space="preserve"> (див. рис. </w:t>
      </w:r>
      <w:r w:rsidRPr="0045426C">
        <w:rPr>
          <w:rFonts w:ascii="Times New Roman" w:hAnsi="Times New Roman" w:cs="Times New Roman"/>
          <w:color w:val="000000"/>
          <w:sz w:val="28"/>
          <w:szCs w:val="28"/>
        </w:rPr>
        <w:t>2.3)</w:t>
      </w:r>
      <w:r w:rsidRPr="007231CE">
        <w:rPr>
          <w:rFonts w:ascii="Times New Roman" w:hAnsi="Times New Roman" w:cs="Times New Roman"/>
          <w:color w:val="000000"/>
          <w:sz w:val="28"/>
          <w:szCs w:val="28"/>
        </w:rPr>
        <w:t>.</w:t>
      </w:r>
    </w:p>
    <w:p w:rsidR="00F30E41" w:rsidRDefault="00F30E41" w:rsidP="005D7897">
      <w:pPr>
        <w:tabs>
          <w:tab w:val="left" w:pos="6946"/>
        </w:tabs>
        <w:spacing w:after="0" w:line="360" w:lineRule="auto"/>
        <w:ind w:firstLine="709"/>
        <w:rPr>
          <w:rFonts w:ascii="Times New Roman" w:hAnsi="Times New Roman" w:cs="Times New Roman"/>
          <w:noProof/>
          <w:color w:val="000000"/>
          <w:sz w:val="28"/>
          <w:szCs w:val="28"/>
          <w:lang w:val="ru-RU"/>
        </w:rPr>
      </w:pPr>
      <w:r w:rsidRPr="00257227">
        <w:rPr>
          <w:rFonts w:ascii="Times New Roman" w:hAnsi="Times New Roman" w:cs="Times New Roman"/>
          <w:color w:val="000000"/>
          <w:sz w:val="28"/>
          <w:szCs w:val="28"/>
        </w:rPr>
        <w:t>Рис 2.</w:t>
      </w:r>
      <w:r>
        <w:rPr>
          <w:rFonts w:ascii="Times New Roman" w:hAnsi="Times New Roman" w:cs="Times New Roman"/>
          <w:color w:val="000000"/>
          <w:sz w:val="28"/>
          <w:szCs w:val="28"/>
          <w:lang w:val="ru-RU"/>
        </w:rPr>
        <w:t xml:space="preserve">3 </w:t>
      </w:r>
      <w:r w:rsidRPr="00CE5182">
        <w:rPr>
          <w:rFonts w:ascii="Times New Roman" w:hAnsi="Times New Roman" w:cs="Times New Roman"/>
          <w:color w:val="000000"/>
          <w:sz w:val="28"/>
          <w:szCs w:val="28"/>
        </w:rPr>
        <w:t>Динаміка індексу волатильності CBOE NASDAQ 100 (VXN) за 2013</w:t>
      </w:r>
      <w:r>
        <w:rPr>
          <w:rFonts w:ascii="Times New Roman" w:hAnsi="Times New Roman" w:cs="Times New Roman"/>
          <w:color w:val="000000"/>
          <w:sz w:val="28"/>
          <w:szCs w:val="28"/>
          <w:lang w:val="ru-RU"/>
        </w:rPr>
        <w:t>-</w:t>
      </w:r>
      <w:r w:rsidRPr="00CE5182">
        <w:rPr>
          <w:rFonts w:ascii="Times New Roman" w:hAnsi="Times New Roman" w:cs="Times New Roman"/>
          <w:color w:val="000000"/>
          <w:sz w:val="28"/>
          <w:szCs w:val="28"/>
        </w:rPr>
        <w:t>2024 роки</w:t>
      </w:r>
      <w:r>
        <w:rPr>
          <w:rFonts w:ascii="Times New Roman" w:hAnsi="Times New Roman" w:cs="Times New Roman"/>
          <w:color w:val="000000"/>
          <w:sz w:val="28"/>
          <w:szCs w:val="28"/>
          <w:lang w:val="ru-RU"/>
        </w:rPr>
        <w:t>.</w:t>
      </w:r>
    </w:p>
    <w:p w:rsidR="00F30E41" w:rsidRDefault="00F30E41" w:rsidP="00BF30B7">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32</w:t>
      </w:r>
      <w:r w:rsidRPr="008E3BC5">
        <w:rPr>
          <w:rFonts w:ascii="Times New Roman" w:hAnsi="Times New Roman" w:cs="Times New Roman"/>
          <w:color w:val="000000"/>
          <w:sz w:val="28"/>
          <w:szCs w:val="28"/>
        </w:rPr>
        <w:t>].</w:t>
      </w:r>
    </w:p>
    <w:p w:rsidR="00F30E41" w:rsidRPr="001A1A01" w:rsidRDefault="00F30E41" w:rsidP="000012A2">
      <w:pPr>
        <w:tabs>
          <w:tab w:val="left" w:pos="6946"/>
        </w:tabs>
        <w:spacing w:after="0" w:line="360" w:lineRule="auto"/>
        <w:ind w:firstLine="709"/>
        <w:jc w:val="both"/>
        <w:rPr>
          <w:rFonts w:ascii="Times New Roman" w:hAnsi="Times New Roman" w:cs="Times New Roman"/>
          <w:color w:val="000000"/>
          <w:sz w:val="28"/>
          <w:szCs w:val="28"/>
        </w:rPr>
      </w:pPr>
      <w:r w:rsidRPr="00F54AB6">
        <w:rPr>
          <w:rFonts w:ascii="Times New Roman" w:hAnsi="Times New Roman" w:cs="Times New Roman"/>
          <w:color w:val="000000"/>
          <w:sz w:val="28"/>
          <w:szCs w:val="28"/>
        </w:rPr>
        <w:t xml:space="preserve">Згідно з </w:t>
      </w:r>
      <w:r>
        <w:rPr>
          <w:rFonts w:ascii="Times New Roman" w:hAnsi="Times New Roman" w:cs="Times New Roman"/>
          <w:color w:val="000000"/>
          <w:sz w:val="28"/>
          <w:szCs w:val="28"/>
          <w:lang w:val="ru-RU"/>
        </w:rPr>
        <w:t>рис. 2.3</w:t>
      </w:r>
      <w:r w:rsidRPr="00F54AB6">
        <w:rPr>
          <w:rFonts w:ascii="Times New Roman" w:hAnsi="Times New Roman" w:cs="Times New Roman"/>
          <w:color w:val="000000"/>
          <w:sz w:val="28"/>
          <w:szCs w:val="28"/>
        </w:rPr>
        <w:t>, упродовж 2013</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2024 </w:t>
      </w:r>
      <w:r w:rsidRPr="00F54AB6">
        <w:rPr>
          <w:rFonts w:ascii="Times New Roman" w:hAnsi="Times New Roman" w:cs="Times New Roman"/>
          <w:color w:val="000000"/>
          <w:sz w:val="28"/>
          <w:szCs w:val="28"/>
        </w:rPr>
        <w:t>років індекс волатильності демонструє коливання</w:t>
      </w:r>
      <w:r>
        <w:rPr>
          <w:rFonts w:ascii="Times New Roman" w:hAnsi="Times New Roman" w:cs="Times New Roman"/>
          <w:color w:val="000000"/>
          <w:sz w:val="28"/>
          <w:szCs w:val="28"/>
        </w:rPr>
        <w:t xml:space="preserve">. </w:t>
      </w:r>
      <w:r w:rsidRPr="001B672B">
        <w:rPr>
          <w:rFonts w:ascii="Times New Roman" w:hAnsi="Times New Roman" w:cs="Times New Roman"/>
          <w:color w:val="000000"/>
          <w:sz w:val="28"/>
          <w:szCs w:val="28"/>
        </w:rPr>
        <w:t xml:space="preserve">Значне підвищення </w:t>
      </w:r>
      <w:r w:rsidRPr="00F54AB6">
        <w:rPr>
          <w:rFonts w:ascii="Times New Roman" w:hAnsi="Times New Roman" w:cs="Times New Roman"/>
          <w:color w:val="000000"/>
          <w:sz w:val="28"/>
          <w:szCs w:val="28"/>
          <w:lang w:val="de-AT"/>
        </w:rPr>
        <w:t>VXN</w:t>
      </w:r>
      <w:r w:rsidRPr="001B672B">
        <w:rPr>
          <w:rFonts w:ascii="Times New Roman" w:hAnsi="Times New Roman" w:cs="Times New Roman"/>
          <w:color w:val="000000"/>
          <w:sz w:val="28"/>
          <w:szCs w:val="28"/>
        </w:rPr>
        <w:t xml:space="preserve"> свідчить про посилення невизначеності на ринку, а також про емоційні очікування інвесторів щодо майбутніх коливань цін на акції технологічних компаній.</w:t>
      </w:r>
    </w:p>
    <w:p w:rsidR="00F30E41" w:rsidRPr="005377B3" w:rsidRDefault="00F30E41" w:rsidP="00A815E1">
      <w:pPr>
        <w:tabs>
          <w:tab w:val="left" w:pos="6946"/>
        </w:tabs>
        <w:spacing w:after="0" w:line="360" w:lineRule="auto"/>
        <w:ind w:firstLine="709"/>
        <w:jc w:val="both"/>
        <w:rPr>
          <w:rFonts w:ascii="Times New Roman" w:hAnsi="Times New Roman" w:cs="Times New Roman"/>
          <w:color w:val="000000"/>
          <w:sz w:val="28"/>
          <w:szCs w:val="28"/>
          <w:lang w:val="ru-RU"/>
        </w:rPr>
      </w:pPr>
      <w:r w:rsidRPr="005377B3">
        <w:rPr>
          <w:rFonts w:ascii="Times New Roman" w:hAnsi="Times New Roman" w:cs="Times New Roman"/>
          <w:color w:val="000000"/>
          <w:sz w:val="28"/>
          <w:szCs w:val="28"/>
          <w:lang w:val="ru-RU"/>
        </w:rPr>
        <w:t>Отже, технологічний сектор залишається одним із найдинамічніших у світовій економіці. Попри високу дохідність, сектор характеризується значною волатильністю, тому потребує обережного підходу, диверсифікації та глибокого аналізу ринкових трендів.</w:t>
      </w:r>
    </w:p>
    <w:p w:rsidR="00F30E41" w:rsidRPr="00FE6E84" w:rsidRDefault="00F30E41" w:rsidP="005377B3">
      <w:pPr>
        <w:tabs>
          <w:tab w:val="left" w:pos="6946"/>
        </w:tabs>
        <w:spacing w:after="0" w:line="360" w:lineRule="auto"/>
        <w:ind w:firstLine="709"/>
        <w:jc w:val="both"/>
        <w:rPr>
          <w:rFonts w:ascii="Times New Roman" w:hAnsi="Times New Roman" w:cs="Times New Roman"/>
          <w:color w:val="000000"/>
          <w:sz w:val="28"/>
          <w:szCs w:val="28"/>
        </w:rPr>
      </w:pPr>
      <w:r w:rsidRPr="005377B3">
        <w:rPr>
          <w:rFonts w:ascii="Times New Roman" w:hAnsi="Times New Roman" w:cs="Times New Roman"/>
          <w:color w:val="000000"/>
          <w:sz w:val="28"/>
          <w:szCs w:val="28"/>
          <w:lang w:val="ru-RU"/>
        </w:rPr>
        <w:t xml:space="preserve">Наступним об'єктом аналізу став сектор охорони здоров’я </w:t>
      </w:r>
      <w:r>
        <w:rPr>
          <w:rFonts w:ascii="Times New Roman" w:hAnsi="Times New Roman" w:cs="Times New Roman"/>
          <w:color w:val="000000"/>
          <w:sz w:val="28"/>
          <w:szCs w:val="28"/>
          <w:lang w:val="ru-RU"/>
        </w:rPr>
        <w:t xml:space="preserve">- </w:t>
      </w:r>
      <w:r w:rsidRPr="005377B3">
        <w:rPr>
          <w:rFonts w:ascii="Times New Roman" w:hAnsi="Times New Roman" w:cs="Times New Roman"/>
          <w:color w:val="000000"/>
          <w:sz w:val="28"/>
          <w:szCs w:val="28"/>
          <w:lang w:val="ru-RU"/>
        </w:rPr>
        <w:t>один із найстабільніших і найшвидкозростаючих. Його привабливість зумовлена зростанням витрат з боку держав, бізнесу та населення. Першим показником, що розглядалися, є частка державних витрат на медицину (GGHE-D / CHE), яка свідчить про рівень фінансового захисту населення та активність державного регулювання.</w:t>
      </w:r>
      <w:r w:rsidRPr="00596352">
        <w:rPr>
          <w:rFonts w:ascii="Times New Roman" w:hAnsi="Times New Roman" w:cs="Times New Roman"/>
          <w:noProof/>
          <w:color w:val="000000"/>
          <w:sz w:val="28"/>
          <w:szCs w:val="28"/>
          <w:lang w:val="ru-RU" w:eastAsia="ru-RU"/>
        </w:rPr>
        <w:object w:dxaOrig="8881" w:dyaOrig="3792">
          <v:shape id="Diagramm 2" o:spid="_x0000_i1047" type="#_x0000_t75" style="width:444pt;height:189.75pt;visibility:visible" o:ole="">
            <v:imagedata r:id="rId21" o:title=""/>
            <o:lock v:ext="edit" aspectratio="f"/>
          </v:shape>
          <o:OLEObject Type="Embed" ProgID="Excel.Chart.8" ShapeID="Diagramm 2" DrawAspect="Content" ObjectID="_1811317229" r:id="rId22"/>
        </w:object>
      </w:r>
    </w:p>
    <w:p w:rsidR="00F30E41" w:rsidRPr="008E3BC5" w:rsidRDefault="00F30E41" w:rsidP="0039413D">
      <w:pPr>
        <w:tabs>
          <w:tab w:val="left" w:pos="6946"/>
        </w:tabs>
        <w:spacing w:after="0" w:line="360" w:lineRule="auto"/>
        <w:ind w:firstLine="709"/>
        <w:jc w:val="both"/>
        <w:rPr>
          <w:rFonts w:ascii="Times New Roman" w:hAnsi="Times New Roman" w:cs="Times New Roman"/>
          <w:color w:val="000000"/>
          <w:sz w:val="28"/>
          <w:szCs w:val="28"/>
        </w:rPr>
      </w:pPr>
      <w:r w:rsidRPr="00257227">
        <w:rPr>
          <w:rFonts w:ascii="Times New Roman" w:hAnsi="Times New Roman" w:cs="Times New Roman"/>
          <w:color w:val="000000"/>
          <w:sz w:val="28"/>
          <w:szCs w:val="28"/>
        </w:rPr>
        <w:t>Рис 2.</w:t>
      </w:r>
      <w:r>
        <w:rPr>
          <w:rFonts w:ascii="Times New Roman" w:hAnsi="Times New Roman" w:cs="Times New Roman"/>
          <w:color w:val="000000"/>
          <w:sz w:val="28"/>
          <w:szCs w:val="28"/>
          <w:lang w:val="ru-RU"/>
        </w:rPr>
        <w:t xml:space="preserve">4 </w:t>
      </w:r>
      <w:r w:rsidRPr="007E1273">
        <w:rPr>
          <w:rFonts w:ascii="Times New Roman" w:hAnsi="Times New Roman" w:cs="Times New Roman"/>
          <w:color w:val="000000"/>
          <w:sz w:val="28"/>
          <w:szCs w:val="28"/>
        </w:rPr>
        <w:t>Державні витрати на охорону здоров’я як відсоток від загальних поточних витрат на охорону здоров’я (GGHE-D / CHE)</w:t>
      </w:r>
      <w:r>
        <w:rPr>
          <w:rFonts w:ascii="Times New Roman" w:hAnsi="Times New Roman" w:cs="Times New Roman"/>
          <w:color w:val="000000"/>
          <w:sz w:val="28"/>
          <w:szCs w:val="28"/>
        </w:rPr>
        <w:t xml:space="preserve"> 2013-2022 роки.</w:t>
      </w:r>
    </w:p>
    <w:p w:rsidR="00F30E41" w:rsidRPr="00F54AB6" w:rsidRDefault="00F30E41" w:rsidP="001326AF">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33</w:t>
      </w:r>
      <w:r w:rsidRPr="008E3BC5">
        <w:rPr>
          <w:rFonts w:ascii="Times New Roman" w:hAnsi="Times New Roman" w:cs="Times New Roman"/>
          <w:color w:val="000000"/>
          <w:sz w:val="28"/>
          <w:szCs w:val="28"/>
        </w:rPr>
        <w:t>].</w:t>
      </w:r>
    </w:p>
    <w:p w:rsidR="00F30E41" w:rsidRPr="003D7EC5" w:rsidRDefault="00F30E41" w:rsidP="003D7EC5">
      <w:pPr>
        <w:tabs>
          <w:tab w:val="left" w:pos="6946"/>
        </w:tabs>
        <w:spacing w:after="0" w:line="360" w:lineRule="auto"/>
        <w:ind w:firstLine="709"/>
        <w:jc w:val="both"/>
        <w:rPr>
          <w:rFonts w:ascii="Times New Roman" w:hAnsi="Times New Roman" w:cs="Times New Roman"/>
          <w:color w:val="000000"/>
          <w:sz w:val="28"/>
          <w:szCs w:val="28"/>
          <w:lang w:val="ru-RU"/>
        </w:rPr>
      </w:pPr>
      <w:r w:rsidRPr="003D7EC5">
        <w:rPr>
          <w:rFonts w:ascii="Times New Roman" w:hAnsi="Times New Roman" w:cs="Times New Roman"/>
          <w:color w:val="000000"/>
          <w:sz w:val="28"/>
          <w:szCs w:val="28"/>
          <w:lang w:val="ru-RU"/>
        </w:rPr>
        <w:t>У 2013</w:t>
      </w:r>
      <w:r>
        <w:rPr>
          <w:rFonts w:ascii="Times New Roman" w:hAnsi="Times New Roman" w:cs="Times New Roman"/>
          <w:color w:val="000000"/>
          <w:sz w:val="28"/>
          <w:szCs w:val="28"/>
          <w:lang w:val="ru-RU"/>
        </w:rPr>
        <w:t>-</w:t>
      </w:r>
      <w:r w:rsidRPr="003D7EC5">
        <w:rPr>
          <w:rFonts w:ascii="Times New Roman" w:hAnsi="Times New Roman" w:cs="Times New Roman"/>
          <w:color w:val="000000"/>
          <w:sz w:val="28"/>
          <w:szCs w:val="28"/>
          <w:lang w:val="ru-RU"/>
        </w:rPr>
        <w:t>2022 роках частка державних витрат у загальних витратах на охорону здоров’я стабільно трималась на рівні 60</w:t>
      </w:r>
      <w:r>
        <w:rPr>
          <w:rFonts w:ascii="Times New Roman" w:hAnsi="Times New Roman" w:cs="Times New Roman"/>
          <w:color w:val="000000"/>
          <w:sz w:val="28"/>
          <w:szCs w:val="28"/>
          <w:lang w:val="ru-RU"/>
        </w:rPr>
        <w:t>-</w:t>
      </w:r>
      <w:r w:rsidRPr="003D7EC5">
        <w:rPr>
          <w:rFonts w:ascii="Times New Roman" w:hAnsi="Times New Roman" w:cs="Times New Roman"/>
          <w:color w:val="000000"/>
          <w:sz w:val="28"/>
          <w:szCs w:val="28"/>
          <w:lang w:val="ru-RU"/>
        </w:rPr>
        <w:t xml:space="preserve">85%, що свідчить про послідовну державну політику підтримки медичної сфери. У 2020 році, під час пандемії </w:t>
      </w:r>
      <w:r w:rsidRPr="003D7EC5">
        <w:rPr>
          <w:rFonts w:ascii="Times New Roman" w:hAnsi="Times New Roman" w:cs="Times New Roman"/>
          <w:color w:val="000000"/>
          <w:sz w:val="28"/>
          <w:szCs w:val="28"/>
          <w:lang w:val="de-AT"/>
        </w:rPr>
        <w:t>COVID</w:t>
      </w:r>
      <w:r w:rsidRPr="003D7EC5">
        <w:rPr>
          <w:rFonts w:ascii="Times New Roman" w:hAnsi="Times New Roman" w:cs="Times New Roman"/>
          <w:color w:val="000000"/>
          <w:sz w:val="28"/>
          <w:szCs w:val="28"/>
          <w:lang w:val="ru-RU"/>
        </w:rPr>
        <w:t>-19, роль державного фінансування помітно зросла в усіх країнах, підтверджуючи її ключову роль у забезпеченні стабільності системи охорони здоров’я під час криз.</w:t>
      </w:r>
    </w:p>
    <w:p w:rsidR="00F30E41" w:rsidRPr="003D7EC5" w:rsidRDefault="00F30E41" w:rsidP="003D7EC5">
      <w:pPr>
        <w:tabs>
          <w:tab w:val="left" w:pos="6946"/>
        </w:tabs>
        <w:spacing w:after="0" w:line="360" w:lineRule="auto"/>
        <w:ind w:firstLine="709"/>
        <w:jc w:val="both"/>
        <w:rPr>
          <w:rFonts w:ascii="Times New Roman" w:hAnsi="Times New Roman" w:cs="Times New Roman"/>
          <w:color w:val="000000"/>
          <w:sz w:val="28"/>
          <w:szCs w:val="28"/>
          <w:lang w:val="ru-RU"/>
        </w:rPr>
      </w:pPr>
      <w:r w:rsidRPr="003D7EC5">
        <w:rPr>
          <w:rFonts w:ascii="Times New Roman" w:hAnsi="Times New Roman" w:cs="Times New Roman"/>
          <w:color w:val="000000"/>
          <w:sz w:val="28"/>
          <w:szCs w:val="28"/>
          <w:lang w:val="ru-RU"/>
        </w:rPr>
        <w:t xml:space="preserve">Висока частка </w:t>
      </w:r>
      <w:r w:rsidRPr="003D7EC5">
        <w:rPr>
          <w:rFonts w:ascii="Times New Roman" w:hAnsi="Times New Roman" w:cs="Times New Roman"/>
          <w:color w:val="000000"/>
          <w:sz w:val="28"/>
          <w:szCs w:val="28"/>
          <w:lang w:val="de-AT"/>
        </w:rPr>
        <w:t>GGHE</w:t>
      </w:r>
      <w:r w:rsidRPr="003D7EC5">
        <w:rPr>
          <w:rFonts w:ascii="Times New Roman" w:hAnsi="Times New Roman" w:cs="Times New Roman"/>
          <w:color w:val="000000"/>
          <w:sz w:val="28"/>
          <w:szCs w:val="28"/>
          <w:lang w:val="ru-RU"/>
        </w:rPr>
        <w:t>-</w:t>
      </w:r>
      <w:r w:rsidRPr="003D7EC5">
        <w:rPr>
          <w:rFonts w:ascii="Times New Roman" w:hAnsi="Times New Roman" w:cs="Times New Roman"/>
          <w:color w:val="000000"/>
          <w:sz w:val="28"/>
          <w:szCs w:val="28"/>
          <w:lang w:val="de-AT"/>
        </w:rPr>
        <w:t>D</w:t>
      </w:r>
      <w:r w:rsidRPr="003D7EC5">
        <w:rPr>
          <w:rFonts w:ascii="Times New Roman" w:hAnsi="Times New Roman" w:cs="Times New Roman"/>
          <w:color w:val="000000"/>
          <w:sz w:val="28"/>
          <w:szCs w:val="28"/>
          <w:lang w:val="ru-RU"/>
        </w:rPr>
        <w:t xml:space="preserve"> / </w:t>
      </w:r>
      <w:r w:rsidRPr="003D7EC5">
        <w:rPr>
          <w:rFonts w:ascii="Times New Roman" w:hAnsi="Times New Roman" w:cs="Times New Roman"/>
          <w:color w:val="000000"/>
          <w:sz w:val="28"/>
          <w:szCs w:val="28"/>
          <w:lang w:val="de-AT"/>
        </w:rPr>
        <w:t>CHE</w:t>
      </w:r>
      <w:r w:rsidRPr="003D7EC5">
        <w:rPr>
          <w:rFonts w:ascii="Times New Roman" w:hAnsi="Times New Roman" w:cs="Times New Roman"/>
          <w:color w:val="000000"/>
          <w:sz w:val="28"/>
          <w:szCs w:val="28"/>
          <w:lang w:val="ru-RU"/>
        </w:rPr>
        <w:t xml:space="preserve"> знижує комерційні ризики, гарантує попит і стабільність фінансування таких підсекторів, як фармацевтика, медобладнання, лікарні та страхування.</w:t>
      </w:r>
    </w:p>
    <w:p w:rsidR="00F30E41" w:rsidRPr="003D7EC5" w:rsidRDefault="00F30E41" w:rsidP="003D7EC5">
      <w:pPr>
        <w:tabs>
          <w:tab w:val="left" w:pos="6946"/>
        </w:tabs>
        <w:spacing w:after="0" w:line="360" w:lineRule="auto"/>
        <w:ind w:firstLine="709"/>
        <w:jc w:val="both"/>
        <w:rPr>
          <w:rFonts w:ascii="Times New Roman" w:hAnsi="Times New Roman" w:cs="Times New Roman"/>
          <w:color w:val="000000"/>
          <w:sz w:val="28"/>
          <w:szCs w:val="28"/>
          <w:lang w:val="ru-RU"/>
        </w:rPr>
      </w:pPr>
      <w:r>
        <w:rPr>
          <w:noProof/>
          <w:lang w:val="ru-RU" w:eastAsia="ru-RU"/>
        </w:rPr>
        <w:pict>
          <v:shape id="_x0000_s1029" type="#_x0000_t75" style="position:absolute;left:0;text-align:left;margin-left:22.15pt;margin-top:99.05pt;width:428.15pt;height:184.8pt;z-index:251653632;visibility:visible">
            <v:imagedata r:id="rId23" o:title=""/>
            <w10:wrap type="topAndBottom"/>
          </v:shape>
          <o:OLEObject Type="Embed" ProgID="Excel.Chart.8" ShapeID="_x0000_s1029" DrawAspect="Content" ObjectID="_1811317237" r:id="rId24"/>
        </w:pict>
      </w:r>
      <w:r>
        <w:rPr>
          <w:rFonts w:ascii="Times New Roman" w:hAnsi="Times New Roman" w:cs="Times New Roman"/>
          <w:color w:val="000000"/>
          <w:sz w:val="28"/>
          <w:szCs w:val="28"/>
          <w:lang w:val="ru-RU"/>
        </w:rPr>
        <w:t>Далі було проаналізовано</w:t>
      </w:r>
      <w:r w:rsidRPr="003D7EC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показник </w:t>
      </w:r>
      <w:r w:rsidRPr="003D7EC5">
        <w:rPr>
          <w:rFonts w:ascii="Times New Roman" w:hAnsi="Times New Roman" w:cs="Times New Roman"/>
          <w:color w:val="000000"/>
          <w:sz w:val="28"/>
          <w:szCs w:val="28"/>
          <w:lang w:val="ru-RU"/>
        </w:rPr>
        <w:t>особист</w:t>
      </w:r>
      <w:r>
        <w:rPr>
          <w:rFonts w:ascii="Times New Roman" w:hAnsi="Times New Roman" w:cs="Times New Roman"/>
          <w:color w:val="000000"/>
          <w:sz w:val="28"/>
          <w:szCs w:val="28"/>
          <w:lang w:val="ru-RU"/>
        </w:rPr>
        <w:t>их</w:t>
      </w:r>
      <w:r w:rsidRPr="003D7EC5">
        <w:rPr>
          <w:rFonts w:ascii="Times New Roman" w:hAnsi="Times New Roman" w:cs="Times New Roman"/>
          <w:color w:val="000000"/>
          <w:sz w:val="28"/>
          <w:szCs w:val="28"/>
          <w:lang w:val="ru-RU"/>
        </w:rPr>
        <w:t xml:space="preserve"> витрат населення на охорону здоров’я. Він відображає фінансове навантаження на домогосподарства, доступність медичних послуг і рівень соціального захисту в системі охорони здоров’я.</w:t>
      </w:r>
    </w:p>
    <w:p w:rsidR="00F30E41" w:rsidRPr="008E3BC5" w:rsidRDefault="00F30E41" w:rsidP="003D7EC5">
      <w:pPr>
        <w:tabs>
          <w:tab w:val="left" w:pos="6946"/>
        </w:tabs>
        <w:spacing w:after="0" w:line="360" w:lineRule="auto"/>
        <w:ind w:firstLine="709"/>
        <w:jc w:val="both"/>
        <w:rPr>
          <w:rFonts w:ascii="Times New Roman" w:hAnsi="Times New Roman" w:cs="Times New Roman"/>
          <w:color w:val="000000"/>
          <w:sz w:val="28"/>
          <w:szCs w:val="28"/>
        </w:rPr>
      </w:pPr>
      <w:r w:rsidRPr="00257227">
        <w:rPr>
          <w:rFonts w:ascii="Times New Roman" w:hAnsi="Times New Roman" w:cs="Times New Roman"/>
          <w:color w:val="000000"/>
          <w:sz w:val="28"/>
          <w:szCs w:val="28"/>
        </w:rPr>
        <w:t>Рис 2.</w:t>
      </w:r>
      <w:r>
        <w:rPr>
          <w:rFonts w:ascii="Times New Roman" w:hAnsi="Times New Roman" w:cs="Times New Roman"/>
          <w:color w:val="000000"/>
          <w:sz w:val="28"/>
          <w:szCs w:val="28"/>
          <w:lang w:val="ru-RU"/>
        </w:rPr>
        <w:t>5 О</w:t>
      </w:r>
      <w:r w:rsidRPr="00385808">
        <w:rPr>
          <w:rFonts w:ascii="Times New Roman" w:hAnsi="Times New Roman" w:cs="Times New Roman"/>
          <w:color w:val="000000"/>
          <w:sz w:val="28"/>
          <w:szCs w:val="28"/>
          <w:lang w:val="ru-RU"/>
        </w:rPr>
        <w:t>собист</w:t>
      </w:r>
      <w:r>
        <w:rPr>
          <w:rFonts w:ascii="Times New Roman" w:hAnsi="Times New Roman" w:cs="Times New Roman"/>
          <w:color w:val="000000"/>
          <w:sz w:val="28"/>
          <w:szCs w:val="28"/>
        </w:rPr>
        <w:t>і</w:t>
      </w:r>
      <w:r w:rsidRPr="00385808">
        <w:rPr>
          <w:rFonts w:ascii="Times New Roman" w:hAnsi="Times New Roman" w:cs="Times New Roman"/>
          <w:color w:val="000000"/>
          <w:sz w:val="28"/>
          <w:szCs w:val="28"/>
          <w:lang w:val="ru-RU"/>
        </w:rPr>
        <w:t xml:space="preserve"> витрат</w:t>
      </w:r>
      <w:r>
        <w:rPr>
          <w:rFonts w:ascii="Times New Roman" w:hAnsi="Times New Roman" w:cs="Times New Roman"/>
          <w:color w:val="000000"/>
          <w:sz w:val="28"/>
          <w:szCs w:val="28"/>
          <w:lang w:val="ru-RU"/>
        </w:rPr>
        <w:t>и</w:t>
      </w:r>
      <w:r w:rsidRPr="00385808">
        <w:rPr>
          <w:rFonts w:ascii="Times New Roman" w:hAnsi="Times New Roman" w:cs="Times New Roman"/>
          <w:color w:val="000000"/>
          <w:sz w:val="28"/>
          <w:szCs w:val="28"/>
          <w:lang w:val="ru-RU"/>
        </w:rPr>
        <w:t xml:space="preserve"> населення на охорону здоров’я на душу населення</w:t>
      </w:r>
      <w:r>
        <w:rPr>
          <w:rFonts w:ascii="Times New Roman" w:hAnsi="Times New Roman" w:cs="Times New Roman"/>
          <w:color w:val="000000"/>
          <w:sz w:val="28"/>
          <w:szCs w:val="28"/>
          <w:lang w:val="ru-RU"/>
        </w:rPr>
        <w:t xml:space="preserve"> у дол. США.</w:t>
      </w:r>
    </w:p>
    <w:p w:rsidR="00F30E41" w:rsidRDefault="00F30E41" w:rsidP="003D7EC5">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33</w:t>
      </w:r>
      <w:r w:rsidRPr="008E3BC5">
        <w:rPr>
          <w:rFonts w:ascii="Times New Roman" w:hAnsi="Times New Roman" w:cs="Times New Roman"/>
          <w:color w:val="000000"/>
          <w:sz w:val="28"/>
          <w:szCs w:val="28"/>
        </w:rPr>
        <w:t>].</w:t>
      </w:r>
    </w:p>
    <w:p w:rsidR="00F30E41" w:rsidRDefault="00F30E41" w:rsidP="00C72528">
      <w:pPr>
        <w:tabs>
          <w:tab w:val="left" w:pos="6946"/>
        </w:tabs>
        <w:spacing w:after="0" w:line="360" w:lineRule="auto"/>
        <w:ind w:firstLine="709"/>
        <w:jc w:val="both"/>
        <w:rPr>
          <w:rFonts w:ascii="Times New Roman" w:hAnsi="Times New Roman" w:cs="Times New Roman"/>
          <w:color w:val="000000"/>
          <w:sz w:val="28"/>
          <w:szCs w:val="28"/>
          <w:lang w:val="ru-RU"/>
        </w:rPr>
      </w:pPr>
      <w:r w:rsidRPr="00070D2B">
        <w:rPr>
          <w:rFonts w:ascii="Times New Roman" w:hAnsi="Times New Roman" w:cs="Times New Roman"/>
          <w:color w:val="000000"/>
          <w:sz w:val="28"/>
          <w:szCs w:val="28"/>
          <w:lang w:val="ru-RU"/>
        </w:rPr>
        <w:t xml:space="preserve">Як видно з </w:t>
      </w:r>
      <w:r w:rsidRPr="005316C3">
        <w:rPr>
          <w:rFonts w:ascii="Times New Roman" w:hAnsi="Times New Roman" w:cs="Times New Roman"/>
          <w:color w:val="000000"/>
          <w:sz w:val="28"/>
          <w:szCs w:val="28"/>
          <w:lang w:val="ru-RU"/>
        </w:rPr>
        <w:t>рис. 2.5</w:t>
      </w:r>
      <w:r w:rsidRPr="00070D2B">
        <w:rPr>
          <w:rFonts w:ascii="Times New Roman" w:hAnsi="Times New Roman" w:cs="Times New Roman"/>
          <w:color w:val="000000"/>
          <w:sz w:val="28"/>
          <w:szCs w:val="28"/>
          <w:lang w:val="ru-RU"/>
        </w:rPr>
        <w:t>, у період 2013</w:t>
      </w:r>
      <w:r>
        <w:rPr>
          <w:rFonts w:ascii="Times New Roman" w:hAnsi="Times New Roman" w:cs="Times New Roman"/>
          <w:color w:val="000000"/>
          <w:sz w:val="28"/>
          <w:szCs w:val="28"/>
        </w:rPr>
        <w:t>-</w:t>
      </w:r>
      <w:r w:rsidRPr="00070D2B">
        <w:rPr>
          <w:rFonts w:ascii="Times New Roman" w:hAnsi="Times New Roman" w:cs="Times New Roman"/>
          <w:color w:val="000000"/>
          <w:sz w:val="28"/>
          <w:szCs w:val="28"/>
          <w:lang w:val="ru-RU"/>
        </w:rPr>
        <w:t xml:space="preserve">2022 років у більшості країн спостерігалося стабільне зростання </w:t>
      </w:r>
      <w:r>
        <w:rPr>
          <w:rFonts w:ascii="Times New Roman" w:hAnsi="Times New Roman" w:cs="Times New Roman"/>
          <w:color w:val="000000"/>
          <w:sz w:val="28"/>
          <w:szCs w:val="28"/>
        </w:rPr>
        <w:t>показника</w:t>
      </w:r>
      <w:r w:rsidRPr="00070D2B">
        <w:rPr>
          <w:rFonts w:ascii="Times New Roman" w:hAnsi="Times New Roman" w:cs="Times New Roman"/>
          <w:color w:val="000000"/>
          <w:sz w:val="28"/>
          <w:szCs w:val="28"/>
          <w:lang w:val="ru-RU"/>
        </w:rPr>
        <w:t>, що свідчить про розширення ринку приватної медицини та готовність громадян витрачати кошти на підтримку здоров’я.</w:t>
      </w:r>
      <w:r>
        <w:rPr>
          <w:rFonts w:ascii="Times New Roman" w:hAnsi="Times New Roman" w:cs="Times New Roman"/>
          <w:color w:val="000000"/>
          <w:sz w:val="28"/>
          <w:szCs w:val="28"/>
          <w:lang w:val="ru-RU"/>
        </w:rPr>
        <w:t xml:space="preserve"> </w:t>
      </w:r>
      <w:r w:rsidRPr="00BD2220">
        <w:rPr>
          <w:rFonts w:ascii="Times New Roman" w:hAnsi="Times New Roman" w:cs="Times New Roman"/>
          <w:color w:val="000000"/>
          <w:sz w:val="28"/>
          <w:szCs w:val="28"/>
          <w:lang w:val="ru-RU"/>
        </w:rPr>
        <w:t>Найвищі особисті витрати на медицину спостерігаються у США (понад $1200 на людину) та Німеччині (приблизно $700), що свідчить про розвинений приватний ринок медичних послуг. У Японії високі витрати підтримуються попитом з боку старіючого населення. У країнах із нижчим доходом (Україна, Китай) показник зростає поступово, формуючи нові можливості для розвитку інноваційних і доступних медичних рішень.</w:t>
      </w:r>
    </w:p>
    <w:p w:rsidR="00F30E41" w:rsidRPr="009442A4" w:rsidRDefault="00F30E41" w:rsidP="009442A4">
      <w:pPr>
        <w:tabs>
          <w:tab w:val="left" w:pos="6946"/>
        </w:tabs>
        <w:spacing w:after="0" w:line="360" w:lineRule="auto"/>
        <w:ind w:firstLine="709"/>
        <w:jc w:val="both"/>
        <w:rPr>
          <w:rFonts w:ascii="Times New Roman" w:hAnsi="Times New Roman" w:cs="Times New Roman"/>
          <w:color w:val="000000"/>
          <w:sz w:val="28"/>
          <w:szCs w:val="28"/>
          <w:lang w:val="ru-RU"/>
        </w:rPr>
      </w:pPr>
      <w:r w:rsidRPr="00356F75">
        <w:rPr>
          <w:rFonts w:ascii="Times New Roman" w:hAnsi="Times New Roman" w:cs="Times New Roman"/>
          <w:color w:val="000000"/>
          <w:sz w:val="28"/>
          <w:szCs w:val="28"/>
        </w:rPr>
        <w:t xml:space="preserve">Особливо важливим чинником </w:t>
      </w:r>
      <w:r w:rsidRPr="00500FA2">
        <w:rPr>
          <w:rFonts w:ascii="Times New Roman" w:hAnsi="Times New Roman" w:cs="Times New Roman"/>
          <w:color w:val="000000"/>
          <w:sz w:val="28"/>
          <w:szCs w:val="28"/>
        </w:rPr>
        <w:t>зростання витрат на медичні послуги</w:t>
      </w:r>
      <w:r w:rsidRPr="00356F75">
        <w:rPr>
          <w:rFonts w:ascii="Times New Roman" w:hAnsi="Times New Roman" w:cs="Times New Roman"/>
          <w:color w:val="000000"/>
          <w:sz w:val="28"/>
          <w:szCs w:val="28"/>
        </w:rPr>
        <w:t xml:space="preserve"> виступає глобальне зростання частки населення віком 60+</w:t>
      </w:r>
      <w:r w:rsidRPr="00BD2220">
        <w:rPr>
          <w:rFonts w:ascii="Times New Roman" w:hAnsi="Times New Roman" w:cs="Times New Roman"/>
          <w:color w:val="000000"/>
          <w:sz w:val="28"/>
          <w:szCs w:val="28"/>
          <w:lang w:val="ru-RU"/>
        </w:rPr>
        <w:t>. Ця демографічна тенденція є одним із головних драйверів розвитку галузі</w:t>
      </w:r>
    </w:p>
    <w:p w:rsidR="00F30E41" w:rsidRPr="000259A7" w:rsidRDefault="00F30E41" w:rsidP="009442A4">
      <w:pPr>
        <w:tabs>
          <w:tab w:val="left" w:pos="6946"/>
        </w:tabs>
        <w:spacing w:after="0" w:line="360" w:lineRule="auto"/>
        <w:ind w:firstLine="709"/>
        <w:jc w:val="both"/>
        <w:rPr>
          <w:rFonts w:ascii="Times New Roman" w:hAnsi="Times New Roman" w:cs="Times New Roman"/>
          <w:color w:val="000000"/>
          <w:sz w:val="28"/>
          <w:szCs w:val="28"/>
          <w:lang w:val="ru-RU"/>
        </w:rPr>
      </w:pPr>
      <w:r>
        <w:rPr>
          <w:noProof/>
          <w:lang w:val="ru-RU" w:eastAsia="ru-RU"/>
        </w:rPr>
        <w:pict>
          <v:shape id="_x0000_s1030" type="#_x0000_t75" style="position:absolute;left:0;text-align:left;margin-left:26.35pt;margin-top:-.5pt;width:404.15pt;height:178.55pt;z-index:251655680;visibility:visible;mso-wrap-distance-bottom:.12pt">
            <v:imagedata r:id="rId25" o:title=""/>
            <w10:wrap type="topAndBottom"/>
          </v:shape>
          <o:OLEObject Type="Embed" ProgID="Excel.Chart.8" ShapeID="_x0000_s1030" DrawAspect="Content" ObjectID="_1811317238" r:id="rId26"/>
        </w:pict>
      </w:r>
      <w:r w:rsidRPr="00257227">
        <w:rPr>
          <w:rFonts w:ascii="Times New Roman" w:hAnsi="Times New Roman" w:cs="Times New Roman"/>
          <w:color w:val="000000"/>
          <w:sz w:val="28"/>
          <w:szCs w:val="28"/>
        </w:rPr>
        <w:t>Рис 2.</w:t>
      </w:r>
      <w:r>
        <w:rPr>
          <w:rFonts w:ascii="Times New Roman" w:hAnsi="Times New Roman" w:cs="Times New Roman"/>
          <w:color w:val="000000"/>
          <w:sz w:val="28"/>
          <w:szCs w:val="28"/>
          <w:lang w:val="ru-RU"/>
        </w:rPr>
        <w:t xml:space="preserve">6 </w:t>
      </w:r>
      <w:r w:rsidRPr="001D2FAA">
        <w:rPr>
          <w:rFonts w:ascii="Times New Roman" w:hAnsi="Times New Roman" w:cs="Times New Roman"/>
          <w:color w:val="000000"/>
          <w:sz w:val="28"/>
          <w:szCs w:val="28"/>
        </w:rPr>
        <w:t>Населення віком від 65 років і старше (% від загальної чисельності населення)</w:t>
      </w:r>
      <w:r>
        <w:rPr>
          <w:rFonts w:ascii="Times New Roman" w:hAnsi="Times New Roman" w:cs="Times New Roman"/>
          <w:color w:val="000000"/>
          <w:sz w:val="28"/>
          <w:szCs w:val="28"/>
          <w:lang w:val="ru-RU"/>
        </w:rPr>
        <w:t>.</w:t>
      </w:r>
    </w:p>
    <w:p w:rsidR="00F30E41" w:rsidRDefault="00F30E41" w:rsidP="00D138CE">
      <w:pPr>
        <w:tabs>
          <w:tab w:val="left" w:pos="6946"/>
        </w:tabs>
        <w:spacing w:after="0" w:line="360" w:lineRule="auto"/>
        <w:ind w:firstLine="709"/>
        <w:jc w:val="both"/>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34</w:t>
      </w:r>
      <w:r w:rsidRPr="008E3BC5">
        <w:rPr>
          <w:rFonts w:ascii="Times New Roman" w:hAnsi="Times New Roman" w:cs="Times New Roman"/>
          <w:color w:val="000000"/>
          <w:sz w:val="28"/>
          <w:szCs w:val="28"/>
        </w:rPr>
        <w:t>].</w:t>
      </w:r>
    </w:p>
    <w:p w:rsidR="00F30E41" w:rsidRPr="0016520F" w:rsidRDefault="00F30E41" w:rsidP="00D138CE">
      <w:pPr>
        <w:tabs>
          <w:tab w:val="left" w:pos="6946"/>
        </w:tabs>
        <w:spacing w:after="0" w:line="360" w:lineRule="auto"/>
        <w:ind w:firstLine="709"/>
        <w:jc w:val="both"/>
        <w:rPr>
          <w:b/>
          <w:bCs/>
        </w:rPr>
      </w:pPr>
      <w:r>
        <w:rPr>
          <w:noProof/>
          <w:lang w:val="ru-RU" w:eastAsia="ru-RU"/>
        </w:rPr>
        <w:pict>
          <v:shape id="_x0000_s1031" type="#_x0000_t75" style="position:absolute;left:0;text-align:left;margin-left:23.6pt;margin-top:140.25pt;width:397.45pt;height:162.25pt;z-index:251657728;visibility:visible;mso-wrap-distance-bottom:.24pt">
            <v:imagedata r:id="rId27" o:title=""/>
            <w10:wrap type="topAndBottom"/>
          </v:shape>
          <o:OLEObject Type="Embed" ProgID="Excel.Chart.8" ShapeID="_x0000_s1031" DrawAspect="Content" ObjectID="_1811317239" r:id="rId28"/>
        </w:pict>
      </w:r>
      <w:r w:rsidRPr="00BA61F3">
        <w:rPr>
          <w:rFonts w:ascii="Times New Roman" w:hAnsi="Times New Roman" w:cs="Times New Roman"/>
          <w:color w:val="000000"/>
          <w:sz w:val="28"/>
          <w:szCs w:val="28"/>
        </w:rPr>
        <w:t xml:space="preserve">На тлі демографічних змін особливого значення набуває фармацевтичний сектор. У країнах з високим і середнім рівнем доходів витрати на лікарські засоби та медичні товари становлять від </w:t>
      </w:r>
      <w:r w:rsidRPr="00424F80">
        <w:rPr>
          <w:rFonts w:ascii="Times New Roman" w:hAnsi="Times New Roman" w:cs="Times New Roman"/>
          <w:color w:val="000000"/>
          <w:sz w:val="28"/>
          <w:szCs w:val="28"/>
        </w:rPr>
        <w:t>20% до 60%</w:t>
      </w:r>
      <w:r w:rsidRPr="00BA61F3">
        <w:rPr>
          <w:rFonts w:ascii="Times New Roman" w:hAnsi="Times New Roman" w:cs="Times New Roman"/>
          <w:color w:val="000000"/>
          <w:sz w:val="28"/>
          <w:szCs w:val="28"/>
        </w:rPr>
        <w:t>загального бюджету охорони здоров’я  Фармацевтика є не лише одним із найстабільніших за доходністю підсекторів, а й основою системи довгострокової підтримки пацієнтів з хронічними станами.</w:t>
      </w:r>
      <w:r w:rsidRPr="002A4824">
        <w:rPr>
          <w:b/>
          <w:bCs/>
        </w:rPr>
        <w:t xml:space="preserve"> </w:t>
      </w:r>
    </w:p>
    <w:p w:rsidR="00F30E41" w:rsidRPr="00BF30B7" w:rsidRDefault="00F30E41" w:rsidP="00D12D45">
      <w:pPr>
        <w:tabs>
          <w:tab w:val="left" w:pos="6946"/>
        </w:tabs>
        <w:spacing w:after="0" w:line="360" w:lineRule="auto"/>
        <w:ind w:firstLine="709"/>
        <w:rPr>
          <w:b/>
          <w:bCs/>
          <w:lang w:val="ru-RU"/>
        </w:rPr>
      </w:pPr>
      <w:r>
        <w:rPr>
          <w:rFonts w:ascii="Times New Roman" w:hAnsi="Times New Roman" w:cs="Times New Roman"/>
          <w:color w:val="000000"/>
          <w:sz w:val="28"/>
          <w:szCs w:val="28"/>
          <w:lang w:val="ru-RU"/>
        </w:rPr>
        <w:t xml:space="preserve">Рис. </w:t>
      </w:r>
      <w:r w:rsidRPr="00257227">
        <w:rPr>
          <w:rFonts w:ascii="Times New Roman" w:hAnsi="Times New Roman" w:cs="Times New Roman"/>
          <w:color w:val="000000"/>
          <w:sz w:val="28"/>
          <w:szCs w:val="28"/>
        </w:rPr>
        <w:t>2.</w:t>
      </w:r>
      <w:r>
        <w:rPr>
          <w:rFonts w:ascii="Times New Roman" w:hAnsi="Times New Roman" w:cs="Times New Roman"/>
          <w:color w:val="000000"/>
          <w:sz w:val="28"/>
          <w:szCs w:val="28"/>
        </w:rPr>
        <w:t>7</w:t>
      </w:r>
      <w:r>
        <w:rPr>
          <w:rFonts w:ascii="Times New Roman" w:hAnsi="Times New Roman" w:cs="Times New Roman"/>
          <w:color w:val="000000"/>
          <w:sz w:val="28"/>
          <w:szCs w:val="28"/>
          <w:lang w:val="ru-RU"/>
        </w:rPr>
        <w:t xml:space="preserve"> </w:t>
      </w:r>
      <w:r w:rsidRPr="00D138CE">
        <w:rPr>
          <w:rFonts w:ascii="Times New Roman" w:hAnsi="Times New Roman" w:cs="Times New Roman"/>
          <w:color w:val="000000"/>
          <w:sz w:val="28"/>
          <w:szCs w:val="28"/>
        </w:rPr>
        <w:t>Дохід світового фармацевтичного ринку з 2001 по 2023 рік</w:t>
      </w:r>
      <w:r>
        <w:rPr>
          <w:rFonts w:ascii="Times New Roman" w:hAnsi="Times New Roman" w:cs="Times New Roman"/>
          <w:color w:val="000000"/>
          <w:sz w:val="28"/>
          <w:szCs w:val="28"/>
        </w:rPr>
        <w:t>,</w:t>
      </w:r>
      <w:r w:rsidRPr="0043585C">
        <w:rPr>
          <w:rFonts w:ascii="Times New Roman" w:hAnsi="Times New Roman" w:cs="Times New Roman"/>
          <w:color w:val="000000"/>
          <w:sz w:val="28"/>
          <w:szCs w:val="28"/>
        </w:rPr>
        <w:t xml:space="preserve"> </w:t>
      </w:r>
      <w:r w:rsidRPr="00E57397">
        <w:rPr>
          <w:rFonts w:ascii="Times New Roman" w:hAnsi="Times New Roman" w:cs="Times New Roman"/>
          <w:color w:val="000000"/>
          <w:sz w:val="28"/>
          <w:szCs w:val="28"/>
        </w:rPr>
        <w:t>млрд дол. США</w:t>
      </w:r>
      <w:r>
        <w:rPr>
          <w:rFonts w:ascii="Times New Roman" w:hAnsi="Times New Roman" w:cs="Times New Roman"/>
          <w:color w:val="000000"/>
          <w:sz w:val="28"/>
          <w:szCs w:val="28"/>
        </w:rPr>
        <w:t>.</w:t>
      </w:r>
    </w:p>
    <w:p w:rsidR="00F30E41" w:rsidRPr="00D12D45" w:rsidRDefault="00F30E41" w:rsidP="00D12D45">
      <w:pPr>
        <w:tabs>
          <w:tab w:val="left" w:pos="6946"/>
        </w:tabs>
        <w:spacing w:after="0" w:line="360" w:lineRule="auto"/>
        <w:ind w:firstLine="709"/>
        <w:jc w:val="both"/>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35</w:t>
      </w:r>
      <w:r w:rsidRPr="008E3BC5">
        <w:rPr>
          <w:rFonts w:ascii="Times New Roman" w:hAnsi="Times New Roman" w:cs="Times New Roman"/>
          <w:color w:val="000000"/>
          <w:sz w:val="28"/>
          <w:szCs w:val="28"/>
        </w:rPr>
        <w:t>].</w:t>
      </w:r>
    </w:p>
    <w:p w:rsidR="00F30E41" w:rsidRPr="00D138CE" w:rsidRDefault="00F30E41" w:rsidP="00BF30B7">
      <w:pPr>
        <w:tabs>
          <w:tab w:val="left" w:pos="694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Дані свідчать</w:t>
      </w:r>
      <w:r w:rsidRPr="00D138CE">
        <w:rPr>
          <w:rFonts w:ascii="Times New Roman" w:hAnsi="Times New Roman" w:cs="Times New Roman"/>
          <w:color w:val="000000"/>
          <w:sz w:val="28"/>
          <w:szCs w:val="28"/>
        </w:rPr>
        <w:t>,</w:t>
      </w:r>
      <w:r>
        <w:rPr>
          <w:rFonts w:ascii="Times New Roman" w:hAnsi="Times New Roman" w:cs="Times New Roman"/>
          <w:color w:val="000000"/>
          <w:sz w:val="28"/>
          <w:szCs w:val="28"/>
        </w:rPr>
        <w:t xml:space="preserve"> що</w:t>
      </w:r>
      <w:r w:rsidRPr="00D138CE">
        <w:rPr>
          <w:rFonts w:ascii="Times New Roman" w:hAnsi="Times New Roman" w:cs="Times New Roman"/>
          <w:color w:val="000000"/>
          <w:sz w:val="28"/>
          <w:szCs w:val="28"/>
        </w:rPr>
        <w:t xml:space="preserve"> глобальні доходи фармацевтичного ринку </w:t>
      </w:r>
      <w:r>
        <w:rPr>
          <w:rFonts w:ascii="Times New Roman" w:hAnsi="Times New Roman" w:cs="Times New Roman"/>
          <w:color w:val="000000"/>
          <w:sz w:val="28"/>
          <w:szCs w:val="28"/>
        </w:rPr>
        <w:t xml:space="preserve">мають </w:t>
      </w:r>
      <w:r w:rsidRPr="00D138CE">
        <w:rPr>
          <w:rFonts w:ascii="Times New Roman" w:hAnsi="Times New Roman" w:cs="Times New Roman"/>
          <w:color w:val="000000"/>
          <w:sz w:val="28"/>
          <w:szCs w:val="28"/>
        </w:rPr>
        <w:t>стабільну позитивну динаміку протягом останніх двох десятиліть</w:t>
      </w:r>
      <w:r>
        <w:rPr>
          <w:rFonts w:ascii="Times New Roman" w:hAnsi="Times New Roman" w:cs="Times New Roman"/>
          <w:color w:val="000000"/>
          <w:sz w:val="28"/>
          <w:szCs w:val="28"/>
        </w:rPr>
        <w:t xml:space="preserve">. </w:t>
      </w:r>
      <w:r w:rsidRPr="00D138CE">
        <w:rPr>
          <w:rFonts w:ascii="Times New Roman" w:hAnsi="Times New Roman" w:cs="Times New Roman"/>
          <w:color w:val="000000"/>
          <w:sz w:val="28"/>
          <w:szCs w:val="28"/>
        </w:rPr>
        <w:t>Це свідчить про високу інвестиційну привабливість галузі, її глобальний масштаб і сталість попиту.</w:t>
      </w:r>
    </w:p>
    <w:p w:rsidR="00F30E41" w:rsidRDefault="00F30E41" w:rsidP="0025626F">
      <w:pPr>
        <w:tabs>
          <w:tab w:val="left" w:pos="6946"/>
        </w:tabs>
        <w:spacing w:after="0" w:line="360" w:lineRule="auto"/>
        <w:ind w:firstLine="709"/>
        <w:jc w:val="both"/>
        <w:rPr>
          <w:rFonts w:ascii="Times New Roman" w:hAnsi="Times New Roman" w:cs="Times New Roman"/>
          <w:color w:val="000000"/>
          <w:sz w:val="28"/>
          <w:szCs w:val="28"/>
          <w:lang w:val="ru-RU"/>
        </w:rPr>
      </w:pPr>
      <w:r w:rsidRPr="0025626F">
        <w:rPr>
          <w:rFonts w:ascii="Times New Roman" w:hAnsi="Times New Roman" w:cs="Times New Roman"/>
          <w:color w:val="000000"/>
          <w:sz w:val="28"/>
          <w:szCs w:val="28"/>
          <w:lang w:val="ru-RU"/>
        </w:rPr>
        <w:t xml:space="preserve">Таким чином, сфера охорони здоров’я демонструє стабільність попиту та високий рівень фінансування як з боку держав, так і з боку приватного капіталу. </w:t>
      </w:r>
    </w:p>
    <w:p w:rsidR="00F30E41" w:rsidRPr="0025626F" w:rsidRDefault="00F30E41" w:rsidP="0025626F">
      <w:pPr>
        <w:tabs>
          <w:tab w:val="left" w:pos="6946"/>
        </w:tabs>
        <w:spacing w:after="0" w:line="360" w:lineRule="auto"/>
        <w:ind w:firstLine="709"/>
        <w:jc w:val="both"/>
        <w:rPr>
          <w:rFonts w:ascii="Times New Roman" w:hAnsi="Times New Roman" w:cs="Times New Roman"/>
          <w:color w:val="000000"/>
          <w:sz w:val="28"/>
          <w:szCs w:val="28"/>
          <w:lang w:val="ru-RU"/>
        </w:rPr>
      </w:pPr>
      <w:r w:rsidRPr="0025626F">
        <w:rPr>
          <w:rFonts w:ascii="Times New Roman" w:hAnsi="Times New Roman" w:cs="Times New Roman"/>
          <w:color w:val="000000"/>
          <w:sz w:val="28"/>
          <w:szCs w:val="28"/>
          <w:lang w:val="ru-RU"/>
        </w:rPr>
        <w:t>Проте не менш важливою для сучасного інвестора залишається енергетика, яка, попри відносно меншу частку в ринковій капіталізації, відіграє ключову роль у глобальній економіці та привертає дедалі більшу увагу у зв’язку з процесами зеленої трансформації. Саме тому доцільно розглянути динаміку інвестицій у цей сектор з урахуванням змін у його структурі та географії.</w:t>
      </w:r>
    </w:p>
    <w:p w:rsidR="00F30E41" w:rsidRDefault="00F30E41" w:rsidP="00BD2220">
      <w:pPr>
        <w:tabs>
          <w:tab w:val="left" w:pos="6946"/>
        </w:tabs>
        <w:spacing w:after="0" w:line="360" w:lineRule="auto"/>
        <w:ind w:firstLine="709"/>
        <w:rPr>
          <w:rFonts w:ascii="Times New Roman" w:hAnsi="Times New Roman" w:cs="Times New Roman"/>
          <w:color w:val="000000"/>
          <w:sz w:val="28"/>
          <w:szCs w:val="28"/>
          <w:lang w:val="ru-RU"/>
        </w:rPr>
      </w:pPr>
      <w:r w:rsidRPr="00596352">
        <w:rPr>
          <w:rFonts w:ascii="Times New Roman" w:hAnsi="Times New Roman" w:cs="Times New Roman"/>
          <w:noProof/>
          <w:color w:val="000000"/>
          <w:sz w:val="28"/>
          <w:szCs w:val="28"/>
          <w:lang w:val="ru-RU" w:eastAsia="ru-RU"/>
        </w:rPr>
        <w:object w:dxaOrig="8190" w:dyaOrig="4052">
          <v:shape id="Diagramm 1" o:spid="_x0000_i1054" type="#_x0000_t75" style="width:409.5pt;height:202.5pt;visibility:visible" o:ole="">
            <v:imagedata r:id="rId29" o:title="" cropbottom="-16f"/>
            <o:lock v:ext="edit" aspectratio="f"/>
          </v:shape>
          <o:OLEObject Type="Embed" ProgID="Excel.Chart.8" ShapeID="Diagramm 1" DrawAspect="Content" ObjectID="_1811317230" r:id="rId30"/>
        </w:object>
      </w:r>
    </w:p>
    <w:p w:rsidR="00F30E41" w:rsidRPr="00EC079C" w:rsidRDefault="00F30E41" w:rsidP="00DB3C49">
      <w:pPr>
        <w:tabs>
          <w:tab w:val="left" w:pos="6946"/>
        </w:tabs>
        <w:spacing w:after="0" w:line="360" w:lineRule="auto"/>
        <w:ind w:firstLine="709"/>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lang w:val="ru-RU"/>
        </w:rPr>
        <w:t xml:space="preserve">8 </w:t>
      </w:r>
      <w:r w:rsidRPr="00CE199D">
        <w:rPr>
          <w:rFonts w:ascii="Times New Roman" w:hAnsi="Times New Roman" w:cs="Times New Roman"/>
          <w:color w:val="000000"/>
          <w:sz w:val="28"/>
          <w:szCs w:val="28"/>
        </w:rPr>
        <w:t>Інвестиції у чисту енергетику та викопне паливо у світі у 2015–2024 роках, млрд дол. США (у цінах 2023 року)</w:t>
      </w:r>
      <w:r w:rsidRPr="00DB3C49">
        <w:rPr>
          <w:rFonts w:ascii="Times New Roman" w:hAnsi="Times New Roman" w:cs="Times New Roman"/>
          <w:color w:val="000000"/>
          <w:sz w:val="28"/>
          <w:szCs w:val="28"/>
          <w:lang w:val="ru-RU"/>
        </w:rPr>
        <w:t>.</w:t>
      </w:r>
    </w:p>
    <w:p w:rsidR="00F30E41" w:rsidRPr="00DB3C49" w:rsidRDefault="00F30E41" w:rsidP="00DB3C49">
      <w:pPr>
        <w:tabs>
          <w:tab w:val="left" w:pos="6946"/>
        </w:tabs>
        <w:spacing w:after="0" w:line="360" w:lineRule="auto"/>
        <w:ind w:firstLine="709"/>
        <w:jc w:val="both"/>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36</w:t>
      </w:r>
      <w:r w:rsidRPr="008E3BC5">
        <w:rPr>
          <w:rFonts w:ascii="Times New Roman" w:hAnsi="Times New Roman" w:cs="Times New Roman"/>
          <w:color w:val="000000"/>
          <w:sz w:val="28"/>
          <w:szCs w:val="28"/>
        </w:rPr>
        <w:t>].</w:t>
      </w:r>
    </w:p>
    <w:p w:rsidR="00F30E41" w:rsidRPr="00B464C1" w:rsidRDefault="00F30E41" w:rsidP="00B464C1">
      <w:pPr>
        <w:tabs>
          <w:tab w:val="left" w:pos="6946"/>
        </w:tabs>
        <w:spacing w:after="0" w:line="360" w:lineRule="auto"/>
        <w:ind w:firstLine="709"/>
        <w:jc w:val="both"/>
        <w:rPr>
          <w:rFonts w:ascii="Times New Roman" w:hAnsi="Times New Roman" w:cs="Times New Roman"/>
          <w:color w:val="000000"/>
          <w:sz w:val="28"/>
          <w:szCs w:val="28"/>
          <w:lang w:val="ru-RU"/>
        </w:rPr>
      </w:pPr>
      <w:r w:rsidRPr="00B464C1">
        <w:rPr>
          <w:rFonts w:ascii="Times New Roman" w:hAnsi="Times New Roman" w:cs="Times New Roman"/>
          <w:color w:val="000000"/>
          <w:sz w:val="28"/>
          <w:szCs w:val="28"/>
          <w:lang w:val="ru-RU"/>
        </w:rPr>
        <w:t>У 2015</w:t>
      </w:r>
      <w:r>
        <w:rPr>
          <w:rFonts w:ascii="Times New Roman" w:hAnsi="Times New Roman" w:cs="Times New Roman"/>
          <w:color w:val="000000"/>
          <w:sz w:val="28"/>
          <w:szCs w:val="28"/>
          <w:lang w:val="ru-RU"/>
        </w:rPr>
        <w:t>-</w:t>
      </w:r>
      <w:r w:rsidRPr="00B464C1">
        <w:rPr>
          <w:rFonts w:ascii="Times New Roman" w:hAnsi="Times New Roman" w:cs="Times New Roman"/>
          <w:color w:val="000000"/>
          <w:sz w:val="28"/>
          <w:szCs w:val="28"/>
          <w:lang w:val="ru-RU"/>
        </w:rPr>
        <w:t>2023 роках інвестиції в чисту енергетику зросли з 1 125 до 1 884 млрд доларів США, а у 2024 році очікується перевищення позначки 2 000 млрд. Водночас вкладення у викопне паливо зменшились із 1 374 до 1 116 млрд. З 2020 року вперше обсяги фінансування ВДЕ перевищили традиційні джерела, що свідчить про глобальний енергетичний перехід, зумовлений технологічним розвитком, екологічними викликами та міжнародною кліматичною політикою.</w:t>
      </w:r>
    </w:p>
    <w:p w:rsidR="00F30E41" w:rsidRDefault="00F30E41" w:rsidP="00B464C1">
      <w:pPr>
        <w:tabs>
          <w:tab w:val="left" w:pos="6946"/>
        </w:tabs>
        <w:spacing w:after="0" w:line="360" w:lineRule="auto"/>
        <w:ind w:firstLine="709"/>
        <w:jc w:val="both"/>
        <w:rPr>
          <w:rFonts w:ascii="Times New Roman" w:hAnsi="Times New Roman" w:cs="Times New Roman"/>
          <w:color w:val="000000"/>
          <w:sz w:val="28"/>
          <w:szCs w:val="28"/>
          <w:lang w:val="ru-RU"/>
        </w:rPr>
      </w:pPr>
      <w:r w:rsidRPr="00B464C1">
        <w:rPr>
          <w:rFonts w:ascii="Times New Roman" w:hAnsi="Times New Roman" w:cs="Times New Roman"/>
          <w:color w:val="000000"/>
          <w:sz w:val="28"/>
          <w:szCs w:val="28"/>
          <w:lang w:val="ru-RU"/>
        </w:rPr>
        <w:t xml:space="preserve">Зростання капіталовкладень у ВДЕ підкреслює їхню інвестиційну привабливість, тоді як скорочення фінансування викопного палива вказує на зростаючі ризики. У результаті відбувається переорієнтація довгострокових стратегій інвесторів на принципи </w:t>
      </w:r>
      <w:r w:rsidRPr="00B464C1">
        <w:rPr>
          <w:rFonts w:ascii="Times New Roman" w:hAnsi="Times New Roman" w:cs="Times New Roman"/>
          <w:color w:val="000000"/>
          <w:sz w:val="28"/>
          <w:szCs w:val="28"/>
          <w:lang w:val="de-AT"/>
        </w:rPr>
        <w:t>ESG</w:t>
      </w:r>
      <w:r w:rsidRPr="00B464C1">
        <w:rPr>
          <w:rFonts w:ascii="Times New Roman" w:hAnsi="Times New Roman" w:cs="Times New Roman"/>
          <w:color w:val="000000"/>
          <w:sz w:val="28"/>
          <w:szCs w:val="28"/>
          <w:lang w:val="ru-RU"/>
        </w:rPr>
        <w:t xml:space="preserve">. </w:t>
      </w:r>
    </w:p>
    <w:p w:rsidR="00F30E41" w:rsidRPr="00B464C1" w:rsidRDefault="00F30E41" w:rsidP="00B464C1">
      <w:pPr>
        <w:tabs>
          <w:tab w:val="left" w:pos="6946"/>
        </w:tabs>
        <w:spacing w:after="0" w:line="360" w:lineRule="auto"/>
        <w:ind w:firstLine="709"/>
        <w:jc w:val="both"/>
        <w:rPr>
          <w:rFonts w:ascii="Times New Roman" w:hAnsi="Times New Roman" w:cs="Times New Roman"/>
          <w:color w:val="000000"/>
          <w:sz w:val="28"/>
          <w:szCs w:val="28"/>
          <w:lang w:val="ru-RU"/>
        </w:rPr>
      </w:pPr>
      <w:r w:rsidRPr="00352764">
        <w:rPr>
          <w:rFonts w:ascii="Times New Roman" w:hAnsi="Times New Roman" w:cs="Times New Roman"/>
          <w:color w:val="000000"/>
          <w:sz w:val="28"/>
          <w:szCs w:val="28"/>
        </w:rPr>
        <w:t xml:space="preserve">У цьому контексті доцільно проаналізувати просторовий розподіл інвестицій у чисту енергетику та викопне паливо, що дозволяє ідентифікувати ключові регіони </w:t>
      </w:r>
      <w:r>
        <w:rPr>
          <w:rFonts w:ascii="Times New Roman" w:hAnsi="Times New Roman" w:cs="Times New Roman"/>
          <w:color w:val="000000"/>
          <w:sz w:val="28"/>
          <w:szCs w:val="28"/>
          <w:lang w:val="ru-RU"/>
        </w:rPr>
        <w:t>-</w:t>
      </w:r>
      <w:r w:rsidRPr="00352764">
        <w:rPr>
          <w:rFonts w:ascii="Times New Roman" w:hAnsi="Times New Roman" w:cs="Times New Roman"/>
          <w:color w:val="000000"/>
          <w:sz w:val="28"/>
          <w:szCs w:val="28"/>
        </w:rPr>
        <w:t xml:space="preserve"> драйвери глобальної енергетичної трансформації.</w:t>
      </w:r>
    </w:p>
    <w:p w:rsidR="00F30E41" w:rsidRDefault="00F30E41" w:rsidP="00DB3C49">
      <w:pPr>
        <w:tabs>
          <w:tab w:val="left" w:pos="6946"/>
        </w:tabs>
        <w:spacing w:after="0" w:line="360" w:lineRule="auto"/>
        <w:jc w:val="both"/>
        <w:rPr>
          <w:rFonts w:ascii="Times New Roman" w:hAnsi="Times New Roman" w:cs="Times New Roman"/>
          <w:color w:val="000000"/>
          <w:sz w:val="28"/>
          <w:szCs w:val="28"/>
          <w:lang w:val="ru-RU"/>
        </w:rPr>
      </w:pPr>
      <w:r w:rsidRPr="00596352">
        <w:rPr>
          <w:rFonts w:ascii="Times New Roman" w:hAnsi="Times New Roman" w:cs="Times New Roman"/>
          <w:noProof/>
          <w:color w:val="000000"/>
          <w:sz w:val="28"/>
          <w:szCs w:val="28"/>
          <w:lang w:val="ru-RU" w:eastAsia="ru-RU"/>
        </w:rPr>
        <w:object w:dxaOrig="8804" w:dyaOrig="4368">
          <v:shape id="_x0000_i1055" type="#_x0000_t75" style="width:440.25pt;height:218.25pt;visibility:visible" o:ole="">
            <v:imagedata r:id="rId31" o:title=""/>
            <o:lock v:ext="edit" aspectratio="f"/>
          </v:shape>
          <o:OLEObject Type="Embed" ProgID="Excel.Chart.8" ShapeID="_x0000_i1055" DrawAspect="Content" ObjectID="_1811317231" r:id="rId32"/>
        </w:object>
      </w:r>
    </w:p>
    <w:p w:rsidR="00F30E41" w:rsidRPr="00DB3C49" w:rsidRDefault="00F30E41" w:rsidP="00DB3C49">
      <w:pPr>
        <w:tabs>
          <w:tab w:val="left" w:pos="6946"/>
        </w:tabs>
        <w:spacing w:after="0" w:line="360" w:lineRule="auto"/>
        <w:ind w:firstLine="709"/>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lang w:val="ru-RU"/>
        </w:rPr>
        <w:t xml:space="preserve">9 </w:t>
      </w:r>
      <w:r w:rsidRPr="00CE199D">
        <w:rPr>
          <w:rFonts w:ascii="Times New Roman" w:hAnsi="Times New Roman" w:cs="Times New Roman"/>
          <w:color w:val="000000"/>
          <w:sz w:val="28"/>
          <w:szCs w:val="28"/>
        </w:rPr>
        <w:t>Інвестиції у чисту енергетику та викопне паливо у світі у 202</w:t>
      </w:r>
      <w:r w:rsidRPr="00872A57">
        <w:rPr>
          <w:rFonts w:ascii="Times New Roman" w:hAnsi="Times New Roman" w:cs="Times New Roman"/>
          <w:color w:val="000000"/>
          <w:sz w:val="28"/>
          <w:szCs w:val="28"/>
          <w:lang w:val="ru-RU"/>
        </w:rPr>
        <w:t xml:space="preserve">3 </w:t>
      </w:r>
      <w:r w:rsidRPr="00CE199D">
        <w:rPr>
          <w:rFonts w:ascii="Times New Roman" w:hAnsi="Times New Roman" w:cs="Times New Roman"/>
          <w:color w:val="000000"/>
          <w:sz w:val="28"/>
          <w:szCs w:val="28"/>
        </w:rPr>
        <w:t>ро</w:t>
      </w:r>
      <w:r>
        <w:rPr>
          <w:rFonts w:ascii="Times New Roman" w:hAnsi="Times New Roman" w:cs="Times New Roman"/>
          <w:color w:val="000000"/>
          <w:sz w:val="28"/>
          <w:szCs w:val="28"/>
          <w:lang w:val="ru-RU"/>
        </w:rPr>
        <w:t>ц</w:t>
      </w:r>
      <w:r>
        <w:rPr>
          <w:rFonts w:ascii="Times New Roman" w:hAnsi="Times New Roman" w:cs="Times New Roman"/>
          <w:color w:val="000000"/>
          <w:sz w:val="28"/>
          <w:szCs w:val="28"/>
        </w:rPr>
        <w:t>і</w:t>
      </w:r>
      <w:r w:rsidRPr="00CE199D">
        <w:rPr>
          <w:rFonts w:ascii="Times New Roman" w:hAnsi="Times New Roman" w:cs="Times New Roman"/>
          <w:color w:val="000000"/>
          <w:sz w:val="28"/>
          <w:szCs w:val="28"/>
        </w:rPr>
        <w:t>, млрд дол. США (у цінах 2023 року)</w:t>
      </w:r>
      <w:r w:rsidRPr="00DB3C49">
        <w:rPr>
          <w:rFonts w:ascii="Times New Roman" w:hAnsi="Times New Roman" w:cs="Times New Roman"/>
          <w:color w:val="000000"/>
          <w:sz w:val="28"/>
          <w:szCs w:val="28"/>
          <w:lang w:val="ru-RU"/>
        </w:rPr>
        <w:t>.</w:t>
      </w:r>
    </w:p>
    <w:p w:rsidR="00F30E41" w:rsidRPr="00DB3C49" w:rsidRDefault="00F30E41" w:rsidP="000E47D0">
      <w:pPr>
        <w:tabs>
          <w:tab w:val="left" w:pos="6946"/>
        </w:tabs>
        <w:spacing w:after="0" w:line="360" w:lineRule="auto"/>
        <w:ind w:firstLine="709"/>
        <w:jc w:val="both"/>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37</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p>
    <w:p w:rsidR="00F30E41" w:rsidRDefault="00F30E41" w:rsidP="00E873E4">
      <w:pPr>
        <w:tabs>
          <w:tab w:val="left" w:pos="6946"/>
        </w:tabs>
        <w:spacing w:after="0" w:line="360" w:lineRule="auto"/>
        <w:ind w:firstLine="709"/>
        <w:jc w:val="both"/>
        <w:rPr>
          <w:rFonts w:ascii="Times New Roman" w:hAnsi="Times New Roman" w:cs="Times New Roman"/>
          <w:color w:val="000000"/>
          <w:sz w:val="28"/>
          <w:szCs w:val="28"/>
          <w:lang w:val="ru-RU"/>
        </w:rPr>
      </w:pPr>
      <w:r w:rsidRPr="00A82C82">
        <w:rPr>
          <w:rFonts w:ascii="Times New Roman" w:hAnsi="Times New Roman" w:cs="Times New Roman"/>
          <w:sz w:val="28"/>
          <w:szCs w:val="28"/>
          <w:lang w:val="ru-RU"/>
        </w:rPr>
        <w:t xml:space="preserve">Аналіз </w:t>
      </w:r>
      <w:r w:rsidRPr="00352764">
        <w:rPr>
          <w:rFonts w:ascii="Times New Roman" w:hAnsi="Times New Roman" w:cs="Times New Roman"/>
          <w:color w:val="000000"/>
          <w:sz w:val="28"/>
          <w:szCs w:val="28"/>
        </w:rPr>
        <w:t>просторо</w:t>
      </w:r>
      <w:r>
        <w:rPr>
          <w:rFonts w:ascii="Times New Roman" w:hAnsi="Times New Roman" w:cs="Times New Roman"/>
          <w:color w:val="000000"/>
          <w:sz w:val="28"/>
          <w:szCs w:val="28"/>
        </w:rPr>
        <w:t>ого</w:t>
      </w:r>
      <w:r w:rsidRPr="00352764">
        <w:rPr>
          <w:rFonts w:ascii="Times New Roman" w:hAnsi="Times New Roman" w:cs="Times New Roman"/>
          <w:color w:val="000000"/>
          <w:sz w:val="28"/>
          <w:szCs w:val="28"/>
        </w:rPr>
        <w:t xml:space="preserve"> розподіл</w:t>
      </w:r>
      <w:r>
        <w:rPr>
          <w:rFonts w:ascii="Times New Roman" w:hAnsi="Times New Roman" w:cs="Times New Roman"/>
          <w:color w:val="000000"/>
          <w:sz w:val="28"/>
          <w:szCs w:val="28"/>
        </w:rPr>
        <w:t>у</w:t>
      </w:r>
      <w:r w:rsidRPr="00352764">
        <w:rPr>
          <w:rFonts w:ascii="Times New Roman" w:hAnsi="Times New Roman" w:cs="Times New Roman"/>
          <w:color w:val="000000"/>
          <w:sz w:val="28"/>
          <w:szCs w:val="28"/>
        </w:rPr>
        <w:t xml:space="preserve"> інвестицій у чисту енергетику та викопне паливо</w:t>
      </w:r>
      <w:r w:rsidRPr="00A82C82">
        <w:rPr>
          <w:rFonts w:ascii="Times New Roman" w:hAnsi="Times New Roman" w:cs="Times New Roman"/>
          <w:sz w:val="28"/>
          <w:szCs w:val="28"/>
          <w:lang w:val="ru-RU"/>
        </w:rPr>
        <w:t xml:space="preserve"> свідчить</w:t>
      </w:r>
      <w:r>
        <w:rPr>
          <w:rFonts w:ascii="Times New Roman" w:hAnsi="Times New Roman" w:cs="Times New Roman"/>
          <w:color w:val="000000"/>
          <w:sz w:val="28"/>
          <w:szCs w:val="28"/>
          <w:lang w:val="ru-RU"/>
        </w:rPr>
        <w:t>, що н</w:t>
      </w:r>
      <w:r w:rsidRPr="00A57286">
        <w:rPr>
          <w:rFonts w:ascii="Times New Roman" w:hAnsi="Times New Roman" w:cs="Times New Roman"/>
          <w:color w:val="000000"/>
          <w:sz w:val="28"/>
          <w:szCs w:val="28"/>
          <w:lang w:val="ru-RU"/>
        </w:rPr>
        <w:t>айбільшим інвестором у сфері енергетики є Китай, який залучає понад 800 млрд доларів США, переважно у ВДЕ та енергоефективність. США демонструють диверсифіковану модель із вагомими вкладеннями як у чисту, так і традиційну енергетику. ЄС фокусується на інфраструктурі ВДЕ та модернізації енергомереж, тоді як інвестиції у викопне паливо мають другорядне значення.</w:t>
      </w:r>
      <w:r>
        <w:rPr>
          <w:rFonts w:ascii="Times New Roman" w:hAnsi="Times New Roman" w:cs="Times New Roman"/>
          <w:color w:val="000000"/>
          <w:sz w:val="28"/>
          <w:szCs w:val="28"/>
          <w:lang w:val="ru-RU"/>
        </w:rPr>
        <w:t xml:space="preserve"> </w:t>
      </w:r>
    </w:p>
    <w:p w:rsidR="00F30E41" w:rsidRPr="00A57286" w:rsidRDefault="00F30E41" w:rsidP="00E873E4">
      <w:pPr>
        <w:tabs>
          <w:tab w:val="left" w:pos="6946"/>
        </w:tabs>
        <w:spacing w:after="0" w:line="360" w:lineRule="auto"/>
        <w:ind w:firstLine="709"/>
        <w:jc w:val="both"/>
        <w:rPr>
          <w:rFonts w:ascii="Times New Roman" w:hAnsi="Times New Roman" w:cs="Times New Roman"/>
          <w:color w:val="000000"/>
          <w:sz w:val="28"/>
          <w:szCs w:val="28"/>
          <w:lang w:val="ru-RU"/>
        </w:rPr>
      </w:pPr>
      <w:r w:rsidRPr="00A57286">
        <w:rPr>
          <w:rFonts w:ascii="Times New Roman" w:hAnsi="Times New Roman" w:cs="Times New Roman"/>
          <w:color w:val="000000"/>
          <w:sz w:val="28"/>
          <w:szCs w:val="28"/>
          <w:lang w:val="ru-RU"/>
        </w:rPr>
        <w:t>У країнах, що розвиваються (Індія, Африка, Латинська Америка), обсяги фінансування нижчі, однак акцент зроблено саме на ВДЕ, що свідчить про орієнтацію на сталість навіть в умовах обмежених ресурсів.</w:t>
      </w:r>
    </w:p>
    <w:p w:rsidR="00F30E41" w:rsidRPr="00A57286" w:rsidRDefault="00F30E41" w:rsidP="00A57286">
      <w:pPr>
        <w:tabs>
          <w:tab w:val="left" w:pos="6946"/>
        </w:tabs>
        <w:spacing w:after="0" w:line="360" w:lineRule="auto"/>
        <w:ind w:firstLine="709"/>
        <w:jc w:val="both"/>
        <w:rPr>
          <w:rFonts w:ascii="Times New Roman" w:hAnsi="Times New Roman" w:cs="Times New Roman"/>
          <w:color w:val="000000"/>
          <w:sz w:val="28"/>
          <w:szCs w:val="28"/>
          <w:lang w:val="ru-RU"/>
        </w:rPr>
      </w:pPr>
      <w:r w:rsidRPr="00A57286">
        <w:rPr>
          <w:rFonts w:ascii="Times New Roman" w:hAnsi="Times New Roman" w:cs="Times New Roman"/>
          <w:color w:val="000000"/>
          <w:sz w:val="28"/>
          <w:szCs w:val="28"/>
          <w:lang w:val="ru-RU"/>
        </w:rPr>
        <w:t>Оскільки відновлювана енергетика формує найбільшу частку загальних інвестицій, доцільно розглянути розподіл капіталу між її підсекторами, щоб визначити найбільш динамічні й підтримувані напрямки.</w:t>
      </w:r>
    </w:p>
    <w:p w:rsidR="00F30E41" w:rsidRPr="007F4EAC" w:rsidRDefault="00F30E41" w:rsidP="00EC079C">
      <w:pPr>
        <w:tabs>
          <w:tab w:val="left" w:pos="6946"/>
        </w:tabs>
        <w:spacing w:after="0" w:line="360" w:lineRule="auto"/>
        <w:ind w:firstLine="709"/>
        <w:jc w:val="both"/>
        <w:rPr>
          <w:rFonts w:ascii="Times New Roman" w:hAnsi="Times New Roman" w:cs="Times New Roman"/>
          <w:color w:val="000000"/>
          <w:sz w:val="28"/>
          <w:szCs w:val="28"/>
        </w:rPr>
      </w:pPr>
      <w:r>
        <w:rPr>
          <w:noProof/>
          <w:lang w:val="ru-RU" w:eastAsia="ru-RU"/>
        </w:rPr>
        <w:pict>
          <v:shape id="_x0000_s1032" type="#_x0000_t75" style="position:absolute;left:0;text-align:left;margin-left:18.55pt;margin-top:-.4pt;width:441.1pt;height:218.4pt;z-index:251654656;visibility:visible">
            <v:imagedata r:id="rId33" o:title=""/>
            <w10:wrap type="topAndBottom"/>
          </v:shape>
          <o:OLEObject Type="Embed" ProgID="Excel.Chart.8" ShapeID="_x0000_s1032" DrawAspect="Content" ObjectID="_1811317240" r:id="rId34"/>
        </w:pict>
      </w: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lang w:val="ru-RU"/>
        </w:rPr>
        <w:t xml:space="preserve">10 </w:t>
      </w:r>
      <w:r w:rsidRPr="00E57397">
        <w:rPr>
          <w:rFonts w:ascii="Times New Roman" w:hAnsi="Times New Roman" w:cs="Times New Roman"/>
          <w:color w:val="000000"/>
          <w:sz w:val="28"/>
          <w:szCs w:val="28"/>
        </w:rPr>
        <w:t>Динаміка інвестицій у відновлювані джерела енергії у 2019–2023 роках, млрд дол. США</w:t>
      </w:r>
      <w:r>
        <w:rPr>
          <w:rFonts w:ascii="Times New Roman" w:hAnsi="Times New Roman" w:cs="Times New Roman"/>
          <w:color w:val="000000"/>
          <w:sz w:val="28"/>
          <w:szCs w:val="28"/>
        </w:rPr>
        <w:t>.</w:t>
      </w:r>
    </w:p>
    <w:p w:rsidR="00F30E41" w:rsidRPr="007F4EAC" w:rsidRDefault="00F30E41" w:rsidP="00E57397">
      <w:pPr>
        <w:tabs>
          <w:tab w:val="left" w:pos="6946"/>
        </w:tabs>
        <w:spacing w:after="0" w:line="360" w:lineRule="auto"/>
        <w:ind w:firstLine="709"/>
        <w:jc w:val="both"/>
        <w:rPr>
          <w:rFonts w:ascii="Times New Roman" w:hAnsi="Times New Roman" w:cs="Times New Roman"/>
          <w:color w:val="000000"/>
          <w:sz w:val="28"/>
          <w:szCs w:val="28"/>
        </w:rPr>
      </w:pPr>
      <w:r w:rsidRPr="007F4EAC">
        <w:rPr>
          <w:rFonts w:ascii="Times New Roman" w:hAnsi="Times New Roman" w:cs="Times New Roman"/>
          <w:noProof/>
          <w:color w:val="000000"/>
          <w:sz w:val="28"/>
          <w:szCs w:val="28"/>
        </w:rPr>
        <w:t xml:space="preserve">Джерело: складено автором на основі даних </w:t>
      </w:r>
      <w:r>
        <w:rPr>
          <w:rFonts w:ascii="Times New Roman" w:hAnsi="Times New Roman" w:cs="Times New Roman"/>
          <w:color w:val="000000"/>
          <w:sz w:val="28"/>
          <w:szCs w:val="28"/>
        </w:rPr>
        <w:t xml:space="preserve"> </w:t>
      </w:r>
      <w:r w:rsidRPr="008E3BC5">
        <w:rPr>
          <w:rFonts w:ascii="Times New Roman" w:hAnsi="Times New Roman" w:cs="Times New Roman"/>
          <w:color w:val="000000"/>
          <w:sz w:val="28"/>
          <w:szCs w:val="28"/>
        </w:rPr>
        <w:t>[</w:t>
      </w:r>
      <w:r w:rsidRPr="007F4EAC">
        <w:rPr>
          <w:rFonts w:ascii="Times New Roman" w:hAnsi="Times New Roman" w:cs="Times New Roman"/>
          <w:color w:val="000000"/>
          <w:sz w:val="28"/>
          <w:szCs w:val="28"/>
        </w:rPr>
        <w:t>3</w:t>
      </w:r>
      <w:r>
        <w:rPr>
          <w:rFonts w:ascii="Times New Roman" w:hAnsi="Times New Roman" w:cs="Times New Roman"/>
          <w:color w:val="000000"/>
          <w:sz w:val="28"/>
          <w:szCs w:val="28"/>
          <w:lang w:val="ru-RU"/>
        </w:rPr>
        <w:t>8</w:t>
      </w:r>
      <w:r w:rsidRPr="008E3BC5">
        <w:rPr>
          <w:rFonts w:ascii="Times New Roman" w:hAnsi="Times New Roman" w:cs="Times New Roman"/>
          <w:color w:val="000000"/>
          <w:sz w:val="28"/>
          <w:szCs w:val="28"/>
        </w:rPr>
        <w:t>]</w:t>
      </w:r>
      <w:r w:rsidRPr="007F4EAC">
        <w:rPr>
          <w:rFonts w:ascii="Times New Roman" w:hAnsi="Times New Roman" w:cs="Times New Roman"/>
          <w:color w:val="000000"/>
          <w:sz w:val="28"/>
          <w:szCs w:val="28"/>
        </w:rPr>
        <w:t>.</w:t>
      </w:r>
    </w:p>
    <w:p w:rsidR="00F30E41" w:rsidRPr="00C072A1" w:rsidRDefault="00F30E41" w:rsidP="00C072A1">
      <w:pPr>
        <w:tabs>
          <w:tab w:val="left" w:pos="6946"/>
        </w:tabs>
        <w:spacing w:after="0" w:line="360" w:lineRule="auto"/>
        <w:ind w:firstLine="709"/>
        <w:jc w:val="both"/>
        <w:rPr>
          <w:rFonts w:ascii="Times New Roman" w:hAnsi="Times New Roman" w:cs="Times New Roman"/>
          <w:color w:val="000000"/>
          <w:sz w:val="28"/>
          <w:szCs w:val="28"/>
          <w:lang w:val="ru-RU"/>
        </w:rPr>
      </w:pPr>
      <w:r w:rsidRPr="00295FCB">
        <w:rPr>
          <w:rFonts w:ascii="Times New Roman" w:hAnsi="Times New Roman" w:cs="Times New Roman"/>
          <w:color w:val="000000"/>
          <w:sz w:val="28"/>
          <w:szCs w:val="28"/>
        </w:rPr>
        <w:t>Аналіз інвестиційної динаміки свідчить про домінування сонячної енергетики серед відновлюваних джерел</w:t>
      </w:r>
      <w:r>
        <w:rPr>
          <w:rFonts w:ascii="Times New Roman" w:hAnsi="Times New Roman" w:cs="Times New Roman"/>
          <w:color w:val="000000"/>
          <w:sz w:val="28"/>
          <w:szCs w:val="28"/>
          <w:lang w:val="ru-RU"/>
        </w:rPr>
        <w:t xml:space="preserve">. </w:t>
      </w:r>
      <w:r w:rsidRPr="00295FCB">
        <w:rPr>
          <w:rFonts w:ascii="Times New Roman" w:hAnsi="Times New Roman" w:cs="Times New Roman"/>
          <w:color w:val="000000"/>
          <w:sz w:val="28"/>
          <w:szCs w:val="28"/>
        </w:rPr>
        <w:t>Вітрова енергетика також зберігає значну частку ринку, хоча темпи її зростання є помірнішими.</w:t>
      </w:r>
      <w:r>
        <w:rPr>
          <w:rFonts w:ascii="Times New Roman" w:hAnsi="Times New Roman" w:cs="Times New Roman"/>
          <w:color w:val="000000"/>
          <w:sz w:val="28"/>
          <w:szCs w:val="28"/>
          <w:lang w:val="ru-RU"/>
        </w:rPr>
        <w:t xml:space="preserve"> </w:t>
      </w:r>
      <w:r w:rsidRPr="005579DE">
        <w:rPr>
          <w:rFonts w:ascii="Times New Roman" w:hAnsi="Times New Roman" w:cs="Times New Roman"/>
          <w:color w:val="000000"/>
          <w:sz w:val="28"/>
          <w:szCs w:val="28"/>
          <w:lang w:val="ru-RU"/>
        </w:rPr>
        <w:t>Інші джерела</w:t>
      </w:r>
      <w:r>
        <w:rPr>
          <w:rFonts w:ascii="Times New Roman" w:hAnsi="Times New Roman" w:cs="Times New Roman"/>
          <w:color w:val="000000"/>
          <w:sz w:val="28"/>
          <w:szCs w:val="28"/>
          <w:lang w:val="ru-RU"/>
        </w:rPr>
        <w:t xml:space="preserve">, </w:t>
      </w:r>
      <w:r w:rsidRPr="005579DE">
        <w:rPr>
          <w:rFonts w:ascii="Times New Roman" w:hAnsi="Times New Roman" w:cs="Times New Roman"/>
          <w:color w:val="000000"/>
          <w:sz w:val="28"/>
          <w:szCs w:val="28"/>
          <w:lang w:val="ru-RU"/>
        </w:rPr>
        <w:t>зокрема гідроенергетика та біоенергія</w:t>
      </w:r>
      <w:r>
        <w:rPr>
          <w:rFonts w:ascii="Times New Roman" w:hAnsi="Times New Roman" w:cs="Times New Roman"/>
          <w:color w:val="000000"/>
          <w:sz w:val="28"/>
          <w:szCs w:val="28"/>
          <w:lang w:val="ru-RU"/>
        </w:rPr>
        <w:t xml:space="preserve">, </w:t>
      </w:r>
      <w:r w:rsidRPr="005579DE">
        <w:rPr>
          <w:rFonts w:ascii="Times New Roman" w:hAnsi="Times New Roman" w:cs="Times New Roman"/>
          <w:color w:val="000000"/>
          <w:sz w:val="28"/>
          <w:szCs w:val="28"/>
          <w:lang w:val="ru-RU"/>
        </w:rPr>
        <w:t>демонструють низький рівень інвестування через технологічні обмеження та меншу рентабельність, а у 2023 році їхні обсяги майже не зросли.</w:t>
      </w:r>
    </w:p>
    <w:p w:rsidR="00F30E41" w:rsidRDefault="00F30E41" w:rsidP="005579DE">
      <w:pPr>
        <w:tabs>
          <w:tab w:val="left" w:pos="6946"/>
        </w:tabs>
        <w:spacing w:after="0" w:line="360" w:lineRule="auto"/>
        <w:ind w:firstLine="709"/>
        <w:jc w:val="both"/>
        <w:rPr>
          <w:rFonts w:ascii="Times New Roman" w:hAnsi="Times New Roman" w:cs="Times New Roman"/>
          <w:color w:val="000000"/>
          <w:sz w:val="28"/>
          <w:szCs w:val="28"/>
          <w:lang w:val="ru-RU"/>
        </w:rPr>
      </w:pPr>
      <w:r w:rsidRPr="005579DE">
        <w:rPr>
          <w:rFonts w:ascii="Times New Roman" w:hAnsi="Times New Roman" w:cs="Times New Roman"/>
          <w:color w:val="000000"/>
          <w:sz w:val="28"/>
          <w:szCs w:val="28"/>
          <w:lang w:val="ru-RU"/>
        </w:rPr>
        <w:t>Такий розподіл ресурсів відображає структурні пріоритети зеленої трансформації. Сонячна енергетика, як масштабована й доступна технологія, стає провідним напрямом розвитку в більшості країн, що підтверджується як зростанням фінансування, так і державною підтримкою.</w:t>
      </w:r>
    </w:p>
    <w:p w:rsidR="00F30E41" w:rsidRPr="00C26FD4" w:rsidRDefault="00F30E41" w:rsidP="006909D9">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Уза</w:t>
      </w:r>
      <w:r w:rsidRPr="005579DE">
        <w:rPr>
          <w:rFonts w:ascii="Times New Roman" w:hAnsi="Times New Roman" w:cs="Times New Roman"/>
          <w:color w:val="000000"/>
          <w:sz w:val="28"/>
          <w:szCs w:val="28"/>
          <w:lang w:val="ru-RU"/>
        </w:rPr>
        <w:t>гальнюючи ці тенденції, доцільно розглянути, які країни створюють найбільш сприятливі умови для інвестування у відновлювану енергетику. Це дозволить поєднати кількісний аналіз з оцінкою якісних чинників інвестиційного середовища.</w:t>
      </w:r>
    </w:p>
    <w:p w:rsidR="00F30E41" w:rsidRDefault="00F30E41" w:rsidP="005579DE">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Default="00F30E41" w:rsidP="006909D9">
      <w:pPr>
        <w:tabs>
          <w:tab w:val="left" w:pos="6946"/>
        </w:tabs>
        <w:spacing w:after="0" w:line="360" w:lineRule="auto"/>
        <w:ind w:firstLine="709"/>
        <w:jc w:val="both"/>
        <w:rPr>
          <w:rFonts w:ascii="Times New Roman" w:hAnsi="Times New Roman" w:cs="Times New Roman"/>
          <w:color w:val="000000"/>
          <w:sz w:val="28"/>
          <w:szCs w:val="28"/>
          <w:lang w:val="ru-RU"/>
        </w:rPr>
      </w:pPr>
      <w:r>
        <w:rPr>
          <w:noProof/>
          <w:lang w:val="ru-RU" w:eastAsia="ru-RU"/>
        </w:rPr>
        <w:pict>
          <v:shape id="_x0000_s1033" type="#_x0000_t75" style="position:absolute;left:0;text-align:left;margin-left:16.85pt;margin-top:-.5pt;width:433.45pt;height:252.5pt;z-index:251656704;visibility:visible">
            <v:imagedata r:id="rId35" o:title=""/>
            <w10:wrap type="topAndBottom"/>
          </v:shape>
          <o:OLEObject Type="Embed" ProgID="Excel.Chart.8" ShapeID="_x0000_s1033" DrawAspect="Content" ObjectID="_1811317241" r:id="rId36"/>
        </w:pict>
      </w: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lang w:val="ru-RU"/>
        </w:rPr>
        <w:t xml:space="preserve">11 </w:t>
      </w:r>
      <w:r>
        <w:rPr>
          <w:rFonts w:ascii="Times New Roman" w:hAnsi="Times New Roman" w:cs="Times New Roman"/>
          <w:color w:val="000000"/>
          <w:sz w:val="28"/>
          <w:szCs w:val="28"/>
        </w:rPr>
        <w:t>І</w:t>
      </w:r>
      <w:r w:rsidRPr="00EA0C32">
        <w:rPr>
          <w:rFonts w:ascii="Times New Roman" w:hAnsi="Times New Roman" w:cs="Times New Roman"/>
          <w:color w:val="000000"/>
          <w:sz w:val="28"/>
          <w:szCs w:val="28"/>
        </w:rPr>
        <w:t>ндекс інвестиційної привабливості країн у сфері відновлюваної енергетики у 2024 році</w:t>
      </w:r>
    </w:p>
    <w:p w:rsidR="00F30E41" w:rsidRDefault="00F30E41" w:rsidP="00EA0C32">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39</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p>
    <w:p w:rsidR="00F30E41" w:rsidRPr="00C26FD4" w:rsidRDefault="00F30E41" w:rsidP="00C26FD4">
      <w:pPr>
        <w:tabs>
          <w:tab w:val="left" w:pos="6946"/>
        </w:tabs>
        <w:spacing w:after="0" w:line="360" w:lineRule="auto"/>
        <w:ind w:firstLine="709"/>
        <w:jc w:val="both"/>
        <w:rPr>
          <w:rFonts w:ascii="Times New Roman" w:hAnsi="Times New Roman" w:cs="Times New Roman"/>
          <w:color w:val="000000"/>
          <w:sz w:val="28"/>
          <w:szCs w:val="28"/>
          <w:lang w:val="ru-RU"/>
        </w:rPr>
      </w:pPr>
      <w:r w:rsidRPr="00C26FD4">
        <w:rPr>
          <w:rFonts w:ascii="Times New Roman" w:hAnsi="Times New Roman" w:cs="Times New Roman"/>
          <w:color w:val="000000"/>
          <w:sz w:val="28"/>
          <w:szCs w:val="28"/>
          <w:lang w:val="ru-RU"/>
        </w:rPr>
        <w:t>На графіку представлено десять країн із найвищими індексними значеннями. Лідером залишається США, за ними слідують Китай</w:t>
      </w:r>
      <w:r>
        <w:rPr>
          <w:rFonts w:ascii="Times New Roman" w:hAnsi="Times New Roman" w:cs="Times New Roman"/>
          <w:color w:val="000000"/>
          <w:sz w:val="28"/>
          <w:szCs w:val="28"/>
          <w:lang w:val="ru-RU"/>
        </w:rPr>
        <w:t xml:space="preserve"> </w:t>
      </w:r>
      <w:r w:rsidRPr="00C26FD4">
        <w:rPr>
          <w:rFonts w:ascii="Times New Roman" w:hAnsi="Times New Roman" w:cs="Times New Roman"/>
          <w:color w:val="000000"/>
          <w:sz w:val="28"/>
          <w:szCs w:val="28"/>
          <w:lang w:val="ru-RU"/>
        </w:rPr>
        <w:t>та Німеччина, що узгоджується з попереднім аналізом обсягів інвестицій. Також високі позиції займають Франція, Австралія, Велика Британія, Індія, Данія, Канада та Японія. Ці країни об’єднує наявність активної державної політики підтримки ВДЕ, стабільне регуляторне середовище, розвиток технологічної бази та висока зацікавленість з боку міжнародних інвесторів.</w:t>
      </w:r>
    </w:p>
    <w:p w:rsidR="00F30E41" w:rsidRDefault="00F30E41" w:rsidP="00DF0BDD">
      <w:pPr>
        <w:tabs>
          <w:tab w:val="left" w:pos="6946"/>
        </w:tabs>
        <w:spacing w:after="0" w:line="360" w:lineRule="auto"/>
        <w:ind w:firstLine="709"/>
        <w:jc w:val="both"/>
        <w:rPr>
          <w:rFonts w:ascii="Times New Roman" w:hAnsi="Times New Roman" w:cs="Times New Roman"/>
          <w:color w:val="000000"/>
          <w:sz w:val="28"/>
          <w:szCs w:val="28"/>
          <w:lang w:val="ru-RU"/>
        </w:rPr>
      </w:pPr>
      <w:r w:rsidRPr="00DF0BDD">
        <w:rPr>
          <w:rFonts w:ascii="Times New Roman" w:hAnsi="Times New Roman" w:cs="Times New Roman"/>
          <w:color w:val="000000"/>
          <w:sz w:val="28"/>
          <w:szCs w:val="28"/>
          <w:lang w:val="ru-RU"/>
        </w:rPr>
        <w:t xml:space="preserve">Включення рейтингу інвестиційної привабливості підтверджує прямий зв’язок між рівнем надходження капіталу у сектор відновлюваної енергетики (ВДЕ) та загальною привабливістю країни для інвесторів. </w:t>
      </w:r>
    </w:p>
    <w:p w:rsidR="00F30E41" w:rsidRPr="00DF0BDD" w:rsidRDefault="00F30E41" w:rsidP="00DF0BDD">
      <w:pPr>
        <w:tabs>
          <w:tab w:val="left" w:pos="6946"/>
        </w:tabs>
        <w:spacing w:after="0" w:line="360" w:lineRule="auto"/>
        <w:ind w:firstLine="709"/>
        <w:jc w:val="both"/>
        <w:rPr>
          <w:rFonts w:ascii="Times New Roman" w:hAnsi="Times New Roman" w:cs="Times New Roman"/>
          <w:color w:val="000000"/>
          <w:sz w:val="28"/>
          <w:szCs w:val="28"/>
          <w:lang w:val="ru-RU"/>
        </w:rPr>
      </w:pPr>
      <w:r w:rsidRPr="00DF0BDD">
        <w:rPr>
          <w:rFonts w:ascii="Times New Roman" w:hAnsi="Times New Roman" w:cs="Times New Roman"/>
          <w:color w:val="000000"/>
          <w:sz w:val="28"/>
          <w:szCs w:val="28"/>
          <w:lang w:val="ru-RU"/>
        </w:rPr>
        <w:t>З огляду на зростаюче значення енергетичного сектору в структурі глобальних інвестицій, доцільним є аналіз міжнародного досвіду реалізації стратегій сталого розвитку в контексті ВДЕ. Цей аспект частково було висвітлено у попередньому дослідженні у формі тез конференційної доповіді [</w:t>
      </w:r>
      <w:r>
        <w:rPr>
          <w:rFonts w:ascii="Times New Roman" w:hAnsi="Times New Roman" w:cs="Times New Roman"/>
          <w:color w:val="000000"/>
          <w:sz w:val="28"/>
          <w:szCs w:val="28"/>
          <w:lang w:val="ru-RU"/>
        </w:rPr>
        <w:t>40</w:t>
      </w:r>
      <w:r w:rsidRPr="00DF0BDD">
        <w:rPr>
          <w:rFonts w:ascii="Times New Roman" w:hAnsi="Times New Roman" w:cs="Times New Roman"/>
          <w:color w:val="000000"/>
          <w:sz w:val="28"/>
          <w:szCs w:val="28"/>
          <w:lang w:val="ru-RU"/>
        </w:rPr>
        <w:t>].</w:t>
      </w:r>
    </w:p>
    <w:p w:rsidR="00F30E41" w:rsidRPr="00DF0BDD" w:rsidRDefault="00F30E41" w:rsidP="00DF0BDD">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DF0BDD" w:rsidRDefault="00F30E41" w:rsidP="009078B1">
      <w:pPr>
        <w:tabs>
          <w:tab w:val="left" w:pos="6946"/>
        </w:tabs>
        <w:spacing w:after="0" w:line="360" w:lineRule="auto"/>
        <w:ind w:firstLine="709"/>
        <w:jc w:val="both"/>
        <w:rPr>
          <w:rFonts w:ascii="Times New Roman" w:hAnsi="Times New Roman" w:cs="Times New Roman"/>
          <w:color w:val="000000"/>
          <w:sz w:val="28"/>
          <w:szCs w:val="28"/>
          <w:lang w:val="ru-RU"/>
        </w:rPr>
      </w:pPr>
      <w:r w:rsidRPr="00DF0BDD">
        <w:rPr>
          <w:rFonts w:ascii="Times New Roman" w:hAnsi="Times New Roman" w:cs="Times New Roman"/>
          <w:color w:val="000000"/>
          <w:sz w:val="28"/>
          <w:szCs w:val="28"/>
          <w:lang w:val="ru-RU"/>
        </w:rPr>
        <w:t>Досвід провідних країн демонструє різні моделі енергетичного переходу. Європейський Союз застосовує комплексну стратегію сталого розвитку на основі регуляторних і фінансових інструментів, зокрема EU ETS, «Зеленого курсу» та Паризької кліматичної угоди, з метою досягнення вуглецевої нейтральності до 2050 року. Водночас енергетична криза 2022</w:t>
      </w:r>
      <w:r>
        <w:rPr>
          <w:rFonts w:ascii="Times New Roman" w:hAnsi="Times New Roman" w:cs="Times New Roman"/>
          <w:color w:val="000000"/>
          <w:sz w:val="28"/>
          <w:szCs w:val="28"/>
          <w:lang w:val="ru-RU"/>
        </w:rPr>
        <w:t>-</w:t>
      </w:r>
      <w:r w:rsidRPr="00DF0BDD">
        <w:rPr>
          <w:rFonts w:ascii="Times New Roman" w:hAnsi="Times New Roman" w:cs="Times New Roman"/>
          <w:color w:val="000000"/>
          <w:sz w:val="28"/>
          <w:szCs w:val="28"/>
          <w:lang w:val="ru-RU"/>
        </w:rPr>
        <w:t>2023 рр. створила ризики уповільнення реформ. У США переважає ринковий підхід, орієнтований на інновації та приватні інвестиції, який підтримується такими ініціативами, як Inflation Reduction Act (2022). Китай реалізує централізовану стратегію з орієнтиром на пік викидів до 2030 року та досягнення вуглецевої нейтральності до 2060 року, впроваджуючи національну систему торгівлі викидами та підтримку ВДЕ й електромобілів.</w:t>
      </w:r>
    </w:p>
    <w:p w:rsidR="00F30E41" w:rsidRDefault="00F30E41" w:rsidP="009078B1">
      <w:pPr>
        <w:tabs>
          <w:tab w:val="left" w:pos="6946"/>
        </w:tabs>
        <w:spacing w:after="0" w:line="360" w:lineRule="auto"/>
        <w:ind w:firstLine="709"/>
        <w:jc w:val="both"/>
        <w:rPr>
          <w:rFonts w:ascii="Times New Roman" w:hAnsi="Times New Roman" w:cs="Times New Roman"/>
          <w:color w:val="000000"/>
          <w:sz w:val="28"/>
          <w:szCs w:val="28"/>
          <w:lang w:val="ru-RU"/>
        </w:rPr>
      </w:pPr>
      <w:r w:rsidRPr="00DF0BDD">
        <w:rPr>
          <w:rFonts w:ascii="Times New Roman" w:hAnsi="Times New Roman" w:cs="Times New Roman"/>
          <w:color w:val="000000"/>
          <w:sz w:val="28"/>
          <w:szCs w:val="28"/>
          <w:lang w:val="ru-RU"/>
        </w:rPr>
        <w:t>Таким чином, ефективність енергетичного переходу визначається узгодженістю інституційної політики, рівнем державної підтримки та гнучкістю фінансових ринків щодо вимог сталого розвитку. Для інвесторів це означає, що привабливість енергетичного сектору має національну специфіку, залежну від регуляторного середовища, ринкової структури та доступності механізмів стимулювання. Відтак, під час формування міжнародного інвестиційного портфеля доцільно доповнювати аналіз макроекономічних показників оцінкою екологічної та енергетичної політики кожної країни</w:t>
      </w:r>
    </w:p>
    <w:p w:rsidR="00F30E41" w:rsidRPr="009078B1" w:rsidRDefault="00F30E41" w:rsidP="009078B1">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4F01A6" w:rsidRDefault="00F30E41" w:rsidP="00C26FD4">
      <w:pPr>
        <w:tabs>
          <w:tab w:val="left" w:pos="6946"/>
        </w:tabs>
        <w:spacing w:after="0" w:line="360" w:lineRule="auto"/>
        <w:ind w:firstLine="709"/>
        <w:jc w:val="both"/>
        <w:rPr>
          <w:rFonts w:ascii="Times New Roman" w:hAnsi="Times New Roman" w:cs="Times New Roman"/>
          <w:b/>
          <w:bCs/>
          <w:color w:val="000000"/>
          <w:sz w:val="28"/>
          <w:szCs w:val="28"/>
          <w:lang w:val="ru-RU"/>
        </w:rPr>
      </w:pPr>
      <w:r w:rsidRPr="00A86E3D">
        <w:rPr>
          <w:rFonts w:ascii="Times New Roman" w:hAnsi="Times New Roman" w:cs="Times New Roman"/>
          <w:b/>
          <w:bCs/>
          <w:color w:val="000000"/>
          <w:sz w:val="28"/>
          <w:szCs w:val="28"/>
          <w:lang w:val="ru-RU"/>
        </w:rPr>
        <w:t xml:space="preserve">2.2. </w:t>
      </w:r>
      <w:r w:rsidRPr="00A86E3D">
        <w:rPr>
          <w:rFonts w:ascii="Times New Roman" w:hAnsi="Times New Roman" w:cs="Times New Roman"/>
          <w:b/>
          <w:bCs/>
          <w:color w:val="000000"/>
          <w:sz w:val="28"/>
          <w:szCs w:val="28"/>
        </w:rPr>
        <w:t>Динаміка дохідності інвестиційних активів у ключових секторах</w:t>
      </w:r>
    </w:p>
    <w:p w:rsidR="00F30E41" w:rsidRPr="004F01A6" w:rsidRDefault="00F30E41" w:rsidP="00C26FD4">
      <w:pPr>
        <w:tabs>
          <w:tab w:val="left" w:pos="6946"/>
        </w:tabs>
        <w:spacing w:after="0" w:line="360" w:lineRule="auto"/>
        <w:ind w:firstLine="709"/>
        <w:jc w:val="both"/>
        <w:rPr>
          <w:rFonts w:ascii="Times New Roman" w:hAnsi="Times New Roman" w:cs="Times New Roman"/>
          <w:b/>
          <w:bCs/>
          <w:color w:val="000000"/>
          <w:sz w:val="28"/>
          <w:szCs w:val="28"/>
          <w:lang w:val="ru-RU"/>
        </w:rPr>
      </w:pPr>
    </w:p>
    <w:p w:rsidR="00F30E41" w:rsidRDefault="00F30E41" w:rsidP="009078B1">
      <w:pPr>
        <w:tabs>
          <w:tab w:val="left" w:pos="6946"/>
        </w:tabs>
        <w:spacing w:after="0" w:line="360" w:lineRule="auto"/>
        <w:ind w:firstLine="709"/>
        <w:jc w:val="both"/>
        <w:rPr>
          <w:rFonts w:ascii="Times New Roman" w:hAnsi="Times New Roman" w:cs="Times New Roman"/>
          <w:color w:val="000000"/>
          <w:sz w:val="28"/>
          <w:szCs w:val="28"/>
          <w:lang w:val="ru-RU"/>
        </w:rPr>
      </w:pPr>
      <w:r w:rsidRPr="007F4EAC">
        <w:rPr>
          <w:rFonts w:ascii="Times New Roman" w:hAnsi="Times New Roman" w:cs="Times New Roman"/>
          <w:color w:val="000000"/>
          <w:sz w:val="28"/>
          <w:szCs w:val="28"/>
          <w:lang w:val="ru-RU"/>
        </w:rPr>
        <w:t xml:space="preserve">Після загального аналізу інвестиційної привабливості ключових секторів, доцільним є перехід до кількісної оцінки ефективності вкладень у ці галузі. Зокрема, важливо дослідити динаміку дохідності інвестиційних активів, що дозволить виявити не лише потенціал зростання, а й стійкість секторів у часі. </w:t>
      </w:r>
    </w:p>
    <w:p w:rsidR="00F30E41" w:rsidRDefault="00F30E41" w:rsidP="009078B1">
      <w:pPr>
        <w:tabs>
          <w:tab w:val="left" w:pos="6946"/>
        </w:tabs>
        <w:spacing w:after="0" w:line="360" w:lineRule="auto"/>
        <w:ind w:firstLine="709"/>
        <w:jc w:val="both"/>
        <w:rPr>
          <w:rFonts w:ascii="Times New Roman" w:hAnsi="Times New Roman" w:cs="Times New Roman"/>
          <w:color w:val="000000"/>
          <w:sz w:val="28"/>
          <w:szCs w:val="28"/>
          <w:lang w:val="ru-RU"/>
        </w:rPr>
      </w:pPr>
      <w:r w:rsidRPr="007F4EAC">
        <w:rPr>
          <w:rFonts w:ascii="Times New Roman" w:hAnsi="Times New Roman" w:cs="Times New Roman"/>
          <w:color w:val="000000"/>
          <w:sz w:val="28"/>
          <w:szCs w:val="28"/>
          <w:lang w:val="ru-RU"/>
        </w:rPr>
        <w:t xml:space="preserve">У цьому контексті аналіз секторних індексів </w:t>
      </w:r>
      <w:r w:rsidRPr="007F4EAC">
        <w:rPr>
          <w:rFonts w:ascii="Times New Roman" w:hAnsi="Times New Roman" w:cs="Times New Roman"/>
          <w:color w:val="000000"/>
          <w:sz w:val="28"/>
          <w:szCs w:val="28"/>
          <w:lang w:val="de-AT"/>
        </w:rPr>
        <w:t>MSCI</w:t>
      </w:r>
      <w:r w:rsidRPr="007F4EAC">
        <w:rPr>
          <w:rFonts w:ascii="Times New Roman" w:hAnsi="Times New Roman" w:cs="Times New Roman"/>
          <w:color w:val="000000"/>
          <w:sz w:val="28"/>
          <w:szCs w:val="28"/>
          <w:lang w:val="ru-RU"/>
        </w:rPr>
        <w:t xml:space="preserve"> </w:t>
      </w:r>
      <w:r w:rsidRPr="007F4EAC">
        <w:rPr>
          <w:rFonts w:ascii="Times New Roman" w:hAnsi="Times New Roman" w:cs="Times New Roman"/>
          <w:color w:val="000000"/>
          <w:sz w:val="28"/>
          <w:szCs w:val="28"/>
          <w:lang w:val="de-AT"/>
        </w:rPr>
        <w:t>World</w:t>
      </w:r>
      <w:r w:rsidRPr="007F4EAC">
        <w:rPr>
          <w:rFonts w:ascii="Times New Roman" w:hAnsi="Times New Roman" w:cs="Times New Roman"/>
          <w:color w:val="000000"/>
          <w:sz w:val="28"/>
          <w:szCs w:val="28"/>
          <w:lang w:val="ru-RU"/>
        </w:rPr>
        <w:t xml:space="preserve"> за період 2020–2024 років дозволяє узагальнити ринкову поведінку відповідних галузей у глобальному масштабі.</w:t>
      </w:r>
    </w:p>
    <w:p w:rsidR="00F30E41" w:rsidRPr="009078B1" w:rsidRDefault="00F30E41" w:rsidP="009078B1">
      <w:pPr>
        <w:tabs>
          <w:tab w:val="left" w:pos="6946"/>
        </w:tabs>
        <w:spacing w:after="0" w:line="360" w:lineRule="auto"/>
        <w:ind w:firstLine="709"/>
        <w:jc w:val="both"/>
        <w:rPr>
          <w:rFonts w:ascii="Times New Roman" w:hAnsi="Times New Roman" w:cs="Times New Roman"/>
          <w:color w:val="000000"/>
          <w:sz w:val="28"/>
          <w:szCs w:val="28"/>
          <w:lang w:val="ru-RU"/>
        </w:rPr>
      </w:pPr>
      <w:r>
        <w:rPr>
          <w:noProof/>
          <w:lang w:val="ru-RU" w:eastAsia="ru-RU"/>
        </w:rPr>
        <w:pict>
          <v:shape id="_x0000_s1034" type="#_x0000_t75" style="position:absolute;left:0;text-align:left;margin-left:5.95pt;margin-top:-.5pt;width:424.8pt;height:173.75pt;z-index:251658752;visibility:visible;mso-wrap-distance-bottom:.12pt">
            <v:imagedata r:id="rId37" o:title=""/>
            <w10:wrap type="topAndBottom"/>
          </v:shape>
          <o:OLEObject Type="Embed" ProgID="Excel.Chart.8" ShapeID="_x0000_s1034" DrawAspect="Content" ObjectID="_1811317242" r:id="rId38"/>
        </w:pict>
      </w: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lang w:val="ru-RU"/>
        </w:rPr>
        <w:t xml:space="preserve">12 </w:t>
      </w:r>
      <w:r w:rsidRPr="005E517D">
        <w:rPr>
          <w:rFonts w:ascii="Times New Roman" w:hAnsi="Times New Roman" w:cs="Times New Roman"/>
          <w:color w:val="000000"/>
          <w:sz w:val="28"/>
          <w:szCs w:val="28"/>
        </w:rPr>
        <w:t>Динаміка секторних індексів MSCI World у 2020</w:t>
      </w:r>
      <w:r>
        <w:rPr>
          <w:rFonts w:ascii="Times New Roman" w:hAnsi="Times New Roman" w:cs="Times New Roman"/>
          <w:color w:val="000000"/>
          <w:sz w:val="28"/>
          <w:szCs w:val="28"/>
          <w:lang w:val="ru-RU"/>
        </w:rPr>
        <w:t>-</w:t>
      </w:r>
      <w:r w:rsidRPr="005E517D">
        <w:rPr>
          <w:rFonts w:ascii="Times New Roman" w:hAnsi="Times New Roman" w:cs="Times New Roman"/>
          <w:color w:val="000000"/>
          <w:sz w:val="28"/>
          <w:szCs w:val="28"/>
        </w:rPr>
        <w:t>2024 роках</w:t>
      </w:r>
      <w:r>
        <w:rPr>
          <w:rFonts w:ascii="Times New Roman" w:hAnsi="Times New Roman" w:cs="Times New Roman"/>
          <w:color w:val="000000"/>
          <w:sz w:val="28"/>
          <w:szCs w:val="28"/>
        </w:rPr>
        <w:t xml:space="preserve">, </w:t>
      </w:r>
      <w:r w:rsidRPr="005E517D">
        <w:rPr>
          <w:rFonts w:ascii="Times New Roman" w:hAnsi="Times New Roman" w:cs="Times New Roman"/>
          <w:color w:val="000000"/>
          <w:sz w:val="28"/>
          <w:szCs w:val="28"/>
        </w:rPr>
        <w:t xml:space="preserve">базове значення </w:t>
      </w:r>
      <w:r>
        <w:rPr>
          <w:rFonts w:ascii="Times New Roman" w:hAnsi="Times New Roman" w:cs="Times New Roman"/>
          <w:color w:val="000000"/>
          <w:sz w:val="28"/>
          <w:szCs w:val="28"/>
        </w:rPr>
        <w:t>-</w:t>
      </w:r>
      <w:r w:rsidRPr="005E517D">
        <w:rPr>
          <w:rFonts w:ascii="Times New Roman" w:hAnsi="Times New Roman" w:cs="Times New Roman"/>
          <w:color w:val="000000"/>
          <w:sz w:val="28"/>
          <w:szCs w:val="28"/>
        </w:rPr>
        <w:t xml:space="preserve"> пунктів індексу</w:t>
      </w:r>
      <w:r>
        <w:rPr>
          <w:rFonts w:ascii="Times New Roman" w:hAnsi="Times New Roman" w:cs="Times New Roman"/>
          <w:color w:val="000000"/>
          <w:sz w:val="28"/>
          <w:szCs w:val="28"/>
        </w:rPr>
        <w:t>.</w:t>
      </w:r>
    </w:p>
    <w:p w:rsidR="00F30E41" w:rsidRDefault="00F30E41" w:rsidP="001532C6">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41</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p>
    <w:p w:rsidR="00F30E41" w:rsidRPr="00DB1AC6" w:rsidRDefault="00F30E41" w:rsidP="00DB1AC6">
      <w:pPr>
        <w:tabs>
          <w:tab w:val="left" w:pos="6946"/>
        </w:tabs>
        <w:spacing w:after="0" w:line="360" w:lineRule="auto"/>
        <w:ind w:firstLine="709"/>
        <w:jc w:val="both"/>
        <w:rPr>
          <w:rFonts w:ascii="Times New Roman" w:hAnsi="Times New Roman" w:cs="Times New Roman"/>
          <w:color w:val="000000"/>
          <w:sz w:val="28"/>
          <w:szCs w:val="28"/>
          <w:lang w:val="ru-RU"/>
        </w:rPr>
      </w:pPr>
      <w:r w:rsidRPr="00DB1AC6">
        <w:rPr>
          <w:rFonts w:ascii="Times New Roman" w:hAnsi="Times New Roman" w:cs="Times New Roman"/>
          <w:color w:val="000000"/>
          <w:sz w:val="28"/>
          <w:szCs w:val="28"/>
          <w:lang w:val="ru-RU"/>
        </w:rPr>
        <w:t>Графік демонструє, що найбільш динамічне зростання за період 2020</w:t>
      </w:r>
      <w:r>
        <w:rPr>
          <w:rFonts w:ascii="Times New Roman" w:hAnsi="Times New Roman" w:cs="Times New Roman"/>
          <w:color w:val="000000"/>
          <w:sz w:val="28"/>
          <w:szCs w:val="28"/>
          <w:lang w:val="ru-RU"/>
        </w:rPr>
        <w:t>-</w:t>
      </w:r>
      <w:r w:rsidRPr="00DB1AC6">
        <w:rPr>
          <w:rFonts w:ascii="Times New Roman" w:hAnsi="Times New Roman" w:cs="Times New Roman"/>
          <w:color w:val="000000"/>
          <w:sz w:val="28"/>
          <w:szCs w:val="28"/>
          <w:lang w:val="ru-RU"/>
        </w:rPr>
        <w:t>2024 років спостерігалося в технологічному секторі, індекс якого зріс більш ніж удвічі. Така динаміка зумовлена високою інвестиційною активністю у сфері цифровізації, розвитку штучного інтелекту, хмарних технологій і кібербезпеки, а також стійким попитом з боку інституційних інвесторів.</w:t>
      </w:r>
    </w:p>
    <w:p w:rsidR="00F30E41" w:rsidRPr="00DB1AC6" w:rsidRDefault="00F30E41" w:rsidP="00DB1AC6">
      <w:pPr>
        <w:tabs>
          <w:tab w:val="left" w:pos="6946"/>
        </w:tabs>
        <w:spacing w:after="0" w:line="360" w:lineRule="auto"/>
        <w:ind w:firstLine="709"/>
        <w:jc w:val="both"/>
        <w:rPr>
          <w:rFonts w:ascii="Times New Roman" w:hAnsi="Times New Roman" w:cs="Times New Roman"/>
          <w:color w:val="000000"/>
          <w:sz w:val="28"/>
          <w:szCs w:val="28"/>
          <w:lang w:val="ru-RU"/>
        </w:rPr>
      </w:pPr>
      <w:r w:rsidRPr="00DB1AC6">
        <w:rPr>
          <w:rFonts w:ascii="Times New Roman" w:hAnsi="Times New Roman" w:cs="Times New Roman"/>
          <w:color w:val="000000"/>
          <w:sz w:val="28"/>
          <w:szCs w:val="28"/>
          <w:lang w:val="ru-RU"/>
        </w:rPr>
        <w:t>Сектор охорони здоров’я демонструє відносно стабільну траєкторію з помірним, але впевненим зростанням. Його стійкість пов’язана з постійним попитом на фармацевтичні продукти, розвитком біотехнологій, а також тим, що цей сектор традиційно вважається захисним у періоди економічної турбулентності.</w:t>
      </w:r>
    </w:p>
    <w:p w:rsidR="00F30E41" w:rsidRPr="00DB1AC6" w:rsidRDefault="00F30E41" w:rsidP="00DB1AC6">
      <w:pPr>
        <w:tabs>
          <w:tab w:val="left" w:pos="6946"/>
        </w:tabs>
        <w:spacing w:after="0" w:line="360" w:lineRule="auto"/>
        <w:ind w:firstLine="709"/>
        <w:jc w:val="both"/>
        <w:rPr>
          <w:rFonts w:ascii="Times New Roman" w:hAnsi="Times New Roman" w:cs="Times New Roman"/>
          <w:color w:val="000000"/>
          <w:sz w:val="28"/>
          <w:szCs w:val="28"/>
          <w:lang w:val="ru-RU"/>
        </w:rPr>
      </w:pPr>
      <w:r w:rsidRPr="00DB1AC6">
        <w:rPr>
          <w:rFonts w:ascii="Times New Roman" w:hAnsi="Times New Roman" w:cs="Times New Roman"/>
          <w:color w:val="000000"/>
          <w:sz w:val="28"/>
          <w:szCs w:val="28"/>
          <w:lang w:val="ru-RU"/>
        </w:rPr>
        <w:t xml:space="preserve">Енергетичний сектор, хоча й стартував з найнижчого рівня </w:t>
      </w:r>
      <w:r>
        <w:rPr>
          <w:rFonts w:ascii="Times New Roman" w:hAnsi="Times New Roman" w:cs="Times New Roman"/>
          <w:color w:val="000000"/>
          <w:sz w:val="28"/>
          <w:szCs w:val="28"/>
          <w:lang w:val="ru-RU"/>
        </w:rPr>
        <w:t>в</w:t>
      </w:r>
      <w:r w:rsidRPr="00DB1AC6">
        <w:rPr>
          <w:rFonts w:ascii="Times New Roman" w:hAnsi="Times New Roman" w:cs="Times New Roman"/>
          <w:color w:val="000000"/>
          <w:sz w:val="28"/>
          <w:szCs w:val="28"/>
          <w:lang w:val="ru-RU"/>
        </w:rPr>
        <w:t xml:space="preserve"> 2020 році, продемонстрував значне зростання у 2024 році. Проте динаміка була більш волатильною, що відображає структурну трансформацію галузі у напрямку відновлюваних джерел енергії та декарбонізації.</w:t>
      </w:r>
    </w:p>
    <w:p w:rsidR="00F30E41" w:rsidRPr="00B31832" w:rsidRDefault="00F30E41" w:rsidP="00C26FD4">
      <w:pPr>
        <w:tabs>
          <w:tab w:val="left" w:pos="6946"/>
        </w:tabs>
        <w:spacing w:after="0" w:line="360" w:lineRule="auto"/>
        <w:ind w:firstLine="709"/>
        <w:jc w:val="both"/>
        <w:rPr>
          <w:rFonts w:ascii="Times New Roman" w:hAnsi="Times New Roman" w:cs="Times New Roman"/>
          <w:color w:val="000000"/>
          <w:sz w:val="28"/>
          <w:szCs w:val="28"/>
        </w:rPr>
      </w:pPr>
      <w:r w:rsidRPr="00B31832">
        <w:rPr>
          <w:rFonts w:ascii="Times New Roman" w:hAnsi="Times New Roman" w:cs="Times New Roman"/>
          <w:color w:val="000000"/>
          <w:sz w:val="28"/>
          <w:szCs w:val="28"/>
        </w:rPr>
        <w:t>Попередній аналіз продемонстрував відмінності у динаміці індексів ключових галузей, що свідчить про нерівномірність зростання у межах глобального фондового ринку. Проте індексні значення відображають середні показники по сектору, не враховуючи індивідуальної поведінки окремих емітентів. Тому наступним кроком доцільно здійснити аналіз річної дохідності акцій окремих компаній, що репрезентують відповідні галузі, для кращого розуміння внутрішньої структури дохідності в кожному секторі.</w:t>
      </w:r>
    </w:p>
    <w:p w:rsidR="00F30E41" w:rsidRPr="004F01A6" w:rsidRDefault="00F30E41" w:rsidP="009B26D8">
      <w:pPr>
        <w:tabs>
          <w:tab w:val="left" w:pos="6946"/>
        </w:tabs>
        <w:spacing w:after="0" w:line="360" w:lineRule="auto"/>
        <w:ind w:firstLine="709"/>
        <w:jc w:val="both"/>
        <w:rPr>
          <w:rFonts w:ascii="Times New Roman" w:hAnsi="Times New Roman" w:cs="Times New Roman"/>
          <w:color w:val="000000"/>
          <w:sz w:val="28"/>
          <w:szCs w:val="28"/>
        </w:rPr>
      </w:pPr>
      <w:r>
        <w:rPr>
          <w:noProof/>
          <w:lang w:val="ru-RU" w:eastAsia="ru-RU"/>
        </w:rPr>
        <w:pict>
          <v:shape id="_x0000_s1035" type="#_x0000_t75" style="position:absolute;left:0;text-align:left;margin-left:2.35pt;margin-top:188pt;width:416.15pt;height:195.35pt;z-index:251659776;visibility:visible;mso-wrap-distance-bottom:.12pt">
            <v:imagedata r:id="rId39" o:title=""/>
            <w10:wrap type="topAndBottom"/>
          </v:shape>
          <o:OLEObject Type="Embed" ProgID="Excel.Chart.8" ShapeID="_x0000_s1035" DrawAspect="Content" ObjectID="_1811317243" r:id="rId40"/>
        </w:pict>
      </w:r>
      <w:r w:rsidRPr="003F2602">
        <w:rPr>
          <w:rFonts w:ascii="Times New Roman" w:hAnsi="Times New Roman" w:cs="Times New Roman"/>
          <w:color w:val="000000"/>
          <w:sz w:val="28"/>
          <w:szCs w:val="28"/>
        </w:rPr>
        <w:t xml:space="preserve">NVIDIA (США) демонструє стрімке зростання завдяки лідерству у сферах штучного інтелекту та графічних процесорів. ASML Holding (Нідерланди) є критично важливою ланкою у виробництві напівпровідників, оскільки володіє монополією на технологію фотолітографії для сучасних чипів. Sony Group (Японія) представлена як приклад диверсифікованого холдингу, що поєднує споживчу електроніку, цифровий контент і мікроелектроніку. </w:t>
      </w:r>
      <w:r w:rsidRPr="00F17CB4">
        <w:rPr>
          <w:rFonts w:ascii="Times New Roman" w:hAnsi="Times New Roman" w:cs="Times New Roman"/>
          <w:color w:val="000000"/>
          <w:sz w:val="28"/>
          <w:szCs w:val="28"/>
        </w:rPr>
        <w:t xml:space="preserve">Такий добір компаній дозволяє проаналізувати дохідність у межах однієї галузі з урахуванням специфіки бізнес-моделей, регіонального </w:t>
      </w:r>
      <w:r w:rsidRPr="00026ECC">
        <w:rPr>
          <w:rFonts w:ascii="Times New Roman" w:hAnsi="Times New Roman" w:cs="Times New Roman"/>
          <w:color w:val="000000"/>
          <w:sz w:val="28"/>
          <w:szCs w:val="28"/>
        </w:rPr>
        <w:t>контексту та ступеня залученості до інноваційних процесів.</w:t>
      </w:r>
    </w:p>
    <w:p w:rsidR="00F30E41" w:rsidRPr="007F27F8" w:rsidRDefault="00F30E41" w:rsidP="005865C7">
      <w:pPr>
        <w:tabs>
          <w:tab w:val="left" w:pos="6946"/>
        </w:tabs>
        <w:spacing w:after="0" w:line="360" w:lineRule="auto"/>
        <w:ind w:firstLine="709"/>
        <w:rPr>
          <w:rFonts w:ascii="Times New Roman" w:hAnsi="Times New Roman" w:cs="Times New Roman"/>
          <w:color w:val="000000"/>
          <w:sz w:val="28"/>
          <w:szCs w:val="28"/>
          <w:lang w:val="ru-RU"/>
        </w:rPr>
      </w:pPr>
      <w:r w:rsidRPr="004F01A6">
        <w:rPr>
          <w:rFonts w:ascii="Times New Roman" w:hAnsi="Times New Roman" w:cs="Times New Roman"/>
          <w:color w:val="000000"/>
          <w:sz w:val="28"/>
          <w:szCs w:val="28"/>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rPr>
        <w:t>1</w:t>
      </w:r>
      <w:r>
        <w:rPr>
          <w:rFonts w:ascii="Times New Roman" w:hAnsi="Times New Roman" w:cs="Times New Roman"/>
          <w:color w:val="000000"/>
          <w:sz w:val="28"/>
          <w:szCs w:val="28"/>
          <w:lang w:val="ru-RU"/>
        </w:rPr>
        <w:t>3</w:t>
      </w:r>
      <w:r w:rsidRPr="004F01A6">
        <w:rPr>
          <w:rFonts w:ascii="Times New Roman" w:hAnsi="Times New Roman" w:cs="Times New Roman"/>
          <w:color w:val="000000"/>
          <w:sz w:val="28"/>
          <w:szCs w:val="28"/>
        </w:rPr>
        <w:t xml:space="preserve"> </w:t>
      </w:r>
      <w:r w:rsidRPr="007F27F8">
        <w:rPr>
          <w:rFonts w:ascii="Times New Roman" w:hAnsi="Times New Roman" w:cs="Times New Roman"/>
          <w:color w:val="000000"/>
          <w:sz w:val="28"/>
          <w:szCs w:val="28"/>
        </w:rPr>
        <w:t xml:space="preserve">Дохідність технологічних компаній </w:t>
      </w:r>
      <w:r>
        <w:rPr>
          <w:rFonts w:ascii="Times New Roman" w:hAnsi="Times New Roman" w:cs="Times New Roman"/>
          <w:color w:val="000000"/>
          <w:sz w:val="28"/>
          <w:szCs w:val="28"/>
          <w:lang w:val="ru-RU"/>
        </w:rPr>
        <w:t xml:space="preserve">у </w:t>
      </w:r>
      <w:r w:rsidRPr="007F27F8">
        <w:rPr>
          <w:rFonts w:ascii="Times New Roman" w:hAnsi="Times New Roman" w:cs="Times New Roman"/>
          <w:color w:val="000000"/>
          <w:sz w:val="28"/>
          <w:szCs w:val="28"/>
        </w:rPr>
        <w:t>2020</w:t>
      </w:r>
      <w:r>
        <w:rPr>
          <w:rFonts w:ascii="Times New Roman" w:hAnsi="Times New Roman" w:cs="Times New Roman"/>
          <w:color w:val="000000"/>
          <w:sz w:val="28"/>
          <w:szCs w:val="28"/>
          <w:lang w:val="ru-RU"/>
        </w:rPr>
        <w:t>-</w:t>
      </w:r>
      <w:r w:rsidRPr="007F27F8">
        <w:rPr>
          <w:rFonts w:ascii="Times New Roman" w:hAnsi="Times New Roman" w:cs="Times New Roman"/>
          <w:color w:val="000000"/>
          <w:sz w:val="28"/>
          <w:szCs w:val="28"/>
        </w:rPr>
        <w:t>2024</w:t>
      </w:r>
      <w:r>
        <w:rPr>
          <w:rFonts w:ascii="Times New Roman" w:hAnsi="Times New Roman" w:cs="Times New Roman"/>
          <w:color w:val="000000"/>
          <w:sz w:val="28"/>
          <w:szCs w:val="28"/>
          <w:lang w:val="ru-RU"/>
        </w:rPr>
        <w:t xml:space="preserve"> роках.</w:t>
      </w:r>
    </w:p>
    <w:p w:rsidR="00F30E41" w:rsidRDefault="00F30E41" w:rsidP="005865C7">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sidRPr="0003741D">
        <w:rPr>
          <w:rFonts w:ascii="Times New Roman" w:hAnsi="Times New Roman" w:cs="Times New Roman"/>
          <w:color w:val="000000"/>
          <w:sz w:val="28"/>
          <w:szCs w:val="28"/>
          <w:lang w:val="ru-RU"/>
        </w:rPr>
        <w:t>4</w:t>
      </w:r>
      <w:r>
        <w:rPr>
          <w:rFonts w:ascii="Times New Roman" w:hAnsi="Times New Roman" w:cs="Times New Roman"/>
          <w:color w:val="000000"/>
          <w:sz w:val="28"/>
          <w:szCs w:val="28"/>
          <w:lang w:val="ru-RU"/>
        </w:rPr>
        <w:t>2</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p>
    <w:p w:rsidR="00F30E41" w:rsidRPr="00026ECC" w:rsidRDefault="00F30E41" w:rsidP="00026ECC">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Проанал</w:t>
      </w:r>
      <w:r>
        <w:rPr>
          <w:rFonts w:ascii="Times New Roman" w:hAnsi="Times New Roman" w:cs="Times New Roman"/>
          <w:color w:val="000000"/>
          <w:sz w:val="28"/>
          <w:szCs w:val="28"/>
        </w:rPr>
        <w:t>ізувавши графік, можна дійти висновку, що</w:t>
      </w:r>
      <w:r w:rsidRPr="00026ECC">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є суттєва </w:t>
      </w:r>
      <w:r w:rsidRPr="00026ECC">
        <w:rPr>
          <w:rFonts w:ascii="Times New Roman" w:hAnsi="Times New Roman" w:cs="Times New Roman"/>
          <w:color w:val="000000"/>
          <w:sz w:val="28"/>
          <w:szCs w:val="28"/>
          <w:lang w:val="ru-RU"/>
        </w:rPr>
        <w:t>різниц</w:t>
      </w:r>
      <w:r>
        <w:rPr>
          <w:rFonts w:ascii="Times New Roman" w:hAnsi="Times New Roman" w:cs="Times New Roman"/>
          <w:color w:val="000000"/>
          <w:sz w:val="28"/>
          <w:szCs w:val="28"/>
          <w:lang w:val="ru-RU"/>
        </w:rPr>
        <w:t>я</w:t>
      </w:r>
      <w:r w:rsidRPr="00026ECC">
        <w:rPr>
          <w:rFonts w:ascii="Times New Roman" w:hAnsi="Times New Roman" w:cs="Times New Roman"/>
          <w:color w:val="000000"/>
          <w:sz w:val="28"/>
          <w:szCs w:val="28"/>
          <w:lang w:val="ru-RU"/>
        </w:rPr>
        <w:t xml:space="preserve"> у поведінці активів навіть в межах одного сектору, що підтверджує необхідність ретельного відбору компаній для формування ефективного інвестиційного портфеля.</w:t>
      </w:r>
    </w:p>
    <w:p w:rsidR="00F30E41" w:rsidRPr="00026ECC" w:rsidRDefault="00F30E41" w:rsidP="00026ECC">
      <w:pPr>
        <w:tabs>
          <w:tab w:val="left" w:pos="6946"/>
        </w:tabs>
        <w:spacing w:after="0" w:line="360" w:lineRule="auto"/>
        <w:ind w:firstLine="709"/>
        <w:jc w:val="both"/>
        <w:rPr>
          <w:rFonts w:ascii="Times New Roman" w:hAnsi="Times New Roman" w:cs="Times New Roman"/>
          <w:color w:val="000000"/>
          <w:sz w:val="28"/>
          <w:szCs w:val="28"/>
          <w:lang w:val="ru-RU"/>
        </w:rPr>
      </w:pPr>
      <w:r w:rsidRPr="00026ECC">
        <w:rPr>
          <w:rFonts w:ascii="Times New Roman" w:hAnsi="Times New Roman" w:cs="Times New Roman"/>
          <w:color w:val="000000"/>
          <w:sz w:val="28"/>
          <w:szCs w:val="28"/>
          <w:lang w:val="de-AT"/>
        </w:rPr>
        <w:t>NVIDIA</w:t>
      </w:r>
      <w:r w:rsidRPr="00026ECC">
        <w:rPr>
          <w:rFonts w:ascii="Times New Roman" w:hAnsi="Times New Roman" w:cs="Times New Roman"/>
          <w:color w:val="000000"/>
          <w:sz w:val="28"/>
          <w:szCs w:val="28"/>
          <w:lang w:val="ru-RU"/>
        </w:rPr>
        <w:t xml:space="preserve"> протягом більшості аналізованого періоду показувала виняткову прибутковість, досягаючи понад 200% річного зростання у 2023 році. Це пояснюється стрімким розвитком сегменту штучного інтелекту, зростанням попиту на графічні процесори та очікуваннями високих майбутніх прибутків. Водночас компанія демонструє і високу волатильність: у 2022 році дохідність була від’ємною, що є типовим для акцій з високим потенціалом зростання.</w:t>
      </w:r>
    </w:p>
    <w:p w:rsidR="00F30E41" w:rsidRPr="00026ECC" w:rsidRDefault="00F30E41" w:rsidP="00026ECC">
      <w:pPr>
        <w:tabs>
          <w:tab w:val="left" w:pos="6946"/>
        </w:tabs>
        <w:spacing w:after="0" w:line="360" w:lineRule="auto"/>
        <w:ind w:firstLine="709"/>
        <w:jc w:val="both"/>
        <w:rPr>
          <w:rFonts w:ascii="Times New Roman" w:hAnsi="Times New Roman" w:cs="Times New Roman"/>
          <w:color w:val="000000"/>
          <w:sz w:val="28"/>
          <w:szCs w:val="28"/>
          <w:lang w:val="ru-RU"/>
        </w:rPr>
      </w:pPr>
      <w:r w:rsidRPr="00026ECC">
        <w:rPr>
          <w:rFonts w:ascii="Times New Roman" w:hAnsi="Times New Roman" w:cs="Times New Roman"/>
          <w:color w:val="000000"/>
          <w:sz w:val="28"/>
          <w:szCs w:val="28"/>
          <w:lang w:val="de-AT"/>
        </w:rPr>
        <w:t>ASML</w:t>
      </w:r>
      <w:r w:rsidRPr="00026ECC">
        <w:rPr>
          <w:rFonts w:ascii="Times New Roman" w:hAnsi="Times New Roman" w:cs="Times New Roman"/>
          <w:color w:val="000000"/>
          <w:sz w:val="28"/>
          <w:szCs w:val="28"/>
          <w:lang w:val="ru-RU"/>
        </w:rPr>
        <w:t xml:space="preserve"> </w:t>
      </w:r>
      <w:r w:rsidRPr="00026ECC">
        <w:rPr>
          <w:rFonts w:ascii="Times New Roman" w:hAnsi="Times New Roman" w:cs="Times New Roman"/>
          <w:color w:val="000000"/>
          <w:sz w:val="28"/>
          <w:szCs w:val="28"/>
          <w:lang w:val="de-AT"/>
        </w:rPr>
        <w:t>Holding</w:t>
      </w:r>
      <w:r w:rsidRPr="00026ECC">
        <w:rPr>
          <w:rFonts w:ascii="Times New Roman" w:hAnsi="Times New Roman" w:cs="Times New Roman"/>
          <w:color w:val="000000"/>
          <w:sz w:val="28"/>
          <w:szCs w:val="28"/>
          <w:lang w:val="ru-RU"/>
        </w:rPr>
        <w:t xml:space="preserve"> демонструє стабільні, хоч і помірні темпи зростання протягом усього періоду, за винятком 2022 року, коли спостерігалося незначне падіння. Компанія займає унікальну нішу на ринку, що забезпечує відносну стійкість до коливань. Її дохідність є менш вражаючою порівняно з </w:t>
      </w:r>
      <w:r w:rsidRPr="00026ECC">
        <w:rPr>
          <w:rFonts w:ascii="Times New Roman" w:hAnsi="Times New Roman" w:cs="Times New Roman"/>
          <w:color w:val="000000"/>
          <w:sz w:val="28"/>
          <w:szCs w:val="28"/>
          <w:lang w:val="de-AT"/>
        </w:rPr>
        <w:t>NVIDIA</w:t>
      </w:r>
      <w:r w:rsidRPr="00026ECC">
        <w:rPr>
          <w:rFonts w:ascii="Times New Roman" w:hAnsi="Times New Roman" w:cs="Times New Roman"/>
          <w:color w:val="000000"/>
          <w:sz w:val="28"/>
          <w:szCs w:val="28"/>
          <w:lang w:val="ru-RU"/>
        </w:rPr>
        <w:t>, однак така стабільність може розглядатися як перевага в умовах нестабільної макроекономічної ситуації.</w:t>
      </w:r>
    </w:p>
    <w:p w:rsidR="00F30E41" w:rsidRPr="00026ECC" w:rsidRDefault="00F30E41" w:rsidP="00026ECC">
      <w:pPr>
        <w:tabs>
          <w:tab w:val="left" w:pos="6946"/>
        </w:tabs>
        <w:spacing w:after="0" w:line="360" w:lineRule="auto"/>
        <w:ind w:firstLine="709"/>
        <w:jc w:val="both"/>
        <w:rPr>
          <w:rFonts w:ascii="Times New Roman" w:hAnsi="Times New Roman" w:cs="Times New Roman"/>
          <w:color w:val="000000"/>
          <w:sz w:val="28"/>
          <w:szCs w:val="28"/>
          <w:lang w:val="ru-RU"/>
        </w:rPr>
      </w:pPr>
      <w:r w:rsidRPr="00026ECC">
        <w:rPr>
          <w:rFonts w:ascii="Times New Roman" w:hAnsi="Times New Roman" w:cs="Times New Roman"/>
          <w:color w:val="000000"/>
          <w:sz w:val="28"/>
          <w:szCs w:val="28"/>
          <w:lang w:val="de-AT"/>
        </w:rPr>
        <w:t>Sony</w:t>
      </w:r>
      <w:r w:rsidRPr="00026ECC">
        <w:rPr>
          <w:rFonts w:ascii="Times New Roman" w:hAnsi="Times New Roman" w:cs="Times New Roman"/>
          <w:color w:val="000000"/>
          <w:sz w:val="28"/>
          <w:szCs w:val="28"/>
          <w:lang w:val="ru-RU"/>
        </w:rPr>
        <w:t xml:space="preserve"> </w:t>
      </w:r>
      <w:r w:rsidRPr="00026ECC">
        <w:rPr>
          <w:rFonts w:ascii="Times New Roman" w:hAnsi="Times New Roman" w:cs="Times New Roman"/>
          <w:color w:val="000000"/>
          <w:sz w:val="28"/>
          <w:szCs w:val="28"/>
          <w:lang w:val="de-AT"/>
        </w:rPr>
        <w:t>Group</w:t>
      </w:r>
      <w:r w:rsidRPr="00026ECC">
        <w:rPr>
          <w:rFonts w:ascii="Times New Roman" w:hAnsi="Times New Roman" w:cs="Times New Roman"/>
          <w:color w:val="000000"/>
          <w:sz w:val="28"/>
          <w:szCs w:val="28"/>
          <w:lang w:val="ru-RU"/>
        </w:rPr>
        <w:t>, на відміну від попередніх компаній, демонструє найнижчі, але переважно позитивні результати. Незначна від’ємна динаміка у 2022 році поєднується з обережним зростанням в інші роки. Такий профіль характерний для конгломератів, що поєднують кілька бізнес-напрямів і орієнтуються на широку споживчу базу. У портфельному контексті ця компанія може виконувати роль стабілізатора з невисоким, але передбачуваним прибутком.</w:t>
      </w:r>
    </w:p>
    <w:p w:rsidR="00F30E41" w:rsidRDefault="00F30E41" w:rsidP="00026ECC">
      <w:pPr>
        <w:tabs>
          <w:tab w:val="left" w:pos="6946"/>
        </w:tabs>
        <w:spacing w:after="0" w:line="360" w:lineRule="auto"/>
        <w:ind w:firstLine="709"/>
        <w:jc w:val="both"/>
        <w:rPr>
          <w:rFonts w:ascii="Times New Roman" w:hAnsi="Times New Roman" w:cs="Times New Roman"/>
          <w:color w:val="000000"/>
          <w:sz w:val="28"/>
          <w:szCs w:val="28"/>
          <w:lang w:val="ru-RU"/>
        </w:rPr>
      </w:pPr>
      <w:r w:rsidRPr="00026ECC">
        <w:rPr>
          <w:rFonts w:ascii="Times New Roman" w:hAnsi="Times New Roman" w:cs="Times New Roman"/>
          <w:color w:val="000000"/>
          <w:sz w:val="28"/>
          <w:szCs w:val="28"/>
          <w:lang w:val="ru-RU"/>
        </w:rPr>
        <w:t xml:space="preserve">Загалом, наведені дані свідчать про те, що технологічний сектор має високий потенціал дохідності, проте суттєво різниться за рівнем ризику й волатильності залежно від конкретної бізнес-моделі. </w:t>
      </w:r>
    </w:p>
    <w:p w:rsidR="00F30E41" w:rsidRPr="005865C7" w:rsidRDefault="00F30E41" w:rsidP="005865C7">
      <w:pPr>
        <w:tabs>
          <w:tab w:val="left" w:pos="6946"/>
        </w:tabs>
        <w:spacing w:after="0" w:line="360" w:lineRule="auto"/>
        <w:ind w:firstLine="709"/>
        <w:jc w:val="both"/>
        <w:rPr>
          <w:rFonts w:ascii="Times New Roman" w:hAnsi="Times New Roman" w:cs="Times New Roman"/>
          <w:color w:val="000000"/>
          <w:sz w:val="28"/>
          <w:szCs w:val="28"/>
          <w:lang w:val="ru-RU"/>
        </w:rPr>
      </w:pPr>
      <w:r w:rsidRPr="005865C7">
        <w:rPr>
          <w:rFonts w:ascii="Times New Roman" w:hAnsi="Times New Roman" w:cs="Times New Roman"/>
          <w:color w:val="000000"/>
          <w:sz w:val="28"/>
          <w:szCs w:val="28"/>
          <w:lang w:val="ru-RU"/>
        </w:rPr>
        <w:t>Проведений аналіз технологічного сектору підтвердив високу прибутковість окремих компаній у поєднанні з істотною волатильністю, що зумовлює потребу в компенсації ризиків через включення до портфеля активів більш стабільних секторів. У цьому контексті доцільно розглянути сектор охорони здоров’я, який традиційно вважається більш захисним в інвестиційному середовищі.</w:t>
      </w:r>
    </w:p>
    <w:p w:rsidR="00F30E41" w:rsidRPr="005865C7" w:rsidRDefault="00F30E41" w:rsidP="005865C7">
      <w:pPr>
        <w:tabs>
          <w:tab w:val="left" w:pos="6946"/>
        </w:tabs>
        <w:spacing w:after="0" w:line="360" w:lineRule="auto"/>
        <w:ind w:firstLine="709"/>
        <w:jc w:val="both"/>
        <w:rPr>
          <w:rFonts w:ascii="Times New Roman" w:hAnsi="Times New Roman" w:cs="Times New Roman"/>
          <w:color w:val="000000"/>
          <w:sz w:val="28"/>
          <w:szCs w:val="28"/>
          <w:lang w:val="ru-RU"/>
        </w:rPr>
      </w:pPr>
      <w:r w:rsidRPr="005865C7">
        <w:rPr>
          <w:rFonts w:ascii="Times New Roman" w:hAnsi="Times New Roman" w:cs="Times New Roman"/>
          <w:color w:val="000000"/>
          <w:sz w:val="28"/>
          <w:szCs w:val="28"/>
          <w:lang w:val="ru-RU"/>
        </w:rPr>
        <w:t xml:space="preserve">Для поглибленої оцінки дохідності в межах галузі проаналізовано річну динаміку трьох провідних фармацевтичних компаній: </w:t>
      </w:r>
      <w:r w:rsidRPr="005865C7">
        <w:rPr>
          <w:rFonts w:ascii="Times New Roman" w:hAnsi="Times New Roman" w:cs="Times New Roman"/>
          <w:color w:val="000000"/>
          <w:sz w:val="28"/>
          <w:szCs w:val="28"/>
          <w:lang w:val="de-AT"/>
        </w:rPr>
        <w:t>Pfizer</w:t>
      </w:r>
      <w:r w:rsidRPr="005865C7">
        <w:rPr>
          <w:rFonts w:ascii="Times New Roman" w:hAnsi="Times New Roman" w:cs="Times New Roman"/>
          <w:color w:val="000000"/>
          <w:sz w:val="28"/>
          <w:szCs w:val="28"/>
          <w:lang w:val="ru-RU"/>
        </w:rPr>
        <w:t xml:space="preserve"> (США) </w:t>
      </w:r>
      <w:r>
        <w:rPr>
          <w:rFonts w:ascii="Times New Roman" w:hAnsi="Times New Roman" w:cs="Times New Roman"/>
          <w:color w:val="000000"/>
          <w:sz w:val="28"/>
          <w:szCs w:val="28"/>
          <w:lang w:val="ru-RU"/>
        </w:rPr>
        <w:t>-</w:t>
      </w:r>
      <w:r w:rsidRPr="005865C7">
        <w:rPr>
          <w:rFonts w:ascii="Times New Roman" w:hAnsi="Times New Roman" w:cs="Times New Roman"/>
          <w:color w:val="000000"/>
          <w:sz w:val="28"/>
          <w:szCs w:val="28"/>
          <w:lang w:val="ru-RU"/>
        </w:rPr>
        <w:t xml:space="preserve"> як одного з найбільших виробників вакцин та препаратів широкого застосування, </w:t>
      </w:r>
      <w:r w:rsidRPr="005865C7">
        <w:rPr>
          <w:rFonts w:ascii="Times New Roman" w:hAnsi="Times New Roman" w:cs="Times New Roman"/>
          <w:color w:val="000000"/>
          <w:sz w:val="28"/>
          <w:szCs w:val="28"/>
          <w:lang w:val="de-AT"/>
        </w:rPr>
        <w:t>Roche</w:t>
      </w:r>
      <w:r w:rsidRPr="005865C7">
        <w:rPr>
          <w:rFonts w:ascii="Times New Roman" w:hAnsi="Times New Roman" w:cs="Times New Roman"/>
          <w:color w:val="000000"/>
          <w:sz w:val="28"/>
          <w:szCs w:val="28"/>
          <w:lang w:val="ru-RU"/>
        </w:rPr>
        <w:t xml:space="preserve"> </w:t>
      </w:r>
      <w:r w:rsidRPr="005865C7">
        <w:rPr>
          <w:rFonts w:ascii="Times New Roman" w:hAnsi="Times New Roman" w:cs="Times New Roman"/>
          <w:color w:val="000000"/>
          <w:sz w:val="28"/>
          <w:szCs w:val="28"/>
          <w:lang w:val="de-AT"/>
        </w:rPr>
        <w:t>Holding</w:t>
      </w:r>
      <w:r w:rsidRPr="005865C7">
        <w:rPr>
          <w:rFonts w:ascii="Times New Roman" w:hAnsi="Times New Roman" w:cs="Times New Roman"/>
          <w:color w:val="000000"/>
          <w:sz w:val="28"/>
          <w:szCs w:val="28"/>
          <w:lang w:val="ru-RU"/>
        </w:rPr>
        <w:t xml:space="preserve"> (Швейцарія) </w:t>
      </w:r>
      <w:r>
        <w:rPr>
          <w:rFonts w:ascii="Times New Roman" w:hAnsi="Times New Roman" w:cs="Times New Roman"/>
          <w:color w:val="000000"/>
          <w:sz w:val="28"/>
          <w:szCs w:val="28"/>
          <w:lang w:val="ru-RU"/>
        </w:rPr>
        <w:t>-</w:t>
      </w:r>
      <w:r w:rsidRPr="005865C7">
        <w:rPr>
          <w:rFonts w:ascii="Times New Roman" w:hAnsi="Times New Roman" w:cs="Times New Roman"/>
          <w:color w:val="000000"/>
          <w:sz w:val="28"/>
          <w:szCs w:val="28"/>
          <w:lang w:val="ru-RU"/>
        </w:rPr>
        <w:t xml:space="preserve"> лідера у сфері біотехнологій і діагностики, а також </w:t>
      </w:r>
      <w:r w:rsidRPr="005865C7">
        <w:rPr>
          <w:rFonts w:ascii="Times New Roman" w:hAnsi="Times New Roman" w:cs="Times New Roman"/>
          <w:color w:val="000000"/>
          <w:sz w:val="28"/>
          <w:szCs w:val="28"/>
          <w:lang w:val="de-AT"/>
        </w:rPr>
        <w:t>Takeda</w:t>
      </w:r>
      <w:r w:rsidRPr="005865C7">
        <w:rPr>
          <w:rFonts w:ascii="Times New Roman" w:hAnsi="Times New Roman" w:cs="Times New Roman"/>
          <w:color w:val="000000"/>
          <w:sz w:val="28"/>
          <w:szCs w:val="28"/>
          <w:lang w:val="ru-RU"/>
        </w:rPr>
        <w:t xml:space="preserve"> </w:t>
      </w:r>
      <w:r w:rsidRPr="005865C7">
        <w:rPr>
          <w:rFonts w:ascii="Times New Roman" w:hAnsi="Times New Roman" w:cs="Times New Roman"/>
          <w:color w:val="000000"/>
          <w:sz w:val="28"/>
          <w:szCs w:val="28"/>
          <w:lang w:val="de-AT"/>
        </w:rPr>
        <w:t>Pharmaceutical</w:t>
      </w:r>
      <w:r w:rsidRPr="005865C7">
        <w:rPr>
          <w:rFonts w:ascii="Times New Roman" w:hAnsi="Times New Roman" w:cs="Times New Roman"/>
          <w:color w:val="000000"/>
          <w:sz w:val="28"/>
          <w:szCs w:val="28"/>
          <w:lang w:val="ru-RU"/>
        </w:rPr>
        <w:t xml:space="preserve"> (Японія) </w:t>
      </w:r>
      <w:r>
        <w:rPr>
          <w:rFonts w:ascii="Times New Roman" w:hAnsi="Times New Roman" w:cs="Times New Roman"/>
          <w:color w:val="000000"/>
          <w:sz w:val="28"/>
          <w:szCs w:val="28"/>
          <w:lang w:val="ru-RU"/>
        </w:rPr>
        <w:t>-</w:t>
      </w:r>
      <w:r w:rsidRPr="005865C7">
        <w:rPr>
          <w:rFonts w:ascii="Times New Roman" w:hAnsi="Times New Roman" w:cs="Times New Roman"/>
          <w:color w:val="000000"/>
          <w:sz w:val="28"/>
          <w:szCs w:val="28"/>
          <w:lang w:val="ru-RU"/>
        </w:rPr>
        <w:t xml:space="preserve"> найбільшої фармацевтичної компанії Азії з активною присутністю на глобальному ринку. </w:t>
      </w:r>
    </w:p>
    <w:p w:rsidR="00F30E41" w:rsidRPr="00026ECC" w:rsidRDefault="00F30E41" w:rsidP="00C712A4">
      <w:pPr>
        <w:tabs>
          <w:tab w:val="left" w:pos="6946"/>
        </w:tabs>
        <w:spacing w:after="0" w:line="360" w:lineRule="auto"/>
        <w:ind w:firstLine="709"/>
        <w:jc w:val="both"/>
        <w:rPr>
          <w:rFonts w:ascii="Times New Roman" w:hAnsi="Times New Roman" w:cs="Times New Roman"/>
          <w:color w:val="000000"/>
          <w:sz w:val="28"/>
          <w:szCs w:val="28"/>
          <w:lang w:val="ru-RU"/>
        </w:rPr>
      </w:pPr>
      <w:r w:rsidRPr="00596352">
        <w:rPr>
          <w:rFonts w:ascii="Times New Roman" w:hAnsi="Times New Roman" w:cs="Times New Roman"/>
          <w:noProof/>
          <w:color w:val="000000"/>
          <w:sz w:val="28"/>
          <w:szCs w:val="28"/>
          <w:lang w:val="ru-RU" w:eastAsia="ru-RU"/>
        </w:rPr>
        <w:object w:dxaOrig="8401" w:dyaOrig="4301">
          <v:shape id="_x0000_i1064" type="#_x0000_t75" style="width:420pt;height:215.25pt;visibility:visible" o:ole="">
            <v:imagedata r:id="rId41" o:title="" cropbottom="-61f"/>
            <o:lock v:ext="edit" aspectratio="f"/>
          </v:shape>
          <o:OLEObject Type="Embed" ProgID="Excel.Chart.8" ShapeID="_x0000_i1064" DrawAspect="Content" ObjectID="_1811317232" r:id="rId42"/>
        </w:object>
      </w:r>
    </w:p>
    <w:p w:rsidR="00F30E41" w:rsidRPr="00562440" w:rsidRDefault="00F30E41" w:rsidP="00562440">
      <w:pPr>
        <w:tabs>
          <w:tab w:val="left" w:pos="6946"/>
        </w:tabs>
        <w:spacing w:after="0" w:line="360" w:lineRule="auto"/>
        <w:ind w:firstLine="709"/>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lang w:val="ru-RU"/>
        </w:rPr>
        <w:t xml:space="preserve">14 </w:t>
      </w:r>
      <w:r w:rsidRPr="00562440">
        <w:rPr>
          <w:rFonts w:ascii="Times New Roman" w:hAnsi="Times New Roman" w:cs="Times New Roman"/>
          <w:color w:val="000000"/>
          <w:sz w:val="28"/>
          <w:szCs w:val="28"/>
        </w:rPr>
        <w:t>Річна дохідність акцій компаній фармацевтичного сектору</w:t>
      </w:r>
      <w:r>
        <w:rPr>
          <w:rFonts w:ascii="Times New Roman" w:hAnsi="Times New Roman" w:cs="Times New Roman"/>
          <w:color w:val="000000"/>
          <w:sz w:val="28"/>
          <w:szCs w:val="28"/>
          <w:lang w:val="ru-RU"/>
        </w:rPr>
        <w:t xml:space="preserve"> у </w:t>
      </w:r>
      <w:r w:rsidRPr="007F27F8">
        <w:rPr>
          <w:rFonts w:ascii="Times New Roman" w:hAnsi="Times New Roman" w:cs="Times New Roman"/>
          <w:color w:val="000000"/>
          <w:sz w:val="28"/>
          <w:szCs w:val="28"/>
        </w:rPr>
        <w:t>2020</w:t>
      </w:r>
      <w:r>
        <w:rPr>
          <w:rFonts w:ascii="Times New Roman" w:hAnsi="Times New Roman" w:cs="Times New Roman"/>
          <w:color w:val="000000"/>
          <w:sz w:val="28"/>
          <w:szCs w:val="28"/>
          <w:lang w:val="ru-RU"/>
        </w:rPr>
        <w:t>-</w:t>
      </w:r>
      <w:r w:rsidRPr="007F27F8">
        <w:rPr>
          <w:rFonts w:ascii="Times New Roman" w:hAnsi="Times New Roman" w:cs="Times New Roman"/>
          <w:color w:val="000000"/>
          <w:sz w:val="28"/>
          <w:szCs w:val="28"/>
        </w:rPr>
        <w:t>2024</w:t>
      </w:r>
      <w:r>
        <w:rPr>
          <w:rFonts w:ascii="Times New Roman" w:hAnsi="Times New Roman" w:cs="Times New Roman"/>
          <w:color w:val="000000"/>
          <w:sz w:val="28"/>
          <w:szCs w:val="28"/>
          <w:lang w:val="ru-RU"/>
        </w:rPr>
        <w:t xml:space="preserve"> роках.</w:t>
      </w:r>
    </w:p>
    <w:p w:rsidR="00F30E41" w:rsidRPr="00993B26" w:rsidRDefault="00F30E41" w:rsidP="00133BB5">
      <w:pPr>
        <w:tabs>
          <w:tab w:val="left" w:pos="6946"/>
        </w:tabs>
        <w:spacing w:after="0" w:line="360" w:lineRule="auto"/>
        <w:ind w:firstLine="709"/>
        <w:rPr>
          <w:rFonts w:ascii="Times New Roman" w:hAnsi="Times New Roman" w:cs="Times New Roman"/>
          <w:color w:val="000000"/>
          <w:sz w:val="28"/>
          <w:szCs w:val="28"/>
          <w:lang w:val="ru-RU"/>
        </w:rPr>
      </w:pPr>
      <w:r w:rsidRPr="000A5FA5">
        <w:rPr>
          <w:rFonts w:ascii="Times New Roman" w:hAnsi="Times New Roman" w:cs="Times New Roman"/>
          <w:noProof/>
          <w:color w:val="000000"/>
          <w:sz w:val="28"/>
          <w:szCs w:val="28"/>
          <w:lang w:val="ru-RU"/>
        </w:rPr>
        <w:t xml:space="preserve">Джерело: складено автором на основі даних </w:t>
      </w:r>
      <w:r>
        <w:rPr>
          <w:rFonts w:ascii="Times New Roman" w:hAnsi="Times New Roman" w:cs="Times New Roman"/>
          <w:color w:val="000000"/>
          <w:sz w:val="28"/>
          <w:szCs w:val="28"/>
        </w:rPr>
        <w:t>[</w:t>
      </w:r>
      <w:r w:rsidRPr="0003741D">
        <w:rPr>
          <w:rFonts w:ascii="Times New Roman" w:hAnsi="Times New Roman" w:cs="Times New Roman"/>
          <w:color w:val="000000"/>
          <w:sz w:val="28"/>
          <w:szCs w:val="28"/>
          <w:lang w:val="ru-RU"/>
        </w:rPr>
        <w:t>4</w:t>
      </w:r>
      <w:r>
        <w:rPr>
          <w:rFonts w:ascii="Times New Roman" w:hAnsi="Times New Roman" w:cs="Times New Roman"/>
          <w:color w:val="000000"/>
          <w:sz w:val="28"/>
          <w:szCs w:val="28"/>
          <w:lang w:val="ru-RU"/>
        </w:rPr>
        <w:t>2</w:t>
      </w:r>
      <w:r w:rsidRPr="008E3BC5">
        <w:rPr>
          <w:rFonts w:ascii="Times New Roman" w:hAnsi="Times New Roman" w:cs="Times New Roman"/>
          <w:color w:val="000000"/>
          <w:sz w:val="28"/>
          <w:szCs w:val="28"/>
        </w:rPr>
        <w:t>]</w:t>
      </w:r>
      <w:r>
        <w:rPr>
          <w:rFonts w:ascii="Times New Roman" w:hAnsi="Times New Roman" w:cs="Times New Roman"/>
          <w:color w:val="000000"/>
          <w:sz w:val="28"/>
          <w:szCs w:val="28"/>
          <w:lang w:val="ru-RU"/>
        </w:rPr>
        <w:t>.</w:t>
      </w:r>
    </w:p>
    <w:p w:rsidR="00F30E41" w:rsidRPr="00133BB5" w:rsidRDefault="00F30E41" w:rsidP="00133BB5">
      <w:pPr>
        <w:tabs>
          <w:tab w:val="left" w:pos="6946"/>
        </w:tabs>
        <w:spacing w:after="0" w:line="360" w:lineRule="auto"/>
        <w:ind w:firstLine="709"/>
        <w:jc w:val="both"/>
        <w:rPr>
          <w:rFonts w:ascii="Times New Roman" w:hAnsi="Times New Roman" w:cs="Times New Roman"/>
          <w:color w:val="000000"/>
          <w:sz w:val="28"/>
          <w:szCs w:val="28"/>
          <w:lang w:val="ru-RU"/>
        </w:rPr>
      </w:pPr>
      <w:r w:rsidRPr="00133BB5">
        <w:rPr>
          <w:rFonts w:ascii="Times New Roman" w:hAnsi="Times New Roman" w:cs="Times New Roman"/>
          <w:color w:val="000000"/>
          <w:sz w:val="28"/>
          <w:szCs w:val="28"/>
          <w:lang w:val="ru-RU"/>
        </w:rPr>
        <w:t xml:space="preserve">Найвиразнішу динаміку демонструвала </w:t>
      </w:r>
      <w:r w:rsidRPr="00133BB5">
        <w:rPr>
          <w:rFonts w:ascii="Times New Roman" w:hAnsi="Times New Roman" w:cs="Times New Roman"/>
          <w:color w:val="000000"/>
          <w:sz w:val="28"/>
          <w:szCs w:val="28"/>
          <w:lang w:val="de-AT"/>
        </w:rPr>
        <w:t>Pfizer</w:t>
      </w:r>
      <w:r w:rsidRPr="00133BB5">
        <w:rPr>
          <w:rFonts w:ascii="Times New Roman" w:hAnsi="Times New Roman" w:cs="Times New Roman"/>
          <w:color w:val="000000"/>
          <w:sz w:val="28"/>
          <w:szCs w:val="28"/>
          <w:lang w:val="ru-RU"/>
        </w:rPr>
        <w:t xml:space="preserve">, яка у 2021 році зафіксувала стрибок дохідності понад 65% на тлі глобального попиту на вакцини проти </w:t>
      </w:r>
      <w:r w:rsidRPr="00133BB5">
        <w:rPr>
          <w:rFonts w:ascii="Times New Roman" w:hAnsi="Times New Roman" w:cs="Times New Roman"/>
          <w:color w:val="000000"/>
          <w:sz w:val="28"/>
          <w:szCs w:val="28"/>
          <w:lang w:val="de-AT"/>
        </w:rPr>
        <w:t>COVID</w:t>
      </w:r>
      <w:r w:rsidRPr="00133BB5">
        <w:rPr>
          <w:rFonts w:ascii="Times New Roman" w:hAnsi="Times New Roman" w:cs="Times New Roman"/>
          <w:color w:val="000000"/>
          <w:sz w:val="28"/>
          <w:szCs w:val="28"/>
          <w:lang w:val="ru-RU"/>
        </w:rPr>
        <w:t>-19. Проте цей пік був ситуативним і вже у 2022</w:t>
      </w:r>
      <w:r>
        <w:rPr>
          <w:rFonts w:ascii="Times New Roman" w:hAnsi="Times New Roman" w:cs="Times New Roman"/>
          <w:color w:val="000000"/>
          <w:sz w:val="28"/>
          <w:szCs w:val="28"/>
          <w:lang w:val="ru-RU"/>
        </w:rPr>
        <w:t>-</w:t>
      </w:r>
      <w:r w:rsidRPr="00133BB5">
        <w:rPr>
          <w:rFonts w:ascii="Times New Roman" w:hAnsi="Times New Roman" w:cs="Times New Roman"/>
          <w:color w:val="000000"/>
          <w:sz w:val="28"/>
          <w:szCs w:val="28"/>
          <w:lang w:val="ru-RU"/>
        </w:rPr>
        <w:t xml:space="preserve">2023 роках компанія продемонструвала негативну дохідність, що відображає завершення надзвичайного попиту та повернення до стандартних ринкових умов. У 2024 році прибутковість </w:t>
      </w:r>
      <w:r w:rsidRPr="00133BB5">
        <w:rPr>
          <w:rFonts w:ascii="Times New Roman" w:hAnsi="Times New Roman" w:cs="Times New Roman"/>
          <w:color w:val="000000"/>
          <w:sz w:val="28"/>
          <w:szCs w:val="28"/>
          <w:lang w:val="de-AT"/>
        </w:rPr>
        <w:t>Pfizer</w:t>
      </w:r>
      <w:r w:rsidRPr="00133BB5">
        <w:rPr>
          <w:rFonts w:ascii="Times New Roman" w:hAnsi="Times New Roman" w:cs="Times New Roman"/>
          <w:color w:val="000000"/>
          <w:sz w:val="28"/>
          <w:szCs w:val="28"/>
          <w:lang w:val="ru-RU"/>
        </w:rPr>
        <w:t xml:space="preserve"> залишалася на незначному негативному рівні, що свідчить про стабілізацію.</w:t>
      </w:r>
    </w:p>
    <w:p w:rsidR="00F30E41" w:rsidRPr="00133BB5" w:rsidRDefault="00F30E41" w:rsidP="00133BB5">
      <w:pPr>
        <w:tabs>
          <w:tab w:val="left" w:pos="6946"/>
        </w:tabs>
        <w:spacing w:after="0" w:line="360" w:lineRule="auto"/>
        <w:ind w:firstLine="709"/>
        <w:jc w:val="both"/>
        <w:rPr>
          <w:rFonts w:ascii="Times New Roman" w:hAnsi="Times New Roman" w:cs="Times New Roman"/>
          <w:color w:val="000000"/>
          <w:sz w:val="28"/>
          <w:szCs w:val="28"/>
          <w:lang w:val="ru-RU"/>
        </w:rPr>
      </w:pPr>
      <w:r w:rsidRPr="00133BB5">
        <w:rPr>
          <w:rFonts w:ascii="Times New Roman" w:hAnsi="Times New Roman" w:cs="Times New Roman"/>
          <w:color w:val="000000"/>
          <w:sz w:val="28"/>
          <w:szCs w:val="28"/>
          <w:lang w:val="de-AT"/>
        </w:rPr>
        <w:t>Roche</w:t>
      </w:r>
      <w:r w:rsidRPr="00133BB5">
        <w:rPr>
          <w:rFonts w:ascii="Times New Roman" w:hAnsi="Times New Roman" w:cs="Times New Roman"/>
          <w:color w:val="000000"/>
          <w:sz w:val="28"/>
          <w:szCs w:val="28"/>
          <w:lang w:val="ru-RU"/>
        </w:rPr>
        <w:t xml:space="preserve"> </w:t>
      </w:r>
      <w:r w:rsidRPr="00133BB5">
        <w:rPr>
          <w:rFonts w:ascii="Times New Roman" w:hAnsi="Times New Roman" w:cs="Times New Roman"/>
          <w:color w:val="000000"/>
          <w:sz w:val="28"/>
          <w:szCs w:val="28"/>
          <w:lang w:val="de-AT"/>
        </w:rPr>
        <w:t>Holding</w:t>
      </w:r>
      <w:r w:rsidRPr="00133BB5">
        <w:rPr>
          <w:rFonts w:ascii="Times New Roman" w:hAnsi="Times New Roman" w:cs="Times New Roman"/>
          <w:color w:val="000000"/>
          <w:sz w:val="28"/>
          <w:szCs w:val="28"/>
          <w:lang w:val="ru-RU"/>
        </w:rPr>
        <w:t xml:space="preserve"> у 2020</w:t>
      </w:r>
      <w:r>
        <w:rPr>
          <w:rFonts w:ascii="Times New Roman" w:hAnsi="Times New Roman" w:cs="Times New Roman"/>
          <w:color w:val="000000"/>
          <w:sz w:val="28"/>
          <w:szCs w:val="28"/>
          <w:lang w:val="ru-RU"/>
        </w:rPr>
        <w:t>-</w:t>
      </w:r>
      <w:r w:rsidRPr="00133BB5">
        <w:rPr>
          <w:rFonts w:ascii="Times New Roman" w:hAnsi="Times New Roman" w:cs="Times New Roman"/>
          <w:color w:val="000000"/>
          <w:sz w:val="28"/>
          <w:szCs w:val="28"/>
          <w:lang w:val="ru-RU"/>
        </w:rPr>
        <w:t>2021 роках демонструвала помірне, але стабільне зростання, з подальшим спадом у 2022 році, коли загальносвітове відновлення зменшило попит на екстрені діагностичні засоби. У 2023</w:t>
      </w:r>
      <w:r>
        <w:rPr>
          <w:rFonts w:ascii="Times New Roman" w:hAnsi="Times New Roman" w:cs="Times New Roman"/>
          <w:color w:val="000000"/>
          <w:sz w:val="28"/>
          <w:szCs w:val="28"/>
          <w:lang w:val="ru-RU"/>
        </w:rPr>
        <w:t>-</w:t>
      </w:r>
      <w:r w:rsidRPr="00133BB5">
        <w:rPr>
          <w:rFonts w:ascii="Times New Roman" w:hAnsi="Times New Roman" w:cs="Times New Roman"/>
          <w:color w:val="000000"/>
          <w:sz w:val="28"/>
          <w:szCs w:val="28"/>
          <w:lang w:val="ru-RU"/>
        </w:rPr>
        <w:t>2024 роках динаміка залишалася близькою до нульової, що є типовим для компаній із високим рівнем капіталізації, орієнтованих на стабільний довгостроковий розвиток.</w:t>
      </w:r>
    </w:p>
    <w:p w:rsidR="00F30E41" w:rsidRPr="00133BB5" w:rsidRDefault="00F30E41" w:rsidP="00133BB5">
      <w:pPr>
        <w:tabs>
          <w:tab w:val="left" w:pos="6946"/>
        </w:tabs>
        <w:spacing w:after="0" w:line="360" w:lineRule="auto"/>
        <w:ind w:firstLine="709"/>
        <w:jc w:val="both"/>
        <w:rPr>
          <w:rFonts w:ascii="Times New Roman" w:hAnsi="Times New Roman" w:cs="Times New Roman"/>
          <w:color w:val="000000"/>
          <w:sz w:val="28"/>
          <w:szCs w:val="28"/>
          <w:lang w:val="ru-RU"/>
        </w:rPr>
      </w:pPr>
      <w:r w:rsidRPr="00133BB5">
        <w:rPr>
          <w:rFonts w:ascii="Times New Roman" w:hAnsi="Times New Roman" w:cs="Times New Roman"/>
          <w:color w:val="000000"/>
          <w:sz w:val="28"/>
          <w:szCs w:val="28"/>
          <w:lang w:val="de-AT"/>
        </w:rPr>
        <w:t>Takeda</w:t>
      </w:r>
      <w:r w:rsidRPr="00133BB5">
        <w:rPr>
          <w:rFonts w:ascii="Times New Roman" w:hAnsi="Times New Roman" w:cs="Times New Roman"/>
          <w:color w:val="000000"/>
          <w:sz w:val="28"/>
          <w:szCs w:val="28"/>
          <w:lang w:val="ru-RU"/>
        </w:rPr>
        <w:t xml:space="preserve"> </w:t>
      </w:r>
      <w:r w:rsidRPr="00133BB5">
        <w:rPr>
          <w:rFonts w:ascii="Times New Roman" w:hAnsi="Times New Roman" w:cs="Times New Roman"/>
          <w:color w:val="000000"/>
          <w:sz w:val="28"/>
          <w:szCs w:val="28"/>
          <w:lang w:val="de-AT"/>
        </w:rPr>
        <w:t>Pharmaceutical</w:t>
      </w:r>
      <w:r w:rsidRPr="00133BB5">
        <w:rPr>
          <w:rFonts w:ascii="Times New Roman" w:hAnsi="Times New Roman" w:cs="Times New Roman"/>
          <w:color w:val="000000"/>
          <w:sz w:val="28"/>
          <w:szCs w:val="28"/>
          <w:lang w:val="ru-RU"/>
        </w:rPr>
        <w:t xml:space="preserve"> продемонструвала найбільш збалансовану динаміку: після незначного зниження у 2021 році компанія показала зростання у 2022 році на рівні понад 25%, що відображає її активну експансію в США та зростання портфеля продуктів у сфері онкології та гастроентерології. У наступні роки прибутковість стабілізувалася, зберігаючи позитивну тенденцію.</w:t>
      </w:r>
    </w:p>
    <w:p w:rsidR="00F30E41" w:rsidRPr="00133BB5" w:rsidRDefault="00F30E41" w:rsidP="00133BB5">
      <w:pPr>
        <w:tabs>
          <w:tab w:val="left" w:pos="6946"/>
        </w:tabs>
        <w:spacing w:after="0" w:line="360" w:lineRule="auto"/>
        <w:ind w:firstLine="709"/>
        <w:jc w:val="both"/>
        <w:rPr>
          <w:rFonts w:ascii="Times New Roman" w:hAnsi="Times New Roman" w:cs="Times New Roman"/>
          <w:color w:val="000000"/>
          <w:sz w:val="28"/>
          <w:szCs w:val="28"/>
          <w:lang w:val="ru-RU"/>
        </w:rPr>
      </w:pPr>
      <w:r w:rsidRPr="00133BB5">
        <w:rPr>
          <w:rFonts w:ascii="Times New Roman" w:hAnsi="Times New Roman" w:cs="Times New Roman"/>
          <w:color w:val="000000"/>
          <w:sz w:val="28"/>
          <w:szCs w:val="28"/>
          <w:lang w:val="ru-RU"/>
        </w:rPr>
        <w:t xml:space="preserve">Загалом сектор охорони здоров’я, як і очікувалося, демонструє нижчу волатильність у порівнянні з технологічним сектором, а також відносну стійкість до макроекономічних коливань. Водночас, як видно з прикладу </w:t>
      </w:r>
      <w:r w:rsidRPr="00133BB5">
        <w:rPr>
          <w:rFonts w:ascii="Times New Roman" w:hAnsi="Times New Roman" w:cs="Times New Roman"/>
          <w:color w:val="000000"/>
          <w:sz w:val="28"/>
          <w:szCs w:val="28"/>
          <w:lang w:val="de-AT"/>
        </w:rPr>
        <w:t>Pfizer</w:t>
      </w:r>
      <w:r w:rsidRPr="00133BB5">
        <w:rPr>
          <w:rFonts w:ascii="Times New Roman" w:hAnsi="Times New Roman" w:cs="Times New Roman"/>
          <w:color w:val="000000"/>
          <w:sz w:val="28"/>
          <w:szCs w:val="28"/>
          <w:lang w:val="ru-RU"/>
        </w:rPr>
        <w:t>, окремі події можуть суттєво впливати на дохідність, що підкреслює необхідність внутрішньосекторної диверсифікації при формуванні інвестиційного портфеля.</w:t>
      </w:r>
    </w:p>
    <w:p w:rsidR="00F30E41" w:rsidRPr="00D10FCC" w:rsidRDefault="00F30E41" w:rsidP="00D10FCC">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У </w:t>
      </w:r>
      <w:r w:rsidRPr="00D10FCC">
        <w:rPr>
          <w:rFonts w:ascii="Times New Roman" w:hAnsi="Times New Roman" w:cs="Times New Roman"/>
          <w:color w:val="000000"/>
          <w:sz w:val="28"/>
          <w:szCs w:val="28"/>
          <w:lang w:val="ru-RU"/>
        </w:rPr>
        <w:t>межах енергетичного сектору для аналізу обрано три компанії з різною географією, стратегічними орієнтирами та профілями ризику</w:t>
      </w:r>
      <w:r>
        <w:rPr>
          <w:rFonts w:ascii="Times New Roman" w:hAnsi="Times New Roman" w:cs="Times New Roman"/>
          <w:color w:val="000000"/>
          <w:sz w:val="28"/>
          <w:szCs w:val="28"/>
          <w:lang w:val="ru-RU"/>
        </w:rPr>
        <w:t>.</w:t>
      </w:r>
    </w:p>
    <w:p w:rsidR="00F30E41" w:rsidRPr="00D10FCC" w:rsidRDefault="00F30E41" w:rsidP="00D10FCC">
      <w:pPr>
        <w:tabs>
          <w:tab w:val="left" w:pos="6946"/>
        </w:tabs>
        <w:spacing w:after="0" w:line="360" w:lineRule="auto"/>
        <w:ind w:firstLine="709"/>
        <w:jc w:val="both"/>
        <w:rPr>
          <w:rFonts w:ascii="Times New Roman" w:hAnsi="Times New Roman" w:cs="Times New Roman"/>
          <w:color w:val="000000"/>
          <w:sz w:val="28"/>
          <w:szCs w:val="28"/>
          <w:lang w:val="ru-RU"/>
        </w:rPr>
      </w:pPr>
      <w:r>
        <w:rPr>
          <w:noProof/>
          <w:lang w:val="ru-RU" w:eastAsia="ru-RU"/>
        </w:rPr>
        <w:pict>
          <v:shape id="_x0000_s1036" type="#_x0000_t75" style="position:absolute;left:0;text-align:left;margin-left:17.95pt;margin-top:165.35pt;width:398.4pt;height:209.3pt;z-index:251660800;visibility:visible">
            <v:imagedata r:id="rId43" o:title=""/>
            <w10:wrap type="topAndBottom"/>
          </v:shape>
          <o:OLEObject Type="Embed" ProgID="Excel.Chart.8" ShapeID="_x0000_s1036" DrawAspect="Content" ObjectID="_1811317244" r:id="rId44"/>
        </w:pict>
      </w:r>
      <w:r w:rsidRPr="00D10FCC">
        <w:rPr>
          <w:rFonts w:ascii="Times New Roman" w:hAnsi="Times New Roman" w:cs="Times New Roman"/>
          <w:color w:val="000000"/>
          <w:sz w:val="28"/>
          <w:szCs w:val="28"/>
          <w:lang w:val="de-AT"/>
        </w:rPr>
        <w:t>ExxonMobil</w:t>
      </w:r>
      <w:r w:rsidRPr="00D10FCC">
        <w:rPr>
          <w:rFonts w:ascii="Times New Roman" w:hAnsi="Times New Roman" w:cs="Times New Roman"/>
          <w:color w:val="000000"/>
          <w:sz w:val="28"/>
          <w:szCs w:val="28"/>
          <w:lang w:val="ru-RU"/>
        </w:rPr>
        <w:t xml:space="preserve"> є одним з найбільших у світі виробників нафти та газу, що робить її показовим прикладом класичної нафтогазової компанії з високою залежністю від цін на сировину. </w:t>
      </w:r>
      <w:r w:rsidRPr="00D10FCC">
        <w:rPr>
          <w:rFonts w:ascii="Times New Roman" w:hAnsi="Times New Roman" w:cs="Times New Roman"/>
          <w:color w:val="000000"/>
          <w:sz w:val="28"/>
          <w:szCs w:val="28"/>
          <w:lang w:val="de-AT"/>
        </w:rPr>
        <w:t>TotalEnergies</w:t>
      </w:r>
      <w:r w:rsidRPr="00D10FCC">
        <w:rPr>
          <w:rFonts w:ascii="Times New Roman" w:hAnsi="Times New Roman" w:cs="Times New Roman"/>
          <w:color w:val="000000"/>
          <w:sz w:val="28"/>
          <w:szCs w:val="28"/>
          <w:lang w:val="ru-RU"/>
        </w:rPr>
        <w:t xml:space="preserve">, попри історичну приналежність до традиційної енергетики, є однією з найбільш активних європейських компаній у сфері трансформації до чистих джерел енергії. </w:t>
      </w:r>
      <w:r w:rsidRPr="00D10FCC">
        <w:rPr>
          <w:rFonts w:ascii="Times New Roman" w:hAnsi="Times New Roman" w:cs="Times New Roman"/>
          <w:color w:val="000000"/>
          <w:sz w:val="28"/>
          <w:szCs w:val="28"/>
          <w:lang w:val="de-AT"/>
        </w:rPr>
        <w:t>NextEra</w:t>
      </w:r>
      <w:r w:rsidRPr="00D10FCC">
        <w:rPr>
          <w:rFonts w:ascii="Times New Roman" w:hAnsi="Times New Roman" w:cs="Times New Roman"/>
          <w:color w:val="000000"/>
          <w:sz w:val="28"/>
          <w:szCs w:val="28"/>
          <w:lang w:val="ru-RU"/>
        </w:rPr>
        <w:t xml:space="preserve"> </w:t>
      </w:r>
      <w:r w:rsidRPr="00D10FCC">
        <w:rPr>
          <w:rFonts w:ascii="Times New Roman" w:hAnsi="Times New Roman" w:cs="Times New Roman"/>
          <w:color w:val="000000"/>
          <w:sz w:val="28"/>
          <w:szCs w:val="28"/>
          <w:lang w:val="de-AT"/>
        </w:rPr>
        <w:t>Energy</w:t>
      </w:r>
      <w:r w:rsidRPr="00D10FCC">
        <w:rPr>
          <w:rFonts w:ascii="Times New Roman" w:hAnsi="Times New Roman" w:cs="Times New Roman"/>
          <w:color w:val="000000"/>
          <w:sz w:val="28"/>
          <w:szCs w:val="28"/>
          <w:lang w:val="ru-RU"/>
        </w:rPr>
        <w:t xml:space="preserve"> є лідером з виробництва електроенергії з поновлюваних джерел у США, зокрема у вітровому та сонячному сегментах, і репрезентує чисто «зелену» бізнес-модель.</w:t>
      </w:r>
    </w:p>
    <w:p w:rsidR="00F30E41" w:rsidRPr="008247BC" w:rsidRDefault="00F30E41" w:rsidP="00D10FCC">
      <w:pPr>
        <w:tabs>
          <w:tab w:val="left" w:pos="6946"/>
        </w:tabs>
        <w:spacing w:after="0" w:line="360" w:lineRule="auto"/>
        <w:ind w:firstLine="709"/>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ис 2.</w:t>
      </w:r>
      <w:r>
        <w:rPr>
          <w:rFonts w:ascii="Times New Roman" w:hAnsi="Times New Roman" w:cs="Times New Roman"/>
          <w:color w:val="000000"/>
          <w:sz w:val="28"/>
          <w:szCs w:val="28"/>
          <w:lang w:val="ru-RU"/>
        </w:rPr>
        <w:t xml:space="preserve">15 </w:t>
      </w:r>
      <w:r w:rsidRPr="008247BC">
        <w:rPr>
          <w:rFonts w:ascii="Times New Roman" w:hAnsi="Times New Roman" w:cs="Times New Roman"/>
          <w:color w:val="000000"/>
          <w:sz w:val="28"/>
          <w:szCs w:val="28"/>
        </w:rPr>
        <w:t>Річна дохідність акцій компаній енергетичного сектору у 2020</w:t>
      </w:r>
      <w:r>
        <w:rPr>
          <w:rFonts w:ascii="Times New Roman" w:hAnsi="Times New Roman" w:cs="Times New Roman"/>
          <w:color w:val="000000"/>
          <w:sz w:val="28"/>
          <w:szCs w:val="28"/>
          <w:lang w:val="ru-RU"/>
        </w:rPr>
        <w:t>-</w:t>
      </w:r>
      <w:r w:rsidRPr="008247BC">
        <w:rPr>
          <w:rFonts w:ascii="Times New Roman" w:hAnsi="Times New Roman" w:cs="Times New Roman"/>
          <w:color w:val="000000"/>
          <w:sz w:val="28"/>
          <w:szCs w:val="28"/>
        </w:rPr>
        <w:t>2024 р</w:t>
      </w:r>
      <w:r>
        <w:rPr>
          <w:rFonts w:ascii="Times New Roman" w:hAnsi="Times New Roman" w:cs="Times New Roman"/>
          <w:color w:val="000000"/>
          <w:sz w:val="28"/>
          <w:szCs w:val="28"/>
          <w:lang w:val="ru-RU"/>
        </w:rPr>
        <w:t>оках.</w:t>
      </w:r>
    </w:p>
    <w:p w:rsidR="00F30E41" w:rsidRPr="00301084" w:rsidRDefault="00F30E41" w:rsidP="00D10FCC">
      <w:pPr>
        <w:tabs>
          <w:tab w:val="left" w:pos="6946"/>
        </w:tabs>
        <w:spacing w:after="0" w:line="360" w:lineRule="auto"/>
        <w:ind w:firstLine="709"/>
        <w:rPr>
          <w:rFonts w:ascii="Times New Roman" w:hAnsi="Times New Roman" w:cs="Times New Roman"/>
          <w:color w:val="000000"/>
          <w:sz w:val="28"/>
          <w:szCs w:val="28"/>
          <w:lang w:val="ru-RU"/>
        </w:rPr>
      </w:pPr>
      <w:r w:rsidRPr="00301084">
        <w:rPr>
          <w:rFonts w:ascii="Times New Roman" w:hAnsi="Times New Roman" w:cs="Times New Roman"/>
          <w:noProof/>
          <w:color w:val="000000"/>
          <w:sz w:val="28"/>
          <w:szCs w:val="28"/>
          <w:lang w:val="ru-RU"/>
        </w:rPr>
        <w:t xml:space="preserve">Джерело: складено автором на основі даних </w:t>
      </w:r>
      <w:r w:rsidRPr="00301084">
        <w:rPr>
          <w:rFonts w:ascii="Times New Roman" w:hAnsi="Times New Roman" w:cs="Times New Roman"/>
          <w:color w:val="000000"/>
          <w:sz w:val="28"/>
          <w:szCs w:val="28"/>
        </w:rPr>
        <w:t>[</w:t>
      </w:r>
      <w:r w:rsidRPr="0003741D">
        <w:rPr>
          <w:rFonts w:ascii="Times New Roman" w:hAnsi="Times New Roman" w:cs="Times New Roman"/>
          <w:color w:val="000000"/>
          <w:sz w:val="28"/>
          <w:szCs w:val="28"/>
          <w:lang w:val="ru-RU"/>
        </w:rPr>
        <w:t>4</w:t>
      </w:r>
      <w:r>
        <w:rPr>
          <w:rFonts w:ascii="Times New Roman" w:hAnsi="Times New Roman" w:cs="Times New Roman"/>
          <w:color w:val="000000"/>
          <w:sz w:val="28"/>
          <w:szCs w:val="28"/>
          <w:lang w:val="ru-RU"/>
        </w:rPr>
        <w:t>2</w:t>
      </w:r>
      <w:r w:rsidRPr="00301084">
        <w:rPr>
          <w:rFonts w:ascii="Times New Roman" w:hAnsi="Times New Roman" w:cs="Times New Roman"/>
          <w:color w:val="000000"/>
          <w:sz w:val="28"/>
          <w:szCs w:val="28"/>
        </w:rPr>
        <w:t>]</w:t>
      </w:r>
      <w:r w:rsidRPr="00301084">
        <w:rPr>
          <w:rFonts w:ascii="Times New Roman" w:hAnsi="Times New Roman" w:cs="Times New Roman"/>
          <w:color w:val="000000"/>
          <w:sz w:val="28"/>
          <w:szCs w:val="28"/>
          <w:lang w:val="ru-RU"/>
        </w:rPr>
        <w:t>.</w:t>
      </w:r>
    </w:p>
    <w:p w:rsidR="00F30E41" w:rsidRDefault="00F30E41" w:rsidP="000F0522">
      <w:pPr>
        <w:tabs>
          <w:tab w:val="left" w:pos="6946"/>
        </w:tabs>
        <w:spacing w:after="0" w:line="360" w:lineRule="auto"/>
        <w:ind w:firstLine="709"/>
        <w:jc w:val="both"/>
        <w:rPr>
          <w:rFonts w:ascii="Times New Roman" w:hAnsi="Times New Roman" w:cs="Times New Roman"/>
          <w:color w:val="000000"/>
          <w:sz w:val="28"/>
          <w:szCs w:val="28"/>
          <w:lang w:val="ru-RU"/>
        </w:rPr>
      </w:pPr>
      <w:r w:rsidRPr="00301084">
        <w:rPr>
          <w:rFonts w:ascii="Times New Roman" w:hAnsi="Times New Roman" w:cs="Times New Roman"/>
          <w:color w:val="000000"/>
          <w:sz w:val="28"/>
          <w:szCs w:val="28"/>
          <w:lang w:val="ru-RU"/>
        </w:rPr>
        <w:t xml:space="preserve">Аналіз графіка свідчить про значну відмінність у динаміці дохідності між компаніями. </w:t>
      </w:r>
      <w:r w:rsidRPr="00301084">
        <w:rPr>
          <w:rFonts w:ascii="Times New Roman" w:hAnsi="Times New Roman" w:cs="Times New Roman"/>
          <w:color w:val="000000"/>
          <w:sz w:val="28"/>
          <w:szCs w:val="28"/>
          <w:lang w:val="de-AT"/>
        </w:rPr>
        <w:t>ExxonMobil</w:t>
      </w:r>
      <w:r w:rsidRPr="00301084">
        <w:rPr>
          <w:rFonts w:ascii="Times New Roman" w:hAnsi="Times New Roman" w:cs="Times New Roman"/>
          <w:color w:val="000000"/>
          <w:sz w:val="28"/>
          <w:szCs w:val="28"/>
          <w:lang w:val="ru-RU"/>
        </w:rPr>
        <w:t xml:space="preserve"> показала надзвичайно високу волатильність: після глибокого падіння у 2020 році на фоні обвалу нафтового ринку, компанія різко відновилася у 2021</w:t>
      </w:r>
      <w:r>
        <w:rPr>
          <w:rFonts w:ascii="Times New Roman" w:hAnsi="Times New Roman" w:cs="Times New Roman"/>
          <w:color w:val="000000"/>
          <w:sz w:val="28"/>
          <w:szCs w:val="28"/>
          <w:lang w:val="ru-RU"/>
        </w:rPr>
        <w:t>-</w:t>
      </w:r>
      <w:r w:rsidRPr="00301084">
        <w:rPr>
          <w:rFonts w:ascii="Times New Roman" w:hAnsi="Times New Roman" w:cs="Times New Roman"/>
          <w:color w:val="000000"/>
          <w:sz w:val="28"/>
          <w:szCs w:val="28"/>
          <w:lang w:val="ru-RU"/>
        </w:rPr>
        <w:t>2022 роках, досягнувши піку майже у 90% річної дохідності. Це підтверджує високий потенціал прибутковості традиційної енергетики у сприятливих умовах, але також підкреслює її вразливість до глобальних шоків.</w:t>
      </w:r>
    </w:p>
    <w:p w:rsidR="00F30E41" w:rsidRDefault="00F30E41" w:rsidP="000F0522">
      <w:pPr>
        <w:tabs>
          <w:tab w:val="left" w:pos="6946"/>
        </w:tabs>
        <w:spacing w:after="0" w:line="360" w:lineRule="auto"/>
        <w:ind w:firstLine="709"/>
        <w:jc w:val="both"/>
        <w:rPr>
          <w:rFonts w:ascii="Times New Roman" w:hAnsi="Times New Roman" w:cs="Times New Roman"/>
          <w:color w:val="000000"/>
          <w:sz w:val="28"/>
          <w:szCs w:val="28"/>
          <w:lang w:val="ru-RU"/>
        </w:rPr>
      </w:pPr>
      <w:r w:rsidRPr="00301084">
        <w:rPr>
          <w:rFonts w:ascii="Times New Roman" w:hAnsi="Times New Roman" w:cs="Times New Roman"/>
          <w:color w:val="000000"/>
          <w:sz w:val="28"/>
          <w:szCs w:val="28"/>
          <w:lang w:val="de-AT"/>
        </w:rPr>
        <w:t>TotalEnergies</w:t>
      </w:r>
      <w:r w:rsidRPr="00301084">
        <w:rPr>
          <w:rFonts w:ascii="Times New Roman" w:hAnsi="Times New Roman" w:cs="Times New Roman"/>
          <w:color w:val="000000"/>
          <w:sz w:val="28"/>
          <w:szCs w:val="28"/>
          <w:lang w:val="ru-RU"/>
        </w:rPr>
        <w:t xml:space="preserve"> виявилася більш стабільною: її прибутковість залишалася в позитивній зоні упродовж більшості років, із максимумом у 2022 році. Така поведінка зумовлена змішаною структурою активів </w:t>
      </w:r>
      <w:r>
        <w:rPr>
          <w:rFonts w:ascii="Times New Roman" w:hAnsi="Times New Roman" w:cs="Times New Roman"/>
          <w:color w:val="000000"/>
          <w:sz w:val="28"/>
          <w:szCs w:val="28"/>
          <w:lang w:val="ru-RU"/>
        </w:rPr>
        <w:t>-</w:t>
      </w:r>
      <w:r w:rsidRPr="00301084">
        <w:rPr>
          <w:rFonts w:ascii="Times New Roman" w:hAnsi="Times New Roman" w:cs="Times New Roman"/>
          <w:color w:val="000000"/>
          <w:sz w:val="28"/>
          <w:szCs w:val="28"/>
          <w:lang w:val="ru-RU"/>
        </w:rPr>
        <w:t xml:space="preserve"> компанія поєднує видобуток нафти і газу з інвестиціями у відновлювану енергетику, що зменшує ризик негативної переоцінки з боку інвесторів.</w:t>
      </w:r>
    </w:p>
    <w:p w:rsidR="00F30E41" w:rsidRPr="00301084"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301084">
        <w:rPr>
          <w:rFonts w:ascii="Times New Roman" w:hAnsi="Times New Roman" w:cs="Times New Roman"/>
          <w:color w:val="000000"/>
          <w:sz w:val="28"/>
          <w:szCs w:val="28"/>
          <w:lang w:val="de-AT"/>
        </w:rPr>
        <w:t>NextEra</w:t>
      </w:r>
      <w:r w:rsidRPr="00301084">
        <w:rPr>
          <w:rFonts w:ascii="Times New Roman" w:hAnsi="Times New Roman" w:cs="Times New Roman"/>
          <w:color w:val="000000"/>
          <w:sz w:val="28"/>
          <w:szCs w:val="28"/>
          <w:lang w:val="ru-RU"/>
        </w:rPr>
        <w:t xml:space="preserve"> </w:t>
      </w:r>
      <w:r w:rsidRPr="00301084">
        <w:rPr>
          <w:rFonts w:ascii="Times New Roman" w:hAnsi="Times New Roman" w:cs="Times New Roman"/>
          <w:color w:val="000000"/>
          <w:sz w:val="28"/>
          <w:szCs w:val="28"/>
          <w:lang w:val="de-AT"/>
        </w:rPr>
        <w:t>Energy</w:t>
      </w:r>
      <w:r w:rsidRPr="00301084">
        <w:rPr>
          <w:rFonts w:ascii="Times New Roman" w:hAnsi="Times New Roman" w:cs="Times New Roman"/>
          <w:color w:val="000000"/>
          <w:sz w:val="28"/>
          <w:szCs w:val="28"/>
          <w:lang w:val="ru-RU"/>
        </w:rPr>
        <w:t xml:space="preserve"> у 2020</w:t>
      </w:r>
      <w:r>
        <w:rPr>
          <w:rFonts w:ascii="Times New Roman" w:hAnsi="Times New Roman" w:cs="Times New Roman"/>
          <w:color w:val="000000"/>
          <w:sz w:val="28"/>
          <w:szCs w:val="28"/>
          <w:lang w:val="ru-RU"/>
        </w:rPr>
        <w:t>-</w:t>
      </w:r>
      <w:r w:rsidRPr="00301084">
        <w:rPr>
          <w:rFonts w:ascii="Times New Roman" w:hAnsi="Times New Roman" w:cs="Times New Roman"/>
          <w:color w:val="000000"/>
          <w:sz w:val="28"/>
          <w:szCs w:val="28"/>
          <w:lang w:val="ru-RU"/>
        </w:rPr>
        <w:t xml:space="preserve">2021 роках демонструвала впевнене зростання, що відповідає зростанню глобального інтересу до </w:t>
      </w:r>
      <w:r w:rsidRPr="00301084">
        <w:rPr>
          <w:rFonts w:ascii="Times New Roman" w:hAnsi="Times New Roman" w:cs="Times New Roman"/>
          <w:color w:val="000000"/>
          <w:sz w:val="28"/>
          <w:szCs w:val="28"/>
          <w:lang w:val="de-AT"/>
        </w:rPr>
        <w:t>ESG</w:t>
      </w:r>
      <w:r w:rsidRPr="00301084">
        <w:rPr>
          <w:rFonts w:ascii="Times New Roman" w:hAnsi="Times New Roman" w:cs="Times New Roman"/>
          <w:color w:val="000000"/>
          <w:sz w:val="28"/>
          <w:szCs w:val="28"/>
          <w:lang w:val="ru-RU"/>
        </w:rPr>
        <w:t>-орієнтованих активів. Проте у 2023 році спостерігалося суттєве падіння дохідності, що може бути пов’язане з корекцією ринку «зелених» технологій та скороченням державної підтримки у деяких регіонах. Водночас компанія показала ознаки відновлення у 2024 році.</w:t>
      </w:r>
    </w:p>
    <w:p w:rsidR="00F30E41"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301084">
        <w:rPr>
          <w:rFonts w:ascii="Times New Roman" w:hAnsi="Times New Roman" w:cs="Times New Roman"/>
          <w:color w:val="000000"/>
          <w:sz w:val="28"/>
          <w:szCs w:val="28"/>
          <w:lang w:val="ru-RU"/>
        </w:rPr>
        <w:t xml:space="preserve">У сукупності ці результати демонструють, що в межах енергетичного сектору інвестор може обирати між високоприбутковими, але ризиковими активами, як </w:t>
      </w:r>
      <w:r w:rsidRPr="00301084">
        <w:rPr>
          <w:rFonts w:ascii="Times New Roman" w:hAnsi="Times New Roman" w:cs="Times New Roman"/>
          <w:color w:val="000000"/>
          <w:sz w:val="28"/>
          <w:szCs w:val="28"/>
          <w:lang w:val="de-AT"/>
        </w:rPr>
        <w:t>ExxonMobil</w:t>
      </w:r>
      <w:r w:rsidRPr="00301084">
        <w:rPr>
          <w:rFonts w:ascii="Times New Roman" w:hAnsi="Times New Roman" w:cs="Times New Roman"/>
          <w:color w:val="000000"/>
          <w:sz w:val="28"/>
          <w:szCs w:val="28"/>
          <w:lang w:val="ru-RU"/>
        </w:rPr>
        <w:t xml:space="preserve">, і більш стабільними або перспективними в довгостроковій перспективі, як </w:t>
      </w:r>
      <w:r w:rsidRPr="00301084">
        <w:rPr>
          <w:rFonts w:ascii="Times New Roman" w:hAnsi="Times New Roman" w:cs="Times New Roman"/>
          <w:color w:val="000000"/>
          <w:sz w:val="28"/>
          <w:szCs w:val="28"/>
          <w:lang w:val="de-AT"/>
        </w:rPr>
        <w:t>TotalEnergies</w:t>
      </w:r>
      <w:r w:rsidRPr="00301084">
        <w:rPr>
          <w:rFonts w:ascii="Times New Roman" w:hAnsi="Times New Roman" w:cs="Times New Roman"/>
          <w:color w:val="000000"/>
          <w:sz w:val="28"/>
          <w:szCs w:val="28"/>
          <w:lang w:val="ru-RU"/>
        </w:rPr>
        <w:t xml:space="preserve"> і </w:t>
      </w:r>
      <w:r w:rsidRPr="00301084">
        <w:rPr>
          <w:rFonts w:ascii="Times New Roman" w:hAnsi="Times New Roman" w:cs="Times New Roman"/>
          <w:color w:val="000000"/>
          <w:sz w:val="28"/>
          <w:szCs w:val="28"/>
          <w:lang w:val="de-AT"/>
        </w:rPr>
        <w:t>NextEra</w:t>
      </w:r>
      <w:r w:rsidRPr="00301084">
        <w:rPr>
          <w:rFonts w:ascii="Times New Roman" w:hAnsi="Times New Roman" w:cs="Times New Roman"/>
          <w:color w:val="000000"/>
          <w:sz w:val="28"/>
          <w:szCs w:val="28"/>
          <w:lang w:val="ru-RU"/>
        </w:rPr>
        <w:t xml:space="preserve"> </w:t>
      </w:r>
      <w:r w:rsidRPr="00301084">
        <w:rPr>
          <w:rFonts w:ascii="Times New Roman" w:hAnsi="Times New Roman" w:cs="Times New Roman"/>
          <w:color w:val="000000"/>
          <w:sz w:val="28"/>
          <w:szCs w:val="28"/>
          <w:lang w:val="de-AT"/>
        </w:rPr>
        <w:t>Energy</w:t>
      </w:r>
      <w:r w:rsidRPr="00301084">
        <w:rPr>
          <w:rFonts w:ascii="Times New Roman" w:hAnsi="Times New Roman" w:cs="Times New Roman"/>
          <w:color w:val="000000"/>
          <w:sz w:val="28"/>
          <w:szCs w:val="28"/>
          <w:lang w:val="ru-RU"/>
        </w:rPr>
        <w:t xml:space="preserve">. </w:t>
      </w:r>
    </w:p>
    <w:p w:rsidR="00F30E41" w:rsidRPr="00965DE9"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965DE9">
        <w:rPr>
          <w:rFonts w:ascii="Times New Roman" w:hAnsi="Times New Roman" w:cs="Times New Roman"/>
          <w:color w:val="000000"/>
          <w:sz w:val="28"/>
          <w:szCs w:val="28"/>
          <w:lang w:val="ru-RU"/>
        </w:rPr>
        <w:t>Аналіз дохідності у трьох ключових секторах показав суттєві відмінності як між секторами, так і всередині кожного з них. Технологічні компанії демонструють високий потенціал прибутковості, але супроводжуються значною волатильністю. Сектор охорони здоров’я виявив стабільніший характер, підтверджуючи свою захисну функцію. Енергетика продемонструвала широкий діапазон результатів, що зумовлено впливом глобальних економічних і політичних чинників.</w:t>
      </w:r>
    </w:p>
    <w:p w:rsidR="00F30E41" w:rsidRDefault="00F30E41" w:rsidP="00BA7C41">
      <w:pPr>
        <w:tabs>
          <w:tab w:val="left" w:pos="6946"/>
        </w:tabs>
        <w:spacing w:after="0" w:line="360" w:lineRule="auto"/>
        <w:ind w:firstLine="709"/>
        <w:jc w:val="both"/>
        <w:rPr>
          <w:rFonts w:ascii="Times New Roman" w:hAnsi="Times New Roman" w:cs="Times New Roman"/>
          <w:color w:val="000000"/>
          <w:sz w:val="28"/>
          <w:szCs w:val="28"/>
        </w:rPr>
      </w:pPr>
      <w:r w:rsidRPr="00D17280">
        <w:rPr>
          <w:rFonts w:ascii="Times New Roman" w:hAnsi="Times New Roman" w:cs="Times New Roman"/>
          <w:color w:val="000000"/>
          <w:sz w:val="28"/>
          <w:szCs w:val="28"/>
        </w:rPr>
        <w:t>Таким чином, проведений аналіз дохідності в межах трьох ключових секторів</w:t>
      </w:r>
      <w:r>
        <w:rPr>
          <w:rFonts w:ascii="Times New Roman" w:hAnsi="Times New Roman" w:cs="Times New Roman"/>
          <w:color w:val="000000"/>
          <w:sz w:val="28"/>
          <w:szCs w:val="28"/>
        </w:rPr>
        <w:t xml:space="preserve"> -</w:t>
      </w:r>
      <w:r w:rsidRPr="00D17280">
        <w:rPr>
          <w:rFonts w:ascii="Times New Roman" w:hAnsi="Times New Roman" w:cs="Times New Roman"/>
          <w:color w:val="000000"/>
          <w:sz w:val="28"/>
          <w:szCs w:val="28"/>
        </w:rPr>
        <w:t xml:space="preserve"> технологічного, охорони здоров’я та енергетичного </w:t>
      </w:r>
      <w:r>
        <w:rPr>
          <w:rFonts w:ascii="Times New Roman" w:hAnsi="Times New Roman" w:cs="Times New Roman"/>
          <w:color w:val="000000"/>
          <w:sz w:val="28"/>
          <w:szCs w:val="28"/>
        </w:rPr>
        <w:t>-</w:t>
      </w:r>
      <w:r w:rsidRPr="00D17280">
        <w:rPr>
          <w:rFonts w:ascii="Times New Roman" w:hAnsi="Times New Roman" w:cs="Times New Roman"/>
          <w:color w:val="000000"/>
          <w:sz w:val="28"/>
          <w:szCs w:val="28"/>
        </w:rPr>
        <w:t xml:space="preserve"> дозволяє зробити висновок про нерівномірність ринкової динаміки, високу волатильність окремих активів та потребу у внутрішньосекторній диверсифікації. Водночас формування портфеля виключно на основі окремих акцій може бути обмеженим з точки зору ліквідності, стабільності результатів та управління ризиками. Саме тому в сучасній практиці все більше значення надається біржовим фондам (ETF), які дозволяють інвестору охопити широкий набір активів у межах одного сектора або інвестиційної стратегії. Останні дослідження підтверджують, що включення ETF до інвестиційного портфеля підвищує його ефективність і стабільність, що особливо актуально в умовах економічної невизначеності. У цьому контексті доцільно окремо розглянути доцільність включення ETF до портфельної структури як одного з базових інструментів формування стійкої стратегії інвестування.</w:t>
      </w:r>
    </w:p>
    <w:p w:rsidR="00F30E41" w:rsidRPr="00002D5B"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rPr>
        <w:t xml:space="preserve"> поєднують в собі широкий доступ до ринку, високу ліквідність, низькі комісії та диверсифікацію, що робить їх особливо привабливими для довгострокових інвесторів. </w:t>
      </w:r>
      <w:r w:rsidRPr="00002D5B">
        <w:rPr>
          <w:rFonts w:ascii="Times New Roman" w:hAnsi="Times New Roman" w:cs="Times New Roman"/>
          <w:color w:val="000000"/>
          <w:sz w:val="28"/>
          <w:szCs w:val="28"/>
          <w:lang w:val="ru-RU"/>
        </w:rPr>
        <w:t xml:space="preserve">На відміну від вибору окремих акцій, включення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дозволяє зменшити вплив несистематичних ризиків і водночас отримати експозицію до певного сектору або стратегії. Саме тому останні дослідження вказують на необхідність виділення значної частки портфеля саме на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Згідно з даними </w:t>
      </w:r>
      <w:r w:rsidRPr="00002D5B">
        <w:rPr>
          <w:rFonts w:ascii="Times New Roman" w:hAnsi="Times New Roman" w:cs="Times New Roman"/>
          <w:color w:val="000000"/>
          <w:sz w:val="28"/>
          <w:szCs w:val="28"/>
          <w:lang w:val="de-AT"/>
        </w:rPr>
        <w:t>EFAMA</w:t>
      </w:r>
      <w:r w:rsidRPr="00002D5B">
        <w:rPr>
          <w:rFonts w:ascii="Times New Roman" w:hAnsi="Times New Roman" w:cs="Times New Roman"/>
          <w:color w:val="000000"/>
          <w:sz w:val="28"/>
          <w:szCs w:val="28"/>
          <w:lang w:val="ru-RU"/>
        </w:rPr>
        <w:t xml:space="preserve"> (2024), у секторах охорони здоров’я та технологій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стабільно перевершують активні фонди за дохідністю та коефіцієнтом Шарпа, що зумовлено високою ефективністю цих ринків і меншою потребою в ручному управлінні [</w:t>
      </w:r>
      <w:r>
        <w:rPr>
          <w:rFonts w:ascii="Times New Roman" w:hAnsi="Times New Roman" w:cs="Times New Roman"/>
          <w:color w:val="000000"/>
          <w:sz w:val="28"/>
          <w:szCs w:val="28"/>
          <w:lang w:val="ru-RU"/>
        </w:rPr>
        <w:t>44</w:t>
      </w:r>
      <w:r w:rsidRPr="00002D5B">
        <w:rPr>
          <w:rFonts w:ascii="Times New Roman" w:hAnsi="Times New Roman" w:cs="Times New Roman"/>
          <w:color w:val="000000"/>
          <w:sz w:val="28"/>
          <w:szCs w:val="28"/>
          <w:lang w:val="ru-RU"/>
        </w:rPr>
        <w:t xml:space="preserve">]. Крім того, згідно з аналітичними звітами </w:t>
      </w:r>
      <w:r w:rsidRPr="00002D5B">
        <w:rPr>
          <w:rFonts w:ascii="Times New Roman" w:hAnsi="Times New Roman" w:cs="Times New Roman"/>
          <w:color w:val="000000"/>
          <w:sz w:val="28"/>
          <w:szCs w:val="28"/>
          <w:lang w:val="de-AT"/>
        </w:rPr>
        <w:t>Morningstar</w:t>
      </w:r>
      <w:r w:rsidRPr="00002D5B">
        <w:rPr>
          <w:rFonts w:ascii="Times New Roman" w:hAnsi="Times New Roman" w:cs="Times New Roman"/>
          <w:color w:val="000000"/>
          <w:sz w:val="28"/>
          <w:szCs w:val="28"/>
          <w:lang w:val="ru-RU"/>
        </w:rPr>
        <w:t xml:space="preserve"> та </w:t>
      </w:r>
      <w:r w:rsidRPr="00002D5B">
        <w:rPr>
          <w:rFonts w:ascii="Times New Roman" w:hAnsi="Times New Roman" w:cs="Times New Roman"/>
          <w:color w:val="000000"/>
          <w:sz w:val="28"/>
          <w:szCs w:val="28"/>
          <w:lang w:val="de-AT"/>
        </w:rPr>
        <w:t>Vanguard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демонструють вищу стабільність та нижчу волатильність, ніж індивідуальні акції, що особливо важливо в умовах економічної невизначеності [</w:t>
      </w:r>
      <w:r>
        <w:rPr>
          <w:rFonts w:ascii="Times New Roman" w:hAnsi="Times New Roman" w:cs="Times New Roman"/>
          <w:color w:val="000000"/>
          <w:sz w:val="28"/>
          <w:szCs w:val="28"/>
          <w:lang w:val="ru-RU"/>
        </w:rPr>
        <w:t>45, 46</w:t>
      </w:r>
      <w:r w:rsidRPr="00002D5B">
        <w:rPr>
          <w:rFonts w:ascii="Times New Roman" w:hAnsi="Times New Roman" w:cs="Times New Roman"/>
          <w:color w:val="000000"/>
          <w:sz w:val="28"/>
          <w:szCs w:val="28"/>
          <w:lang w:val="ru-RU"/>
        </w:rPr>
        <w:t>].</w:t>
      </w:r>
    </w:p>
    <w:p w:rsidR="00F30E41"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Для моделювання</w:t>
      </w:r>
      <w:r w:rsidRPr="00002D5B">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було обрано </w:t>
      </w:r>
      <w:r w:rsidRPr="00002D5B">
        <w:rPr>
          <w:rFonts w:ascii="Times New Roman" w:hAnsi="Times New Roman" w:cs="Times New Roman"/>
          <w:color w:val="000000"/>
          <w:sz w:val="28"/>
          <w:szCs w:val="28"/>
          <w:lang w:val="ru-RU"/>
        </w:rPr>
        <w:t xml:space="preserve">низку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що відповідають трьом основним інвестиційним стратегіям: </w:t>
      </w:r>
      <w:r w:rsidRPr="00002D5B">
        <w:rPr>
          <w:rFonts w:ascii="Times New Roman" w:hAnsi="Times New Roman" w:cs="Times New Roman"/>
          <w:color w:val="000000"/>
          <w:sz w:val="28"/>
          <w:szCs w:val="28"/>
          <w:lang w:val="de-AT"/>
        </w:rPr>
        <w:t>value</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growth</w:t>
      </w:r>
      <w:r w:rsidRPr="00002D5B">
        <w:rPr>
          <w:rFonts w:ascii="Times New Roman" w:hAnsi="Times New Roman" w:cs="Times New Roman"/>
          <w:color w:val="000000"/>
          <w:sz w:val="28"/>
          <w:szCs w:val="28"/>
          <w:lang w:val="ru-RU"/>
        </w:rPr>
        <w:t xml:space="preserve"> та </w:t>
      </w:r>
      <w:r w:rsidRPr="00002D5B">
        <w:rPr>
          <w:rFonts w:ascii="Times New Roman" w:hAnsi="Times New Roman" w:cs="Times New Roman"/>
          <w:color w:val="000000"/>
          <w:sz w:val="28"/>
          <w:szCs w:val="28"/>
          <w:lang w:val="de-AT"/>
        </w:rPr>
        <w:t>income</w:t>
      </w:r>
      <w:r>
        <w:rPr>
          <w:rFonts w:ascii="Times New Roman" w:hAnsi="Times New Roman" w:cs="Times New Roman"/>
          <w:color w:val="000000"/>
          <w:sz w:val="28"/>
          <w:szCs w:val="28"/>
          <w:lang w:val="ru-RU"/>
        </w:rPr>
        <w:t>:</w:t>
      </w:r>
    </w:p>
    <w:p w:rsidR="00F30E41"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sidRPr="00002D5B">
        <w:rPr>
          <w:rFonts w:ascii="Times New Roman" w:hAnsi="Times New Roman" w:cs="Times New Roman"/>
          <w:color w:val="000000"/>
          <w:sz w:val="28"/>
          <w:szCs w:val="28"/>
          <w:lang w:val="de-AT"/>
        </w:rPr>
        <w:t>Vanguard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Value</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VTV</w:t>
      </w:r>
      <w:r w:rsidRPr="00002D5B">
        <w:rPr>
          <w:rFonts w:ascii="Times New Roman" w:hAnsi="Times New Roman" w:cs="Times New Roman"/>
          <w:color w:val="000000"/>
          <w:sz w:val="28"/>
          <w:szCs w:val="28"/>
          <w:lang w:val="ru-RU"/>
        </w:rPr>
        <w:t xml:space="preserve">) охоплює компанії з низькою оцінкою відносно їхніх фундаментальних показників і відповідає ціннісному підходу до інвестування, особливо актуальному в періоди ринкової корекції. </w:t>
      </w:r>
    </w:p>
    <w:p w:rsidR="00F30E41"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sidRPr="00002D5B">
        <w:rPr>
          <w:rFonts w:ascii="Times New Roman" w:hAnsi="Times New Roman" w:cs="Times New Roman"/>
          <w:color w:val="000000"/>
          <w:sz w:val="28"/>
          <w:szCs w:val="28"/>
          <w:lang w:val="de-AT"/>
        </w:rPr>
        <w:t>Vanguard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Growth</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VUG</w:t>
      </w:r>
      <w:r w:rsidRPr="00002D5B">
        <w:rPr>
          <w:rFonts w:ascii="Times New Roman" w:hAnsi="Times New Roman" w:cs="Times New Roman"/>
          <w:color w:val="000000"/>
          <w:sz w:val="28"/>
          <w:szCs w:val="28"/>
          <w:lang w:val="ru-RU"/>
        </w:rPr>
        <w:t xml:space="preserve">) орієнтований на компанії з високим потенціалом зростання і використовується у портфелях, що фокусуються на довгостроковому прирості капіталу. Для реалізації захисного компоненту портфеля було обрано </w:t>
      </w:r>
      <w:r w:rsidRPr="00002D5B">
        <w:rPr>
          <w:rFonts w:ascii="Times New Roman" w:hAnsi="Times New Roman" w:cs="Times New Roman"/>
          <w:color w:val="000000"/>
          <w:sz w:val="28"/>
          <w:szCs w:val="28"/>
          <w:lang w:val="de-AT"/>
        </w:rPr>
        <w:t>Vanguard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Health</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Care</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VHT</w:t>
      </w:r>
      <w:r w:rsidRPr="00002D5B">
        <w:rPr>
          <w:rFonts w:ascii="Times New Roman" w:hAnsi="Times New Roman" w:cs="Times New Roman"/>
          <w:color w:val="000000"/>
          <w:sz w:val="28"/>
          <w:szCs w:val="28"/>
          <w:lang w:val="ru-RU"/>
        </w:rPr>
        <w:t xml:space="preserve">), який охоплює медичний сектор, </w:t>
      </w:r>
      <w:r>
        <w:rPr>
          <w:rFonts w:ascii="Times New Roman" w:hAnsi="Times New Roman" w:cs="Times New Roman"/>
          <w:color w:val="000000"/>
          <w:sz w:val="28"/>
          <w:szCs w:val="28"/>
          <w:lang w:val="ru-RU"/>
        </w:rPr>
        <w:t>було обрано д</w:t>
      </w:r>
      <w:r w:rsidRPr="00002D5B">
        <w:rPr>
          <w:rFonts w:ascii="Times New Roman" w:hAnsi="Times New Roman" w:cs="Times New Roman"/>
          <w:color w:val="000000"/>
          <w:sz w:val="28"/>
          <w:szCs w:val="28"/>
          <w:lang w:val="ru-RU"/>
        </w:rPr>
        <w:t>ля реалізації захисного компоненту портфеля</w:t>
      </w:r>
      <w:r>
        <w:rPr>
          <w:rFonts w:ascii="Times New Roman" w:hAnsi="Times New Roman" w:cs="Times New Roman"/>
          <w:color w:val="000000"/>
          <w:sz w:val="28"/>
          <w:szCs w:val="28"/>
          <w:lang w:val="ru-RU"/>
        </w:rPr>
        <w:t>, бо цей фонд</w:t>
      </w:r>
      <w:r w:rsidRPr="00002D5B">
        <w:rPr>
          <w:rFonts w:ascii="Times New Roman" w:hAnsi="Times New Roman" w:cs="Times New Roman"/>
          <w:color w:val="000000"/>
          <w:sz w:val="28"/>
          <w:szCs w:val="28"/>
          <w:lang w:val="ru-RU"/>
        </w:rPr>
        <w:t xml:space="preserve"> відомий своєю стабільністю в умовах криз та пандемій. </w:t>
      </w:r>
    </w:p>
    <w:p w:rsidR="00F30E41"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sidRPr="00002D5B">
        <w:rPr>
          <w:rFonts w:ascii="Times New Roman" w:hAnsi="Times New Roman" w:cs="Times New Roman"/>
          <w:color w:val="000000"/>
          <w:sz w:val="28"/>
          <w:szCs w:val="28"/>
          <w:lang w:val="de-AT"/>
        </w:rPr>
        <w:t>BMO</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Equal</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Weight</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Global</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Gold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Index</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ZGD</w:t>
      </w:r>
      <w:r w:rsidRPr="00002D5B">
        <w:rPr>
          <w:rFonts w:ascii="Times New Roman" w:hAnsi="Times New Roman" w:cs="Times New Roman"/>
          <w:color w:val="000000"/>
          <w:sz w:val="28"/>
          <w:szCs w:val="28"/>
          <w:lang w:val="ru-RU"/>
        </w:rPr>
        <w:t xml:space="preserve">) як інструмент захисту від інфляції та глобальних ризиків, що виконує функцію хеджування. </w:t>
      </w:r>
    </w:p>
    <w:p w:rsidR="00F30E41"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sidRPr="00002D5B">
        <w:rPr>
          <w:rFonts w:ascii="Times New Roman" w:hAnsi="Times New Roman" w:cs="Times New Roman"/>
          <w:color w:val="000000"/>
          <w:sz w:val="28"/>
          <w:szCs w:val="28"/>
          <w:lang w:val="de-AT"/>
        </w:rPr>
        <w:t>iShares</w:t>
      </w:r>
      <w:r w:rsidRPr="00002D5B">
        <w:rPr>
          <w:rFonts w:ascii="Times New Roman" w:hAnsi="Times New Roman" w:cs="Times New Roman"/>
          <w:color w:val="000000"/>
          <w:sz w:val="28"/>
          <w:szCs w:val="28"/>
          <w:lang w:val="ru-RU"/>
        </w:rPr>
        <w:t xml:space="preserve"> 1</w:t>
      </w:r>
      <w:r>
        <w:rPr>
          <w:rFonts w:ascii="Times New Roman" w:hAnsi="Times New Roman" w:cs="Times New Roman"/>
          <w:color w:val="000000"/>
          <w:sz w:val="28"/>
          <w:szCs w:val="28"/>
          <w:lang w:val="ru-RU"/>
        </w:rPr>
        <w:t>-</w:t>
      </w:r>
      <w:r w:rsidRPr="00002D5B">
        <w:rPr>
          <w:rFonts w:ascii="Times New Roman" w:hAnsi="Times New Roman" w:cs="Times New Roman"/>
          <w:color w:val="000000"/>
          <w:sz w:val="28"/>
          <w:szCs w:val="28"/>
          <w:lang w:val="ru-RU"/>
        </w:rPr>
        <w:t xml:space="preserve">3 </w:t>
      </w:r>
      <w:r w:rsidRPr="00002D5B">
        <w:rPr>
          <w:rFonts w:ascii="Times New Roman" w:hAnsi="Times New Roman" w:cs="Times New Roman"/>
          <w:color w:val="000000"/>
          <w:sz w:val="28"/>
          <w:szCs w:val="28"/>
          <w:lang w:val="de-AT"/>
        </w:rPr>
        <w:t>Year</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Treasury</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Bond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SHY</w:t>
      </w:r>
      <w:r w:rsidRPr="00002D5B">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 </w:t>
      </w:r>
      <w:r w:rsidRPr="00002D5B">
        <w:rPr>
          <w:rFonts w:ascii="Times New Roman" w:hAnsi="Times New Roman" w:cs="Times New Roman"/>
          <w:color w:val="000000"/>
          <w:sz w:val="28"/>
          <w:szCs w:val="28"/>
          <w:lang w:val="ru-RU"/>
        </w:rPr>
        <w:t>представляє короткострокові державні облігації США з мінімальним рівнем ризику</w:t>
      </w:r>
    </w:p>
    <w:p w:rsidR="00F30E41" w:rsidRPr="00002D5B"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Vanguard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High</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Dividend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Yield</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w:t>
      </w:r>
      <w:r w:rsidRPr="00002D5B">
        <w:rPr>
          <w:rFonts w:ascii="Times New Roman" w:hAnsi="Times New Roman" w:cs="Times New Roman"/>
          <w:color w:val="000000"/>
          <w:sz w:val="28"/>
          <w:szCs w:val="28"/>
          <w:lang w:val="de-AT"/>
        </w:rPr>
        <w:t>VYM</w:t>
      </w:r>
      <w:r>
        <w:rPr>
          <w:rFonts w:ascii="Times New Roman" w:hAnsi="Times New Roman" w:cs="Times New Roman"/>
          <w:color w:val="000000"/>
          <w:sz w:val="28"/>
          <w:szCs w:val="28"/>
          <w:lang w:val="ru-RU"/>
        </w:rPr>
        <w:t>) -</w:t>
      </w:r>
      <w:r w:rsidRPr="00002D5B">
        <w:rPr>
          <w:rFonts w:ascii="Times New Roman" w:hAnsi="Times New Roman" w:cs="Times New Roman"/>
          <w:color w:val="000000"/>
          <w:sz w:val="28"/>
          <w:szCs w:val="28"/>
          <w:lang w:val="ru-RU"/>
        </w:rPr>
        <w:t xml:space="preserve"> забезпечує регулярний грошовий потік завдяки дивідендам стабільних компаній.</w:t>
      </w:r>
    </w:p>
    <w:p w:rsidR="00F30E41" w:rsidRPr="00002D5B" w:rsidRDefault="00F30E41" w:rsidP="00002D5B">
      <w:pPr>
        <w:tabs>
          <w:tab w:val="left" w:pos="6946"/>
        </w:tabs>
        <w:spacing w:after="0" w:line="360" w:lineRule="auto"/>
        <w:ind w:firstLine="709"/>
        <w:jc w:val="both"/>
        <w:rPr>
          <w:rFonts w:ascii="Times New Roman" w:hAnsi="Times New Roman" w:cs="Times New Roman"/>
          <w:color w:val="000000"/>
          <w:sz w:val="28"/>
          <w:szCs w:val="28"/>
          <w:lang w:val="ru-RU"/>
        </w:rPr>
      </w:pPr>
      <w:r w:rsidRPr="00002D5B">
        <w:rPr>
          <w:rFonts w:ascii="Times New Roman" w:hAnsi="Times New Roman" w:cs="Times New Roman"/>
          <w:color w:val="000000"/>
          <w:sz w:val="28"/>
          <w:szCs w:val="28"/>
          <w:lang w:val="ru-RU"/>
        </w:rPr>
        <w:t xml:space="preserve">Таке поєднання дозволяє побудувати збалансований портфель, де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слугують основою завдяки своїй універсальності, прозорості та здатності оперативно адаптуватися до змін ринкових умов. Таким чином, включення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до інвестиційного портфеля не лише відповідає теоретичним засадам диверсифікації та управління ризиками, а й підтверджується емпіричними дослідженнями останніх років [</w:t>
      </w:r>
      <w:r>
        <w:rPr>
          <w:rFonts w:ascii="Times New Roman" w:hAnsi="Times New Roman" w:cs="Times New Roman"/>
          <w:color w:val="000000"/>
          <w:sz w:val="28"/>
          <w:szCs w:val="28"/>
          <w:lang w:val="ru-RU"/>
        </w:rPr>
        <w:t>46, 47, 48</w:t>
      </w:r>
      <w:r w:rsidRPr="00002D5B">
        <w:rPr>
          <w:rFonts w:ascii="Times New Roman" w:hAnsi="Times New Roman" w:cs="Times New Roman"/>
          <w:color w:val="000000"/>
          <w:sz w:val="28"/>
          <w:szCs w:val="28"/>
          <w:lang w:val="ru-RU"/>
        </w:rPr>
        <w:t xml:space="preserve">]. З огляду на це, </w:t>
      </w:r>
      <w:r w:rsidRPr="00002D5B">
        <w:rPr>
          <w:rFonts w:ascii="Times New Roman" w:hAnsi="Times New Roman" w:cs="Times New Roman"/>
          <w:color w:val="000000"/>
          <w:sz w:val="28"/>
          <w:szCs w:val="28"/>
          <w:lang w:val="de-AT"/>
        </w:rPr>
        <w:t>ETF</w:t>
      </w:r>
      <w:r w:rsidRPr="00002D5B">
        <w:rPr>
          <w:rFonts w:ascii="Times New Roman" w:hAnsi="Times New Roman" w:cs="Times New Roman"/>
          <w:color w:val="000000"/>
          <w:sz w:val="28"/>
          <w:szCs w:val="28"/>
          <w:lang w:val="ru-RU"/>
        </w:rPr>
        <w:t xml:space="preserve"> у рамках цього дослідження займають ключову позицію у структурі портфелів, дозволяючи реалізувати як дохідну, так і зростаючу стратегію, одночасно знижуючи ризики, пов’язані з інфляцією, волатильністю та глобальними шоками.</w:t>
      </w:r>
    </w:p>
    <w:p w:rsidR="00F30E41" w:rsidRPr="00D17280" w:rsidRDefault="00F30E41" w:rsidP="00002D5B">
      <w:pPr>
        <w:tabs>
          <w:tab w:val="left" w:pos="6946"/>
        </w:tabs>
        <w:spacing w:after="0" w:line="360" w:lineRule="auto"/>
        <w:jc w:val="both"/>
        <w:rPr>
          <w:rFonts w:ascii="Times New Roman" w:hAnsi="Times New Roman" w:cs="Times New Roman"/>
          <w:b/>
          <w:bCs/>
          <w:color w:val="000000"/>
          <w:sz w:val="28"/>
          <w:szCs w:val="28"/>
        </w:rPr>
      </w:pPr>
    </w:p>
    <w:p w:rsidR="00F30E41" w:rsidRPr="00F61B1F" w:rsidRDefault="00F30E41" w:rsidP="00BA7C41">
      <w:pPr>
        <w:tabs>
          <w:tab w:val="left" w:pos="6946"/>
        </w:tabs>
        <w:spacing w:after="0" w:line="360" w:lineRule="auto"/>
        <w:ind w:firstLine="709"/>
        <w:jc w:val="both"/>
        <w:rPr>
          <w:rFonts w:ascii="Times New Roman" w:hAnsi="Times New Roman" w:cs="Times New Roman"/>
          <w:b/>
          <w:bCs/>
          <w:color w:val="000000"/>
          <w:sz w:val="28"/>
          <w:szCs w:val="28"/>
          <w:lang w:val="ru-RU"/>
        </w:rPr>
      </w:pPr>
      <w:r w:rsidRPr="00F61B1F">
        <w:rPr>
          <w:rFonts w:ascii="Times New Roman" w:hAnsi="Times New Roman" w:cs="Times New Roman"/>
          <w:b/>
          <w:bCs/>
          <w:color w:val="000000"/>
          <w:sz w:val="28"/>
          <w:szCs w:val="28"/>
          <w:lang w:val="ru-RU"/>
        </w:rPr>
        <w:t xml:space="preserve">2.3 </w:t>
      </w:r>
      <w:r w:rsidRPr="00F61B1F">
        <w:rPr>
          <w:rFonts w:ascii="Times New Roman" w:hAnsi="Times New Roman" w:cs="Times New Roman"/>
          <w:b/>
          <w:bCs/>
          <w:color w:val="000000"/>
          <w:sz w:val="28"/>
          <w:szCs w:val="28"/>
        </w:rPr>
        <w:t>Кореляційний аналіз обраних компаній та характеристика ризику</w:t>
      </w:r>
    </w:p>
    <w:p w:rsidR="00F30E41"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D56A60" w:rsidRDefault="00F30E41" w:rsidP="00EA656A">
      <w:pPr>
        <w:tabs>
          <w:tab w:val="left" w:pos="6946"/>
        </w:tabs>
        <w:spacing w:after="0" w:line="360" w:lineRule="auto"/>
        <w:ind w:firstLine="709"/>
        <w:jc w:val="both"/>
        <w:rPr>
          <w:rFonts w:ascii="Times New Roman" w:hAnsi="Times New Roman" w:cs="Times New Roman"/>
          <w:color w:val="000000"/>
          <w:sz w:val="28"/>
          <w:szCs w:val="28"/>
        </w:rPr>
      </w:pPr>
      <w:r w:rsidRPr="003A6517">
        <w:rPr>
          <w:rFonts w:ascii="Times New Roman" w:hAnsi="Times New Roman" w:cs="Times New Roman"/>
          <w:color w:val="000000"/>
          <w:sz w:val="28"/>
          <w:szCs w:val="28"/>
        </w:rPr>
        <w:t>Щоб</w:t>
      </w:r>
      <w:r>
        <w:rPr>
          <w:rFonts w:ascii="Times New Roman" w:hAnsi="Times New Roman" w:cs="Times New Roman"/>
          <w:color w:val="000000"/>
          <w:sz w:val="28"/>
          <w:szCs w:val="28"/>
        </w:rPr>
        <w:t xml:space="preserve"> сформувати</w:t>
      </w:r>
      <w:r w:rsidRPr="003A6517">
        <w:rPr>
          <w:rFonts w:ascii="Times New Roman" w:hAnsi="Times New Roman" w:cs="Times New Roman"/>
          <w:color w:val="000000"/>
          <w:sz w:val="28"/>
          <w:szCs w:val="28"/>
        </w:rPr>
        <w:t xml:space="preserve"> інвестиційний портфель</w:t>
      </w:r>
      <w:r>
        <w:rPr>
          <w:rFonts w:ascii="Times New Roman" w:hAnsi="Times New Roman" w:cs="Times New Roman"/>
          <w:color w:val="000000"/>
          <w:sz w:val="28"/>
          <w:szCs w:val="28"/>
        </w:rPr>
        <w:t xml:space="preserve"> згідно поставленим цілям</w:t>
      </w:r>
      <w:r w:rsidRPr="003A6517">
        <w:rPr>
          <w:rFonts w:ascii="Times New Roman" w:hAnsi="Times New Roman" w:cs="Times New Roman"/>
          <w:color w:val="000000"/>
          <w:sz w:val="28"/>
          <w:szCs w:val="28"/>
        </w:rPr>
        <w:t>, важливо розуміти</w:t>
      </w:r>
      <w:r w:rsidRPr="00E70C71">
        <w:rPr>
          <w:rFonts w:ascii="Times New Roman" w:hAnsi="Times New Roman" w:cs="Times New Roman"/>
          <w:color w:val="000000"/>
          <w:sz w:val="28"/>
          <w:szCs w:val="28"/>
          <w:lang w:val="ru-RU"/>
        </w:rPr>
        <w:t xml:space="preserve">, як поводяться окремі активи не тільки самі по собі, а й у зв’язку один з одним. Тобто, наскільки вони залежать один від одного в різні періоди часу. </w:t>
      </w:r>
      <w:r w:rsidRPr="00E22EBF">
        <w:rPr>
          <w:rFonts w:ascii="Times New Roman" w:hAnsi="Times New Roman" w:cs="Times New Roman"/>
          <w:color w:val="000000"/>
          <w:sz w:val="28"/>
          <w:szCs w:val="28"/>
        </w:rPr>
        <w:t>Це допомагає оцінити, чи</w:t>
      </w:r>
      <w:r w:rsidRPr="0046318D">
        <w:rPr>
          <w:rFonts w:ascii="Times New Roman" w:hAnsi="Times New Roman" w:cs="Times New Roman"/>
          <w:color w:val="000000"/>
          <w:sz w:val="28"/>
          <w:szCs w:val="28"/>
        </w:rPr>
        <w:t xml:space="preserve"> зможуть активи </w:t>
      </w:r>
      <w:r w:rsidRPr="009F3F73">
        <w:rPr>
          <w:rFonts w:ascii="Times New Roman" w:hAnsi="Times New Roman" w:cs="Times New Roman"/>
          <w:color w:val="000000"/>
          <w:sz w:val="28"/>
          <w:szCs w:val="28"/>
        </w:rPr>
        <w:t xml:space="preserve">зменшувати вплив негативної динаміки </w:t>
      </w:r>
      <w:r w:rsidRPr="0046318D">
        <w:rPr>
          <w:rFonts w:ascii="Times New Roman" w:hAnsi="Times New Roman" w:cs="Times New Roman"/>
          <w:color w:val="000000"/>
          <w:sz w:val="28"/>
          <w:szCs w:val="28"/>
        </w:rPr>
        <w:t xml:space="preserve">у нестабільні періоди, чи навпаки </w:t>
      </w:r>
      <w:r>
        <w:rPr>
          <w:rFonts w:ascii="Times New Roman" w:hAnsi="Times New Roman" w:cs="Times New Roman"/>
          <w:color w:val="000000"/>
          <w:sz w:val="28"/>
          <w:szCs w:val="28"/>
        </w:rPr>
        <w:t>-</w:t>
      </w:r>
      <w:r w:rsidRPr="0046318D">
        <w:rPr>
          <w:rFonts w:ascii="Times New Roman" w:hAnsi="Times New Roman" w:cs="Times New Roman"/>
          <w:color w:val="000000"/>
          <w:sz w:val="28"/>
          <w:szCs w:val="28"/>
        </w:rPr>
        <w:t xml:space="preserve"> будуть втрачати вартість одночасно. Саме тому </w:t>
      </w:r>
      <w:r>
        <w:rPr>
          <w:rFonts w:ascii="Times New Roman" w:hAnsi="Times New Roman" w:cs="Times New Roman"/>
          <w:color w:val="000000"/>
          <w:sz w:val="28"/>
          <w:szCs w:val="28"/>
        </w:rPr>
        <w:t xml:space="preserve">було </w:t>
      </w:r>
      <w:r w:rsidRPr="0046318D">
        <w:rPr>
          <w:rFonts w:ascii="Times New Roman" w:hAnsi="Times New Roman" w:cs="Times New Roman"/>
          <w:color w:val="000000"/>
          <w:sz w:val="28"/>
          <w:szCs w:val="28"/>
        </w:rPr>
        <w:t>пров</w:t>
      </w:r>
      <w:r>
        <w:rPr>
          <w:rFonts w:ascii="Times New Roman" w:hAnsi="Times New Roman" w:cs="Times New Roman"/>
          <w:color w:val="000000"/>
          <w:sz w:val="28"/>
          <w:szCs w:val="28"/>
        </w:rPr>
        <w:t>е</w:t>
      </w:r>
      <w:r w:rsidRPr="0046318D">
        <w:rPr>
          <w:rFonts w:ascii="Times New Roman" w:hAnsi="Times New Roman" w:cs="Times New Roman"/>
          <w:color w:val="000000"/>
          <w:sz w:val="28"/>
          <w:szCs w:val="28"/>
        </w:rPr>
        <w:t>д</w:t>
      </w:r>
      <w:r>
        <w:rPr>
          <w:rFonts w:ascii="Times New Roman" w:hAnsi="Times New Roman" w:cs="Times New Roman"/>
          <w:color w:val="000000"/>
          <w:sz w:val="28"/>
          <w:szCs w:val="28"/>
        </w:rPr>
        <w:t xml:space="preserve">ено </w:t>
      </w:r>
      <w:r w:rsidRPr="0046318D">
        <w:rPr>
          <w:rFonts w:ascii="Times New Roman" w:hAnsi="Times New Roman" w:cs="Times New Roman"/>
          <w:color w:val="000000"/>
          <w:sz w:val="28"/>
          <w:szCs w:val="28"/>
        </w:rPr>
        <w:t xml:space="preserve">кореляційний аналіз: щоб визначити, які компанії мають схожі ринкові коливання, а які незалежні. </w:t>
      </w:r>
      <w:r>
        <w:rPr>
          <w:rFonts w:ascii="Times New Roman" w:hAnsi="Times New Roman" w:cs="Times New Roman"/>
          <w:color w:val="000000"/>
          <w:sz w:val="28"/>
          <w:szCs w:val="28"/>
        </w:rPr>
        <w:t>Б</w:t>
      </w:r>
      <w:r w:rsidRPr="009567FF">
        <w:rPr>
          <w:rFonts w:ascii="Times New Roman" w:hAnsi="Times New Roman" w:cs="Times New Roman"/>
          <w:color w:val="000000"/>
          <w:sz w:val="28"/>
          <w:szCs w:val="28"/>
        </w:rPr>
        <w:t xml:space="preserve">уло проведено кореляційний аналіз акцій дев’яти компаній з трьох секторів </w:t>
      </w:r>
      <w:r w:rsidRPr="0023161D">
        <w:rPr>
          <w:rFonts w:ascii="Times New Roman" w:hAnsi="Times New Roman" w:cs="Times New Roman"/>
          <w:color w:val="000000"/>
          <w:sz w:val="28"/>
          <w:szCs w:val="28"/>
        </w:rPr>
        <w:t>-</w:t>
      </w:r>
      <w:r w:rsidRPr="009567FF">
        <w:rPr>
          <w:rFonts w:ascii="Times New Roman" w:hAnsi="Times New Roman" w:cs="Times New Roman"/>
          <w:color w:val="000000"/>
          <w:sz w:val="28"/>
          <w:szCs w:val="28"/>
        </w:rPr>
        <w:t xml:space="preserve"> технологічного, енергетичного та охорони здоров’я </w:t>
      </w:r>
      <w:r w:rsidRPr="0023161D">
        <w:rPr>
          <w:rFonts w:ascii="Times New Roman" w:hAnsi="Times New Roman" w:cs="Times New Roman"/>
          <w:color w:val="000000"/>
          <w:sz w:val="28"/>
          <w:szCs w:val="28"/>
        </w:rPr>
        <w:t>-</w:t>
      </w:r>
      <w:r w:rsidRPr="009567FF">
        <w:rPr>
          <w:rFonts w:ascii="Times New Roman" w:hAnsi="Times New Roman" w:cs="Times New Roman"/>
          <w:color w:val="000000"/>
          <w:sz w:val="28"/>
          <w:szCs w:val="28"/>
        </w:rPr>
        <w:t xml:space="preserve"> за період з 01.01.2020 по 31.01.2025 на основі щомісячної дохідності</w:t>
      </w:r>
      <w:r w:rsidRPr="0023161D">
        <w:rPr>
          <w:rFonts w:ascii="Times New Roman" w:hAnsi="Times New Roman" w:cs="Times New Roman"/>
          <w:color w:val="000000"/>
          <w:sz w:val="28"/>
          <w:szCs w:val="28"/>
        </w:rPr>
        <w:t xml:space="preserve"> за </w:t>
      </w:r>
      <w:r>
        <w:rPr>
          <w:rFonts w:ascii="Times New Roman" w:hAnsi="Times New Roman" w:cs="Times New Roman"/>
          <w:color w:val="000000"/>
          <w:sz w:val="28"/>
          <w:szCs w:val="28"/>
        </w:rPr>
        <w:t xml:space="preserve">допомогою інструменту </w:t>
      </w:r>
      <w:r>
        <w:rPr>
          <w:rFonts w:ascii="Times New Roman" w:hAnsi="Times New Roman" w:cs="Times New Roman"/>
          <w:color w:val="000000"/>
          <w:sz w:val="28"/>
          <w:szCs w:val="28"/>
          <w:lang w:val="en-US"/>
        </w:rPr>
        <w:t>Portfoliovisualiser</w:t>
      </w:r>
      <w:r w:rsidRPr="002316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див. додаток А</w:t>
      </w:r>
      <w:r w:rsidRPr="00EA656A">
        <w:rPr>
          <w:rFonts w:ascii="Times New Roman" w:hAnsi="Times New Roman" w:cs="Times New Roman"/>
          <w:color w:val="000000"/>
          <w:sz w:val="28"/>
          <w:szCs w:val="28"/>
        </w:rPr>
        <w:t>.</w:t>
      </w:r>
      <w:r w:rsidRPr="00896C52">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23161D">
        <w:rPr>
          <w:rFonts w:ascii="Times New Roman" w:hAnsi="Times New Roman" w:cs="Times New Roman"/>
          <w:color w:val="000000"/>
          <w:sz w:val="28"/>
          <w:szCs w:val="28"/>
        </w:rPr>
        <w:t>[4</w:t>
      </w:r>
      <w:r w:rsidRPr="00120986">
        <w:rPr>
          <w:rFonts w:ascii="Times New Roman" w:hAnsi="Times New Roman" w:cs="Times New Roman"/>
          <w:color w:val="000000"/>
          <w:sz w:val="28"/>
          <w:szCs w:val="28"/>
        </w:rPr>
        <w:t>9</w:t>
      </w:r>
      <w:r w:rsidRPr="0023161D">
        <w:rPr>
          <w:rFonts w:ascii="Times New Roman" w:hAnsi="Times New Roman" w:cs="Times New Roman"/>
          <w:color w:val="000000"/>
          <w:sz w:val="28"/>
          <w:szCs w:val="28"/>
        </w:rPr>
        <w:t xml:space="preserve">]. </w:t>
      </w:r>
    </w:p>
    <w:p w:rsidR="00F30E41" w:rsidRPr="009567FF" w:rsidRDefault="00F30E41" w:rsidP="009567FF">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У ході аналізу було </w:t>
      </w:r>
      <w:r w:rsidRPr="009567FF">
        <w:rPr>
          <w:rFonts w:ascii="Times New Roman" w:hAnsi="Times New Roman" w:cs="Times New Roman"/>
          <w:color w:val="000000"/>
          <w:sz w:val="28"/>
          <w:szCs w:val="28"/>
          <w:lang w:val="ru-RU"/>
        </w:rPr>
        <w:t>вияв</w:t>
      </w:r>
      <w:r>
        <w:rPr>
          <w:rFonts w:ascii="Times New Roman" w:hAnsi="Times New Roman" w:cs="Times New Roman"/>
          <w:color w:val="000000"/>
          <w:sz w:val="28"/>
          <w:szCs w:val="28"/>
          <w:lang w:val="ru-RU"/>
        </w:rPr>
        <w:t>лено</w:t>
      </w:r>
      <w:r w:rsidRPr="009567FF">
        <w:rPr>
          <w:rFonts w:ascii="Times New Roman" w:hAnsi="Times New Roman" w:cs="Times New Roman"/>
          <w:color w:val="000000"/>
          <w:sz w:val="28"/>
          <w:szCs w:val="28"/>
          <w:lang w:val="ru-RU"/>
        </w:rPr>
        <w:t xml:space="preserve"> низку важливих залежностей. Найвищий рівень кореляції спостерігається між </w:t>
      </w:r>
      <w:r w:rsidRPr="009567FF">
        <w:rPr>
          <w:rFonts w:ascii="Times New Roman" w:hAnsi="Times New Roman" w:cs="Times New Roman"/>
          <w:color w:val="000000"/>
          <w:sz w:val="28"/>
          <w:szCs w:val="28"/>
          <w:lang w:val="de-AT"/>
        </w:rPr>
        <w:t>NVIDIA</w:t>
      </w:r>
      <w:r w:rsidRPr="009567FF">
        <w:rPr>
          <w:rFonts w:ascii="Times New Roman" w:hAnsi="Times New Roman" w:cs="Times New Roman"/>
          <w:color w:val="000000"/>
          <w:sz w:val="28"/>
          <w:szCs w:val="28"/>
          <w:lang w:val="ru-RU"/>
        </w:rPr>
        <w:t xml:space="preserve"> та </w:t>
      </w:r>
      <w:r w:rsidRPr="009567FF">
        <w:rPr>
          <w:rFonts w:ascii="Times New Roman" w:hAnsi="Times New Roman" w:cs="Times New Roman"/>
          <w:color w:val="000000"/>
          <w:sz w:val="28"/>
          <w:szCs w:val="28"/>
          <w:lang w:val="de-AT"/>
        </w:rPr>
        <w:t>ASML</w:t>
      </w:r>
      <w:r w:rsidRPr="009567FF">
        <w:rPr>
          <w:rFonts w:ascii="Times New Roman" w:hAnsi="Times New Roman" w:cs="Times New Roman"/>
          <w:color w:val="000000"/>
          <w:sz w:val="28"/>
          <w:szCs w:val="28"/>
          <w:lang w:val="ru-RU"/>
        </w:rPr>
        <w:t xml:space="preserve"> (0.65), що логічно пояснюється їхньою галузевою належністю до високотехнологічного сектору та тісною взаємозалежністю у сфері напівпровідникових рішень. Аналогічно, помітна кореляція між </w:t>
      </w:r>
      <w:r w:rsidRPr="009567FF">
        <w:rPr>
          <w:rFonts w:ascii="Times New Roman" w:hAnsi="Times New Roman" w:cs="Times New Roman"/>
          <w:color w:val="000000"/>
          <w:sz w:val="28"/>
          <w:szCs w:val="28"/>
          <w:lang w:val="de-AT"/>
        </w:rPr>
        <w:t>Sony</w:t>
      </w:r>
      <w:r w:rsidRPr="009567FF">
        <w:rPr>
          <w:rFonts w:ascii="Times New Roman" w:hAnsi="Times New Roman" w:cs="Times New Roman"/>
          <w:color w:val="000000"/>
          <w:sz w:val="28"/>
          <w:szCs w:val="28"/>
          <w:lang w:val="ru-RU"/>
        </w:rPr>
        <w:t xml:space="preserve"> та </w:t>
      </w:r>
      <w:r w:rsidRPr="009567FF">
        <w:rPr>
          <w:rFonts w:ascii="Times New Roman" w:hAnsi="Times New Roman" w:cs="Times New Roman"/>
          <w:color w:val="000000"/>
          <w:sz w:val="28"/>
          <w:szCs w:val="28"/>
          <w:lang w:val="de-AT"/>
        </w:rPr>
        <w:t>ASML</w:t>
      </w:r>
      <w:r w:rsidRPr="009567FF">
        <w:rPr>
          <w:rFonts w:ascii="Times New Roman" w:hAnsi="Times New Roman" w:cs="Times New Roman"/>
          <w:color w:val="000000"/>
          <w:sz w:val="28"/>
          <w:szCs w:val="28"/>
          <w:lang w:val="ru-RU"/>
        </w:rPr>
        <w:t xml:space="preserve"> (0.63), що свідчить про синхронність руху їхніх цін внаслідок схожої ринкової динаміки. Серед фармацевтичних компаній найвищу кореляцію мають </w:t>
      </w:r>
      <w:r w:rsidRPr="009567FF">
        <w:rPr>
          <w:rFonts w:ascii="Times New Roman" w:hAnsi="Times New Roman" w:cs="Times New Roman"/>
          <w:color w:val="000000"/>
          <w:sz w:val="28"/>
          <w:szCs w:val="28"/>
          <w:lang w:val="de-AT"/>
        </w:rPr>
        <w:t>Pfizer</w:t>
      </w:r>
      <w:r w:rsidRPr="009567FF">
        <w:rPr>
          <w:rFonts w:ascii="Times New Roman" w:hAnsi="Times New Roman" w:cs="Times New Roman"/>
          <w:color w:val="000000"/>
          <w:sz w:val="28"/>
          <w:szCs w:val="28"/>
          <w:lang w:val="ru-RU"/>
        </w:rPr>
        <w:t xml:space="preserve"> і </w:t>
      </w:r>
      <w:r w:rsidRPr="009567FF">
        <w:rPr>
          <w:rFonts w:ascii="Times New Roman" w:hAnsi="Times New Roman" w:cs="Times New Roman"/>
          <w:color w:val="000000"/>
          <w:sz w:val="28"/>
          <w:szCs w:val="28"/>
          <w:lang w:val="de-AT"/>
        </w:rPr>
        <w:t>Roche</w:t>
      </w:r>
      <w:r w:rsidRPr="009567FF">
        <w:rPr>
          <w:rFonts w:ascii="Times New Roman" w:hAnsi="Times New Roman" w:cs="Times New Roman"/>
          <w:color w:val="000000"/>
          <w:sz w:val="28"/>
          <w:szCs w:val="28"/>
          <w:lang w:val="ru-RU"/>
        </w:rPr>
        <w:t xml:space="preserve"> (0.39), що демонструє їхню чутливість до спільних медичних та економічних факторів. Найтісніший зв’язок у межах енергетичного сектору виявлено між </w:t>
      </w:r>
      <w:r w:rsidRPr="009567FF">
        <w:rPr>
          <w:rFonts w:ascii="Times New Roman" w:hAnsi="Times New Roman" w:cs="Times New Roman"/>
          <w:color w:val="000000"/>
          <w:sz w:val="28"/>
          <w:szCs w:val="28"/>
          <w:lang w:val="de-AT"/>
        </w:rPr>
        <w:t>ExxonMobil</w:t>
      </w:r>
      <w:r w:rsidRPr="009567FF">
        <w:rPr>
          <w:rFonts w:ascii="Times New Roman" w:hAnsi="Times New Roman" w:cs="Times New Roman"/>
          <w:color w:val="000000"/>
          <w:sz w:val="28"/>
          <w:szCs w:val="28"/>
          <w:lang w:val="ru-RU"/>
        </w:rPr>
        <w:t xml:space="preserve"> і </w:t>
      </w:r>
      <w:r w:rsidRPr="009567FF">
        <w:rPr>
          <w:rFonts w:ascii="Times New Roman" w:hAnsi="Times New Roman" w:cs="Times New Roman"/>
          <w:color w:val="000000"/>
          <w:sz w:val="28"/>
          <w:szCs w:val="28"/>
          <w:lang w:val="de-AT"/>
        </w:rPr>
        <w:t>TotalEnergies</w:t>
      </w:r>
      <w:r w:rsidRPr="009567FF">
        <w:rPr>
          <w:rFonts w:ascii="Times New Roman" w:hAnsi="Times New Roman" w:cs="Times New Roman"/>
          <w:color w:val="000000"/>
          <w:sz w:val="28"/>
          <w:szCs w:val="28"/>
          <w:lang w:val="ru-RU"/>
        </w:rPr>
        <w:t xml:space="preserve"> (0.66), що підтверджує циклічний характер прибутковості традиційної енергетики, яка сильно залежить від глобальних цін на нафту.</w:t>
      </w:r>
    </w:p>
    <w:p w:rsidR="00F30E41" w:rsidRDefault="00F30E41" w:rsidP="009567FF">
      <w:pPr>
        <w:tabs>
          <w:tab w:val="left" w:pos="6946"/>
        </w:tabs>
        <w:spacing w:after="0" w:line="360" w:lineRule="auto"/>
        <w:ind w:firstLine="709"/>
        <w:jc w:val="both"/>
        <w:rPr>
          <w:rFonts w:ascii="Times New Roman" w:hAnsi="Times New Roman" w:cs="Times New Roman"/>
          <w:color w:val="000000"/>
          <w:sz w:val="28"/>
          <w:szCs w:val="28"/>
          <w:lang w:val="ru-RU"/>
        </w:rPr>
      </w:pPr>
      <w:r w:rsidRPr="009567FF">
        <w:rPr>
          <w:rFonts w:ascii="Times New Roman" w:hAnsi="Times New Roman" w:cs="Times New Roman"/>
          <w:color w:val="000000"/>
          <w:sz w:val="28"/>
          <w:szCs w:val="28"/>
          <w:lang w:val="ru-RU"/>
        </w:rPr>
        <w:t xml:space="preserve">Водночас низка активів демонструє слабку або навіть негативну кореляцію. Наприклад, зв’язок між </w:t>
      </w:r>
      <w:r w:rsidRPr="009567FF">
        <w:rPr>
          <w:rFonts w:ascii="Times New Roman" w:hAnsi="Times New Roman" w:cs="Times New Roman"/>
          <w:color w:val="000000"/>
          <w:sz w:val="28"/>
          <w:szCs w:val="28"/>
          <w:lang w:val="de-AT"/>
        </w:rPr>
        <w:t>NVIDIA</w:t>
      </w:r>
      <w:r w:rsidRPr="009567FF">
        <w:rPr>
          <w:rFonts w:ascii="Times New Roman" w:hAnsi="Times New Roman" w:cs="Times New Roman"/>
          <w:color w:val="000000"/>
          <w:sz w:val="28"/>
          <w:szCs w:val="28"/>
          <w:lang w:val="ru-RU"/>
        </w:rPr>
        <w:t xml:space="preserve"> та </w:t>
      </w:r>
      <w:r w:rsidRPr="009567FF">
        <w:rPr>
          <w:rFonts w:ascii="Times New Roman" w:hAnsi="Times New Roman" w:cs="Times New Roman"/>
          <w:color w:val="000000"/>
          <w:sz w:val="28"/>
          <w:szCs w:val="28"/>
          <w:lang w:val="de-AT"/>
        </w:rPr>
        <w:t>TotalEnergies</w:t>
      </w:r>
      <w:r w:rsidRPr="009567FF">
        <w:rPr>
          <w:rFonts w:ascii="Times New Roman" w:hAnsi="Times New Roman" w:cs="Times New Roman"/>
          <w:color w:val="000000"/>
          <w:sz w:val="28"/>
          <w:szCs w:val="28"/>
          <w:lang w:val="ru-RU"/>
        </w:rPr>
        <w:t xml:space="preserve"> становить -0.02, а між </w:t>
      </w:r>
      <w:r w:rsidRPr="009567FF">
        <w:rPr>
          <w:rFonts w:ascii="Times New Roman" w:hAnsi="Times New Roman" w:cs="Times New Roman"/>
          <w:color w:val="000000"/>
          <w:sz w:val="28"/>
          <w:szCs w:val="28"/>
          <w:lang w:val="de-AT"/>
        </w:rPr>
        <w:t>NextEra</w:t>
      </w:r>
      <w:r w:rsidRPr="009567FF">
        <w:rPr>
          <w:rFonts w:ascii="Times New Roman" w:hAnsi="Times New Roman" w:cs="Times New Roman"/>
          <w:color w:val="000000"/>
          <w:sz w:val="28"/>
          <w:szCs w:val="28"/>
          <w:lang w:val="ru-RU"/>
        </w:rPr>
        <w:t xml:space="preserve"> (зелена енергетика) та </w:t>
      </w:r>
      <w:r w:rsidRPr="009567FF">
        <w:rPr>
          <w:rFonts w:ascii="Times New Roman" w:hAnsi="Times New Roman" w:cs="Times New Roman"/>
          <w:color w:val="000000"/>
          <w:sz w:val="28"/>
          <w:szCs w:val="28"/>
          <w:lang w:val="de-AT"/>
        </w:rPr>
        <w:t>ExxonMobil</w:t>
      </w:r>
      <w:r w:rsidRPr="009567FF">
        <w:rPr>
          <w:rFonts w:ascii="Times New Roman" w:hAnsi="Times New Roman" w:cs="Times New Roman"/>
          <w:color w:val="000000"/>
          <w:sz w:val="28"/>
          <w:szCs w:val="28"/>
          <w:lang w:val="ru-RU"/>
        </w:rPr>
        <w:t xml:space="preserve">  -0.08, що вказує на протилежну динаміку їхньої ринкової поведінки. Такі компанії можна поєднувати в портфелі з метою підвищення його стійкості. Крім того, фармацевтичні компанії, зокрема </w:t>
      </w:r>
      <w:r w:rsidRPr="009567FF">
        <w:rPr>
          <w:rFonts w:ascii="Times New Roman" w:hAnsi="Times New Roman" w:cs="Times New Roman"/>
          <w:color w:val="000000"/>
          <w:sz w:val="28"/>
          <w:szCs w:val="28"/>
          <w:lang w:val="de-AT"/>
        </w:rPr>
        <w:t>Pfizer</w:t>
      </w:r>
      <w:r w:rsidRPr="009567FF">
        <w:rPr>
          <w:rFonts w:ascii="Times New Roman" w:hAnsi="Times New Roman" w:cs="Times New Roman"/>
          <w:color w:val="000000"/>
          <w:sz w:val="28"/>
          <w:szCs w:val="28"/>
          <w:lang w:val="ru-RU"/>
        </w:rPr>
        <w:t xml:space="preserve">, </w:t>
      </w:r>
      <w:r w:rsidRPr="009567FF">
        <w:rPr>
          <w:rFonts w:ascii="Times New Roman" w:hAnsi="Times New Roman" w:cs="Times New Roman"/>
          <w:color w:val="000000"/>
          <w:sz w:val="28"/>
          <w:szCs w:val="28"/>
          <w:lang w:val="de-AT"/>
        </w:rPr>
        <w:t>Roche</w:t>
      </w:r>
      <w:r w:rsidRPr="009567FF">
        <w:rPr>
          <w:rFonts w:ascii="Times New Roman" w:hAnsi="Times New Roman" w:cs="Times New Roman"/>
          <w:color w:val="000000"/>
          <w:sz w:val="28"/>
          <w:szCs w:val="28"/>
          <w:lang w:val="ru-RU"/>
        </w:rPr>
        <w:t xml:space="preserve"> та </w:t>
      </w:r>
      <w:r w:rsidRPr="009567FF">
        <w:rPr>
          <w:rFonts w:ascii="Times New Roman" w:hAnsi="Times New Roman" w:cs="Times New Roman"/>
          <w:color w:val="000000"/>
          <w:sz w:val="28"/>
          <w:szCs w:val="28"/>
          <w:lang w:val="de-AT"/>
        </w:rPr>
        <w:t>Takeda</w:t>
      </w:r>
      <w:r w:rsidRPr="009567FF">
        <w:rPr>
          <w:rFonts w:ascii="Times New Roman" w:hAnsi="Times New Roman" w:cs="Times New Roman"/>
          <w:color w:val="000000"/>
          <w:sz w:val="28"/>
          <w:szCs w:val="28"/>
          <w:lang w:val="ru-RU"/>
        </w:rPr>
        <w:t>, мають нижчий рівень волатильності та слабкий зв’язок з іншими секторами, що дозволяє використовувати їх як захисні активи.</w:t>
      </w:r>
    </w:p>
    <w:p w:rsidR="00F30E41" w:rsidRPr="008B2AEB" w:rsidRDefault="00F30E41" w:rsidP="009567FF">
      <w:pPr>
        <w:tabs>
          <w:tab w:val="left" w:pos="6946"/>
        </w:tabs>
        <w:spacing w:after="0" w:line="360" w:lineRule="auto"/>
        <w:ind w:firstLine="709"/>
        <w:jc w:val="both"/>
        <w:rPr>
          <w:rFonts w:ascii="Times New Roman" w:hAnsi="Times New Roman" w:cs="Times New Roman"/>
          <w:color w:val="000000"/>
          <w:sz w:val="28"/>
          <w:szCs w:val="28"/>
        </w:rPr>
      </w:pPr>
      <w:r w:rsidRPr="00917A3C">
        <w:rPr>
          <w:rFonts w:ascii="Times New Roman" w:hAnsi="Times New Roman" w:cs="Times New Roman"/>
          <w:color w:val="000000"/>
          <w:sz w:val="28"/>
          <w:szCs w:val="28"/>
        </w:rPr>
        <w:t>Окрім кореляційного аналізу, було також оцінено рівень дохідності та ризику кожної компанії</w:t>
      </w:r>
      <w:r>
        <w:rPr>
          <w:rFonts w:ascii="Times New Roman" w:hAnsi="Times New Roman" w:cs="Times New Roman"/>
          <w:color w:val="000000"/>
          <w:sz w:val="28"/>
          <w:szCs w:val="28"/>
        </w:rPr>
        <w:t xml:space="preserve">. </w:t>
      </w:r>
      <w:r w:rsidRPr="00917A3C">
        <w:rPr>
          <w:rFonts w:ascii="Times New Roman" w:hAnsi="Times New Roman" w:cs="Times New Roman"/>
          <w:color w:val="000000"/>
          <w:sz w:val="28"/>
          <w:szCs w:val="28"/>
        </w:rPr>
        <w:t xml:space="preserve">У </w:t>
      </w:r>
      <w:r>
        <w:rPr>
          <w:rFonts w:ascii="Times New Roman" w:hAnsi="Times New Roman" w:cs="Times New Roman"/>
          <w:color w:val="000000"/>
          <w:sz w:val="28"/>
          <w:szCs w:val="28"/>
        </w:rPr>
        <w:t>додат</w:t>
      </w:r>
      <w:r>
        <w:rPr>
          <w:rFonts w:ascii="Times New Roman" w:hAnsi="Times New Roman" w:cs="Times New Roman"/>
          <w:color w:val="000000"/>
          <w:sz w:val="28"/>
          <w:szCs w:val="28"/>
          <w:lang w:val="ru-RU"/>
        </w:rPr>
        <w:t>ку</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А.2</w:t>
      </w:r>
      <w:r>
        <w:rPr>
          <w:rFonts w:ascii="Times New Roman" w:hAnsi="Times New Roman" w:cs="Times New Roman"/>
          <w:color w:val="000000"/>
          <w:sz w:val="28"/>
          <w:szCs w:val="28"/>
        </w:rPr>
        <w:t xml:space="preserve"> було </w:t>
      </w:r>
      <w:r w:rsidRPr="00917A3C">
        <w:rPr>
          <w:rFonts w:ascii="Times New Roman" w:hAnsi="Times New Roman" w:cs="Times New Roman"/>
          <w:color w:val="000000"/>
          <w:sz w:val="28"/>
          <w:szCs w:val="28"/>
        </w:rPr>
        <w:t>представлено середньорічну дохідність</w:t>
      </w:r>
      <w:r>
        <w:rPr>
          <w:rFonts w:ascii="Times New Roman" w:hAnsi="Times New Roman" w:cs="Times New Roman"/>
          <w:color w:val="000000"/>
          <w:sz w:val="28"/>
          <w:szCs w:val="28"/>
        </w:rPr>
        <w:t xml:space="preserve"> активів</w:t>
      </w:r>
      <w:r w:rsidRPr="00917A3C">
        <w:rPr>
          <w:rFonts w:ascii="Times New Roman" w:hAnsi="Times New Roman" w:cs="Times New Roman"/>
          <w:color w:val="000000"/>
          <w:sz w:val="28"/>
          <w:szCs w:val="28"/>
        </w:rPr>
        <w:t>, а також стандартне відхилення дохідності в денному, місячному та річному вимірах, що дозволяє порівняти рівень волатильності активів.</w:t>
      </w:r>
    </w:p>
    <w:p w:rsidR="00F30E41" w:rsidRPr="00247B01" w:rsidRDefault="00F30E41" w:rsidP="00247B01">
      <w:pPr>
        <w:tabs>
          <w:tab w:val="left" w:pos="6946"/>
        </w:tabs>
        <w:spacing w:after="0" w:line="360" w:lineRule="auto"/>
        <w:ind w:firstLine="709"/>
        <w:jc w:val="both"/>
        <w:rPr>
          <w:rFonts w:ascii="Times New Roman" w:hAnsi="Times New Roman" w:cs="Times New Roman"/>
          <w:color w:val="000000"/>
          <w:sz w:val="28"/>
          <w:szCs w:val="28"/>
          <w:lang w:val="ru-RU"/>
        </w:rPr>
      </w:pPr>
      <w:r w:rsidRPr="00263A19">
        <w:rPr>
          <w:rFonts w:ascii="Times New Roman" w:hAnsi="Times New Roman" w:cs="Times New Roman"/>
          <w:color w:val="000000"/>
          <w:sz w:val="28"/>
          <w:szCs w:val="28"/>
        </w:rPr>
        <w:t xml:space="preserve">Аналіз дохідності та волатильності кожної компанії свідчить, що найвищу середньорічну дохідність у вибірці показала компанія </w:t>
      </w:r>
      <w:r w:rsidRPr="00247B01">
        <w:rPr>
          <w:rFonts w:ascii="Times New Roman" w:hAnsi="Times New Roman" w:cs="Times New Roman"/>
          <w:color w:val="000000"/>
          <w:sz w:val="28"/>
          <w:szCs w:val="28"/>
          <w:lang w:val="de-AT"/>
        </w:rPr>
        <w:t>NVIDIA</w:t>
      </w:r>
      <w:r w:rsidRPr="00263A19">
        <w:rPr>
          <w:rFonts w:ascii="Times New Roman" w:hAnsi="Times New Roman" w:cs="Times New Roman"/>
          <w:color w:val="000000"/>
          <w:sz w:val="28"/>
          <w:szCs w:val="28"/>
        </w:rPr>
        <w:t xml:space="preserve"> (81.13%), що супроводжувалося також найвищим рівнем річної волатильності (50.02%). </w:t>
      </w:r>
      <w:r w:rsidRPr="00247B01">
        <w:rPr>
          <w:rFonts w:ascii="Times New Roman" w:hAnsi="Times New Roman" w:cs="Times New Roman"/>
          <w:color w:val="000000"/>
          <w:sz w:val="28"/>
          <w:szCs w:val="28"/>
          <w:lang w:val="ru-RU"/>
        </w:rPr>
        <w:t xml:space="preserve">Це характерно для швидкозростаючих компаній технологічного сектору. Досить високі результати також продемонструвала компанія </w:t>
      </w:r>
      <w:r w:rsidRPr="00247B01">
        <w:rPr>
          <w:rFonts w:ascii="Times New Roman" w:hAnsi="Times New Roman" w:cs="Times New Roman"/>
          <w:color w:val="000000"/>
          <w:sz w:val="28"/>
          <w:szCs w:val="28"/>
          <w:lang w:val="de-AT"/>
        </w:rPr>
        <w:t>ASML</w:t>
      </w:r>
      <w:r w:rsidRPr="00247B01">
        <w:rPr>
          <w:rFonts w:ascii="Times New Roman" w:hAnsi="Times New Roman" w:cs="Times New Roman"/>
          <w:color w:val="000000"/>
          <w:sz w:val="28"/>
          <w:szCs w:val="28"/>
          <w:lang w:val="ru-RU"/>
        </w:rPr>
        <w:t xml:space="preserve"> (20.79% річної дохідності) при помірному ризику. Компанії фармацевтичного сектору, зокрема </w:t>
      </w:r>
      <w:r w:rsidRPr="00247B01">
        <w:rPr>
          <w:rFonts w:ascii="Times New Roman" w:hAnsi="Times New Roman" w:cs="Times New Roman"/>
          <w:color w:val="000000"/>
          <w:sz w:val="28"/>
          <w:szCs w:val="28"/>
          <w:lang w:val="de-AT"/>
        </w:rPr>
        <w:t>Pfizer</w:t>
      </w:r>
      <w:r w:rsidRPr="00247B01">
        <w:rPr>
          <w:rFonts w:ascii="Times New Roman" w:hAnsi="Times New Roman" w:cs="Times New Roman"/>
          <w:color w:val="000000"/>
          <w:sz w:val="28"/>
          <w:szCs w:val="28"/>
          <w:lang w:val="ru-RU"/>
        </w:rPr>
        <w:t xml:space="preserve"> (-2.04%) та </w:t>
      </w:r>
      <w:r w:rsidRPr="00247B01">
        <w:rPr>
          <w:rFonts w:ascii="Times New Roman" w:hAnsi="Times New Roman" w:cs="Times New Roman"/>
          <w:color w:val="000000"/>
          <w:sz w:val="28"/>
          <w:szCs w:val="28"/>
          <w:lang w:val="de-AT"/>
        </w:rPr>
        <w:t>Takeda</w:t>
      </w:r>
      <w:r w:rsidRPr="00247B01">
        <w:rPr>
          <w:rFonts w:ascii="Times New Roman" w:hAnsi="Times New Roman" w:cs="Times New Roman"/>
          <w:color w:val="000000"/>
          <w:sz w:val="28"/>
          <w:szCs w:val="28"/>
          <w:lang w:val="ru-RU"/>
        </w:rPr>
        <w:t xml:space="preserve"> (-3.41%), мали від’ємну або незначну дохідність при нижчому рівні волатильності, що відображає їхню захисну роль у портфелі.</w:t>
      </w:r>
    </w:p>
    <w:p w:rsidR="00F30E41" w:rsidRPr="00AA114F" w:rsidRDefault="00F30E41" w:rsidP="00247B01">
      <w:pPr>
        <w:tabs>
          <w:tab w:val="left" w:pos="6946"/>
        </w:tabs>
        <w:spacing w:after="0" w:line="360" w:lineRule="auto"/>
        <w:ind w:firstLine="709"/>
        <w:jc w:val="both"/>
        <w:rPr>
          <w:rFonts w:ascii="Times New Roman" w:hAnsi="Times New Roman" w:cs="Times New Roman"/>
          <w:color w:val="000000"/>
          <w:sz w:val="28"/>
          <w:szCs w:val="28"/>
          <w:lang w:val="ru-RU"/>
        </w:rPr>
      </w:pPr>
      <w:r w:rsidRPr="00247B01">
        <w:rPr>
          <w:rFonts w:ascii="Times New Roman" w:hAnsi="Times New Roman" w:cs="Times New Roman"/>
          <w:color w:val="000000"/>
          <w:sz w:val="28"/>
          <w:szCs w:val="28"/>
          <w:lang w:val="ru-RU"/>
        </w:rPr>
        <w:t xml:space="preserve">Серед енергетичних компаній </w:t>
      </w:r>
      <w:r w:rsidRPr="00247B01">
        <w:rPr>
          <w:rFonts w:ascii="Times New Roman" w:hAnsi="Times New Roman" w:cs="Times New Roman"/>
          <w:color w:val="000000"/>
          <w:sz w:val="28"/>
          <w:szCs w:val="28"/>
          <w:lang w:val="de-AT"/>
        </w:rPr>
        <w:t>ExxonMobil</w:t>
      </w:r>
      <w:r w:rsidRPr="00247B01">
        <w:rPr>
          <w:rFonts w:ascii="Times New Roman" w:hAnsi="Times New Roman" w:cs="Times New Roman"/>
          <w:color w:val="000000"/>
          <w:sz w:val="28"/>
          <w:szCs w:val="28"/>
          <w:lang w:val="ru-RU"/>
        </w:rPr>
        <w:t xml:space="preserve"> (14.06%) та </w:t>
      </w:r>
      <w:r w:rsidRPr="00247B01">
        <w:rPr>
          <w:rFonts w:ascii="Times New Roman" w:hAnsi="Times New Roman" w:cs="Times New Roman"/>
          <w:color w:val="000000"/>
          <w:sz w:val="28"/>
          <w:szCs w:val="28"/>
          <w:lang w:val="de-AT"/>
        </w:rPr>
        <w:t>TotalEnergies</w:t>
      </w:r>
      <w:r w:rsidRPr="00247B01">
        <w:rPr>
          <w:rFonts w:ascii="Times New Roman" w:hAnsi="Times New Roman" w:cs="Times New Roman"/>
          <w:color w:val="000000"/>
          <w:sz w:val="28"/>
          <w:szCs w:val="28"/>
          <w:lang w:val="ru-RU"/>
        </w:rPr>
        <w:t xml:space="preserve"> (7.84%) мали помірну дохідність при середньому рівні ризику. Компанія </w:t>
      </w:r>
      <w:r w:rsidRPr="00247B01">
        <w:rPr>
          <w:rFonts w:ascii="Times New Roman" w:hAnsi="Times New Roman" w:cs="Times New Roman"/>
          <w:color w:val="000000"/>
          <w:sz w:val="28"/>
          <w:szCs w:val="28"/>
          <w:lang w:val="de-AT"/>
        </w:rPr>
        <w:t>NextEra</w:t>
      </w:r>
      <w:r w:rsidRPr="00247B01">
        <w:rPr>
          <w:rFonts w:ascii="Times New Roman" w:hAnsi="Times New Roman" w:cs="Times New Roman"/>
          <w:color w:val="000000"/>
          <w:sz w:val="28"/>
          <w:szCs w:val="28"/>
          <w:lang w:val="ru-RU"/>
        </w:rPr>
        <w:t xml:space="preserve"> </w:t>
      </w:r>
      <w:r w:rsidRPr="00247B01">
        <w:rPr>
          <w:rFonts w:ascii="Times New Roman" w:hAnsi="Times New Roman" w:cs="Times New Roman"/>
          <w:color w:val="000000"/>
          <w:sz w:val="28"/>
          <w:szCs w:val="28"/>
          <w:lang w:val="de-AT"/>
        </w:rPr>
        <w:t>Energy</w:t>
      </w:r>
      <w:r w:rsidRPr="00247B01">
        <w:rPr>
          <w:rFonts w:ascii="Times New Roman" w:hAnsi="Times New Roman" w:cs="Times New Roman"/>
          <w:color w:val="000000"/>
          <w:sz w:val="28"/>
          <w:szCs w:val="28"/>
          <w:lang w:val="ru-RU"/>
        </w:rPr>
        <w:t>, яка представляє сектор чистої енергетики, показала помірне зростання (5.76%) за низької волатильності (26.53% річного стандартного відхилення), що вказує на її потенціал як складової частини захищеного або збалансованого інвестиційного портфеля.</w:t>
      </w:r>
    </w:p>
    <w:p w:rsidR="00F30E41" w:rsidRPr="00AA114F" w:rsidRDefault="00F30E41" w:rsidP="00AC127E">
      <w:pPr>
        <w:tabs>
          <w:tab w:val="left" w:pos="6946"/>
        </w:tabs>
        <w:spacing w:after="0" w:line="360" w:lineRule="auto"/>
        <w:ind w:firstLine="709"/>
        <w:jc w:val="both"/>
        <w:rPr>
          <w:rFonts w:ascii="Times New Roman" w:hAnsi="Times New Roman" w:cs="Times New Roman"/>
          <w:color w:val="000000"/>
          <w:sz w:val="28"/>
          <w:szCs w:val="28"/>
          <w:lang w:val="ru-RU"/>
        </w:rPr>
      </w:pPr>
      <w:r w:rsidRPr="00AA114F">
        <w:rPr>
          <w:rFonts w:ascii="Times New Roman" w:hAnsi="Times New Roman" w:cs="Times New Roman"/>
          <w:color w:val="000000"/>
          <w:sz w:val="28"/>
          <w:szCs w:val="28"/>
          <w:lang w:val="ru-RU"/>
        </w:rPr>
        <w:t xml:space="preserve">Проведений аналіз показав, що для формування збалансованого інвестиційного портфеля необхідно враховувати як дохідність і ризик активів, так і рівень їхньої взаємної кореляції. Найвищу прибутковість продемонстрували технологічні компанії, але з підвищеною волатильністю, тоді як фармацевтичні </w:t>
      </w:r>
      <w:r>
        <w:rPr>
          <w:rFonts w:ascii="Times New Roman" w:hAnsi="Times New Roman" w:cs="Times New Roman"/>
          <w:color w:val="000000"/>
          <w:sz w:val="28"/>
          <w:szCs w:val="28"/>
          <w:lang w:val="ru-RU"/>
        </w:rPr>
        <w:t>-</w:t>
      </w:r>
      <w:r w:rsidRPr="00AA114F">
        <w:rPr>
          <w:rFonts w:ascii="Times New Roman" w:hAnsi="Times New Roman" w:cs="Times New Roman"/>
          <w:color w:val="000000"/>
          <w:sz w:val="28"/>
          <w:szCs w:val="28"/>
          <w:lang w:val="ru-RU"/>
        </w:rPr>
        <w:t xml:space="preserve"> мали стабільні, хоча й скромніші результати. Енергетичні компанії займали проміжну позицію. Кореляційний аналіз підтвердив, що активи з різних секторів мають низький або негативний зв’язок, що дозволяє ефективно диверсифікувати портфель і зменшити ризики в умовах нестабільної економіки.</w:t>
      </w:r>
    </w:p>
    <w:p w:rsidR="00F30E41" w:rsidRPr="00AA114F" w:rsidRDefault="00F30E41" w:rsidP="000F15ED">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AA114F" w:rsidRDefault="00F30E41" w:rsidP="000F15ED">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AA114F" w:rsidRDefault="00F30E41" w:rsidP="000F15ED">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AA114F" w:rsidRDefault="00F30E41" w:rsidP="000F15ED">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78085F" w:rsidRDefault="00F30E41" w:rsidP="00AA114F">
      <w:pPr>
        <w:tabs>
          <w:tab w:val="left" w:pos="6946"/>
        </w:tabs>
        <w:spacing w:after="0" w:line="360" w:lineRule="auto"/>
        <w:jc w:val="both"/>
        <w:rPr>
          <w:rFonts w:ascii="Times New Roman" w:hAnsi="Times New Roman" w:cs="Times New Roman"/>
          <w:color w:val="000000"/>
          <w:sz w:val="28"/>
          <w:szCs w:val="28"/>
          <w:lang w:val="ru-RU"/>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Default="00F30E41" w:rsidP="00BA7C41">
      <w:pPr>
        <w:tabs>
          <w:tab w:val="left" w:pos="6946"/>
        </w:tabs>
        <w:spacing w:after="0" w:line="360" w:lineRule="auto"/>
        <w:jc w:val="both"/>
        <w:rPr>
          <w:rFonts w:ascii="Times New Roman" w:hAnsi="Times New Roman" w:cs="Times New Roman"/>
          <w:b/>
          <w:bCs/>
          <w:color w:val="000000"/>
          <w:sz w:val="28"/>
          <w:szCs w:val="28"/>
        </w:rPr>
      </w:pPr>
    </w:p>
    <w:p w:rsidR="00F30E41" w:rsidRPr="00FC0B27" w:rsidRDefault="00F30E41" w:rsidP="00BA7C41">
      <w:pPr>
        <w:tabs>
          <w:tab w:val="left" w:pos="6946"/>
        </w:tabs>
        <w:spacing w:after="0" w:line="360" w:lineRule="auto"/>
        <w:jc w:val="both"/>
        <w:rPr>
          <w:rFonts w:ascii="Times New Roman" w:hAnsi="Times New Roman" w:cs="Times New Roman"/>
          <w:b/>
          <w:bCs/>
          <w:color w:val="000000"/>
          <w:sz w:val="28"/>
          <w:szCs w:val="28"/>
          <w:lang w:val="ru-RU"/>
        </w:rPr>
      </w:pPr>
    </w:p>
    <w:p w:rsidR="00F30E41" w:rsidRPr="009E334D" w:rsidRDefault="00F30E41" w:rsidP="009E334D">
      <w:pPr>
        <w:tabs>
          <w:tab w:val="left" w:pos="6946"/>
        </w:tabs>
        <w:spacing w:after="0" w:line="360" w:lineRule="auto"/>
        <w:jc w:val="center"/>
        <w:rPr>
          <w:rFonts w:ascii="Times New Roman" w:hAnsi="Times New Roman" w:cs="Times New Roman"/>
          <w:b/>
          <w:bCs/>
          <w:color w:val="000000"/>
          <w:sz w:val="28"/>
          <w:szCs w:val="28"/>
        </w:rPr>
      </w:pPr>
      <w:r w:rsidRPr="009E334D">
        <w:rPr>
          <w:rFonts w:ascii="Times New Roman" w:hAnsi="Times New Roman" w:cs="Times New Roman"/>
          <w:b/>
          <w:bCs/>
          <w:color w:val="000000"/>
          <w:sz w:val="28"/>
          <w:szCs w:val="28"/>
        </w:rPr>
        <w:t>РОЗДІЛ 3</w:t>
      </w:r>
    </w:p>
    <w:p w:rsidR="00F30E41" w:rsidRDefault="00F30E41" w:rsidP="009E334D">
      <w:pPr>
        <w:tabs>
          <w:tab w:val="left" w:pos="6946"/>
        </w:tabs>
        <w:spacing w:after="0" w:line="360" w:lineRule="auto"/>
        <w:jc w:val="center"/>
        <w:rPr>
          <w:rFonts w:ascii="Times New Roman" w:hAnsi="Times New Roman" w:cs="Times New Roman"/>
          <w:b/>
          <w:bCs/>
          <w:color w:val="000000"/>
          <w:sz w:val="28"/>
          <w:szCs w:val="28"/>
        </w:rPr>
      </w:pPr>
      <w:r w:rsidRPr="009E334D">
        <w:rPr>
          <w:rFonts w:ascii="Times New Roman" w:hAnsi="Times New Roman" w:cs="Times New Roman"/>
          <w:b/>
          <w:bCs/>
          <w:color w:val="000000"/>
          <w:sz w:val="28"/>
          <w:szCs w:val="28"/>
        </w:rPr>
        <w:t>МОДЕЛЮВАННЯ ТА ОПТИМІЗАЦІЯ МІЖНАРОДНОГО ІНВЕСТИЦІЙНОГО ПОРТФЕЛЯ</w:t>
      </w:r>
    </w:p>
    <w:p w:rsidR="00F30E41" w:rsidRDefault="00F30E41" w:rsidP="009E334D">
      <w:pPr>
        <w:tabs>
          <w:tab w:val="left" w:pos="6946"/>
        </w:tabs>
        <w:spacing w:after="0" w:line="360" w:lineRule="auto"/>
        <w:jc w:val="center"/>
        <w:rPr>
          <w:rFonts w:ascii="Times New Roman" w:hAnsi="Times New Roman" w:cs="Times New Roman"/>
          <w:b/>
          <w:bCs/>
          <w:color w:val="000000"/>
          <w:sz w:val="28"/>
          <w:szCs w:val="28"/>
        </w:rPr>
      </w:pPr>
    </w:p>
    <w:p w:rsidR="00F30E41" w:rsidRPr="00AA114F" w:rsidRDefault="00F30E41" w:rsidP="008D0FAA">
      <w:pPr>
        <w:tabs>
          <w:tab w:val="left" w:pos="6946"/>
        </w:tabs>
        <w:spacing w:after="0" w:line="360" w:lineRule="auto"/>
        <w:ind w:firstLine="709"/>
        <w:jc w:val="both"/>
        <w:rPr>
          <w:rFonts w:ascii="Times New Roman" w:hAnsi="Times New Roman" w:cs="Times New Roman"/>
          <w:b/>
          <w:bCs/>
          <w:color w:val="000000"/>
          <w:sz w:val="28"/>
          <w:szCs w:val="28"/>
          <w:lang w:val="ru-RU"/>
        </w:rPr>
      </w:pPr>
      <w:r w:rsidRPr="008D0FAA">
        <w:rPr>
          <w:rFonts w:ascii="Times New Roman" w:hAnsi="Times New Roman" w:cs="Times New Roman"/>
          <w:b/>
          <w:bCs/>
          <w:color w:val="000000"/>
          <w:sz w:val="28"/>
          <w:szCs w:val="28"/>
        </w:rPr>
        <w:t>3.1. Інфляція, процентні ставки та глобальні шоки як фактори ризику для інвестиційного портфеля</w:t>
      </w:r>
    </w:p>
    <w:p w:rsidR="00F30E41" w:rsidRPr="00AC127E" w:rsidRDefault="00F30E41" w:rsidP="008D0FAA">
      <w:pPr>
        <w:tabs>
          <w:tab w:val="left" w:pos="6946"/>
        </w:tabs>
        <w:spacing w:after="0" w:line="360" w:lineRule="auto"/>
        <w:ind w:firstLine="709"/>
        <w:jc w:val="both"/>
        <w:rPr>
          <w:rFonts w:ascii="Times New Roman" w:hAnsi="Times New Roman" w:cs="Times New Roman"/>
          <w:b/>
          <w:bCs/>
          <w:color w:val="000000"/>
          <w:sz w:val="28"/>
          <w:szCs w:val="28"/>
          <w:lang w:val="ru-RU"/>
        </w:rPr>
      </w:pPr>
    </w:p>
    <w:p w:rsidR="00F30E41"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AA5142">
        <w:rPr>
          <w:rFonts w:ascii="Times New Roman" w:hAnsi="Times New Roman" w:cs="Times New Roman"/>
          <w:color w:val="000000"/>
          <w:sz w:val="28"/>
          <w:szCs w:val="28"/>
          <w:lang w:val="ru-RU"/>
        </w:rPr>
        <w:t xml:space="preserve">Формування ефективного інвестиційного портфеля неможливе без урахування впливу зовнішнього середовища. Навіть за ретельного вибору секторів і компаній, макроекономічні чинники можуть суттєво вплинути на дохідність активів. Одними з найважливіших серед них є інфляція, монетарна політика центральних банків, а також непередбачувані глобальні шоки </w:t>
      </w:r>
      <w:r>
        <w:rPr>
          <w:rFonts w:ascii="Times New Roman" w:hAnsi="Times New Roman" w:cs="Times New Roman"/>
          <w:color w:val="000000"/>
          <w:sz w:val="28"/>
          <w:szCs w:val="28"/>
          <w:lang w:val="ru-RU"/>
        </w:rPr>
        <w:t>-</w:t>
      </w:r>
      <w:r w:rsidRPr="00AA5142">
        <w:rPr>
          <w:rFonts w:ascii="Times New Roman" w:hAnsi="Times New Roman" w:cs="Times New Roman"/>
          <w:color w:val="000000"/>
          <w:sz w:val="28"/>
          <w:szCs w:val="28"/>
          <w:lang w:val="ru-RU"/>
        </w:rPr>
        <w:t xml:space="preserve"> пандемії, воєнні конфлікти чи енергетичні кризи.</w:t>
      </w:r>
    </w:p>
    <w:p w:rsidR="00F30E41" w:rsidRPr="00AA5142"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Pr>
          <w:noProof/>
          <w:lang w:val="ru-RU" w:eastAsia="ru-RU"/>
        </w:rPr>
        <w:pict>
          <v:shape id="_x0000_s1037" type="#_x0000_t75" style="position:absolute;left:0;text-align:left;margin-left:22.6pt;margin-top:127.1pt;width:414.7pt;height:191.05pt;z-index:251661824;visibility:visible;mso-wrap-distance-bottom:.24pt">
            <v:imagedata r:id="rId45" o:title=""/>
            <w10:wrap type="topAndBottom"/>
          </v:shape>
          <o:OLEObject Type="Embed" ProgID="Excel.Chart.8" ShapeID="_x0000_s1037" DrawAspect="Content" ObjectID="_1811317245" r:id="rId46"/>
        </w:pict>
      </w:r>
      <w:r w:rsidRPr="00AA5142">
        <w:rPr>
          <w:rFonts w:ascii="Times New Roman" w:hAnsi="Times New Roman" w:cs="Times New Roman"/>
          <w:color w:val="000000"/>
          <w:sz w:val="28"/>
          <w:szCs w:val="28"/>
          <w:lang w:val="ru-RU"/>
        </w:rPr>
        <w:t>Інфляція, як довгостроковий чинник зниження купівельної спроможності грошей, має неоднорідний вплив на різні галузі економіки. Її зростання може негативно позначатися на вартості активів, особливо в чутливих до ставок секторах, таких як технології, або, навпаки, стимулювати зростання прибутковості в енергетичному секторі.</w:t>
      </w:r>
    </w:p>
    <w:p w:rsidR="00F30E41" w:rsidRPr="00C8538D"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w:t>
      </w:r>
      <w:r w:rsidRPr="00257227">
        <w:rPr>
          <w:rFonts w:ascii="Times New Roman" w:hAnsi="Times New Roman" w:cs="Times New Roman"/>
          <w:color w:val="000000"/>
          <w:sz w:val="28"/>
          <w:szCs w:val="28"/>
        </w:rPr>
        <w:t xml:space="preserve">ис </w:t>
      </w:r>
      <w:r>
        <w:rPr>
          <w:rFonts w:ascii="Times New Roman" w:hAnsi="Times New Roman" w:cs="Times New Roman"/>
          <w:color w:val="000000"/>
          <w:sz w:val="28"/>
          <w:szCs w:val="28"/>
        </w:rPr>
        <w:t>3</w:t>
      </w:r>
      <w:r w:rsidRPr="00257227">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1 </w:t>
      </w:r>
      <w:r w:rsidRPr="00753086">
        <w:rPr>
          <w:rFonts w:ascii="Times New Roman" w:hAnsi="Times New Roman" w:cs="Times New Roman"/>
          <w:color w:val="000000"/>
          <w:sz w:val="28"/>
          <w:szCs w:val="28"/>
        </w:rPr>
        <w:t xml:space="preserve">Порівняння дохідності секторів з рівнем інфляції </w:t>
      </w:r>
      <w:r>
        <w:rPr>
          <w:rFonts w:ascii="Times New Roman" w:hAnsi="Times New Roman" w:cs="Times New Roman"/>
          <w:color w:val="000000"/>
          <w:sz w:val="28"/>
          <w:szCs w:val="28"/>
          <w:lang w:val="ru-RU"/>
        </w:rPr>
        <w:t xml:space="preserve">у </w:t>
      </w:r>
      <w:r w:rsidRPr="00753086">
        <w:rPr>
          <w:rFonts w:ascii="Times New Roman" w:hAnsi="Times New Roman" w:cs="Times New Roman"/>
          <w:color w:val="000000"/>
          <w:sz w:val="28"/>
          <w:szCs w:val="28"/>
        </w:rPr>
        <w:t>2020</w:t>
      </w:r>
      <w:r>
        <w:rPr>
          <w:rFonts w:ascii="Times New Roman" w:hAnsi="Times New Roman" w:cs="Times New Roman"/>
          <w:color w:val="000000"/>
          <w:sz w:val="28"/>
          <w:szCs w:val="28"/>
        </w:rPr>
        <w:t>-</w:t>
      </w:r>
      <w:r w:rsidRPr="00753086">
        <w:rPr>
          <w:rFonts w:ascii="Times New Roman" w:hAnsi="Times New Roman" w:cs="Times New Roman"/>
          <w:color w:val="000000"/>
          <w:sz w:val="28"/>
          <w:szCs w:val="28"/>
        </w:rPr>
        <w:t>2024</w:t>
      </w:r>
      <w:r>
        <w:rPr>
          <w:rFonts w:ascii="Times New Roman" w:hAnsi="Times New Roman" w:cs="Times New Roman"/>
          <w:color w:val="000000"/>
          <w:sz w:val="28"/>
          <w:szCs w:val="28"/>
          <w:lang w:val="ru-RU"/>
        </w:rPr>
        <w:t xml:space="preserve"> роках.</w:t>
      </w:r>
    </w:p>
    <w:p w:rsidR="00F30E41" w:rsidRPr="00FC6D37"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301084">
        <w:rPr>
          <w:rFonts w:ascii="Times New Roman" w:hAnsi="Times New Roman" w:cs="Times New Roman"/>
          <w:noProof/>
          <w:color w:val="000000"/>
          <w:sz w:val="28"/>
          <w:szCs w:val="28"/>
          <w:lang w:val="ru-RU"/>
        </w:rPr>
        <w:t xml:space="preserve">Джерело: складено автором на основі даних </w:t>
      </w:r>
      <w:r w:rsidRPr="00301084">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41</w:t>
      </w:r>
      <w:r w:rsidRPr="00301084">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та </w:t>
      </w:r>
      <w:r w:rsidRPr="00301084">
        <w:rPr>
          <w:rFonts w:ascii="Times New Roman" w:hAnsi="Times New Roman" w:cs="Times New Roman"/>
          <w:color w:val="000000"/>
          <w:sz w:val="28"/>
          <w:szCs w:val="28"/>
        </w:rPr>
        <w:t>[</w:t>
      </w:r>
      <w:r w:rsidRPr="00C56D6F">
        <w:rPr>
          <w:rFonts w:ascii="Times New Roman" w:hAnsi="Times New Roman" w:cs="Times New Roman"/>
          <w:color w:val="000000"/>
          <w:sz w:val="28"/>
          <w:szCs w:val="28"/>
          <w:lang w:val="ru-RU"/>
        </w:rPr>
        <w:t>39</w:t>
      </w:r>
      <w:r w:rsidRPr="00301084">
        <w:rPr>
          <w:rFonts w:ascii="Times New Roman" w:hAnsi="Times New Roman" w:cs="Times New Roman"/>
          <w:color w:val="000000"/>
          <w:sz w:val="28"/>
          <w:szCs w:val="28"/>
        </w:rPr>
        <w:t>]</w:t>
      </w:r>
      <w:r w:rsidRPr="00301084">
        <w:rPr>
          <w:rFonts w:ascii="Times New Roman" w:hAnsi="Times New Roman" w:cs="Times New Roman"/>
          <w:color w:val="000000"/>
          <w:sz w:val="28"/>
          <w:szCs w:val="28"/>
          <w:lang w:val="ru-RU"/>
        </w:rPr>
        <w:t>.</w:t>
      </w:r>
    </w:p>
    <w:p w:rsidR="00F30E41" w:rsidRPr="00406FBB"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406FBB">
        <w:rPr>
          <w:rFonts w:ascii="Times New Roman" w:hAnsi="Times New Roman" w:cs="Times New Roman"/>
          <w:color w:val="000000"/>
          <w:sz w:val="28"/>
          <w:szCs w:val="28"/>
          <w:lang w:val="ru-RU"/>
        </w:rPr>
        <w:t xml:space="preserve">Як видно з рис. </w:t>
      </w:r>
      <w:r>
        <w:rPr>
          <w:rFonts w:ascii="Times New Roman" w:hAnsi="Times New Roman" w:cs="Times New Roman"/>
          <w:color w:val="000000"/>
          <w:sz w:val="28"/>
          <w:szCs w:val="28"/>
          <w:lang w:val="ru-RU"/>
        </w:rPr>
        <w:t>3.1</w:t>
      </w:r>
      <w:r w:rsidRPr="00406FBB">
        <w:rPr>
          <w:rFonts w:ascii="Times New Roman" w:hAnsi="Times New Roman" w:cs="Times New Roman"/>
          <w:color w:val="000000"/>
          <w:sz w:val="28"/>
          <w:szCs w:val="28"/>
          <w:lang w:val="ru-RU"/>
        </w:rPr>
        <w:t>, вплив інфляції на секторну дохідність у 2020</w:t>
      </w:r>
      <w:r>
        <w:rPr>
          <w:rFonts w:ascii="Times New Roman" w:hAnsi="Times New Roman" w:cs="Times New Roman"/>
          <w:color w:val="000000"/>
          <w:sz w:val="28"/>
          <w:szCs w:val="28"/>
          <w:lang w:val="ru-RU"/>
        </w:rPr>
        <w:t>-</w:t>
      </w:r>
      <w:r w:rsidRPr="00406FBB">
        <w:rPr>
          <w:rFonts w:ascii="Times New Roman" w:hAnsi="Times New Roman" w:cs="Times New Roman"/>
          <w:color w:val="000000"/>
          <w:sz w:val="28"/>
          <w:szCs w:val="28"/>
          <w:lang w:val="ru-RU"/>
        </w:rPr>
        <w:t>2024 роках був різноспрямованим. Найбільш чутливим до зростання інфляції виявився технологічний сектор: у 2022 році, на тлі пікової інфляції понад 9%, сектор зазнав значного зниження прибутковості, що відображає залежність компаній галузі від довгострокових очікувань і підвищення процентних ставок. Водночас енергетичний сектор, навпаки, демонстрував підвищення дохідності саме у роки зростання інфляції, зокрема у 2021</w:t>
      </w:r>
      <w:r>
        <w:rPr>
          <w:rFonts w:ascii="Times New Roman" w:hAnsi="Times New Roman" w:cs="Times New Roman"/>
          <w:color w:val="000000"/>
          <w:sz w:val="28"/>
          <w:szCs w:val="28"/>
          <w:lang w:val="ru-RU"/>
        </w:rPr>
        <w:t>-</w:t>
      </w:r>
      <w:r w:rsidRPr="00406FBB">
        <w:rPr>
          <w:rFonts w:ascii="Times New Roman" w:hAnsi="Times New Roman" w:cs="Times New Roman"/>
          <w:color w:val="000000"/>
          <w:sz w:val="28"/>
          <w:szCs w:val="28"/>
          <w:lang w:val="ru-RU"/>
        </w:rPr>
        <w:t xml:space="preserve">2022 роках, що пояснюється зростанням цін на сировину та підвищеним попитом на традиційні енергоресурси. Сектор охорони здоров’я характеризується найменшою волатильністю </w:t>
      </w:r>
      <w:r>
        <w:rPr>
          <w:rFonts w:ascii="Times New Roman" w:hAnsi="Times New Roman" w:cs="Times New Roman"/>
          <w:color w:val="000000"/>
          <w:sz w:val="28"/>
          <w:szCs w:val="28"/>
          <w:lang w:val="ru-RU"/>
        </w:rPr>
        <w:t>-</w:t>
      </w:r>
      <w:r w:rsidRPr="00406FBB">
        <w:rPr>
          <w:rFonts w:ascii="Times New Roman" w:hAnsi="Times New Roman" w:cs="Times New Roman"/>
          <w:color w:val="000000"/>
          <w:sz w:val="28"/>
          <w:szCs w:val="28"/>
          <w:lang w:val="ru-RU"/>
        </w:rPr>
        <w:t xml:space="preserve"> його дохідність залишалася відносно стабільною протягом усього періоду, незалежно від коливань інфляційного тиску.</w:t>
      </w:r>
    </w:p>
    <w:p w:rsidR="00F30E41"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406FBB">
        <w:rPr>
          <w:rFonts w:ascii="Times New Roman" w:hAnsi="Times New Roman" w:cs="Times New Roman"/>
          <w:color w:val="000000"/>
          <w:sz w:val="28"/>
          <w:szCs w:val="28"/>
          <w:lang w:val="ru-RU"/>
        </w:rPr>
        <w:t>Загалом, графік ілюструє важливість урахування макроекономічних факторів при портфельному інвестуванні: кожна галузь по-різному реагує на інфляційні шоки, що вимагає диверсифікації та гнучкого підходу до формування інвестиційної стратегії.</w:t>
      </w:r>
    </w:p>
    <w:p w:rsidR="00F30E41" w:rsidRPr="00BA7C41" w:rsidRDefault="00F30E41" w:rsidP="005817CA">
      <w:pPr>
        <w:tabs>
          <w:tab w:val="left" w:pos="6946"/>
        </w:tabs>
        <w:spacing w:after="0" w:line="360" w:lineRule="auto"/>
        <w:ind w:firstLine="709"/>
        <w:jc w:val="both"/>
        <w:rPr>
          <w:rFonts w:ascii="Times New Roman" w:hAnsi="Times New Roman" w:cs="Times New Roman"/>
          <w:color w:val="000000"/>
          <w:sz w:val="28"/>
          <w:szCs w:val="28"/>
          <w:lang w:val="ru-RU"/>
        </w:rPr>
      </w:pPr>
      <w:r w:rsidRPr="00BA7C41">
        <w:rPr>
          <w:rFonts w:ascii="Times New Roman" w:hAnsi="Times New Roman" w:cs="Times New Roman"/>
          <w:color w:val="000000"/>
          <w:sz w:val="28"/>
          <w:szCs w:val="28"/>
          <w:lang w:val="ru-RU"/>
        </w:rPr>
        <w:t xml:space="preserve">Після аналізу впливу інфляції на дохідність ключових секторів, доцільно розширити контекст, розглянувши глобальні шоки, які кардинально змінювали умови функціонування світових ринків упродовж останніх років. Зокрема, пандемія </w:t>
      </w:r>
      <w:r w:rsidRPr="00BA7C41">
        <w:rPr>
          <w:rFonts w:ascii="Times New Roman" w:hAnsi="Times New Roman" w:cs="Times New Roman"/>
          <w:color w:val="000000"/>
          <w:sz w:val="28"/>
          <w:szCs w:val="28"/>
          <w:lang w:val="de-AT"/>
        </w:rPr>
        <w:t>COVID</w:t>
      </w:r>
      <w:r w:rsidRPr="00BA7C41">
        <w:rPr>
          <w:rFonts w:ascii="Times New Roman" w:hAnsi="Times New Roman" w:cs="Times New Roman"/>
          <w:color w:val="000000"/>
          <w:sz w:val="28"/>
          <w:szCs w:val="28"/>
          <w:lang w:val="ru-RU"/>
        </w:rPr>
        <w:t xml:space="preserve">-19 </w:t>
      </w:r>
      <w:r>
        <w:rPr>
          <w:rFonts w:ascii="Times New Roman" w:hAnsi="Times New Roman" w:cs="Times New Roman"/>
          <w:color w:val="000000"/>
          <w:sz w:val="28"/>
          <w:szCs w:val="28"/>
          <w:lang w:val="ru-RU"/>
        </w:rPr>
        <w:t xml:space="preserve">у </w:t>
      </w:r>
      <w:r w:rsidRPr="00BA7C41">
        <w:rPr>
          <w:rFonts w:ascii="Times New Roman" w:hAnsi="Times New Roman" w:cs="Times New Roman"/>
          <w:color w:val="000000"/>
          <w:sz w:val="28"/>
          <w:szCs w:val="28"/>
          <w:lang w:val="ru-RU"/>
        </w:rPr>
        <w:t>2020 р</w:t>
      </w:r>
      <w:r>
        <w:rPr>
          <w:rFonts w:ascii="Times New Roman" w:hAnsi="Times New Roman" w:cs="Times New Roman"/>
          <w:color w:val="000000"/>
          <w:sz w:val="28"/>
          <w:szCs w:val="28"/>
          <w:lang w:val="ru-RU"/>
        </w:rPr>
        <w:t>.</w:t>
      </w:r>
      <w:r w:rsidRPr="00BA7C41">
        <w:rPr>
          <w:rFonts w:ascii="Times New Roman" w:hAnsi="Times New Roman" w:cs="Times New Roman"/>
          <w:color w:val="000000"/>
          <w:sz w:val="28"/>
          <w:szCs w:val="28"/>
          <w:lang w:val="ru-RU"/>
        </w:rPr>
        <w:t xml:space="preserve">, повномасштабна війна в Україні </w:t>
      </w:r>
      <w:r>
        <w:rPr>
          <w:rFonts w:ascii="Times New Roman" w:hAnsi="Times New Roman" w:cs="Times New Roman"/>
          <w:color w:val="000000"/>
          <w:sz w:val="28"/>
          <w:szCs w:val="28"/>
          <w:lang w:val="ru-RU"/>
        </w:rPr>
        <w:t>у 2022 р.</w:t>
      </w:r>
      <w:r w:rsidRPr="00BA7C41">
        <w:rPr>
          <w:rFonts w:ascii="Times New Roman" w:hAnsi="Times New Roman" w:cs="Times New Roman"/>
          <w:color w:val="000000"/>
          <w:sz w:val="28"/>
          <w:szCs w:val="28"/>
          <w:lang w:val="ru-RU"/>
        </w:rPr>
        <w:t xml:space="preserve"> та енергетична криза на тлі геополітичної нестабільності стали потужними дестабілізуючими чинниками. Їхній вплив відобразився не лише у макропоказниках, таких як інфляція, а й у різноспрямованій дохідності галузевих індексів.</w:t>
      </w:r>
    </w:p>
    <w:p w:rsidR="00F30E41" w:rsidRPr="002463CB" w:rsidRDefault="00F30E41" w:rsidP="00901615">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Загалом д</w:t>
      </w:r>
      <w:r w:rsidRPr="00BA7C41">
        <w:rPr>
          <w:rFonts w:ascii="Times New Roman" w:hAnsi="Times New Roman" w:cs="Times New Roman"/>
          <w:color w:val="000000"/>
          <w:sz w:val="28"/>
          <w:szCs w:val="28"/>
          <w:lang w:val="ru-RU"/>
        </w:rPr>
        <w:t>инаміка дохідності секторів енергетики, технологій та охорони здоров’я в 2020</w:t>
      </w:r>
      <w:r>
        <w:rPr>
          <w:rFonts w:ascii="Times New Roman" w:hAnsi="Times New Roman" w:cs="Times New Roman"/>
          <w:color w:val="000000"/>
          <w:sz w:val="28"/>
          <w:szCs w:val="28"/>
          <w:lang w:val="ru-RU"/>
        </w:rPr>
        <w:t>-</w:t>
      </w:r>
      <w:r w:rsidRPr="00BA7C41">
        <w:rPr>
          <w:rFonts w:ascii="Times New Roman" w:hAnsi="Times New Roman" w:cs="Times New Roman"/>
          <w:color w:val="000000"/>
          <w:sz w:val="28"/>
          <w:szCs w:val="28"/>
          <w:lang w:val="ru-RU"/>
        </w:rPr>
        <w:t>2024 рр. демонстру</w:t>
      </w:r>
      <w:r>
        <w:rPr>
          <w:rFonts w:ascii="Times New Roman" w:hAnsi="Times New Roman" w:cs="Times New Roman"/>
          <w:color w:val="000000"/>
          <w:sz w:val="28"/>
          <w:szCs w:val="28"/>
          <w:lang w:val="ru-RU"/>
        </w:rPr>
        <w:t>вала</w:t>
      </w:r>
      <w:r w:rsidRPr="00BA7C41">
        <w:rPr>
          <w:rFonts w:ascii="Times New Roman" w:hAnsi="Times New Roman" w:cs="Times New Roman"/>
          <w:color w:val="000000"/>
          <w:sz w:val="28"/>
          <w:szCs w:val="28"/>
          <w:lang w:val="ru-RU"/>
        </w:rPr>
        <w:t xml:space="preserve"> високу чутливість до зовнішніх шоків</w:t>
      </w:r>
      <w:r>
        <w:rPr>
          <w:rFonts w:ascii="Times New Roman" w:hAnsi="Times New Roman" w:cs="Times New Roman"/>
          <w:color w:val="000000"/>
          <w:sz w:val="28"/>
          <w:szCs w:val="28"/>
          <w:lang w:val="ru-RU"/>
        </w:rPr>
        <w:t xml:space="preserve">. </w:t>
      </w:r>
      <w:r w:rsidRPr="002463CB">
        <w:rPr>
          <w:rFonts w:ascii="Times New Roman" w:hAnsi="Times New Roman" w:cs="Times New Roman"/>
          <w:color w:val="000000"/>
          <w:sz w:val="28"/>
          <w:szCs w:val="28"/>
          <w:lang w:val="ru-RU"/>
        </w:rPr>
        <w:t xml:space="preserve">У 2020 році пандемія COVID-19 спровокувала економічне потрясіння. Локдауни, падіння споживчої активності та різке скорочення мобільності обвалили світовий попит на енергоносії. Унаслідок цього енергетичний сектор опинився серед найбільш постраждалих </w:t>
      </w:r>
      <w:r>
        <w:rPr>
          <w:rFonts w:ascii="Times New Roman" w:hAnsi="Times New Roman" w:cs="Times New Roman"/>
          <w:color w:val="000000"/>
          <w:sz w:val="28"/>
          <w:szCs w:val="28"/>
          <w:lang w:val="ru-RU"/>
        </w:rPr>
        <w:t>-</w:t>
      </w:r>
      <w:r w:rsidRPr="002463CB">
        <w:rPr>
          <w:rFonts w:ascii="Times New Roman" w:hAnsi="Times New Roman" w:cs="Times New Roman"/>
          <w:color w:val="000000"/>
          <w:sz w:val="28"/>
          <w:szCs w:val="28"/>
          <w:lang w:val="ru-RU"/>
        </w:rPr>
        <w:t xml:space="preserve"> глобальний індекс MSCI World Energy знизився майже на 30%, а ціни на нафту на короткий період навіть стали від’ємними. </w:t>
      </w:r>
    </w:p>
    <w:p w:rsidR="00F30E41" w:rsidRPr="002463CB" w:rsidRDefault="00F30E41" w:rsidP="002463CB">
      <w:pPr>
        <w:tabs>
          <w:tab w:val="left" w:pos="6946"/>
        </w:tabs>
        <w:spacing w:after="0" w:line="360" w:lineRule="auto"/>
        <w:ind w:firstLine="709"/>
        <w:jc w:val="both"/>
        <w:rPr>
          <w:rFonts w:ascii="Times New Roman" w:hAnsi="Times New Roman" w:cs="Times New Roman"/>
          <w:color w:val="000000"/>
          <w:sz w:val="28"/>
          <w:szCs w:val="28"/>
          <w:lang w:val="ru-RU"/>
        </w:rPr>
      </w:pPr>
      <w:r w:rsidRPr="002463CB">
        <w:rPr>
          <w:rFonts w:ascii="Times New Roman" w:hAnsi="Times New Roman" w:cs="Times New Roman"/>
          <w:color w:val="000000"/>
          <w:sz w:val="28"/>
          <w:szCs w:val="28"/>
          <w:lang w:val="ru-RU"/>
        </w:rPr>
        <w:t xml:space="preserve">На цьому фоні сектор охорони здоров’я, навпаки, продемонстрував порівняно стабільну динаміку. Зростання попиту на фармацевтичну продукцію, вакцини та медичні послуги підтримало прибутковість компаній. </w:t>
      </w:r>
    </w:p>
    <w:p w:rsidR="00F30E41" w:rsidRDefault="00F30E41" w:rsidP="002463CB">
      <w:pPr>
        <w:tabs>
          <w:tab w:val="left" w:pos="6946"/>
        </w:tabs>
        <w:spacing w:after="0" w:line="360" w:lineRule="auto"/>
        <w:ind w:firstLine="709"/>
        <w:jc w:val="both"/>
        <w:rPr>
          <w:rFonts w:ascii="Times New Roman" w:hAnsi="Times New Roman" w:cs="Times New Roman"/>
          <w:color w:val="000000"/>
          <w:sz w:val="28"/>
          <w:szCs w:val="28"/>
          <w:lang w:val="ru-RU"/>
        </w:rPr>
      </w:pPr>
      <w:r w:rsidRPr="002463CB">
        <w:rPr>
          <w:rFonts w:ascii="Times New Roman" w:hAnsi="Times New Roman" w:cs="Times New Roman"/>
          <w:color w:val="000000"/>
          <w:sz w:val="28"/>
          <w:szCs w:val="28"/>
          <w:lang w:val="ru-RU"/>
        </w:rPr>
        <w:t>Найдинамічніший розвиток спостерігався в секторі інформаційних технологій. Умови пандемії прискорили глобальну цифровізацію, спричинивши вибухове зростання попиту на хмарні рішення, віддалені сервіси та онлайн-інфраструктуру. Як наслідок, індекс MSCI World Information Technology зріс на понад 44%, ставши лідером зростання 2020 року. Висока прибутковість технологічних компаній поєднувалася з наднизькими відсотковими ставками, що додатково стимулювало інвесторів до вкладень у цей сектор.</w:t>
      </w:r>
    </w:p>
    <w:p w:rsidR="00F30E41" w:rsidRPr="00BA7C41" w:rsidRDefault="00F30E41" w:rsidP="002463CB">
      <w:pPr>
        <w:tabs>
          <w:tab w:val="left" w:pos="6946"/>
        </w:tabs>
        <w:spacing w:after="0" w:line="360" w:lineRule="auto"/>
        <w:ind w:firstLine="709"/>
        <w:jc w:val="both"/>
        <w:rPr>
          <w:rFonts w:ascii="Times New Roman" w:hAnsi="Times New Roman" w:cs="Times New Roman"/>
          <w:color w:val="000000"/>
          <w:sz w:val="28"/>
          <w:szCs w:val="28"/>
          <w:lang w:val="ru-RU"/>
        </w:rPr>
      </w:pPr>
      <w:r w:rsidRPr="00BA7C41">
        <w:rPr>
          <w:rFonts w:ascii="Times New Roman" w:hAnsi="Times New Roman" w:cs="Times New Roman"/>
          <w:color w:val="000000"/>
          <w:sz w:val="28"/>
          <w:szCs w:val="28"/>
          <w:lang w:val="ru-RU"/>
        </w:rPr>
        <w:t xml:space="preserve">У 2021 році загальна тенденція залишалася позитивною: всі три сектори продемонстрували зростання, але на фоні поступового відновлення економіки зросла і інфляція, що почала посилювати тиск на оцінки активів. У 2022 році відбулася радикальна зміна: повномасштабна війна в Україні призвела до енергетичної кризи, і енергетика різко зросла, </w:t>
      </w:r>
      <w:r w:rsidRPr="00CC3090">
        <w:rPr>
          <w:rFonts w:ascii="Times New Roman" w:hAnsi="Times New Roman" w:cs="Times New Roman"/>
          <w:color w:val="000000"/>
          <w:sz w:val="28"/>
          <w:szCs w:val="28"/>
        </w:rPr>
        <w:t>оскільки ціни на енергоносії підвищилися в усьому світі</w:t>
      </w:r>
      <w:r>
        <w:rPr>
          <w:rFonts w:ascii="Times New Roman" w:hAnsi="Times New Roman" w:cs="Times New Roman"/>
          <w:color w:val="000000"/>
          <w:sz w:val="28"/>
          <w:szCs w:val="28"/>
          <w:lang w:val="ru-RU"/>
        </w:rPr>
        <w:t xml:space="preserve">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7</w:t>
      </w:r>
      <w:r w:rsidRPr="00301084">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 Водночас технології продемонстрували глибоку корекцію</w:t>
      </w:r>
      <w:r>
        <w:rPr>
          <w:rFonts w:ascii="Times New Roman" w:hAnsi="Times New Roman" w:cs="Times New Roman"/>
          <w:color w:val="000000"/>
          <w:sz w:val="28"/>
          <w:szCs w:val="28"/>
          <w:lang w:val="ru-RU"/>
        </w:rPr>
        <w:t>. С</w:t>
      </w:r>
      <w:r w:rsidRPr="001A0CC2">
        <w:rPr>
          <w:rFonts w:ascii="Times New Roman" w:hAnsi="Times New Roman" w:cs="Times New Roman"/>
          <w:color w:val="000000"/>
          <w:sz w:val="28"/>
          <w:szCs w:val="28"/>
          <w:lang w:val="ru-RU"/>
        </w:rPr>
        <w:t>трибок глобальної інфляції та жорстка реакція центробанків суттєво знизили теперішню вартість майбутніх прибутків технологічних компаній, провокуючи переоцінку їх акцій.</w:t>
      </w:r>
      <w:r>
        <w:rPr>
          <w:rFonts w:ascii="Times New Roman" w:hAnsi="Times New Roman" w:cs="Times New Roman"/>
          <w:color w:val="000000"/>
          <w:sz w:val="28"/>
          <w:szCs w:val="28"/>
          <w:lang w:val="ru-RU"/>
        </w:rPr>
        <w:t xml:space="preserve"> Також</w:t>
      </w:r>
      <w:r w:rsidRPr="001A0CC2">
        <w:rPr>
          <w:rFonts w:ascii="Times New Roman" w:hAnsi="Times New Roman" w:cs="Times New Roman"/>
          <w:color w:val="000000"/>
          <w:sz w:val="28"/>
          <w:szCs w:val="28"/>
          <w:lang w:val="ru-RU"/>
        </w:rPr>
        <w:t xml:space="preserve"> відбулося природне охолодження після «перегріву» пандемійного буму: темпи зростання доходів ІТ-компаній уповільнилися, а іноді й пішли на спад, коли люди частково повернулися до офлайн-режиму життя.</w:t>
      </w:r>
      <w:r>
        <w:rPr>
          <w:rFonts w:ascii="Times New Roman" w:hAnsi="Times New Roman" w:cs="Times New Roman"/>
          <w:color w:val="000000"/>
          <w:sz w:val="28"/>
          <w:szCs w:val="28"/>
          <w:lang w:val="ru-RU"/>
        </w:rPr>
        <w:t xml:space="preserve"> </w:t>
      </w:r>
      <w:r w:rsidRPr="000B6D50">
        <w:rPr>
          <w:rFonts w:ascii="Times New Roman" w:hAnsi="Times New Roman" w:cs="Times New Roman"/>
          <w:color w:val="000000"/>
          <w:sz w:val="28"/>
          <w:szCs w:val="28"/>
        </w:rPr>
        <w:t>Геополітичні фактори також вдарили по ІТ-сектору: війна спричинила перебої у постачанні компонентів і матеріалів, а загострення відносин США</w:t>
      </w:r>
      <w:r>
        <w:rPr>
          <w:rFonts w:ascii="Times New Roman" w:hAnsi="Times New Roman" w:cs="Times New Roman"/>
          <w:color w:val="000000"/>
          <w:sz w:val="28"/>
          <w:szCs w:val="28"/>
        </w:rPr>
        <w:t>-</w:t>
      </w:r>
      <w:r w:rsidRPr="000B6D50">
        <w:rPr>
          <w:rFonts w:ascii="Times New Roman" w:hAnsi="Times New Roman" w:cs="Times New Roman"/>
          <w:color w:val="000000"/>
          <w:sz w:val="28"/>
          <w:szCs w:val="28"/>
        </w:rPr>
        <w:t xml:space="preserve">Китай навколо Тайваню підірвало довіру інвесторів. </w:t>
      </w:r>
      <w:r>
        <w:rPr>
          <w:rFonts w:ascii="Times New Roman" w:hAnsi="Times New Roman" w:cs="Times New Roman"/>
          <w:color w:val="000000"/>
          <w:sz w:val="28"/>
          <w:szCs w:val="28"/>
          <w:lang w:val="ru-RU"/>
        </w:rPr>
        <w:t>Н</w:t>
      </w:r>
      <w:r w:rsidRPr="000B6D50">
        <w:rPr>
          <w:rFonts w:ascii="Times New Roman" w:hAnsi="Times New Roman" w:cs="Times New Roman"/>
          <w:color w:val="000000"/>
          <w:sz w:val="28"/>
          <w:szCs w:val="28"/>
        </w:rPr>
        <w:t>овини про можливий конфлікт у Тайванській протоці в серпні 2022 р. призвели до глобального падіння акцій напівпровідникових компаній</w:t>
      </w:r>
      <w:r>
        <w:rPr>
          <w:rFonts w:ascii="Times New Roman" w:hAnsi="Times New Roman" w:cs="Times New Roman"/>
          <w:color w:val="000000"/>
          <w:sz w:val="28"/>
          <w:szCs w:val="28"/>
          <w:lang w:val="ru-RU"/>
        </w:rPr>
        <w:t xml:space="preserve">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8</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 Сектор охорони здоров’я залишався найменш волатильним, вкотре підтвердивши свою стабільність як захисний актив.</w:t>
      </w:r>
    </w:p>
    <w:p w:rsidR="00F30E41" w:rsidRPr="00BA7C41" w:rsidRDefault="00F30E41" w:rsidP="00BA7C41">
      <w:pPr>
        <w:tabs>
          <w:tab w:val="left" w:pos="6946"/>
        </w:tabs>
        <w:spacing w:after="0" w:line="360" w:lineRule="auto"/>
        <w:ind w:firstLine="709"/>
        <w:jc w:val="both"/>
        <w:rPr>
          <w:rFonts w:ascii="Times New Roman" w:hAnsi="Times New Roman" w:cs="Times New Roman"/>
          <w:color w:val="000000"/>
          <w:sz w:val="28"/>
          <w:szCs w:val="28"/>
          <w:lang w:val="ru-RU"/>
        </w:rPr>
      </w:pPr>
      <w:r w:rsidRPr="00BA7C41">
        <w:rPr>
          <w:rFonts w:ascii="Times New Roman" w:hAnsi="Times New Roman" w:cs="Times New Roman"/>
          <w:color w:val="000000"/>
          <w:sz w:val="28"/>
          <w:szCs w:val="28"/>
          <w:lang w:val="ru-RU"/>
        </w:rPr>
        <w:t>У 2023</w:t>
      </w:r>
      <w:r>
        <w:rPr>
          <w:rFonts w:ascii="Times New Roman" w:hAnsi="Times New Roman" w:cs="Times New Roman"/>
          <w:color w:val="000000"/>
          <w:sz w:val="28"/>
          <w:szCs w:val="28"/>
          <w:lang w:val="ru-RU"/>
        </w:rPr>
        <w:t>-</w:t>
      </w:r>
      <w:r w:rsidRPr="00BA7C41">
        <w:rPr>
          <w:rFonts w:ascii="Times New Roman" w:hAnsi="Times New Roman" w:cs="Times New Roman"/>
          <w:color w:val="000000"/>
          <w:sz w:val="28"/>
          <w:szCs w:val="28"/>
          <w:lang w:val="ru-RU"/>
        </w:rPr>
        <w:t>2024 роках спостерігалося повернення до більш збалансованої динаміки. Інфляція почала знижуватися після піку 2022 року, що послабило тиск на технологічні компанії, які знову показали позитивні результати. Енергетика стабілізувалася, хоча й демонструвала нижчу дохідність, а сектор охорони здоров’я зберігав помірне зростання.</w:t>
      </w:r>
    </w:p>
    <w:p w:rsidR="00F30E41" w:rsidRPr="00E13853" w:rsidRDefault="00F30E41" w:rsidP="00E13853">
      <w:pPr>
        <w:tabs>
          <w:tab w:val="left" w:pos="6946"/>
        </w:tabs>
        <w:spacing w:after="0" w:line="360" w:lineRule="auto"/>
        <w:ind w:firstLine="709"/>
        <w:jc w:val="both"/>
        <w:rPr>
          <w:rFonts w:ascii="Times New Roman" w:hAnsi="Times New Roman" w:cs="Times New Roman"/>
          <w:color w:val="000000"/>
          <w:sz w:val="28"/>
          <w:szCs w:val="28"/>
          <w:lang w:val="ru-RU"/>
        </w:rPr>
      </w:pPr>
      <w:r w:rsidRPr="00E13853">
        <w:rPr>
          <w:rFonts w:ascii="Times New Roman" w:hAnsi="Times New Roman" w:cs="Times New Roman"/>
          <w:color w:val="000000"/>
          <w:sz w:val="28"/>
          <w:szCs w:val="28"/>
          <w:lang w:val="ru-RU"/>
        </w:rPr>
        <w:t xml:space="preserve">Окрему увагу заслуговує аналіз інвестиційної привабливості секторів національного рівня </w:t>
      </w:r>
      <w:r>
        <w:rPr>
          <w:rFonts w:ascii="Times New Roman" w:hAnsi="Times New Roman" w:cs="Times New Roman"/>
          <w:color w:val="000000"/>
          <w:sz w:val="28"/>
          <w:szCs w:val="28"/>
          <w:lang w:val="ru-RU"/>
        </w:rPr>
        <w:t>-</w:t>
      </w:r>
      <w:r w:rsidRPr="00E13853">
        <w:rPr>
          <w:rFonts w:ascii="Times New Roman" w:hAnsi="Times New Roman" w:cs="Times New Roman"/>
          <w:color w:val="000000"/>
          <w:sz w:val="28"/>
          <w:szCs w:val="28"/>
          <w:lang w:val="ru-RU"/>
        </w:rPr>
        <w:t xml:space="preserve"> зокрема, в умовах нестабільності в Україні. Ці питання були порушені у попередній науковій роботі, виконаній у формі тез доповіді на конференції [</w:t>
      </w:r>
      <w:r>
        <w:rPr>
          <w:rFonts w:ascii="Times New Roman" w:hAnsi="Times New Roman" w:cs="Times New Roman"/>
          <w:color w:val="000000"/>
          <w:sz w:val="28"/>
          <w:szCs w:val="28"/>
          <w:lang w:val="ru-RU"/>
        </w:rPr>
        <w:t>49</w:t>
      </w:r>
      <w:r w:rsidRPr="00E13853">
        <w:rPr>
          <w:rFonts w:ascii="Times New Roman" w:hAnsi="Times New Roman" w:cs="Times New Roman"/>
          <w:color w:val="000000"/>
          <w:sz w:val="28"/>
          <w:szCs w:val="28"/>
          <w:lang w:val="ru-RU"/>
        </w:rPr>
        <w:t xml:space="preserve">], де розглядалася </w:t>
      </w:r>
      <w:r>
        <w:rPr>
          <w:rFonts w:ascii="Times New Roman" w:hAnsi="Times New Roman" w:cs="Times New Roman"/>
          <w:color w:val="000000"/>
          <w:sz w:val="28"/>
          <w:szCs w:val="28"/>
        </w:rPr>
        <w:t>інвестиційна привабливість</w:t>
      </w:r>
      <w:r w:rsidRPr="00E13853">
        <w:rPr>
          <w:rFonts w:ascii="Times New Roman" w:hAnsi="Times New Roman" w:cs="Times New Roman"/>
          <w:color w:val="000000"/>
          <w:sz w:val="28"/>
          <w:szCs w:val="28"/>
          <w:lang w:val="ru-RU"/>
        </w:rPr>
        <w:t xml:space="preserve"> провідних галузей економіки України у 2020</w:t>
      </w:r>
      <w:r>
        <w:rPr>
          <w:rFonts w:ascii="Times New Roman" w:hAnsi="Times New Roman" w:cs="Times New Roman"/>
          <w:color w:val="000000"/>
          <w:sz w:val="28"/>
          <w:szCs w:val="28"/>
          <w:lang w:val="ru-RU"/>
        </w:rPr>
        <w:t>-</w:t>
      </w:r>
      <w:r w:rsidRPr="00E13853">
        <w:rPr>
          <w:rFonts w:ascii="Times New Roman" w:hAnsi="Times New Roman" w:cs="Times New Roman"/>
          <w:color w:val="000000"/>
          <w:sz w:val="28"/>
          <w:szCs w:val="28"/>
          <w:lang w:val="ru-RU"/>
        </w:rPr>
        <w:t xml:space="preserve">2024 рр. Після початку повномасштабної війни структура інвестиційних пріоритетів зазнала змін. Найбільший потенціал зберігають ІТ-сектор та агропромисловість </w:t>
      </w:r>
      <w:r>
        <w:rPr>
          <w:rFonts w:ascii="Times New Roman" w:hAnsi="Times New Roman" w:cs="Times New Roman"/>
          <w:color w:val="000000"/>
          <w:sz w:val="28"/>
          <w:szCs w:val="28"/>
          <w:lang w:val="ru-RU"/>
        </w:rPr>
        <w:t>-</w:t>
      </w:r>
      <w:r w:rsidRPr="00E13853">
        <w:rPr>
          <w:rFonts w:ascii="Times New Roman" w:hAnsi="Times New Roman" w:cs="Times New Roman"/>
          <w:color w:val="000000"/>
          <w:sz w:val="28"/>
          <w:szCs w:val="28"/>
          <w:lang w:val="ru-RU"/>
        </w:rPr>
        <w:t xml:space="preserve"> галузі, що поєднують експортну орієнтацію, адаптивність та відносну стійкість.</w:t>
      </w:r>
    </w:p>
    <w:p w:rsidR="00F30E41" w:rsidRPr="00E13853" w:rsidRDefault="00F30E41" w:rsidP="00E13853">
      <w:pPr>
        <w:tabs>
          <w:tab w:val="left" w:pos="6946"/>
        </w:tabs>
        <w:spacing w:after="0" w:line="360" w:lineRule="auto"/>
        <w:ind w:firstLine="709"/>
        <w:jc w:val="both"/>
        <w:rPr>
          <w:rFonts w:ascii="Times New Roman" w:hAnsi="Times New Roman" w:cs="Times New Roman"/>
          <w:color w:val="000000"/>
          <w:sz w:val="28"/>
          <w:szCs w:val="28"/>
          <w:lang w:val="ru-RU"/>
        </w:rPr>
      </w:pPr>
      <w:r w:rsidRPr="00E13853">
        <w:rPr>
          <w:rFonts w:ascii="Times New Roman" w:hAnsi="Times New Roman" w:cs="Times New Roman"/>
          <w:color w:val="000000"/>
          <w:sz w:val="28"/>
          <w:szCs w:val="28"/>
          <w:lang w:val="ru-RU"/>
        </w:rPr>
        <w:t>ІТ-сектор, частка якого стабільно перевищує 4% ВВП, демонструє високу здатність до автономного функціонування навіть в умовах інфраструктурних загроз. Агропромисловість, яка забезпечила понад 59% товарного експорту у 2024 році, зберігає життєздатність завдяки гнучким бізнес-моделям і міжнародній підтримці. Енергетичний сектор, попри стратегічне значення, залишається високоризиковим через втрати потужностей та необхідність масштабних інвестицій. Його подальший розвиток пов’язується передусім з переходом до відновлюваних джерел та інтеграцією у європейські енергетичні ринки.</w:t>
      </w:r>
    </w:p>
    <w:p w:rsidR="00F30E41" w:rsidRDefault="00F30E41" w:rsidP="0078085F">
      <w:pPr>
        <w:tabs>
          <w:tab w:val="left" w:pos="6946"/>
        </w:tabs>
        <w:spacing w:after="0" w:line="360" w:lineRule="auto"/>
        <w:ind w:firstLine="709"/>
        <w:jc w:val="both"/>
        <w:rPr>
          <w:rFonts w:ascii="Times New Roman" w:hAnsi="Times New Roman" w:cs="Times New Roman"/>
          <w:color w:val="000000"/>
          <w:sz w:val="28"/>
          <w:szCs w:val="28"/>
          <w:lang w:val="ru-RU"/>
        </w:rPr>
      </w:pPr>
      <w:r w:rsidRPr="00E13853">
        <w:rPr>
          <w:rFonts w:ascii="Times New Roman" w:hAnsi="Times New Roman" w:cs="Times New Roman"/>
          <w:color w:val="000000"/>
          <w:sz w:val="28"/>
          <w:szCs w:val="28"/>
          <w:lang w:val="ru-RU"/>
        </w:rPr>
        <w:t>Таким чином, український приклад підтверджує необхідність урахування галузевих ризиків і макроконтексту навіть у межах одного національного ринку, що є особливо актуальним для формування збалансованих інвестиційних стратегій.</w:t>
      </w:r>
    </w:p>
    <w:p w:rsidR="00F30E41" w:rsidRDefault="00F30E41" w:rsidP="00E030BB">
      <w:pPr>
        <w:spacing w:after="0" w:line="360" w:lineRule="auto"/>
        <w:ind w:firstLine="708"/>
        <w:jc w:val="both"/>
        <w:rPr>
          <w:rFonts w:ascii="Times New Roman" w:hAnsi="Times New Roman" w:cs="Times New Roman"/>
          <w:color w:val="000000"/>
          <w:sz w:val="28"/>
          <w:szCs w:val="28"/>
          <w:lang w:val="ru-RU"/>
        </w:rPr>
      </w:pPr>
    </w:p>
    <w:p w:rsidR="00F30E41" w:rsidRPr="007401A5" w:rsidRDefault="00F30E41" w:rsidP="00E030BB">
      <w:pPr>
        <w:spacing w:after="0" w:line="360" w:lineRule="auto"/>
        <w:ind w:firstLine="708"/>
        <w:jc w:val="both"/>
        <w:rPr>
          <w:rFonts w:ascii="Times New Roman" w:hAnsi="Times New Roman" w:cs="Times New Roman"/>
          <w:b/>
          <w:bCs/>
          <w:sz w:val="28"/>
          <w:szCs w:val="28"/>
        </w:rPr>
      </w:pPr>
      <w:r w:rsidRPr="009078B1">
        <w:rPr>
          <w:rFonts w:ascii="Times New Roman" w:hAnsi="Times New Roman" w:cs="Times New Roman"/>
          <w:b/>
          <w:bCs/>
          <w:color w:val="000000"/>
          <w:sz w:val="28"/>
          <w:szCs w:val="28"/>
          <w:lang w:val="ru-RU"/>
        </w:rPr>
        <w:t>3.</w:t>
      </w:r>
      <w:r w:rsidRPr="00B26C30">
        <w:rPr>
          <w:rFonts w:ascii="Times New Roman" w:hAnsi="Times New Roman" w:cs="Times New Roman"/>
          <w:b/>
          <w:bCs/>
          <w:sz w:val="28"/>
          <w:szCs w:val="28"/>
          <w:lang w:val="ru-RU"/>
        </w:rPr>
        <w:t>2</w:t>
      </w:r>
      <w:r w:rsidRPr="007401A5">
        <w:rPr>
          <w:rFonts w:ascii="Times New Roman" w:hAnsi="Times New Roman" w:cs="Times New Roman"/>
          <w:b/>
          <w:bCs/>
          <w:sz w:val="28"/>
          <w:szCs w:val="28"/>
        </w:rPr>
        <w:t xml:space="preserve">. </w:t>
      </w:r>
      <w:r w:rsidRPr="00D921F6">
        <w:rPr>
          <w:rFonts w:ascii="Times New Roman" w:hAnsi="Times New Roman" w:cs="Times New Roman"/>
          <w:b/>
          <w:bCs/>
          <w:sz w:val="28"/>
          <w:szCs w:val="28"/>
        </w:rPr>
        <w:t>Регресійний аналіз інвестиційних факторів за моделлю Фама–Френча</w:t>
      </w:r>
      <w:r>
        <w:rPr>
          <w:rFonts w:ascii="Times New Roman" w:hAnsi="Times New Roman" w:cs="Times New Roman"/>
          <w:b/>
          <w:bCs/>
          <w:sz w:val="28"/>
          <w:szCs w:val="28"/>
        </w:rPr>
        <w:t>.</w:t>
      </w:r>
    </w:p>
    <w:p w:rsidR="00F30E41" w:rsidRPr="00A56604" w:rsidRDefault="00F30E41" w:rsidP="00E030BB">
      <w:pPr>
        <w:spacing w:after="0" w:line="360" w:lineRule="auto"/>
        <w:ind w:firstLine="709"/>
        <w:jc w:val="both"/>
        <w:rPr>
          <w:rFonts w:ascii="Times New Roman" w:hAnsi="Times New Roman" w:cs="Times New Roman"/>
          <w:sz w:val="28"/>
          <w:szCs w:val="28"/>
        </w:rPr>
      </w:pPr>
    </w:p>
    <w:p w:rsidR="00F30E41" w:rsidRPr="003C1B29" w:rsidRDefault="00F30E41" w:rsidP="00E030BB">
      <w:pPr>
        <w:spacing w:after="0" w:line="360" w:lineRule="auto"/>
        <w:ind w:firstLine="709"/>
        <w:jc w:val="both"/>
        <w:rPr>
          <w:rFonts w:ascii="Times New Roman" w:hAnsi="Times New Roman" w:cs="Times New Roman"/>
          <w:sz w:val="28"/>
          <w:szCs w:val="28"/>
          <w:lang w:val="ru-RU"/>
        </w:rPr>
      </w:pPr>
      <w:r w:rsidRPr="003C1B29">
        <w:rPr>
          <w:rFonts w:ascii="Times New Roman" w:hAnsi="Times New Roman" w:cs="Times New Roman"/>
          <w:sz w:val="28"/>
          <w:szCs w:val="28"/>
        </w:rPr>
        <w:t>Після того як було обґрунтовано вибір фінансових інструментів</w:t>
      </w:r>
      <w:r>
        <w:rPr>
          <w:rFonts w:ascii="Times New Roman" w:hAnsi="Times New Roman" w:cs="Times New Roman"/>
          <w:sz w:val="28"/>
          <w:szCs w:val="28"/>
        </w:rPr>
        <w:t xml:space="preserve"> для моделювання інвестиційного портфелю</w:t>
      </w:r>
      <w:r w:rsidRPr="003C1B29">
        <w:rPr>
          <w:rFonts w:ascii="Times New Roman" w:hAnsi="Times New Roman" w:cs="Times New Roman"/>
          <w:sz w:val="28"/>
          <w:szCs w:val="28"/>
        </w:rPr>
        <w:t xml:space="preserve">, наступним кроком стало кількісне оцінювання того, наскільки ефективними є обрані активи. </w:t>
      </w:r>
      <w:r w:rsidRPr="003C1B29">
        <w:rPr>
          <w:rFonts w:ascii="Times New Roman" w:hAnsi="Times New Roman" w:cs="Times New Roman"/>
          <w:sz w:val="28"/>
          <w:szCs w:val="28"/>
          <w:lang w:val="ru-RU"/>
        </w:rPr>
        <w:t xml:space="preserve">Для цього було використано регресійний аналіз, який допомагає зрозуміти, як саме на дохідність компаній впливають основні ринкові та економічні фактори. Це важливо, щоб краще підібрати активи до кожної з трьох інвестиційних стратегій </w:t>
      </w:r>
      <w:r>
        <w:rPr>
          <w:rFonts w:ascii="Times New Roman" w:hAnsi="Times New Roman" w:cs="Times New Roman"/>
          <w:sz w:val="28"/>
          <w:szCs w:val="28"/>
          <w:lang w:val="ru-RU"/>
        </w:rPr>
        <w:t>-</w:t>
      </w:r>
      <w:r w:rsidRPr="003C1B29">
        <w:rPr>
          <w:rFonts w:ascii="Times New Roman" w:hAnsi="Times New Roman" w:cs="Times New Roman"/>
          <w:sz w:val="28"/>
          <w:szCs w:val="28"/>
          <w:lang w:val="ru-RU"/>
        </w:rPr>
        <w:t xml:space="preserve"> </w:t>
      </w:r>
      <w:r w:rsidRPr="003C1B29">
        <w:rPr>
          <w:rFonts w:ascii="Times New Roman" w:hAnsi="Times New Roman" w:cs="Times New Roman"/>
          <w:sz w:val="28"/>
          <w:szCs w:val="28"/>
          <w:lang w:val="de-AT"/>
        </w:rPr>
        <w:t>value</w:t>
      </w:r>
      <w:r w:rsidRPr="003C1B29">
        <w:rPr>
          <w:rFonts w:ascii="Times New Roman" w:hAnsi="Times New Roman" w:cs="Times New Roman"/>
          <w:sz w:val="28"/>
          <w:szCs w:val="28"/>
          <w:lang w:val="ru-RU"/>
        </w:rPr>
        <w:t xml:space="preserve">, </w:t>
      </w:r>
      <w:r w:rsidRPr="003C1B29">
        <w:rPr>
          <w:rFonts w:ascii="Times New Roman" w:hAnsi="Times New Roman" w:cs="Times New Roman"/>
          <w:sz w:val="28"/>
          <w:szCs w:val="28"/>
          <w:lang w:val="de-AT"/>
        </w:rPr>
        <w:t>growth</w:t>
      </w:r>
      <w:r w:rsidRPr="003C1B29">
        <w:rPr>
          <w:rFonts w:ascii="Times New Roman" w:hAnsi="Times New Roman" w:cs="Times New Roman"/>
          <w:sz w:val="28"/>
          <w:szCs w:val="28"/>
          <w:lang w:val="ru-RU"/>
        </w:rPr>
        <w:t xml:space="preserve"> та </w:t>
      </w:r>
      <w:r w:rsidRPr="003C1B29">
        <w:rPr>
          <w:rFonts w:ascii="Times New Roman" w:hAnsi="Times New Roman" w:cs="Times New Roman"/>
          <w:sz w:val="28"/>
          <w:szCs w:val="28"/>
          <w:lang w:val="de-AT"/>
        </w:rPr>
        <w:t>income</w:t>
      </w:r>
      <w:r w:rsidRPr="003C1B29">
        <w:rPr>
          <w:rFonts w:ascii="Times New Roman" w:hAnsi="Times New Roman" w:cs="Times New Roman"/>
          <w:sz w:val="28"/>
          <w:szCs w:val="28"/>
          <w:lang w:val="ru-RU"/>
        </w:rPr>
        <w:t>.</w:t>
      </w:r>
    </w:p>
    <w:p w:rsidR="00F30E41" w:rsidRDefault="00F30E41" w:rsidP="002F7D77">
      <w:pPr>
        <w:spacing w:after="0" w:line="360" w:lineRule="auto"/>
        <w:ind w:firstLine="709"/>
        <w:jc w:val="both"/>
        <w:rPr>
          <w:rFonts w:ascii="Times New Roman" w:hAnsi="Times New Roman" w:cs="Times New Roman"/>
          <w:sz w:val="28"/>
          <w:szCs w:val="28"/>
          <w:lang w:val="ru-RU"/>
        </w:rPr>
      </w:pPr>
      <w:r w:rsidRPr="002F7D77">
        <w:rPr>
          <w:rFonts w:ascii="Times New Roman" w:hAnsi="Times New Roman" w:cs="Times New Roman"/>
          <w:sz w:val="28"/>
          <w:szCs w:val="28"/>
        </w:rPr>
        <w:t>У цьому дослідженні застосовано трифакторну модель Фама</w:t>
      </w:r>
      <w:r>
        <w:rPr>
          <w:rFonts w:ascii="Times New Roman" w:hAnsi="Times New Roman" w:cs="Times New Roman"/>
          <w:sz w:val="28"/>
          <w:szCs w:val="28"/>
          <w:lang w:val="ru-RU"/>
        </w:rPr>
        <w:t>-</w:t>
      </w:r>
      <w:r w:rsidRPr="002F7D77">
        <w:rPr>
          <w:rFonts w:ascii="Times New Roman" w:hAnsi="Times New Roman" w:cs="Times New Roman"/>
          <w:sz w:val="28"/>
          <w:szCs w:val="28"/>
        </w:rPr>
        <w:t xml:space="preserve">Френча, яка є розширенням класичної моделі CAPM. Вона враховує не тільки загальний стан ринку, але й розмір компанії та її інвестиційний стиль. Такий підхід дозволяє точніше зрозуміти, до якого типу належить кожна компанія </w:t>
      </w:r>
      <w:r>
        <w:rPr>
          <w:rFonts w:ascii="Times New Roman" w:hAnsi="Times New Roman" w:cs="Times New Roman"/>
          <w:sz w:val="28"/>
          <w:szCs w:val="28"/>
          <w:lang w:val="ru-RU"/>
        </w:rPr>
        <w:t>-</w:t>
      </w:r>
      <w:r w:rsidRPr="002F7D77">
        <w:rPr>
          <w:rFonts w:ascii="Times New Roman" w:hAnsi="Times New Roman" w:cs="Times New Roman"/>
          <w:sz w:val="28"/>
          <w:szCs w:val="28"/>
        </w:rPr>
        <w:t xml:space="preserve"> і, відповідно, включити її саме в той портфель, до якого вона найкраще підходить. У наступному розділі подано результати цього аналізу для обраних компаній з трьох галузей, що дозволяє чітко визначити, до якої інвестиційної стратегії (value, growth чи income) належить кожна з них. Усі розрахунки проводилися у програмі Excel на основі вихідних статистичних даних, наведених у Додатку </w:t>
      </w:r>
      <w:r>
        <w:rPr>
          <w:rFonts w:ascii="Times New Roman" w:hAnsi="Times New Roman" w:cs="Times New Roman"/>
          <w:sz w:val="28"/>
          <w:szCs w:val="28"/>
          <w:lang w:val="ru-RU"/>
        </w:rPr>
        <w:t>Б</w:t>
      </w:r>
      <w:r w:rsidRPr="002F7D77">
        <w:rPr>
          <w:rFonts w:ascii="Times New Roman" w:hAnsi="Times New Roman" w:cs="Times New Roman"/>
          <w:sz w:val="28"/>
          <w:szCs w:val="28"/>
        </w:rPr>
        <w:t>, де подано структуру показників для побудови регресійної моделі</w:t>
      </w:r>
    </w:p>
    <w:p w:rsidR="00F30E41" w:rsidRPr="009B2620" w:rsidRDefault="00F30E41" w:rsidP="002F7D77">
      <w:pPr>
        <w:spacing w:after="0" w:line="360" w:lineRule="auto"/>
        <w:ind w:firstLine="709"/>
        <w:jc w:val="right"/>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Таблиця </w:t>
      </w:r>
      <w:r>
        <w:rPr>
          <w:rFonts w:ascii="Times New Roman" w:hAnsi="Times New Roman" w:cs="Times New Roman"/>
          <w:sz w:val="28"/>
          <w:szCs w:val="28"/>
          <w:lang w:val="ru-RU"/>
        </w:rPr>
        <w:t>3.1</w:t>
      </w:r>
    </w:p>
    <w:p w:rsidR="00F30E41" w:rsidRPr="009B2620" w:rsidRDefault="00F30E41" w:rsidP="00E030BB">
      <w:pPr>
        <w:spacing w:after="0" w:line="360" w:lineRule="auto"/>
        <w:ind w:firstLine="709"/>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Результати регресії за моделлю </w:t>
      </w:r>
      <w:r w:rsidRPr="009B2620">
        <w:rPr>
          <w:rFonts w:ascii="Times New Roman" w:hAnsi="Times New Roman" w:cs="Times New Roman"/>
          <w:sz w:val="28"/>
          <w:szCs w:val="28"/>
          <w:lang w:val="en-US"/>
        </w:rPr>
        <w:t>Fama</w:t>
      </w:r>
      <w:r w:rsidRPr="009B2620">
        <w:rPr>
          <w:rFonts w:ascii="Times New Roman" w:hAnsi="Times New Roman" w:cs="Times New Roman"/>
          <w:sz w:val="28"/>
          <w:szCs w:val="28"/>
          <w:lang w:val="ru-RU"/>
        </w:rPr>
        <w:t>-</w:t>
      </w:r>
      <w:r w:rsidRPr="009B2620">
        <w:rPr>
          <w:rFonts w:ascii="Times New Roman" w:hAnsi="Times New Roman" w:cs="Times New Roman"/>
          <w:sz w:val="28"/>
          <w:szCs w:val="28"/>
          <w:lang w:val="en-US"/>
        </w:rPr>
        <w:t>French</w:t>
      </w:r>
      <w:r w:rsidRPr="009B2620">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 xml:space="preserve">для </w:t>
      </w:r>
      <w:r w:rsidRPr="009B2620">
        <w:rPr>
          <w:rFonts w:ascii="Times New Roman" w:hAnsi="Times New Roman" w:cs="Times New Roman"/>
          <w:sz w:val="28"/>
          <w:szCs w:val="28"/>
          <w:lang w:val="en-US"/>
        </w:rPr>
        <w:t>NVDA</w:t>
      </w:r>
    </w:p>
    <w:tbl>
      <w:tblPr>
        <w:tblpPr w:leftFromText="141" w:rightFromText="141"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2"/>
        <w:gridCol w:w="1812"/>
        <w:gridCol w:w="1812"/>
        <w:gridCol w:w="1813"/>
        <w:gridCol w:w="1813"/>
      </w:tblGrid>
      <w:tr w:rsidR="00F30E41" w:rsidRPr="00596352">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0,36</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0,19</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1,87</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0,08</w:t>
            </w:r>
          </w:p>
        </w:tc>
      </w:tr>
      <w:tr w:rsidR="00F30E41" w:rsidRPr="00596352">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rPr>
            </w:pPr>
            <w:r w:rsidRPr="00596352">
              <w:rPr>
                <w:rFonts w:ascii="Times New Roman" w:hAnsi="Times New Roman" w:cs="Times New Roman"/>
                <w:color w:val="000000"/>
                <w:kern w:val="0"/>
                <w:sz w:val="28"/>
                <w:szCs w:val="28"/>
                <w:lang w:val="en-US" w:eastAsia="de-AT"/>
              </w:rPr>
              <w:t>FAMA-FRENCH MARKET</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1,52</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1,02</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1,48</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0,15</w:t>
            </w:r>
          </w:p>
        </w:tc>
      </w:tr>
      <w:tr w:rsidR="00F30E41" w:rsidRPr="00596352">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0,99</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1,97</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0,50</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0,62</w:t>
            </w:r>
          </w:p>
        </w:tc>
      </w:tr>
      <w:tr w:rsidR="00F30E41" w:rsidRPr="00596352">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2,54</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1,06</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2,39</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0,03</w:t>
            </w:r>
          </w:p>
        </w:tc>
      </w:tr>
    </w:tbl>
    <w:p w:rsidR="00F30E41" w:rsidRPr="0074569B" w:rsidRDefault="00F30E41" w:rsidP="00E030BB">
      <w:pPr>
        <w:spacing w:after="0" w:line="360" w:lineRule="auto"/>
        <w:ind w:firstLine="708"/>
        <w:jc w:val="both"/>
        <w:rPr>
          <w:rFonts w:ascii="Times New Roman" w:hAnsi="Times New Roman" w:cs="Times New Roman"/>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Pr="00F67206" w:rsidRDefault="00F30E41" w:rsidP="003C2DF3">
      <w:pPr>
        <w:spacing w:after="0" w:line="360" w:lineRule="auto"/>
        <w:ind w:firstLine="708"/>
        <w:jc w:val="both"/>
        <w:rPr>
          <w:rFonts w:ascii="Times New Roman" w:hAnsi="Times New Roman" w:cs="Times New Roman"/>
          <w:sz w:val="28"/>
          <w:szCs w:val="28"/>
          <w:lang w:val="ru-RU"/>
        </w:rPr>
      </w:pPr>
      <w:r w:rsidRPr="009B2620">
        <w:rPr>
          <w:rFonts w:ascii="Times New Roman" w:hAnsi="Times New Roman" w:cs="Times New Roman"/>
          <w:sz w:val="28"/>
          <w:szCs w:val="28"/>
          <w:lang w:val="ru-RU"/>
        </w:rPr>
        <w:t>Регресійний аналіз компан</w:t>
      </w:r>
      <w:r w:rsidRPr="009B2620">
        <w:rPr>
          <w:rFonts w:ascii="Times New Roman" w:hAnsi="Times New Roman" w:cs="Times New Roman"/>
          <w:sz w:val="28"/>
          <w:szCs w:val="28"/>
        </w:rPr>
        <w:t xml:space="preserve">ії </w:t>
      </w:r>
      <w:r w:rsidRPr="009B2620">
        <w:rPr>
          <w:rFonts w:ascii="Times New Roman" w:hAnsi="Times New Roman" w:cs="Times New Roman"/>
          <w:sz w:val="28"/>
          <w:szCs w:val="28"/>
          <w:lang w:val="ru-RU"/>
        </w:rPr>
        <w:t xml:space="preserve">показав, що на надлишкову дохідність компанії найбільше впливає фактор </w:t>
      </w:r>
      <w:r w:rsidRPr="009B2620">
        <w:rPr>
          <w:rFonts w:ascii="Times New Roman" w:hAnsi="Times New Roman" w:cs="Times New Roman"/>
          <w:sz w:val="28"/>
          <w:szCs w:val="28"/>
        </w:rPr>
        <w:t>HML</w:t>
      </w:r>
      <w:r w:rsidRPr="009B2620">
        <w:rPr>
          <w:rFonts w:ascii="Times New Roman" w:hAnsi="Times New Roman" w:cs="Times New Roman"/>
          <w:sz w:val="28"/>
          <w:szCs w:val="28"/>
          <w:lang w:val="ru-RU"/>
        </w:rPr>
        <w:t xml:space="preserve"> (коеф. 2,54, </w:t>
      </w:r>
      <w:r w:rsidRPr="009B2620">
        <w:rPr>
          <w:rFonts w:ascii="Times New Roman" w:hAnsi="Times New Roman" w:cs="Times New Roman"/>
          <w:sz w:val="28"/>
          <w:szCs w:val="28"/>
        </w:rPr>
        <w:t>p</w:t>
      </w:r>
      <w:r w:rsidRPr="009B2620">
        <w:rPr>
          <w:rFonts w:ascii="Times New Roman" w:hAnsi="Times New Roman" w:cs="Times New Roman"/>
          <w:sz w:val="28"/>
          <w:szCs w:val="28"/>
          <w:lang w:val="ru-RU"/>
        </w:rPr>
        <w:t xml:space="preserve"> = 0,03), що свідчить про її належність до </w:t>
      </w:r>
      <w:r w:rsidRPr="009B2620">
        <w:rPr>
          <w:rFonts w:ascii="Times New Roman" w:hAnsi="Times New Roman" w:cs="Times New Roman"/>
          <w:sz w:val="28"/>
          <w:szCs w:val="28"/>
        </w:rPr>
        <w:t>value</w:t>
      </w:r>
      <w:r w:rsidRPr="009B2620">
        <w:rPr>
          <w:rFonts w:ascii="Times New Roman" w:hAnsi="Times New Roman" w:cs="Times New Roman"/>
          <w:sz w:val="28"/>
          <w:szCs w:val="28"/>
          <w:lang w:val="ru-RU"/>
        </w:rPr>
        <w:t xml:space="preserve">-акцій. Фактор ринку (1,52; </w:t>
      </w:r>
      <w:r w:rsidRPr="009B2620">
        <w:rPr>
          <w:rFonts w:ascii="Times New Roman" w:hAnsi="Times New Roman" w:cs="Times New Roman"/>
          <w:sz w:val="28"/>
          <w:szCs w:val="28"/>
        </w:rPr>
        <w:t>p</w:t>
      </w:r>
      <w:r w:rsidRPr="009B2620">
        <w:rPr>
          <w:rFonts w:ascii="Times New Roman" w:hAnsi="Times New Roman" w:cs="Times New Roman"/>
          <w:sz w:val="28"/>
          <w:szCs w:val="28"/>
          <w:lang w:val="ru-RU"/>
        </w:rPr>
        <w:t xml:space="preserve"> = 0,15) та розмір (0,99; </w:t>
      </w:r>
      <w:r w:rsidRPr="009B2620">
        <w:rPr>
          <w:rFonts w:ascii="Times New Roman" w:hAnsi="Times New Roman" w:cs="Times New Roman"/>
          <w:sz w:val="28"/>
          <w:szCs w:val="28"/>
        </w:rPr>
        <w:t>p</w:t>
      </w:r>
      <w:r w:rsidRPr="009B2620">
        <w:rPr>
          <w:rFonts w:ascii="Times New Roman" w:hAnsi="Times New Roman" w:cs="Times New Roman"/>
          <w:sz w:val="28"/>
          <w:szCs w:val="28"/>
          <w:lang w:val="ru-RU"/>
        </w:rPr>
        <w:t xml:space="preserve"> = 0,62) не мають статистично значущого впливу. </w:t>
      </w:r>
      <w:r w:rsidRPr="00C0134E">
        <w:rPr>
          <w:rFonts w:ascii="Times New Roman" w:hAnsi="Times New Roman" w:cs="Times New Roman"/>
          <w:sz w:val="28"/>
          <w:szCs w:val="28"/>
          <w:lang w:val="ru-RU"/>
        </w:rPr>
        <w:t xml:space="preserve">Модель пояснює 24% варіації дохідності </w:t>
      </w:r>
      <w:r w:rsidRPr="009B2620">
        <w:rPr>
          <w:rFonts w:ascii="Times New Roman" w:hAnsi="Times New Roman" w:cs="Times New Roman"/>
          <w:sz w:val="28"/>
          <w:szCs w:val="28"/>
          <w:lang w:val="ru-RU"/>
        </w:rPr>
        <w:t>-</w:t>
      </w:r>
      <w:r w:rsidRPr="00C0134E">
        <w:rPr>
          <w:rFonts w:ascii="Times New Roman" w:hAnsi="Times New Roman" w:cs="Times New Roman"/>
          <w:sz w:val="28"/>
          <w:szCs w:val="28"/>
          <w:lang w:val="ru-RU"/>
        </w:rPr>
        <w:t xml:space="preserve"> результат прийнятний для фінансових досліджень.</w:t>
      </w:r>
    </w:p>
    <w:p w:rsidR="00F30E41" w:rsidRPr="009B2620" w:rsidRDefault="00F30E41" w:rsidP="00E030BB">
      <w:pPr>
        <w:spacing w:after="0" w:line="360" w:lineRule="auto"/>
        <w:ind w:firstLine="709"/>
        <w:jc w:val="right"/>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Таблиця </w:t>
      </w:r>
      <w:r>
        <w:rPr>
          <w:rFonts w:ascii="Times New Roman" w:hAnsi="Times New Roman" w:cs="Times New Roman"/>
          <w:sz w:val="28"/>
          <w:szCs w:val="28"/>
          <w:lang w:val="ru-RU"/>
        </w:rPr>
        <w:t>3.</w:t>
      </w:r>
      <w:r w:rsidRPr="009B2620">
        <w:rPr>
          <w:rFonts w:ascii="Times New Roman" w:hAnsi="Times New Roman" w:cs="Times New Roman"/>
          <w:sz w:val="28"/>
          <w:szCs w:val="28"/>
          <w:lang w:val="ru-RU"/>
        </w:rPr>
        <w:t>2</w:t>
      </w:r>
    </w:p>
    <w:p w:rsidR="00F30E41" w:rsidRPr="009B2620" w:rsidRDefault="00F30E41" w:rsidP="00E030BB">
      <w:pPr>
        <w:spacing w:after="0" w:line="360" w:lineRule="auto"/>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Результати регресії за моделлю </w:t>
      </w:r>
      <w:r w:rsidRPr="009B2620">
        <w:rPr>
          <w:rFonts w:ascii="Times New Roman" w:hAnsi="Times New Roman" w:cs="Times New Roman"/>
          <w:sz w:val="28"/>
          <w:szCs w:val="28"/>
          <w:lang w:val="en-US"/>
        </w:rPr>
        <w:t>Fama</w:t>
      </w:r>
      <w:r w:rsidRPr="009B2620">
        <w:rPr>
          <w:rFonts w:ascii="Times New Roman" w:hAnsi="Times New Roman" w:cs="Times New Roman"/>
          <w:sz w:val="28"/>
          <w:szCs w:val="28"/>
          <w:lang w:val="ru-RU"/>
        </w:rPr>
        <w:t>-</w:t>
      </w:r>
      <w:r w:rsidRPr="009B2620">
        <w:rPr>
          <w:rFonts w:ascii="Times New Roman" w:hAnsi="Times New Roman" w:cs="Times New Roman"/>
          <w:sz w:val="28"/>
          <w:szCs w:val="28"/>
          <w:lang w:val="en-US"/>
        </w:rPr>
        <w:t>French</w:t>
      </w:r>
      <w:r w:rsidRPr="009B2620">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 xml:space="preserve">для </w:t>
      </w:r>
      <w:r w:rsidRPr="009B2620">
        <w:rPr>
          <w:rFonts w:ascii="Times New Roman" w:hAnsi="Times New Roman" w:cs="Times New Roman"/>
          <w:sz w:val="28"/>
          <w:szCs w:val="28"/>
          <w:lang w:val="ru-RU"/>
        </w:rPr>
        <w:t>Sony Group Corp.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0,01</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0,05</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0,27</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0,79</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0,91</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0,28</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3,32</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0,00</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0,58</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0,53</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1,10</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0,29</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 xml:space="preserve"> (HML)</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-0,60</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0,29</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-2,11</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0,05</w:t>
            </w:r>
          </w:p>
        </w:tc>
      </w:tr>
    </w:tbl>
    <w:p w:rsidR="00F30E41" w:rsidRDefault="00F30E41" w:rsidP="00E030BB">
      <w:pPr>
        <w:spacing w:after="0" w:line="360" w:lineRule="auto"/>
        <w:ind w:firstLine="708"/>
        <w:jc w:val="both"/>
        <w:rPr>
          <w:rFonts w:ascii="Times New Roman" w:hAnsi="Times New Roman" w:cs="Times New Roman"/>
          <w:color w:val="000000"/>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Pr="00894287" w:rsidRDefault="00F30E41" w:rsidP="00E030BB">
      <w:pPr>
        <w:spacing w:after="0" w:line="360" w:lineRule="auto"/>
        <w:ind w:firstLine="708"/>
        <w:jc w:val="both"/>
        <w:rPr>
          <w:rFonts w:ascii="Times New Roman" w:hAnsi="Times New Roman" w:cs="Times New Roman"/>
          <w:sz w:val="28"/>
          <w:szCs w:val="28"/>
          <w:lang w:val="ru-RU"/>
        </w:rPr>
      </w:pPr>
      <w:r w:rsidRPr="00894287">
        <w:rPr>
          <w:rFonts w:ascii="Times New Roman" w:hAnsi="Times New Roman" w:cs="Times New Roman"/>
          <w:sz w:val="28"/>
          <w:szCs w:val="28"/>
        </w:rPr>
        <w:t xml:space="preserve">Регресійний аналіз для компанії Sony показав, що найбільший вплив на надлишкову дохідність має ринковий фактор (коефіцієнт 0,91, p = 0,00), що вказує на сильну залежність компанії від рухів ринку. </w:t>
      </w:r>
      <w:r w:rsidRPr="00894287">
        <w:rPr>
          <w:rFonts w:ascii="Times New Roman" w:hAnsi="Times New Roman" w:cs="Times New Roman"/>
          <w:sz w:val="28"/>
          <w:szCs w:val="28"/>
          <w:lang w:val="ru-RU"/>
        </w:rPr>
        <w:t xml:space="preserve">Фактор </w:t>
      </w:r>
      <w:r w:rsidRPr="00894287">
        <w:rPr>
          <w:rFonts w:ascii="Times New Roman" w:hAnsi="Times New Roman" w:cs="Times New Roman"/>
          <w:sz w:val="28"/>
          <w:szCs w:val="28"/>
        </w:rPr>
        <w:t>SMB</w:t>
      </w:r>
      <w:r w:rsidRPr="00894287">
        <w:rPr>
          <w:rFonts w:ascii="Times New Roman" w:hAnsi="Times New Roman" w:cs="Times New Roman"/>
          <w:sz w:val="28"/>
          <w:szCs w:val="28"/>
          <w:lang w:val="ru-RU"/>
        </w:rPr>
        <w:t xml:space="preserve"> має коефіцієнт 0,58, однак </w:t>
      </w:r>
      <w:r w:rsidRPr="00894287">
        <w:rPr>
          <w:rFonts w:ascii="Times New Roman" w:hAnsi="Times New Roman" w:cs="Times New Roman"/>
          <w:sz w:val="28"/>
          <w:szCs w:val="28"/>
        </w:rPr>
        <w:t>p</w:t>
      </w:r>
      <w:r w:rsidRPr="00894287">
        <w:rPr>
          <w:rFonts w:ascii="Times New Roman" w:hAnsi="Times New Roman" w:cs="Times New Roman"/>
          <w:sz w:val="28"/>
          <w:szCs w:val="28"/>
          <w:lang w:val="ru-RU"/>
        </w:rPr>
        <w:t xml:space="preserve">-значення 0,29 свідчить про відсутність статистично значущого впливу. Натомість фактор </w:t>
      </w:r>
      <w:r w:rsidRPr="00894287">
        <w:rPr>
          <w:rFonts w:ascii="Times New Roman" w:hAnsi="Times New Roman" w:cs="Times New Roman"/>
          <w:sz w:val="28"/>
          <w:szCs w:val="28"/>
        </w:rPr>
        <w:t>HML</w:t>
      </w:r>
      <w:r w:rsidRPr="00894287">
        <w:rPr>
          <w:rFonts w:ascii="Times New Roman" w:hAnsi="Times New Roman" w:cs="Times New Roman"/>
          <w:sz w:val="28"/>
          <w:szCs w:val="28"/>
          <w:lang w:val="ru-RU"/>
        </w:rPr>
        <w:t xml:space="preserve"> виявився статистично значущим (коефіцієнт </w:t>
      </w:r>
      <w:r>
        <w:rPr>
          <w:rFonts w:ascii="Times New Roman" w:hAnsi="Times New Roman" w:cs="Times New Roman"/>
          <w:sz w:val="28"/>
          <w:szCs w:val="28"/>
          <w:lang w:val="ru-RU"/>
        </w:rPr>
        <w:t>-</w:t>
      </w:r>
      <w:r w:rsidRPr="00894287">
        <w:rPr>
          <w:rFonts w:ascii="Times New Roman" w:hAnsi="Times New Roman" w:cs="Times New Roman"/>
          <w:sz w:val="28"/>
          <w:szCs w:val="28"/>
          <w:lang w:val="ru-RU"/>
        </w:rPr>
        <w:t xml:space="preserve">0,60, </w:t>
      </w:r>
      <w:r w:rsidRPr="00894287">
        <w:rPr>
          <w:rFonts w:ascii="Times New Roman" w:hAnsi="Times New Roman" w:cs="Times New Roman"/>
          <w:sz w:val="28"/>
          <w:szCs w:val="28"/>
        </w:rPr>
        <w:t>p</w:t>
      </w:r>
      <w:r w:rsidRPr="00894287">
        <w:rPr>
          <w:rFonts w:ascii="Times New Roman" w:hAnsi="Times New Roman" w:cs="Times New Roman"/>
          <w:sz w:val="28"/>
          <w:szCs w:val="28"/>
          <w:lang w:val="ru-RU"/>
        </w:rPr>
        <w:t xml:space="preserve"> = 0,05), причому його від’ємне значення свідчить, що компанія більше тяжіє до категорії </w:t>
      </w:r>
      <w:r w:rsidRPr="00894287">
        <w:rPr>
          <w:rFonts w:ascii="Times New Roman" w:hAnsi="Times New Roman" w:cs="Times New Roman"/>
          <w:sz w:val="28"/>
          <w:szCs w:val="28"/>
        </w:rPr>
        <w:t>growth</w:t>
      </w:r>
      <w:r w:rsidRPr="00894287">
        <w:rPr>
          <w:rFonts w:ascii="Times New Roman" w:hAnsi="Times New Roman" w:cs="Times New Roman"/>
          <w:sz w:val="28"/>
          <w:szCs w:val="28"/>
          <w:lang w:val="ru-RU"/>
        </w:rPr>
        <w:t>-акцій.</w:t>
      </w:r>
    </w:p>
    <w:p w:rsidR="00F30E41" w:rsidRDefault="00F30E41" w:rsidP="00E030BB">
      <w:pPr>
        <w:spacing w:after="0" w:line="360" w:lineRule="auto"/>
        <w:ind w:firstLine="708"/>
        <w:jc w:val="both"/>
        <w:rPr>
          <w:rFonts w:ascii="Times New Roman" w:hAnsi="Times New Roman" w:cs="Times New Roman"/>
          <w:sz w:val="28"/>
          <w:szCs w:val="28"/>
          <w:lang w:val="ru-RU"/>
        </w:rPr>
      </w:pPr>
      <w:r w:rsidRPr="00894287">
        <w:rPr>
          <w:rFonts w:ascii="Times New Roman" w:hAnsi="Times New Roman" w:cs="Times New Roman"/>
          <w:sz w:val="28"/>
          <w:szCs w:val="28"/>
          <w:lang w:val="ru-RU"/>
        </w:rPr>
        <w:t xml:space="preserve">Значення </w:t>
      </w:r>
      <w:r w:rsidRPr="00894287">
        <w:rPr>
          <w:rFonts w:ascii="Times New Roman" w:hAnsi="Times New Roman" w:cs="Times New Roman"/>
          <w:sz w:val="28"/>
          <w:szCs w:val="28"/>
        </w:rPr>
        <w:t>R</w:t>
      </w:r>
      <w:r w:rsidRPr="00894287">
        <w:rPr>
          <w:rFonts w:ascii="Times New Roman" w:hAnsi="Times New Roman" w:cs="Times New Roman"/>
          <w:sz w:val="28"/>
          <w:szCs w:val="28"/>
          <w:lang w:val="ru-RU"/>
        </w:rPr>
        <w:t xml:space="preserve">² становить 0,57, тобто модель пояснює 57% змін у надлишковій дохідності, що є дуже хорошим результатом для фінансових даних. </w:t>
      </w:r>
    </w:p>
    <w:p w:rsidR="00F30E41" w:rsidRPr="00861A16" w:rsidRDefault="00F30E41" w:rsidP="00E030BB">
      <w:pPr>
        <w:spacing w:after="0" w:line="36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t>Таблиця</w:t>
      </w:r>
      <w:r w:rsidRPr="00861A16">
        <w:rPr>
          <w:rFonts w:ascii="Times New Roman" w:hAnsi="Times New Roman" w:cs="Times New Roman"/>
          <w:sz w:val="28"/>
          <w:szCs w:val="28"/>
          <w:lang w:val="ru-RU"/>
        </w:rPr>
        <w:t xml:space="preserve"> </w:t>
      </w:r>
      <w:r>
        <w:rPr>
          <w:rFonts w:ascii="Times New Roman" w:hAnsi="Times New Roman" w:cs="Times New Roman"/>
          <w:sz w:val="28"/>
          <w:szCs w:val="28"/>
          <w:lang w:val="ru-RU"/>
        </w:rPr>
        <w:t>3.3</w:t>
      </w:r>
    </w:p>
    <w:p w:rsidR="00F30E41" w:rsidRDefault="00F30E41" w:rsidP="00E030BB">
      <w:pPr>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Результати регресії за моделлю </w:t>
      </w:r>
      <w:r>
        <w:rPr>
          <w:rFonts w:ascii="Times New Roman" w:hAnsi="Times New Roman" w:cs="Times New Roman"/>
          <w:sz w:val="28"/>
          <w:szCs w:val="28"/>
          <w:lang w:val="en-US"/>
        </w:rPr>
        <w:t>Fama</w:t>
      </w:r>
      <w:r w:rsidRPr="00861A16">
        <w:rPr>
          <w:rFonts w:ascii="Times New Roman" w:hAnsi="Times New Roman" w:cs="Times New Roman"/>
          <w:sz w:val="28"/>
          <w:szCs w:val="28"/>
          <w:lang w:val="ru-RU"/>
        </w:rPr>
        <w:t>-</w:t>
      </w:r>
      <w:r>
        <w:rPr>
          <w:rFonts w:ascii="Times New Roman" w:hAnsi="Times New Roman" w:cs="Times New Roman"/>
          <w:sz w:val="28"/>
          <w:szCs w:val="28"/>
          <w:lang w:val="en-US"/>
        </w:rPr>
        <w:t>French</w:t>
      </w:r>
      <w:r w:rsidRPr="00861A16">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 xml:space="preserve">для </w:t>
      </w:r>
      <w:r w:rsidRPr="00B6143D">
        <w:rPr>
          <w:rFonts w:ascii="Times New Roman" w:hAnsi="Times New Roman" w:cs="Times New Roman"/>
          <w:sz w:val="28"/>
          <w:szCs w:val="28"/>
          <w:lang w:val="en-US"/>
        </w:rPr>
        <w:t>ASML</w:t>
      </w:r>
      <w:r w:rsidRPr="00B6143D">
        <w:rPr>
          <w:rFonts w:ascii="Times New Roman" w:hAnsi="Times New Roman" w:cs="Times New Roman"/>
          <w:sz w:val="28"/>
          <w:szCs w:val="28"/>
          <w:lang w:val="ru-RU"/>
        </w:rPr>
        <w:t xml:space="preserve"> </w:t>
      </w:r>
      <w:r w:rsidRPr="00B6143D">
        <w:rPr>
          <w:rFonts w:ascii="Times New Roman" w:hAnsi="Times New Roman" w:cs="Times New Roman"/>
          <w:sz w:val="28"/>
          <w:szCs w:val="28"/>
          <w:lang w:val="en-US"/>
        </w:rPr>
        <w:t>Holding</w:t>
      </w:r>
      <w:r w:rsidRPr="00B6143D">
        <w:rPr>
          <w:rFonts w:ascii="Times New Roman" w:hAnsi="Times New Roman" w:cs="Times New Roman"/>
          <w:sz w:val="28"/>
          <w:szCs w:val="28"/>
          <w:lang w:val="ru-RU"/>
        </w:rPr>
        <w:t xml:space="preserve"> </w:t>
      </w:r>
      <w:r w:rsidRPr="00B6143D">
        <w:rPr>
          <w:rFonts w:ascii="Times New Roman" w:hAnsi="Times New Roman" w:cs="Times New Roman"/>
          <w:sz w:val="28"/>
          <w:szCs w:val="28"/>
          <w:lang w:val="en-US"/>
        </w:rPr>
        <w:t>NV</w:t>
      </w:r>
      <w:r w:rsidRPr="00B6143D">
        <w:rPr>
          <w:rFonts w:ascii="Times New Roman" w:hAnsi="Times New Roman" w:cs="Times New Roman"/>
          <w:sz w:val="28"/>
          <w:szCs w:val="28"/>
          <w:lang w:val="ru-RU"/>
        </w:rPr>
        <w:t xml:space="preserve"> </w:t>
      </w:r>
      <w:r w:rsidRPr="00B6143D">
        <w:rPr>
          <w:rFonts w:ascii="Times New Roman" w:hAnsi="Times New Roman" w:cs="Times New Roman"/>
          <w:sz w:val="28"/>
          <w:szCs w:val="28"/>
          <w:lang w:val="en-US"/>
        </w:rPr>
        <w:t>ADR</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0,04</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0,06</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0,61</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0,55</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1,92</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0,31</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6,22</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0,00</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0,87</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0,59</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1,47</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0,16</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-0,14</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0,32</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-0,43</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0,67</w:t>
            </w:r>
          </w:p>
        </w:tc>
      </w:tr>
    </w:tbl>
    <w:p w:rsidR="00F30E41" w:rsidRDefault="00F30E41" w:rsidP="00E030BB">
      <w:pPr>
        <w:spacing w:after="0" w:line="360" w:lineRule="auto"/>
        <w:ind w:firstLine="708"/>
        <w:jc w:val="both"/>
        <w:rPr>
          <w:rFonts w:ascii="Times New Roman" w:hAnsi="Times New Roman" w:cs="Times New Roman"/>
          <w:color w:val="000000"/>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Pr="00E60EBA" w:rsidRDefault="00F30E41" w:rsidP="00E030BB">
      <w:pPr>
        <w:spacing w:after="0" w:line="360" w:lineRule="auto"/>
        <w:ind w:firstLine="708"/>
        <w:jc w:val="both"/>
        <w:rPr>
          <w:rFonts w:ascii="Times New Roman" w:hAnsi="Times New Roman" w:cs="Times New Roman"/>
          <w:sz w:val="28"/>
          <w:szCs w:val="28"/>
          <w:lang w:val="ru-RU"/>
        </w:rPr>
      </w:pPr>
      <w:r w:rsidRPr="00E60EBA">
        <w:rPr>
          <w:rFonts w:ascii="Times New Roman" w:hAnsi="Times New Roman" w:cs="Times New Roman"/>
          <w:sz w:val="28"/>
          <w:szCs w:val="28"/>
          <w:lang w:val="ru-RU"/>
        </w:rPr>
        <w:t>Регресійний аналіз показав, що ринковий фактор (коеф. 1,92, p = 0,00) має сильний і статистично значущий вплив на надлишкову дохідність. Це свідчить про високу ринкову чутливість компанії. Фактор SMB (0,87, p = 0,16) показує помірний позитивний вплив, але він не є статистично значущим. Фактор HML (</w:t>
      </w:r>
      <w:r>
        <w:rPr>
          <w:rFonts w:ascii="Times New Roman" w:hAnsi="Times New Roman" w:cs="Times New Roman"/>
          <w:sz w:val="28"/>
          <w:szCs w:val="28"/>
          <w:lang w:val="ru-RU"/>
        </w:rPr>
        <w:t>-</w:t>
      </w:r>
      <w:r w:rsidRPr="00E60EBA">
        <w:rPr>
          <w:rFonts w:ascii="Times New Roman" w:hAnsi="Times New Roman" w:cs="Times New Roman"/>
          <w:sz w:val="28"/>
          <w:szCs w:val="28"/>
          <w:lang w:val="ru-RU"/>
        </w:rPr>
        <w:t>0,14, p = 0,67) не впливає на дохідність.</w:t>
      </w:r>
    </w:p>
    <w:p w:rsidR="00F30E41" w:rsidRDefault="00F30E41" w:rsidP="00E030BB">
      <w:pPr>
        <w:spacing w:after="0" w:line="360" w:lineRule="auto"/>
        <w:ind w:firstLine="708"/>
        <w:jc w:val="both"/>
        <w:rPr>
          <w:rFonts w:ascii="Times New Roman" w:hAnsi="Times New Roman" w:cs="Times New Roman"/>
          <w:sz w:val="28"/>
          <w:szCs w:val="28"/>
          <w:lang w:val="ru-RU"/>
        </w:rPr>
      </w:pPr>
      <w:r w:rsidRPr="00E60EBA">
        <w:rPr>
          <w:rFonts w:ascii="Times New Roman" w:hAnsi="Times New Roman" w:cs="Times New Roman"/>
          <w:sz w:val="28"/>
          <w:szCs w:val="28"/>
          <w:lang w:val="ru-RU"/>
        </w:rPr>
        <w:t xml:space="preserve">Модель має високе значення R² = 0,73, що означає, що вона пояснює 73% змін у надлишковій дохідності </w:t>
      </w:r>
      <w:r>
        <w:rPr>
          <w:rFonts w:ascii="Times New Roman" w:hAnsi="Times New Roman" w:cs="Times New Roman"/>
          <w:sz w:val="28"/>
          <w:szCs w:val="28"/>
          <w:lang w:val="ru-RU"/>
        </w:rPr>
        <w:t>-</w:t>
      </w:r>
      <w:r w:rsidRPr="00E60EBA">
        <w:rPr>
          <w:rFonts w:ascii="Times New Roman" w:hAnsi="Times New Roman" w:cs="Times New Roman"/>
          <w:sz w:val="28"/>
          <w:szCs w:val="28"/>
          <w:lang w:val="ru-RU"/>
        </w:rPr>
        <w:t xml:space="preserve"> дуже сильний результат.</w:t>
      </w:r>
    </w:p>
    <w:p w:rsidR="00F30E41" w:rsidRDefault="00F30E41" w:rsidP="00F114A7">
      <w:pPr>
        <w:spacing w:after="0" w:line="360" w:lineRule="auto"/>
        <w:ind w:firstLine="708"/>
        <w:jc w:val="both"/>
        <w:rPr>
          <w:rFonts w:ascii="Times New Roman" w:hAnsi="Times New Roman" w:cs="Times New Roman"/>
          <w:sz w:val="28"/>
          <w:szCs w:val="28"/>
          <w:lang w:val="ru-RU"/>
        </w:rPr>
      </w:pPr>
      <w:r w:rsidRPr="00B90747">
        <w:rPr>
          <w:rFonts w:ascii="Times New Roman" w:hAnsi="Times New Roman" w:cs="Times New Roman"/>
          <w:sz w:val="28"/>
          <w:szCs w:val="28"/>
          <w:lang w:val="ru-RU"/>
        </w:rPr>
        <w:t>Отже, компанія демонструє сильну ринкову залежність і не має вираженої прив’язки до конкретної інвестиційної стратегії.</w:t>
      </w:r>
    </w:p>
    <w:p w:rsidR="00F30E41" w:rsidRPr="00C0134E" w:rsidRDefault="00F30E41" w:rsidP="00E030BB">
      <w:pPr>
        <w:spacing w:after="0" w:line="360" w:lineRule="auto"/>
        <w:ind w:firstLine="708"/>
        <w:jc w:val="right"/>
        <w:rPr>
          <w:rFonts w:ascii="Times New Roman" w:hAnsi="Times New Roman" w:cs="Times New Roman"/>
          <w:sz w:val="28"/>
          <w:szCs w:val="28"/>
          <w:lang w:val="ru-RU"/>
        </w:rPr>
      </w:pPr>
      <w:r w:rsidRPr="009B2620">
        <w:rPr>
          <w:rFonts w:ascii="Times New Roman" w:hAnsi="Times New Roman" w:cs="Times New Roman"/>
          <w:sz w:val="28"/>
          <w:szCs w:val="28"/>
          <w:lang w:val="ru-RU"/>
        </w:rPr>
        <w:t>Таблиця</w:t>
      </w:r>
      <w:r w:rsidRPr="00C0134E">
        <w:rPr>
          <w:rFonts w:ascii="Times New Roman" w:hAnsi="Times New Roman" w:cs="Times New Roman"/>
          <w:sz w:val="28"/>
          <w:szCs w:val="28"/>
          <w:lang w:val="ru-RU"/>
        </w:rPr>
        <w:t xml:space="preserve"> </w:t>
      </w:r>
      <w:r>
        <w:rPr>
          <w:rFonts w:ascii="Times New Roman" w:hAnsi="Times New Roman" w:cs="Times New Roman"/>
          <w:sz w:val="28"/>
          <w:szCs w:val="28"/>
          <w:lang w:val="ru-RU"/>
        </w:rPr>
        <w:t>3.</w:t>
      </w:r>
      <w:r w:rsidRPr="00C0134E">
        <w:rPr>
          <w:rFonts w:ascii="Times New Roman" w:hAnsi="Times New Roman" w:cs="Times New Roman"/>
          <w:sz w:val="28"/>
          <w:szCs w:val="28"/>
          <w:lang w:val="ru-RU"/>
        </w:rPr>
        <w:t>4</w:t>
      </w:r>
    </w:p>
    <w:p w:rsidR="00F30E41" w:rsidRPr="00C0134E" w:rsidRDefault="00F30E41" w:rsidP="00E030BB">
      <w:pPr>
        <w:spacing w:after="0" w:line="360" w:lineRule="auto"/>
        <w:ind w:firstLine="708"/>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Результати</w:t>
      </w:r>
      <w:r w:rsidRPr="00C0134E">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регресії</w:t>
      </w:r>
      <w:r w:rsidRPr="00C0134E">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за</w:t>
      </w:r>
      <w:r w:rsidRPr="00C0134E">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моделлю</w:t>
      </w:r>
      <w:r w:rsidRPr="00C0134E">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Fama</w:t>
      </w:r>
      <w:r w:rsidRPr="00C0134E">
        <w:rPr>
          <w:rFonts w:ascii="Times New Roman" w:hAnsi="Times New Roman" w:cs="Times New Roman"/>
          <w:sz w:val="28"/>
          <w:szCs w:val="28"/>
          <w:lang w:val="ru-RU"/>
        </w:rPr>
        <w:t>-</w:t>
      </w:r>
      <w:r w:rsidRPr="009B2620">
        <w:rPr>
          <w:rFonts w:ascii="Times New Roman" w:hAnsi="Times New Roman" w:cs="Times New Roman"/>
          <w:sz w:val="28"/>
          <w:szCs w:val="28"/>
          <w:lang w:val="en-US"/>
        </w:rPr>
        <w:t>French</w:t>
      </w:r>
      <w:r w:rsidRPr="00C0134E">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для</w:t>
      </w:r>
      <w:r w:rsidRPr="00C0134E">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Takeda</w:t>
      </w:r>
      <w:r w:rsidRPr="00C0134E">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Pharmaceutical</w:t>
      </w:r>
      <w:r w:rsidRPr="00C0134E">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Co</w:t>
      </w:r>
      <w:r w:rsidRPr="00C0134E">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Ltd</w:t>
      </w:r>
      <w:r w:rsidRPr="00C0134E">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ADR</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0,00</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0,07</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0,05</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0,96</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0,08</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0,32</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0,26</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0,80</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-0,19</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0,79</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-0,24</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0,82</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-0,09</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0,35</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-0,26</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0,80</w:t>
            </w:r>
          </w:p>
        </w:tc>
      </w:tr>
    </w:tbl>
    <w:p w:rsidR="00F30E41" w:rsidRDefault="00F30E41" w:rsidP="00E030BB">
      <w:pPr>
        <w:spacing w:after="0" w:line="360" w:lineRule="auto"/>
        <w:ind w:firstLine="708"/>
        <w:jc w:val="both"/>
        <w:rPr>
          <w:rFonts w:ascii="Times New Roman" w:hAnsi="Times New Roman" w:cs="Times New Roman"/>
          <w:color w:val="000000"/>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Pr="00855B7C" w:rsidRDefault="00F30E41" w:rsidP="00E030BB">
      <w:pPr>
        <w:spacing w:after="0" w:line="360" w:lineRule="auto"/>
        <w:ind w:firstLine="708"/>
        <w:jc w:val="both"/>
        <w:rPr>
          <w:rFonts w:ascii="Times New Roman" w:hAnsi="Times New Roman" w:cs="Times New Roman"/>
          <w:sz w:val="28"/>
          <w:szCs w:val="28"/>
          <w:lang w:val="ru-RU"/>
        </w:rPr>
      </w:pPr>
      <w:r w:rsidRPr="00855B7C">
        <w:rPr>
          <w:rFonts w:ascii="Times New Roman" w:hAnsi="Times New Roman" w:cs="Times New Roman"/>
          <w:sz w:val="28"/>
          <w:szCs w:val="28"/>
          <w:lang w:val="ru-RU"/>
        </w:rPr>
        <w:t xml:space="preserve">Регресійний аналіз показав, що жоден з факторів моделі Фама-Френча не має статистично значущого впливу на надлишкову дохідність компанії. Усі </w:t>
      </w:r>
      <w:r w:rsidRPr="00855B7C">
        <w:rPr>
          <w:rFonts w:ascii="Times New Roman" w:hAnsi="Times New Roman" w:cs="Times New Roman"/>
          <w:sz w:val="28"/>
          <w:szCs w:val="28"/>
        </w:rPr>
        <w:t>p</w:t>
      </w:r>
      <w:r w:rsidRPr="00855B7C">
        <w:rPr>
          <w:rFonts w:ascii="Times New Roman" w:hAnsi="Times New Roman" w:cs="Times New Roman"/>
          <w:sz w:val="28"/>
          <w:szCs w:val="28"/>
          <w:lang w:val="ru-RU"/>
        </w:rPr>
        <w:t xml:space="preserve">-значення значно вищі за 0,05, а коефіцієнти </w:t>
      </w:r>
      <w:r w:rsidRPr="00B26C30">
        <w:rPr>
          <w:rFonts w:ascii="Times New Roman" w:hAnsi="Times New Roman" w:cs="Times New Roman"/>
          <w:sz w:val="28"/>
          <w:szCs w:val="28"/>
          <w:lang w:val="ru-RU"/>
        </w:rPr>
        <w:t>-</w:t>
      </w:r>
      <w:r w:rsidRPr="00855B7C">
        <w:rPr>
          <w:rFonts w:ascii="Times New Roman" w:hAnsi="Times New Roman" w:cs="Times New Roman"/>
          <w:sz w:val="28"/>
          <w:szCs w:val="28"/>
          <w:lang w:val="ru-RU"/>
        </w:rPr>
        <w:t xml:space="preserve"> дуже малі або навіть від’ємні (наприклад, </w:t>
      </w:r>
      <w:r w:rsidRPr="00855B7C">
        <w:rPr>
          <w:rFonts w:ascii="Times New Roman" w:hAnsi="Times New Roman" w:cs="Times New Roman"/>
          <w:sz w:val="28"/>
          <w:szCs w:val="28"/>
        </w:rPr>
        <w:t>HML</w:t>
      </w:r>
      <w:r w:rsidRPr="00855B7C">
        <w:rPr>
          <w:rFonts w:ascii="Times New Roman" w:hAnsi="Times New Roman" w:cs="Times New Roman"/>
          <w:sz w:val="28"/>
          <w:szCs w:val="28"/>
          <w:lang w:val="ru-RU"/>
        </w:rPr>
        <w:t xml:space="preserve"> = </w:t>
      </w:r>
      <w:r>
        <w:rPr>
          <w:rFonts w:ascii="Times New Roman" w:hAnsi="Times New Roman" w:cs="Times New Roman"/>
          <w:sz w:val="28"/>
          <w:szCs w:val="28"/>
          <w:lang w:val="ru-RU"/>
        </w:rPr>
        <w:t>-</w:t>
      </w:r>
      <w:r w:rsidRPr="00855B7C">
        <w:rPr>
          <w:rFonts w:ascii="Times New Roman" w:hAnsi="Times New Roman" w:cs="Times New Roman"/>
          <w:sz w:val="28"/>
          <w:szCs w:val="28"/>
          <w:lang w:val="ru-RU"/>
        </w:rPr>
        <w:t xml:space="preserve">0,09, </w:t>
      </w:r>
      <w:r w:rsidRPr="00855B7C">
        <w:rPr>
          <w:rFonts w:ascii="Times New Roman" w:hAnsi="Times New Roman" w:cs="Times New Roman"/>
          <w:sz w:val="28"/>
          <w:szCs w:val="28"/>
        </w:rPr>
        <w:t>p</w:t>
      </w:r>
      <w:r w:rsidRPr="00855B7C">
        <w:rPr>
          <w:rFonts w:ascii="Times New Roman" w:hAnsi="Times New Roman" w:cs="Times New Roman"/>
          <w:sz w:val="28"/>
          <w:szCs w:val="28"/>
          <w:lang w:val="ru-RU"/>
        </w:rPr>
        <w:t xml:space="preserve"> = 0,80).</w:t>
      </w:r>
    </w:p>
    <w:p w:rsidR="00F30E41" w:rsidRPr="00C0134E" w:rsidRDefault="00F30E41" w:rsidP="00E030BB">
      <w:pPr>
        <w:spacing w:after="0" w:line="360" w:lineRule="auto"/>
        <w:ind w:firstLine="708"/>
        <w:jc w:val="both"/>
        <w:rPr>
          <w:rFonts w:ascii="Times New Roman" w:hAnsi="Times New Roman" w:cs="Times New Roman"/>
          <w:sz w:val="28"/>
          <w:szCs w:val="28"/>
          <w:lang w:val="ru-RU"/>
        </w:rPr>
      </w:pPr>
      <w:r w:rsidRPr="00855B7C">
        <w:rPr>
          <w:rFonts w:ascii="Times New Roman" w:hAnsi="Times New Roman" w:cs="Times New Roman"/>
          <w:sz w:val="28"/>
          <w:szCs w:val="28"/>
          <w:lang w:val="ru-RU"/>
        </w:rPr>
        <w:t xml:space="preserve">Значення </w:t>
      </w:r>
      <w:r w:rsidRPr="00855B7C">
        <w:rPr>
          <w:rFonts w:ascii="Times New Roman" w:hAnsi="Times New Roman" w:cs="Times New Roman"/>
          <w:sz w:val="28"/>
          <w:szCs w:val="28"/>
        </w:rPr>
        <w:t>R</w:t>
      </w:r>
      <w:r w:rsidRPr="00855B7C">
        <w:rPr>
          <w:rFonts w:ascii="Times New Roman" w:hAnsi="Times New Roman" w:cs="Times New Roman"/>
          <w:sz w:val="28"/>
          <w:szCs w:val="28"/>
          <w:lang w:val="ru-RU"/>
        </w:rPr>
        <w:t xml:space="preserve">² становить лише 0,01, тобто модель майже не пояснює змін у дохідності компанії. Це означає, що дохідність </w:t>
      </w:r>
      <w:r w:rsidRPr="00855B7C">
        <w:rPr>
          <w:rFonts w:ascii="Times New Roman" w:hAnsi="Times New Roman" w:cs="Times New Roman"/>
          <w:sz w:val="28"/>
          <w:szCs w:val="28"/>
        </w:rPr>
        <w:t>Takeda</w:t>
      </w:r>
      <w:r w:rsidRPr="00855B7C">
        <w:rPr>
          <w:rFonts w:ascii="Times New Roman" w:hAnsi="Times New Roman" w:cs="Times New Roman"/>
          <w:sz w:val="28"/>
          <w:szCs w:val="28"/>
          <w:lang w:val="ru-RU"/>
        </w:rPr>
        <w:t>, ймовірно, визначається зовнішніми чинниками, не охопленими у трифакторній моделі.</w:t>
      </w:r>
      <w:r w:rsidRPr="009B2620">
        <w:rPr>
          <w:rFonts w:ascii="Times New Roman" w:hAnsi="Times New Roman" w:cs="Times New Roman"/>
          <w:sz w:val="28"/>
          <w:szCs w:val="28"/>
          <w:lang w:val="ru-RU"/>
        </w:rPr>
        <w:t xml:space="preserve"> Отже, ця </w:t>
      </w:r>
      <w:r w:rsidRPr="00855B7C">
        <w:rPr>
          <w:rFonts w:ascii="Times New Roman" w:hAnsi="Times New Roman" w:cs="Times New Roman"/>
          <w:sz w:val="28"/>
          <w:szCs w:val="28"/>
          <w:lang w:val="ru-RU"/>
        </w:rPr>
        <w:t xml:space="preserve">модель не підходить для опису поведінки акцій компанії </w:t>
      </w:r>
      <w:r w:rsidRPr="00855B7C">
        <w:rPr>
          <w:rFonts w:ascii="Times New Roman" w:hAnsi="Times New Roman" w:cs="Times New Roman"/>
          <w:sz w:val="28"/>
          <w:szCs w:val="28"/>
        </w:rPr>
        <w:t>Takeda</w:t>
      </w:r>
      <w:r w:rsidRPr="00855B7C">
        <w:rPr>
          <w:rFonts w:ascii="Times New Roman" w:hAnsi="Times New Roman" w:cs="Times New Roman"/>
          <w:sz w:val="28"/>
          <w:szCs w:val="28"/>
          <w:lang w:val="ru-RU"/>
        </w:rPr>
        <w:t>. Її дохідність не залежить ані від ринку, ані від факторів розміру чи вартості.</w:t>
      </w:r>
    </w:p>
    <w:p w:rsidR="00F30E41" w:rsidRPr="009B2620" w:rsidRDefault="00F30E41" w:rsidP="00E030BB">
      <w:pPr>
        <w:spacing w:after="0" w:line="36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Таблиця</w:t>
      </w:r>
      <w:r w:rsidRPr="009B2620">
        <w:rPr>
          <w:rFonts w:ascii="Times New Roman" w:hAnsi="Times New Roman" w:cs="Times New Roman"/>
          <w:sz w:val="28"/>
          <w:szCs w:val="28"/>
          <w:lang w:val="ru-RU"/>
        </w:rPr>
        <w:t xml:space="preserve"> </w:t>
      </w:r>
      <w:r>
        <w:rPr>
          <w:rFonts w:ascii="Times New Roman" w:hAnsi="Times New Roman" w:cs="Times New Roman"/>
          <w:sz w:val="28"/>
          <w:szCs w:val="28"/>
          <w:lang w:val="ru-RU"/>
        </w:rPr>
        <w:t>3.5</w:t>
      </w:r>
    </w:p>
    <w:p w:rsidR="00F30E41" w:rsidRPr="00C0134E" w:rsidRDefault="00F30E41" w:rsidP="00E030BB">
      <w:pPr>
        <w:spacing w:after="0" w:line="360" w:lineRule="auto"/>
        <w:ind w:firstLine="708"/>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Результати регресії за моделлю </w:t>
      </w:r>
      <w:r>
        <w:rPr>
          <w:rFonts w:ascii="Times New Roman" w:hAnsi="Times New Roman" w:cs="Times New Roman"/>
          <w:sz w:val="28"/>
          <w:szCs w:val="28"/>
          <w:lang w:val="en-US"/>
        </w:rPr>
        <w:t>Fama</w:t>
      </w:r>
      <w:r w:rsidRPr="009B2620">
        <w:rPr>
          <w:rFonts w:ascii="Times New Roman" w:hAnsi="Times New Roman" w:cs="Times New Roman"/>
          <w:sz w:val="28"/>
          <w:szCs w:val="28"/>
          <w:lang w:val="ru-RU"/>
        </w:rPr>
        <w:t>-</w:t>
      </w:r>
      <w:r>
        <w:rPr>
          <w:rFonts w:ascii="Times New Roman" w:hAnsi="Times New Roman" w:cs="Times New Roman"/>
          <w:sz w:val="28"/>
          <w:szCs w:val="28"/>
          <w:lang w:val="en-US"/>
        </w:rPr>
        <w:t>French</w:t>
      </w:r>
      <w:r w:rsidRPr="009B2620">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 xml:space="preserve">для </w:t>
      </w:r>
      <w:r w:rsidRPr="001F3EA5">
        <w:rPr>
          <w:rFonts w:ascii="Times New Roman" w:hAnsi="Times New Roman" w:cs="Times New Roman"/>
          <w:sz w:val="28"/>
          <w:szCs w:val="28"/>
          <w:lang w:val="en-US"/>
        </w:rPr>
        <w:t>Pfizer</w:t>
      </w:r>
      <w:r w:rsidRPr="001F3EA5">
        <w:rPr>
          <w:rFonts w:ascii="Times New Roman" w:hAnsi="Times New Roman" w:cs="Times New Roman"/>
          <w:sz w:val="28"/>
          <w:szCs w:val="28"/>
          <w:lang w:val="ru-RU"/>
        </w:rPr>
        <w:t xml:space="preserve"> </w:t>
      </w:r>
      <w:r w:rsidRPr="001F3EA5">
        <w:rPr>
          <w:rFonts w:ascii="Times New Roman" w:hAnsi="Times New Roman" w:cs="Times New Roman"/>
          <w:sz w:val="28"/>
          <w:szCs w:val="28"/>
          <w:lang w:val="en-US"/>
        </w:rPr>
        <w:t>Inc</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-0,02</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0,05</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-0,42</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0,68</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0,52</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0,26</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1,97</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0,06</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-0,27</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0,51</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-0,53</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0,60</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0,53</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0,27</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1,94</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0,07</w:t>
            </w:r>
          </w:p>
        </w:tc>
      </w:tr>
    </w:tbl>
    <w:p w:rsidR="00F30E41" w:rsidRDefault="00F30E41" w:rsidP="00E030BB">
      <w:pPr>
        <w:spacing w:after="0" w:line="360" w:lineRule="auto"/>
        <w:ind w:firstLine="708"/>
        <w:jc w:val="both"/>
        <w:rPr>
          <w:rFonts w:ascii="Times New Roman" w:hAnsi="Times New Roman" w:cs="Times New Roman"/>
          <w:color w:val="000000"/>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Pr="00C0134E" w:rsidRDefault="00F30E41" w:rsidP="00E030BB">
      <w:pPr>
        <w:spacing w:after="0" w:line="360" w:lineRule="auto"/>
        <w:ind w:firstLine="708"/>
        <w:jc w:val="both"/>
        <w:rPr>
          <w:rFonts w:ascii="Times New Roman" w:hAnsi="Times New Roman" w:cs="Times New Roman"/>
          <w:sz w:val="28"/>
          <w:szCs w:val="28"/>
          <w:lang w:val="ru-RU"/>
        </w:rPr>
      </w:pPr>
      <w:r w:rsidRPr="0065532A">
        <w:rPr>
          <w:rFonts w:ascii="Times New Roman" w:hAnsi="Times New Roman" w:cs="Times New Roman"/>
          <w:sz w:val="28"/>
          <w:szCs w:val="28"/>
          <w:lang w:val="ru-RU"/>
        </w:rPr>
        <w:t xml:space="preserve">Регресійний аналіз показав, що всі фактори моделі Фама-Френча наближаються до статистичної значущості, але жоден не проходить поріг 0,05. Найближчий </w:t>
      </w:r>
      <w:r w:rsidRPr="00B26C30">
        <w:rPr>
          <w:rFonts w:ascii="Times New Roman" w:hAnsi="Times New Roman" w:cs="Times New Roman"/>
          <w:sz w:val="28"/>
          <w:szCs w:val="28"/>
          <w:lang w:val="ru-RU"/>
        </w:rPr>
        <w:t>-</w:t>
      </w:r>
      <w:r w:rsidRPr="0065532A">
        <w:rPr>
          <w:rFonts w:ascii="Times New Roman" w:hAnsi="Times New Roman" w:cs="Times New Roman"/>
          <w:sz w:val="28"/>
          <w:szCs w:val="28"/>
          <w:lang w:val="ru-RU"/>
        </w:rPr>
        <w:t xml:space="preserve"> фактор HML (коефіцієнт 0,53, p = 0,07), що може свідчити про тенденцію до value-стратегії, хоча з обережністю. Ринковий фактор (Mkt-RF) також близький до значущого (коефіцієнт 0,52, p = 0,06), тобто Pfizer частково слідує за ринком. SMB не показав впливу (коеф. </w:t>
      </w:r>
      <w:r>
        <w:rPr>
          <w:rFonts w:ascii="Times New Roman" w:hAnsi="Times New Roman" w:cs="Times New Roman"/>
          <w:sz w:val="28"/>
          <w:szCs w:val="28"/>
          <w:lang w:val="ru-RU"/>
        </w:rPr>
        <w:t>-</w:t>
      </w:r>
      <w:r w:rsidRPr="0065532A">
        <w:rPr>
          <w:rFonts w:ascii="Times New Roman" w:hAnsi="Times New Roman" w:cs="Times New Roman"/>
          <w:sz w:val="28"/>
          <w:szCs w:val="28"/>
          <w:lang w:val="ru-RU"/>
        </w:rPr>
        <w:t>0,27, p = 0,60).</w:t>
      </w:r>
    </w:p>
    <w:p w:rsidR="00F30E41" w:rsidRPr="00C0134E" w:rsidRDefault="00F30E41" w:rsidP="00E030BB">
      <w:pPr>
        <w:spacing w:after="0" w:line="360" w:lineRule="auto"/>
        <w:ind w:firstLine="708"/>
        <w:jc w:val="both"/>
        <w:rPr>
          <w:rFonts w:ascii="Times New Roman" w:hAnsi="Times New Roman" w:cs="Times New Roman"/>
          <w:sz w:val="28"/>
          <w:szCs w:val="28"/>
          <w:lang w:val="ru-RU"/>
        </w:rPr>
      </w:pPr>
      <w:r w:rsidRPr="0065532A">
        <w:rPr>
          <w:rFonts w:ascii="Times New Roman" w:hAnsi="Times New Roman" w:cs="Times New Roman"/>
          <w:sz w:val="28"/>
          <w:szCs w:val="28"/>
          <w:lang w:val="ru-RU"/>
        </w:rPr>
        <w:t>Значення R² становить 0,21, тобто модель пояснює лише 21% варіацій надлишкової дохідності.</w:t>
      </w:r>
    </w:p>
    <w:p w:rsidR="00F30E41" w:rsidRPr="00C0134E" w:rsidRDefault="00F30E41" w:rsidP="00E030BB">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Загалом</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en-US"/>
        </w:rPr>
        <w:t>Pfizer</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демонструє</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слабкий</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зв</w:t>
      </w:r>
      <w:r w:rsidRPr="00C0134E">
        <w:rPr>
          <w:rFonts w:ascii="Times New Roman" w:hAnsi="Times New Roman" w:cs="Times New Roman"/>
          <w:sz w:val="28"/>
          <w:szCs w:val="28"/>
          <w:lang w:val="ru-RU"/>
        </w:rPr>
        <w:t>’</w:t>
      </w:r>
      <w:r w:rsidRPr="0065532A">
        <w:rPr>
          <w:rFonts w:ascii="Times New Roman" w:hAnsi="Times New Roman" w:cs="Times New Roman"/>
          <w:sz w:val="28"/>
          <w:szCs w:val="28"/>
          <w:lang w:val="ru-RU"/>
        </w:rPr>
        <w:t>язок</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з</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ринком</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і</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ознаки</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належності</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до</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en-US"/>
        </w:rPr>
        <w:t>value</w:t>
      </w:r>
      <w:r w:rsidRPr="00C0134E">
        <w:rPr>
          <w:rFonts w:ascii="Times New Roman" w:hAnsi="Times New Roman" w:cs="Times New Roman"/>
          <w:sz w:val="28"/>
          <w:szCs w:val="28"/>
          <w:lang w:val="ru-RU"/>
        </w:rPr>
        <w:t>-</w:t>
      </w:r>
      <w:r w:rsidRPr="0065532A">
        <w:rPr>
          <w:rFonts w:ascii="Times New Roman" w:hAnsi="Times New Roman" w:cs="Times New Roman"/>
          <w:sz w:val="28"/>
          <w:szCs w:val="28"/>
          <w:lang w:val="ru-RU"/>
        </w:rPr>
        <w:t>компаній</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однак</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жоден</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фактор</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не</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є</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достовірно</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значущим</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Модель</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дає</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обмежене</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пояснення</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поведінки</w:t>
      </w:r>
      <w:r w:rsidRPr="00C0134E">
        <w:rPr>
          <w:rFonts w:ascii="Times New Roman" w:hAnsi="Times New Roman" w:cs="Times New Roman"/>
          <w:sz w:val="28"/>
          <w:szCs w:val="28"/>
          <w:lang w:val="ru-RU"/>
        </w:rPr>
        <w:t xml:space="preserve"> </w:t>
      </w:r>
      <w:r w:rsidRPr="0065532A">
        <w:rPr>
          <w:rFonts w:ascii="Times New Roman" w:hAnsi="Times New Roman" w:cs="Times New Roman"/>
          <w:sz w:val="28"/>
          <w:szCs w:val="28"/>
          <w:lang w:val="ru-RU"/>
        </w:rPr>
        <w:t>дохідності</w:t>
      </w:r>
      <w:r w:rsidRPr="00C0134E">
        <w:rPr>
          <w:rFonts w:ascii="Times New Roman" w:hAnsi="Times New Roman" w:cs="Times New Roman"/>
          <w:sz w:val="28"/>
          <w:szCs w:val="28"/>
          <w:lang w:val="ru-RU"/>
        </w:rPr>
        <w:t>.</w:t>
      </w:r>
    </w:p>
    <w:p w:rsidR="00F30E41" w:rsidRPr="00C0134E" w:rsidRDefault="00F30E41" w:rsidP="00E030BB">
      <w:pPr>
        <w:spacing w:after="0" w:line="36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t>Таблиця</w:t>
      </w:r>
      <w:r w:rsidRPr="00C0134E">
        <w:rPr>
          <w:rFonts w:ascii="Times New Roman" w:hAnsi="Times New Roman" w:cs="Times New Roman"/>
          <w:sz w:val="28"/>
          <w:szCs w:val="28"/>
          <w:lang w:val="ru-RU"/>
        </w:rPr>
        <w:t xml:space="preserve"> </w:t>
      </w:r>
      <w:r>
        <w:rPr>
          <w:rFonts w:ascii="Times New Roman" w:hAnsi="Times New Roman" w:cs="Times New Roman"/>
          <w:sz w:val="28"/>
          <w:szCs w:val="28"/>
          <w:lang w:val="ru-RU"/>
        </w:rPr>
        <w:t>3.</w:t>
      </w:r>
      <w:r w:rsidRPr="00C0134E">
        <w:rPr>
          <w:rFonts w:ascii="Times New Roman" w:hAnsi="Times New Roman" w:cs="Times New Roman"/>
          <w:sz w:val="28"/>
          <w:szCs w:val="28"/>
          <w:lang w:val="ru-RU"/>
        </w:rPr>
        <w:t>6</w:t>
      </w:r>
    </w:p>
    <w:p w:rsidR="00F30E41" w:rsidRPr="0045426C" w:rsidRDefault="00F30E41" w:rsidP="00E030BB">
      <w:pPr>
        <w:spacing w:after="0" w:line="360" w:lineRule="auto"/>
        <w:ind w:firstLine="708"/>
        <w:jc w:val="center"/>
        <w:rPr>
          <w:rFonts w:ascii="Times New Roman" w:hAnsi="Times New Roman" w:cs="Times New Roman"/>
          <w:sz w:val="28"/>
          <w:szCs w:val="28"/>
          <w:lang w:val="en-US"/>
        </w:rPr>
      </w:pPr>
      <w:r w:rsidRPr="00F84AC4">
        <w:rPr>
          <w:rFonts w:ascii="Times New Roman" w:hAnsi="Times New Roman" w:cs="Times New Roman"/>
          <w:sz w:val="28"/>
          <w:szCs w:val="28"/>
          <w:lang w:val="ru-RU"/>
        </w:rPr>
        <w:t>Результати</w:t>
      </w:r>
      <w:r w:rsidRPr="00C0134E">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регресії</w:t>
      </w:r>
      <w:r w:rsidRPr="00C0134E">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за</w:t>
      </w:r>
      <w:r w:rsidRPr="00C0134E">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моделлю</w:t>
      </w:r>
      <w:r w:rsidRPr="00C0134E">
        <w:rPr>
          <w:rFonts w:ascii="Times New Roman" w:hAnsi="Times New Roman" w:cs="Times New Roman"/>
          <w:sz w:val="28"/>
          <w:szCs w:val="28"/>
          <w:lang w:val="ru-RU"/>
        </w:rPr>
        <w:t xml:space="preserve"> </w:t>
      </w:r>
      <w:r>
        <w:rPr>
          <w:rFonts w:ascii="Times New Roman" w:hAnsi="Times New Roman" w:cs="Times New Roman"/>
          <w:sz w:val="28"/>
          <w:szCs w:val="28"/>
          <w:lang w:val="en-US"/>
        </w:rPr>
        <w:t>Fama</w:t>
      </w:r>
      <w:r w:rsidRPr="0045426C">
        <w:rPr>
          <w:rFonts w:ascii="Times New Roman" w:hAnsi="Times New Roman" w:cs="Times New Roman"/>
          <w:sz w:val="28"/>
          <w:szCs w:val="28"/>
          <w:lang w:val="en-US"/>
        </w:rPr>
        <w:t>-</w:t>
      </w:r>
      <w:r>
        <w:rPr>
          <w:rFonts w:ascii="Times New Roman" w:hAnsi="Times New Roman" w:cs="Times New Roman"/>
          <w:sz w:val="28"/>
          <w:szCs w:val="28"/>
          <w:lang w:val="en-US"/>
        </w:rPr>
        <w:t>French</w:t>
      </w:r>
      <w:r w:rsidRPr="0045426C">
        <w:rPr>
          <w:rFonts w:ascii="Times New Roman" w:hAnsi="Times New Roman" w:cs="Times New Roman"/>
          <w:sz w:val="28"/>
          <w:szCs w:val="28"/>
          <w:lang w:val="en-US"/>
        </w:rPr>
        <w:t xml:space="preserve"> </w:t>
      </w:r>
      <w:r w:rsidRPr="00F84AC4">
        <w:rPr>
          <w:rFonts w:ascii="Times New Roman" w:hAnsi="Times New Roman" w:cs="Times New Roman"/>
          <w:sz w:val="28"/>
          <w:szCs w:val="28"/>
          <w:lang w:val="ru-RU"/>
        </w:rPr>
        <w:t>для</w:t>
      </w:r>
      <w:r w:rsidRPr="0045426C">
        <w:rPr>
          <w:rFonts w:ascii="Times New Roman" w:hAnsi="Times New Roman" w:cs="Times New Roman"/>
          <w:sz w:val="28"/>
          <w:szCs w:val="28"/>
          <w:lang w:val="en-US"/>
        </w:rPr>
        <w:t xml:space="preserve"> </w:t>
      </w:r>
      <w:r w:rsidRPr="00B54FBC">
        <w:rPr>
          <w:rFonts w:ascii="Times New Roman" w:hAnsi="Times New Roman" w:cs="Times New Roman"/>
          <w:sz w:val="28"/>
          <w:szCs w:val="28"/>
          <w:lang w:val="en-US"/>
        </w:rPr>
        <w:t>Roche</w:t>
      </w:r>
      <w:r w:rsidRPr="0045426C">
        <w:rPr>
          <w:rFonts w:ascii="Times New Roman" w:hAnsi="Times New Roman" w:cs="Times New Roman"/>
          <w:sz w:val="28"/>
          <w:szCs w:val="28"/>
          <w:lang w:val="en-US"/>
        </w:rPr>
        <w:t xml:space="preserve"> </w:t>
      </w:r>
      <w:r w:rsidRPr="00B54FBC">
        <w:rPr>
          <w:rFonts w:ascii="Times New Roman" w:hAnsi="Times New Roman" w:cs="Times New Roman"/>
          <w:sz w:val="28"/>
          <w:szCs w:val="28"/>
          <w:lang w:val="en-US"/>
        </w:rPr>
        <w:t>Holding</w:t>
      </w:r>
      <w:r w:rsidRPr="0045426C">
        <w:rPr>
          <w:rFonts w:ascii="Times New Roman" w:hAnsi="Times New Roman" w:cs="Times New Roman"/>
          <w:sz w:val="28"/>
          <w:szCs w:val="28"/>
          <w:lang w:val="en-US"/>
        </w:rPr>
        <w:t xml:space="preserve"> </w:t>
      </w:r>
      <w:r w:rsidRPr="00B54FBC">
        <w:rPr>
          <w:rFonts w:ascii="Times New Roman" w:hAnsi="Times New Roman" w:cs="Times New Roman"/>
          <w:sz w:val="28"/>
          <w:szCs w:val="28"/>
          <w:lang w:val="en-US"/>
        </w:rPr>
        <w:t>Ltd</w:t>
      </w:r>
      <w:r w:rsidRPr="0045426C">
        <w:rPr>
          <w:rFonts w:ascii="Times New Roman" w:hAnsi="Times New Roman" w:cs="Times New Roman"/>
          <w:sz w:val="28"/>
          <w:szCs w:val="28"/>
          <w:lang w:val="en-US"/>
        </w:rPr>
        <w:t xml:space="preserve"> </w:t>
      </w:r>
      <w:r w:rsidRPr="00B54FBC">
        <w:rPr>
          <w:rFonts w:ascii="Times New Roman" w:hAnsi="Times New Roman" w:cs="Times New Roman"/>
          <w:sz w:val="28"/>
          <w:szCs w:val="28"/>
          <w:lang w:val="en-US"/>
        </w:rPr>
        <w:t>ADR</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-0,08</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0,06</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-1,35</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0,22</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0,71</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0,30</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2,36</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0,05</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-0,41</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0,67</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-0,61</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0,56</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-0,10</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0,23</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-0,43</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0,68</w:t>
            </w:r>
          </w:p>
        </w:tc>
      </w:tr>
    </w:tbl>
    <w:p w:rsidR="00F30E41" w:rsidRDefault="00F30E41" w:rsidP="00E030BB">
      <w:pPr>
        <w:spacing w:after="0" w:line="360" w:lineRule="auto"/>
        <w:ind w:firstLine="708"/>
        <w:jc w:val="both"/>
        <w:rPr>
          <w:rFonts w:ascii="Times New Roman" w:hAnsi="Times New Roman" w:cs="Times New Roman"/>
          <w:color w:val="000000"/>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Pr="00861A16" w:rsidRDefault="00F30E41" w:rsidP="00E030BB">
      <w:pPr>
        <w:spacing w:after="0" w:line="360" w:lineRule="auto"/>
        <w:ind w:firstLine="708"/>
        <w:jc w:val="both"/>
        <w:rPr>
          <w:rFonts w:ascii="Times New Roman" w:hAnsi="Times New Roman" w:cs="Times New Roman"/>
          <w:sz w:val="28"/>
          <w:szCs w:val="28"/>
          <w:lang w:val="ru-RU"/>
        </w:rPr>
      </w:pPr>
      <w:r w:rsidRPr="00861A16">
        <w:rPr>
          <w:rFonts w:ascii="Times New Roman" w:hAnsi="Times New Roman" w:cs="Times New Roman"/>
          <w:sz w:val="28"/>
          <w:szCs w:val="28"/>
        </w:rPr>
        <w:t>Для</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lang w:val="en-US"/>
        </w:rPr>
        <w:t>Roche</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lang w:val="en-US"/>
        </w:rPr>
        <w:t>Holding</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єдиним</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значущим</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фактором</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виявився</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ринок</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коефіцієнт</w:t>
      </w:r>
      <w:r w:rsidRPr="005B0948">
        <w:rPr>
          <w:rFonts w:ascii="Times New Roman" w:hAnsi="Times New Roman" w:cs="Times New Roman"/>
          <w:sz w:val="28"/>
          <w:szCs w:val="28"/>
          <w:lang w:val="ru-RU"/>
        </w:rPr>
        <w:t xml:space="preserve"> 0,71, </w:t>
      </w:r>
      <w:r w:rsidRPr="00861A16">
        <w:rPr>
          <w:rFonts w:ascii="Times New Roman" w:hAnsi="Times New Roman" w:cs="Times New Roman"/>
          <w:sz w:val="28"/>
          <w:szCs w:val="28"/>
          <w:lang w:val="en-US"/>
        </w:rPr>
        <w:t>p</w:t>
      </w:r>
      <w:r w:rsidRPr="005B0948">
        <w:rPr>
          <w:rFonts w:ascii="Times New Roman" w:hAnsi="Times New Roman" w:cs="Times New Roman"/>
          <w:sz w:val="28"/>
          <w:szCs w:val="28"/>
          <w:lang w:val="ru-RU"/>
        </w:rPr>
        <w:t xml:space="preserve"> = 0,05), </w:t>
      </w:r>
      <w:r w:rsidRPr="00861A16">
        <w:rPr>
          <w:rFonts w:ascii="Times New Roman" w:hAnsi="Times New Roman" w:cs="Times New Roman"/>
          <w:sz w:val="28"/>
          <w:szCs w:val="28"/>
        </w:rPr>
        <w:t>що</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свідчить</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про</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високу</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ринкову</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rPr>
        <w:t>чутливість</w:t>
      </w:r>
      <w:r w:rsidRPr="005B0948">
        <w:rPr>
          <w:rFonts w:ascii="Times New Roman" w:hAnsi="Times New Roman" w:cs="Times New Roman"/>
          <w:sz w:val="28"/>
          <w:szCs w:val="28"/>
          <w:lang w:val="ru-RU"/>
        </w:rPr>
        <w:t xml:space="preserve">. </w:t>
      </w:r>
      <w:r w:rsidRPr="00861A16">
        <w:rPr>
          <w:rFonts w:ascii="Times New Roman" w:hAnsi="Times New Roman" w:cs="Times New Roman"/>
          <w:sz w:val="28"/>
          <w:szCs w:val="28"/>
          <w:lang w:val="ru-RU"/>
        </w:rPr>
        <w:t xml:space="preserve">Фактори </w:t>
      </w:r>
      <w:r w:rsidRPr="00861A16">
        <w:rPr>
          <w:rFonts w:ascii="Times New Roman" w:hAnsi="Times New Roman" w:cs="Times New Roman"/>
          <w:sz w:val="28"/>
          <w:szCs w:val="28"/>
        </w:rPr>
        <w:t>SMB</w:t>
      </w:r>
      <w:r w:rsidRPr="00861A16">
        <w:rPr>
          <w:rFonts w:ascii="Times New Roman" w:hAnsi="Times New Roman" w:cs="Times New Roman"/>
          <w:sz w:val="28"/>
          <w:szCs w:val="28"/>
          <w:lang w:val="ru-RU"/>
        </w:rPr>
        <w:t xml:space="preserve"> і </w:t>
      </w:r>
      <w:r w:rsidRPr="00861A16">
        <w:rPr>
          <w:rFonts w:ascii="Times New Roman" w:hAnsi="Times New Roman" w:cs="Times New Roman"/>
          <w:sz w:val="28"/>
          <w:szCs w:val="28"/>
        </w:rPr>
        <w:t>HML</w:t>
      </w:r>
      <w:r w:rsidRPr="00861A16">
        <w:rPr>
          <w:rFonts w:ascii="Times New Roman" w:hAnsi="Times New Roman" w:cs="Times New Roman"/>
          <w:sz w:val="28"/>
          <w:szCs w:val="28"/>
          <w:lang w:val="ru-RU"/>
        </w:rPr>
        <w:t xml:space="preserve"> не мають статистично значущого впливу. Значення </w:t>
      </w:r>
      <w:r w:rsidRPr="00861A16">
        <w:rPr>
          <w:rFonts w:ascii="Times New Roman" w:hAnsi="Times New Roman" w:cs="Times New Roman"/>
          <w:sz w:val="28"/>
          <w:szCs w:val="28"/>
        </w:rPr>
        <w:t>R</w:t>
      </w:r>
      <w:r w:rsidRPr="00861A16">
        <w:rPr>
          <w:rFonts w:ascii="Times New Roman" w:hAnsi="Times New Roman" w:cs="Times New Roman"/>
          <w:sz w:val="28"/>
          <w:szCs w:val="28"/>
          <w:lang w:val="ru-RU"/>
        </w:rPr>
        <w:t xml:space="preserve">² = 0,51 </w:t>
      </w:r>
      <w:r w:rsidRPr="00B26C30">
        <w:rPr>
          <w:rFonts w:ascii="Times New Roman" w:hAnsi="Times New Roman" w:cs="Times New Roman"/>
          <w:sz w:val="28"/>
          <w:szCs w:val="28"/>
          <w:lang w:val="ru-RU"/>
        </w:rPr>
        <w:t>-</w:t>
      </w:r>
      <w:r w:rsidRPr="00861A16">
        <w:rPr>
          <w:rFonts w:ascii="Times New Roman" w:hAnsi="Times New Roman" w:cs="Times New Roman"/>
          <w:sz w:val="28"/>
          <w:szCs w:val="28"/>
          <w:lang w:val="ru-RU"/>
        </w:rPr>
        <w:t xml:space="preserve"> модель добре пояснює змінність дохідності, але через малу вибірку (11 спостережень) висновки варто трактувати з обережністю.</w:t>
      </w:r>
    </w:p>
    <w:p w:rsidR="00F30E41" w:rsidRPr="00861A16" w:rsidRDefault="00F30E41" w:rsidP="00E030BB">
      <w:pPr>
        <w:spacing w:after="0" w:line="36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t>Таблиця</w:t>
      </w:r>
      <w:r w:rsidRPr="00861A16">
        <w:rPr>
          <w:rFonts w:ascii="Times New Roman" w:hAnsi="Times New Roman" w:cs="Times New Roman"/>
          <w:sz w:val="28"/>
          <w:szCs w:val="28"/>
          <w:lang w:val="ru-RU"/>
        </w:rPr>
        <w:t xml:space="preserve"> </w:t>
      </w:r>
      <w:r>
        <w:rPr>
          <w:rFonts w:ascii="Times New Roman" w:hAnsi="Times New Roman" w:cs="Times New Roman"/>
          <w:sz w:val="28"/>
          <w:szCs w:val="28"/>
          <w:lang w:val="ru-RU"/>
        </w:rPr>
        <w:t>3.7</w:t>
      </w:r>
    </w:p>
    <w:p w:rsidR="00F30E41" w:rsidRPr="00861A16" w:rsidRDefault="00F30E41" w:rsidP="00E030BB">
      <w:pPr>
        <w:spacing w:after="0" w:line="360" w:lineRule="auto"/>
        <w:ind w:firstLine="708"/>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Результати регресії за моделлю </w:t>
      </w:r>
      <w:r>
        <w:rPr>
          <w:rFonts w:ascii="Times New Roman" w:hAnsi="Times New Roman" w:cs="Times New Roman"/>
          <w:sz w:val="28"/>
          <w:szCs w:val="28"/>
          <w:lang w:val="en-US"/>
        </w:rPr>
        <w:t>Fama</w:t>
      </w:r>
      <w:r w:rsidRPr="00861A16">
        <w:rPr>
          <w:rFonts w:ascii="Times New Roman" w:hAnsi="Times New Roman" w:cs="Times New Roman"/>
          <w:sz w:val="28"/>
          <w:szCs w:val="28"/>
          <w:lang w:val="ru-RU"/>
        </w:rPr>
        <w:t>-</w:t>
      </w:r>
      <w:r>
        <w:rPr>
          <w:rFonts w:ascii="Times New Roman" w:hAnsi="Times New Roman" w:cs="Times New Roman"/>
          <w:sz w:val="28"/>
          <w:szCs w:val="28"/>
          <w:lang w:val="en-US"/>
        </w:rPr>
        <w:t>French</w:t>
      </w:r>
      <w:r w:rsidRPr="00861A16">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 xml:space="preserve">для </w:t>
      </w:r>
      <w:r w:rsidRPr="00991066">
        <w:rPr>
          <w:rFonts w:ascii="Times New Roman" w:hAnsi="Times New Roman" w:cs="Times New Roman"/>
          <w:sz w:val="28"/>
          <w:szCs w:val="28"/>
          <w:lang w:val="en-US"/>
        </w:rPr>
        <w:t>TotalEnergies</w:t>
      </w:r>
      <w:r w:rsidRPr="00991066">
        <w:rPr>
          <w:rFonts w:ascii="Times New Roman" w:hAnsi="Times New Roman" w:cs="Times New Roman"/>
          <w:sz w:val="28"/>
          <w:szCs w:val="28"/>
          <w:lang w:val="ru-RU"/>
        </w:rPr>
        <w:t xml:space="preserve"> </w:t>
      </w:r>
      <w:r w:rsidRPr="00991066">
        <w:rPr>
          <w:rFonts w:ascii="Times New Roman" w:hAnsi="Times New Roman" w:cs="Times New Roman"/>
          <w:sz w:val="28"/>
          <w:szCs w:val="28"/>
          <w:lang w:val="en-US"/>
        </w:rPr>
        <w:t>SE</w:t>
      </w:r>
      <w:r w:rsidRPr="00991066">
        <w:rPr>
          <w:rFonts w:ascii="Times New Roman" w:hAnsi="Times New Roman" w:cs="Times New Roman"/>
          <w:sz w:val="28"/>
          <w:szCs w:val="28"/>
          <w:lang w:val="ru-RU"/>
        </w:rPr>
        <w:t xml:space="preserve"> </w:t>
      </w:r>
      <w:r w:rsidRPr="00991066">
        <w:rPr>
          <w:rFonts w:ascii="Times New Roman" w:hAnsi="Times New Roman" w:cs="Times New Roman"/>
          <w:sz w:val="28"/>
          <w:szCs w:val="28"/>
          <w:lang w:val="en-US"/>
        </w:rPr>
        <w:t>ADR</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-0,01</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0,03</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-0,15</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0,88</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0,36</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0,17</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2,08</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0,05</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-0,16</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0,33</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-0,47</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0,64</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0,53</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0,18</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2,97</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0,01</w:t>
            </w:r>
          </w:p>
        </w:tc>
      </w:tr>
    </w:tbl>
    <w:p w:rsidR="00F30E41" w:rsidRPr="00894287" w:rsidRDefault="00F30E41" w:rsidP="00E030BB">
      <w:pPr>
        <w:spacing w:after="0" w:line="360" w:lineRule="auto"/>
        <w:ind w:firstLine="708"/>
        <w:jc w:val="both"/>
        <w:rPr>
          <w:rFonts w:ascii="Times New Roman" w:hAnsi="Times New Roman" w:cs="Times New Roman"/>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Pr="008A409D" w:rsidRDefault="00F30E41" w:rsidP="00E030BB">
      <w:pPr>
        <w:spacing w:after="0" w:line="360" w:lineRule="auto"/>
        <w:ind w:firstLine="708"/>
        <w:jc w:val="both"/>
        <w:rPr>
          <w:rFonts w:ascii="Times New Roman" w:hAnsi="Times New Roman" w:cs="Times New Roman"/>
          <w:vanish/>
          <w:sz w:val="28"/>
          <w:szCs w:val="28"/>
          <w:lang w:val="ru-RU"/>
        </w:rPr>
      </w:pPr>
      <w:r w:rsidRPr="008A409D">
        <w:rPr>
          <w:rFonts w:ascii="Times New Roman" w:hAnsi="Times New Roman" w:cs="Times New Roman"/>
          <w:sz w:val="28"/>
          <w:szCs w:val="28"/>
          <w:lang w:val="ru-RU"/>
        </w:rPr>
        <w:t xml:space="preserve">Регресійний аналіз показав, що компанія має статистично значущу чутливість до ринку (коефіцієнт 0,36, </w:t>
      </w:r>
      <w:r w:rsidRPr="008A409D">
        <w:rPr>
          <w:rFonts w:ascii="Times New Roman" w:hAnsi="Times New Roman" w:cs="Times New Roman"/>
          <w:sz w:val="28"/>
          <w:szCs w:val="28"/>
          <w:lang w:val="en-US"/>
        </w:rPr>
        <w:t>p</w:t>
      </w:r>
      <w:r w:rsidRPr="008A409D">
        <w:rPr>
          <w:rFonts w:ascii="Times New Roman" w:hAnsi="Times New Roman" w:cs="Times New Roman"/>
          <w:sz w:val="28"/>
          <w:szCs w:val="28"/>
          <w:lang w:val="ru-RU"/>
        </w:rPr>
        <w:t xml:space="preserve"> = 0,05) та фактора </w:t>
      </w:r>
      <w:r w:rsidRPr="008A409D">
        <w:rPr>
          <w:rFonts w:ascii="Times New Roman" w:hAnsi="Times New Roman" w:cs="Times New Roman"/>
          <w:sz w:val="28"/>
          <w:szCs w:val="28"/>
          <w:lang w:val="en-US"/>
        </w:rPr>
        <w:t>HML</w:t>
      </w:r>
      <w:r w:rsidRPr="008A409D">
        <w:rPr>
          <w:rFonts w:ascii="Times New Roman" w:hAnsi="Times New Roman" w:cs="Times New Roman"/>
          <w:sz w:val="28"/>
          <w:szCs w:val="28"/>
          <w:lang w:val="ru-RU"/>
        </w:rPr>
        <w:t xml:space="preserve"> (коефіцієнт 0,53, </w:t>
      </w:r>
      <w:r w:rsidRPr="008A409D">
        <w:rPr>
          <w:rFonts w:ascii="Times New Roman" w:hAnsi="Times New Roman" w:cs="Times New Roman"/>
          <w:sz w:val="28"/>
          <w:szCs w:val="28"/>
          <w:lang w:val="en-US"/>
        </w:rPr>
        <w:t>p</w:t>
      </w:r>
      <w:r w:rsidRPr="008A409D">
        <w:rPr>
          <w:rFonts w:ascii="Times New Roman" w:hAnsi="Times New Roman" w:cs="Times New Roman"/>
          <w:sz w:val="28"/>
          <w:szCs w:val="28"/>
          <w:lang w:val="ru-RU"/>
        </w:rPr>
        <w:t xml:space="preserve"> = 0,01), що свідчить про її орієнтацію на </w:t>
      </w:r>
      <w:r w:rsidRPr="008A409D">
        <w:rPr>
          <w:rFonts w:ascii="Times New Roman" w:hAnsi="Times New Roman" w:cs="Times New Roman"/>
          <w:sz w:val="28"/>
          <w:szCs w:val="28"/>
          <w:lang w:val="en-US"/>
        </w:rPr>
        <w:t>value</w:t>
      </w:r>
      <w:r w:rsidRPr="008A409D">
        <w:rPr>
          <w:rFonts w:ascii="Times New Roman" w:hAnsi="Times New Roman" w:cs="Times New Roman"/>
          <w:sz w:val="28"/>
          <w:szCs w:val="28"/>
          <w:lang w:val="ru-RU"/>
        </w:rPr>
        <w:t xml:space="preserve">-стратегію. Фактор </w:t>
      </w:r>
      <w:r w:rsidRPr="008A409D">
        <w:rPr>
          <w:rFonts w:ascii="Times New Roman" w:hAnsi="Times New Roman" w:cs="Times New Roman"/>
          <w:sz w:val="28"/>
          <w:szCs w:val="28"/>
          <w:lang w:val="en-US"/>
        </w:rPr>
        <w:t>SMB</w:t>
      </w:r>
      <w:r w:rsidRPr="008A409D">
        <w:rPr>
          <w:rFonts w:ascii="Times New Roman" w:hAnsi="Times New Roman" w:cs="Times New Roman"/>
          <w:sz w:val="28"/>
          <w:szCs w:val="28"/>
          <w:lang w:val="ru-RU"/>
        </w:rPr>
        <w:t xml:space="preserve"> (розмір) не має значущого впливу (</w:t>
      </w:r>
      <w:r>
        <w:rPr>
          <w:rFonts w:ascii="Times New Roman" w:hAnsi="Times New Roman" w:cs="Times New Roman"/>
          <w:sz w:val="28"/>
          <w:szCs w:val="28"/>
          <w:lang w:val="ru-RU"/>
        </w:rPr>
        <w:t>-</w:t>
      </w:r>
      <w:r w:rsidRPr="008A409D">
        <w:rPr>
          <w:rFonts w:ascii="Times New Roman" w:hAnsi="Times New Roman" w:cs="Times New Roman"/>
          <w:sz w:val="28"/>
          <w:szCs w:val="28"/>
          <w:lang w:val="ru-RU"/>
        </w:rPr>
        <w:t xml:space="preserve">0,16, </w:t>
      </w:r>
      <w:r w:rsidRPr="008A409D">
        <w:rPr>
          <w:rFonts w:ascii="Times New Roman" w:hAnsi="Times New Roman" w:cs="Times New Roman"/>
          <w:sz w:val="28"/>
          <w:szCs w:val="28"/>
          <w:lang w:val="en-US"/>
        </w:rPr>
        <w:t>p</w:t>
      </w:r>
      <w:r w:rsidRPr="008A409D">
        <w:rPr>
          <w:rFonts w:ascii="Times New Roman" w:hAnsi="Times New Roman" w:cs="Times New Roman"/>
          <w:sz w:val="28"/>
          <w:szCs w:val="28"/>
          <w:lang w:val="ru-RU"/>
        </w:rPr>
        <w:t xml:space="preserve"> = 0,54). Значення </w:t>
      </w:r>
      <w:r w:rsidRPr="008A409D">
        <w:rPr>
          <w:rFonts w:ascii="Times New Roman" w:hAnsi="Times New Roman" w:cs="Times New Roman"/>
          <w:sz w:val="28"/>
          <w:szCs w:val="28"/>
          <w:lang w:val="en-US"/>
        </w:rPr>
        <w:t>R</w:t>
      </w:r>
      <w:r w:rsidRPr="008A409D">
        <w:rPr>
          <w:rFonts w:ascii="Times New Roman" w:hAnsi="Times New Roman" w:cs="Times New Roman"/>
          <w:sz w:val="28"/>
          <w:szCs w:val="28"/>
          <w:lang w:val="ru-RU"/>
        </w:rPr>
        <w:t xml:space="preserve">² становить 0,32, тобто модель пояснює 32% змін у надлишковій дохідності. Отже, компанія демонструє риси </w:t>
      </w:r>
      <w:r w:rsidRPr="008A409D">
        <w:rPr>
          <w:rFonts w:ascii="Times New Roman" w:hAnsi="Times New Roman" w:cs="Times New Roman"/>
          <w:sz w:val="28"/>
          <w:szCs w:val="28"/>
          <w:lang w:val="en-US"/>
        </w:rPr>
        <w:t>value</w:t>
      </w:r>
      <w:r w:rsidRPr="008A409D">
        <w:rPr>
          <w:rFonts w:ascii="Times New Roman" w:hAnsi="Times New Roman" w:cs="Times New Roman"/>
          <w:sz w:val="28"/>
          <w:szCs w:val="28"/>
          <w:lang w:val="ru-RU"/>
        </w:rPr>
        <w:t>-акції з помірною ринковою залежністю.</w:t>
      </w:r>
      <w:r w:rsidRPr="008A409D">
        <w:rPr>
          <w:rFonts w:ascii="Times New Roman" w:hAnsi="Times New Roman" w:cs="Times New Roman"/>
          <w:vanish/>
          <w:sz w:val="28"/>
          <w:szCs w:val="28"/>
          <w:lang w:val="en-US"/>
        </w:rPr>
        <w:t>Formularbeginn</w:t>
      </w:r>
    </w:p>
    <w:p w:rsidR="00F30E41" w:rsidRPr="00C82091" w:rsidRDefault="00F30E41" w:rsidP="00E030BB">
      <w:pPr>
        <w:rPr>
          <w:lang w:val="ru-RU"/>
        </w:rPr>
      </w:pPr>
    </w:p>
    <w:p w:rsidR="00F30E41" w:rsidRDefault="00F30E41" w:rsidP="00E030BB">
      <w:pPr>
        <w:spacing w:after="0" w:line="360" w:lineRule="auto"/>
        <w:ind w:firstLine="708"/>
        <w:jc w:val="right"/>
        <w:rPr>
          <w:rFonts w:ascii="Times New Roman" w:hAnsi="Times New Roman" w:cs="Times New Roman"/>
          <w:sz w:val="28"/>
          <w:szCs w:val="28"/>
          <w:lang w:val="ru-RU"/>
        </w:rPr>
      </w:pPr>
    </w:p>
    <w:p w:rsidR="00F30E41" w:rsidRPr="00861A16" w:rsidRDefault="00F30E41" w:rsidP="00E030BB">
      <w:pPr>
        <w:spacing w:after="0" w:line="36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t>Таблиця</w:t>
      </w:r>
      <w:r w:rsidRPr="00861A16">
        <w:rPr>
          <w:rFonts w:ascii="Times New Roman" w:hAnsi="Times New Roman" w:cs="Times New Roman"/>
          <w:sz w:val="28"/>
          <w:szCs w:val="28"/>
          <w:lang w:val="ru-RU"/>
        </w:rPr>
        <w:t xml:space="preserve"> </w:t>
      </w:r>
      <w:r>
        <w:rPr>
          <w:rFonts w:ascii="Times New Roman" w:hAnsi="Times New Roman" w:cs="Times New Roman"/>
          <w:sz w:val="28"/>
          <w:szCs w:val="28"/>
          <w:lang w:val="ru-RU"/>
        </w:rPr>
        <w:t>3.8</w:t>
      </w:r>
    </w:p>
    <w:p w:rsidR="00F30E41" w:rsidRDefault="00F30E41" w:rsidP="00E030BB">
      <w:pPr>
        <w:spacing w:after="0" w:line="360" w:lineRule="auto"/>
        <w:ind w:firstLine="708"/>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Результати регресії за моделлю </w:t>
      </w:r>
      <w:r>
        <w:rPr>
          <w:rFonts w:ascii="Times New Roman" w:hAnsi="Times New Roman" w:cs="Times New Roman"/>
          <w:sz w:val="28"/>
          <w:szCs w:val="28"/>
          <w:lang w:val="en-US"/>
        </w:rPr>
        <w:t>Fama</w:t>
      </w:r>
      <w:r w:rsidRPr="00861A16">
        <w:rPr>
          <w:rFonts w:ascii="Times New Roman" w:hAnsi="Times New Roman" w:cs="Times New Roman"/>
          <w:sz w:val="28"/>
          <w:szCs w:val="28"/>
          <w:lang w:val="ru-RU"/>
        </w:rPr>
        <w:t>-</w:t>
      </w:r>
      <w:r>
        <w:rPr>
          <w:rFonts w:ascii="Times New Roman" w:hAnsi="Times New Roman" w:cs="Times New Roman"/>
          <w:sz w:val="28"/>
          <w:szCs w:val="28"/>
          <w:lang w:val="en-US"/>
        </w:rPr>
        <w:t>French</w:t>
      </w:r>
      <w:r w:rsidRPr="00861A16">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 xml:space="preserve">для </w:t>
      </w:r>
      <w:r w:rsidRPr="00800823">
        <w:rPr>
          <w:rFonts w:ascii="Times New Roman" w:hAnsi="Times New Roman" w:cs="Times New Roman"/>
          <w:sz w:val="28"/>
          <w:szCs w:val="28"/>
          <w:lang w:val="en-US"/>
        </w:rPr>
        <w:t>Nextera</w:t>
      </w:r>
      <w:r w:rsidRPr="00800823">
        <w:rPr>
          <w:rFonts w:ascii="Times New Roman" w:hAnsi="Times New Roman" w:cs="Times New Roman"/>
          <w:sz w:val="28"/>
          <w:szCs w:val="28"/>
          <w:lang w:val="ru-RU"/>
        </w:rPr>
        <w:t xml:space="preserve"> </w:t>
      </w:r>
      <w:r w:rsidRPr="00800823">
        <w:rPr>
          <w:rFonts w:ascii="Times New Roman" w:hAnsi="Times New Roman" w:cs="Times New Roman"/>
          <w:sz w:val="28"/>
          <w:szCs w:val="28"/>
          <w:lang w:val="en-US"/>
        </w:rPr>
        <w:t>Energy</w:t>
      </w:r>
      <w:r w:rsidRPr="00800823">
        <w:rPr>
          <w:rFonts w:ascii="Times New Roman" w:hAnsi="Times New Roman" w:cs="Times New Roman"/>
          <w:sz w:val="28"/>
          <w:szCs w:val="28"/>
          <w:lang w:val="ru-RU"/>
        </w:rPr>
        <w:t xml:space="preserve"> </w:t>
      </w:r>
      <w:r w:rsidRPr="00800823">
        <w:rPr>
          <w:rFonts w:ascii="Times New Roman" w:hAnsi="Times New Roman" w:cs="Times New Roman"/>
          <w:sz w:val="28"/>
          <w:szCs w:val="28"/>
          <w:lang w:val="en-US"/>
        </w:rPr>
        <w:t>Inc</w:t>
      </w:r>
      <w:r w:rsidRPr="009D367F">
        <w:rPr>
          <w:vanish/>
        </w:rPr>
        <w:t>Formularende</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0,12</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0,05</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2,56</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0,02</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0,49</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0,24</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2,08</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0,05</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-0,73</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0,46</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-1,59</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0,13</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644"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0,33</w:t>
            </w:r>
          </w:p>
        </w:tc>
        <w:tc>
          <w:tcPr>
            <w:tcW w:w="1812"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0,25</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1,33</w:t>
            </w:r>
          </w:p>
        </w:tc>
        <w:tc>
          <w:tcPr>
            <w:tcW w:w="1813" w:type="dxa"/>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sz w:val="28"/>
                <w:szCs w:val="28"/>
              </w:rPr>
              <w:t>0,20</w:t>
            </w:r>
          </w:p>
        </w:tc>
      </w:tr>
    </w:tbl>
    <w:p w:rsidR="00F30E41" w:rsidRDefault="00F30E41" w:rsidP="00E030BB">
      <w:pPr>
        <w:spacing w:after="0" w:line="360" w:lineRule="auto"/>
        <w:ind w:firstLine="708"/>
        <w:jc w:val="both"/>
        <w:rPr>
          <w:rFonts w:ascii="Times New Roman" w:hAnsi="Times New Roman" w:cs="Times New Roman"/>
          <w:color w:val="000000"/>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Default="00F30E41" w:rsidP="00E030BB">
      <w:pPr>
        <w:spacing w:after="0" w:line="360" w:lineRule="auto"/>
        <w:ind w:firstLine="708"/>
        <w:jc w:val="both"/>
        <w:rPr>
          <w:rFonts w:ascii="Times New Roman" w:hAnsi="Times New Roman" w:cs="Times New Roman"/>
          <w:sz w:val="28"/>
          <w:szCs w:val="28"/>
          <w:lang w:val="ru-RU"/>
        </w:rPr>
      </w:pPr>
      <w:r w:rsidRPr="00EB4C28">
        <w:rPr>
          <w:rFonts w:ascii="Times New Roman" w:hAnsi="Times New Roman" w:cs="Times New Roman"/>
          <w:sz w:val="28"/>
          <w:szCs w:val="28"/>
          <w:lang w:val="ru-RU"/>
        </w:rPr>
        <w:t xml:space="preserve">Регресійний аналіз показав, що для цієї компанії єдиним статистично значущим фактором є ринковий (коефіцієнт 0,49, </w:t>
      </w:r>
      <w:r w:rsidRPr="00EB4C28">
        <w:rPr>
          <w:rFonts w:ascii="Times New Roman" w:hAnsi="Times New Roman" w:cs="Times New Roman"/>
          <w:sz w:val="28"/>
          <w:szCs w:val="28"/>
        </w:rPr>
        <w:t>p</w:t>
      </w:r>
      <w:r w:rsidRPr="00EB4C28">
        <w:rPr>
          <w:rFonts w:ascii="Times New Roman" w:hAnsi="Times New Roman" w:cs="Times New Roman"/>
          <w:sz w:val="28"/>
          <w:szCs w:val="28"/>
          <w:lang w:val="ru-RU"/>
        </w:rPr>
        <w:t xml:space="preserve"> = 0,00), що свідчить про сильну залежність дохідності від рухів ринку. Фактори </w:t>
      </w:r>
      <w:r w:rsidRPr="00EB4C28">
        <w:rPr>
          <w:rFonts w:ascii="Times New Roman" w:hAnsi="Times New Roman" w:cs="Times New Roman"/>
          <w:sz w:val="28"/>
          <w:szCs w:val="28"/>
        </w:rPr>
        <w:t>SMB</w:t>
      </w:r>
      <w:r w:rsidRPr="00EB4C28">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EB4C28">
        <w:rPr>
          <w:rFonts w:ascii="Times New Roman" w:hAnsi="Times New Roman" w:cs="Times New Roman"/>
          <w:sz w:val="28"/>
          <w:szCs w:val="28"/>
          <w:lang w:val="ru-RU"/>
        </w:rPr>
        <w:t xml:space="preserve">0,73, </w:t>
      </w:r>
      <w:r w:rsidRPr="00EB4C28">
        <w:rPr>
          <w:rFonts w:ascii="Times New Roman" w:hAnsi="Times New Roman" w:cs="Times New Roman"/>
          <w:sz w:val="28"/>
          <w:szCs w:val="28"/>
        </w:rPr>
        <w:t>p</w:t>
      </w:r>
      <w:r w:rsidRPr="00EB4C28">
        <w:rPr>
          <w:rFonts w:ascii="Times New Roman" w:hAnsi="Times New Roman" w:cs="Times New Roman"/>
          <w:sz w:val="28"/>
          <w:szCs w:val="28"/>
          <w:lang w:val="ru-RU"/>
        </w:rPr>
        <w:t xml:space="preserve"> = 0,13) і </w:t>
      </w:r>
      <w:r w:rsidRPr="00EB4C28">
        <w:rPr>
          <w:rFonts w:ascii="Times New Roman" w:hAnsi="Times New Roman" w:cs="Times New Roman"/>
          <w:sz w:val="28"/>
          <w:szCs w:val="28"/>
        </w:rPr>
        <w:t>HML</w:t>
      </w:r>
      <w:r w:rsidRPr="00EB4C28">
        <w:rPr>
          <w:rFonts w:ascii="Times New Roman" w:hAnsi="Times New Roman" w:cs="Times New Roman"/>
          <w:sz w:val="28"/>
          <w:szCs w:val="28"/>
          <w:lang w:val="ru-RU"/>
        </w:rPr>
        <w:t xml:space="preserve"> (0,33, </w:t>
      </w:r>
      <w:r w:rsidRPr="00EB4C28">
        <w:rPr>
          <w:rFonts w:ascii="Times New Roman" w:hAnsi="Times New Roman" w:cs="Times New Roman"/>
          <w:sz w:val="28"/>
          <w:szCs w:val="28"/>
        </w:rPr>
        <w:t>p</w:t>
      </w:r>
      <w:r w:rsidRPr="00EB4C28">
        <w:rPr>
          <w:rFonts w:ascii="Times New Roman" w:hAnsi="Times New Roman" w:cs="Times New Roman"/>
          <w:sz w:val="28"/>
          <w:szCs w:val="28"/>
          <w:lang w:val="ru-RU"/>
        </w:rPr>
        <w:t xml:space="preserve"> = 0,20) не мають значущого впливу. Значення </w:t>
      </w:r>
      <w:r w:rsidRPr="00EB4C28">
        <w:rPr>
          <w:rFonts w:ascii="Times New Roman" w:hAnsi="Times New Roman" w:cs="Times New Roman"/>
          <w:sz w:val="28"/>
          <w:szCs w:val="28"/>
        </w:rPr>
        <w:t>R</w:t>
      </w:r>
      <w:r w:rsidRPr="00EB4C28">
        <w:rPr>
          <w:rFonts w:ascii="Times New Roman" w:hAnsi="Times New Roman" w:cs="Times New Roman"/>
          <w:sz w:val="28"/>
          <w:szCs w:val="28"/>
          <w:lang w:val="ru-RU"/>
        </w:rPr>
        <w:t xml:space="preserve">² становить 0,23 </w:t>
      </w:r>
      <w:r w:rsidRPr="00CB596A">
        <w:rPr>
          <w:rFonts w:ascii="Times New Roman" w:hAnsi="Times New Roman" w:cs="Times New Roman"/>
          <w:sz w:val="28"/>
          <w:szCs w:val="28"/>
          <w:lang w:val="ru-RU"/>
        </w:rPr>
        <w:t>-</w:t>
      </w:r>
      <w:r w:rsidRPr="00EB4C28">
        <w:rPr>
          <w:rFonts w:ascii="Times New Roman" w:hAnsi="Times New Roman" w:cs="Times New Roman"/>
          <w:sz w:val="28"/>
          <w:szCs w:val="28"/>
          <w:lang w:val="ru-RU"/>
        </w:rPr>
        <w:t xml:space="preserve"> модель пояснює 23% змін у надлишковій дохідності. Отже, компанія є ринково чутливою, але не демонструє ознак </w:t>
      </w:r>
      <w:r w:rsidRPr="00EB4C28">
        <w:rPr>
          <w:rFonts w:ascii="Times New Roman" w:hAnsi="Times New Roman" w:cs="Times New Roman"/>
          <w:sz w:val="28"/>
          <w:szCs w:val="28"/>
        </w:rPr>
        <w:t>value</w:t>
      </w:r>
      <w:r w:rsidRPr="00EB4C28">
        <w:rPr>
          <w:rFonts w:ascii="Times New Roman" w:hAnsi="Times New Roman" w:cs="Times New Roman"/>
          <w:sz w:val="28"/>
          <w:szCs w:val="28"/>
          <w:lang w:val="ru-RU"/>
        </w:rPr>
        <w:t xml:space="preserve"> чи </w:t>
      </w:r>
      <w:r w:rsidRPr="00EB4C28">
        <w:rPr>
          <w:rFonts w:ascii="Times New Roman" w:hAnsi="Times New Roman" w:cs="Times New Roman"/>
          <w:sz w:val="28"/>
          <w:szCs w:val="28"/>
        </w:rPr>
        <w:t>growth</w:t>
      </w:r>
      <w:r w:rsidRPr="00EB4C28">
        <w:rPr>
          <w:rFonts w:ascii="Times New Roman" w:hAnsi="Times New Roman" w:cs="Times New Roman"/>
          <w:sz w:val="28"/>
          <w:szCs w:val="28"/>
          <w:lang w:val="ru-RU"/>
        </w:rPr>
        <w:t>-стратегії.</w:t>
      </w:r>
    </w:p>
    <w:p w:rsidR="00F30E41" w:rsidRPr="00B6143D" w:rsidRDefault="00F30E41" w:rsidP="00E030BB">
      <w:pPr>
        <w:spacing w:after="0" w:line="360" w:lineRule="auto"/>
        <w:ind w:firstLine="708"/>
        <w:jc w:val="right"/>
        <w:rPr>
          <w:rFonts w:ascii="Times New Roman" w:hAnsi="Times New Roman" w:cs="Times New Roman"/>
          <w:sz w:val="28"/>
          <w:szCs w:val="28"/>
          <w:lang w:val="ru-RU"/>
        </w:rPr>
      </w:pPr>
      <w:r w:rsidRPr="009B2620">
        <w:rPr>
          <w:rFonts w:ascii="Times New Roman" w:hAnsi="Times New Roman" w:cs="Times New Roman"/>
          <w:sz w:val="28"/>
          <w:szCs w:val="28"/>
          <w:lang w:val="ru-RU"/>
        </w:rPr>
        <w:t>Таблиця</w:t>
      </w:r>
      <w:r w:rsidRPr="00B6143D">
        <w:rPr>
          <w:rFonts w:ascii="Times New Roman" w:hAnsi="Times New Roman" w:cs="Times New Roman"/>
          <w:sz w:val="28"/>
          <w:szCs w:val="28"/>
          <w:lang w:val="ru-RU"/>
        </w:rPr>
        <w:t xml:space="preserve"> </w:t>
      </w:r>
      <w:r>
        <w:rPr>
          <w:rFonts w:ascii="Times New Roman" w:hAnsi="Times New Roman" w:cs="Times New Roman"/>
          <w:sz w:val="28"/>
          <w:szCs w:val="28"/>
          <w:lang w:val="ru-RU"/>
        </w:rPr>
        <w:t>3.9</w:t>
      </w:r>
    </w:p>
    <w:p w:rsidR="00F30E41" w:rsidRPr="00B6143D" w:rsidRDefault="00F30E41" w:rsidP="00E030BB">
      <w:pPr>
        <w:spacing w:after="0" w:line="360" w:lineRule="auto"/>
        <w:ind w:firstLine="708"/>
        <w:jc w:val="center"/>
        <w:rPr>
          <w:rFonts w:ascii="Times New Roman" w:hAnsi="Times New Roman" w:cs="Times New Roman"/>
          <w:sz w:val="28"/>
          <w:szCs w:val="28"/>
          <w:lang w:val="ru-RU"/>
        </w:rPr>
      </w:pPr>
      <w:r w:rsidRPr="00F84AC4">
        <w:rPr>
          <w:rFonts w:ascii="Times New Roman" w:hAnsi="Times New Roman" w:cs="Times New Roman"/>
          <w:sz w:val="28"/>
          <w:szCs w:val="28"/>
          <w:lang w:val="ru-RU"/>
        </w:rPr>
        <w:t xml:space="preserve">Результати регресії за моделлю </w:t>
      </w:r>
      <w:r w:rsidRPr="009B2620">
        <w:rPr>
          <w:rFonts w:ascii="Times New Roman" w:hAnsi="Times New Roman" w:cs="Times New Roman"/>
          <w:sz w:val="28"/>
          <w:szCs w:val="28"/>
          <w:lang w:val="en-US"/>
        </w:rPr>
        <w:t>Fama</w:t>
      </w:r>
      <w:r w:rsidRPr="00B6143D">
        <w:rPr>
          <w:rFonts w:ascii="Times New Roman" w:hAnsi="Times New Roman" w:cs="Times New Roman"/>
          <w:sz w:val="28"/>
          <w:szCs w:val="28"/>
          <w:lang w:val="ru-RU"/>
        </w:rPr>
        <w:t>-</w:t>
      </w:r>
      <w:r w:rsidRPr="009B2620">
        <w:rPr>
          <w:rFonts w:ascii="Times New Roman" w:hAnsi="Times New Roman" w:cs="Times New Roman"/>
          <w:sz w:val="28"/>
          <w:szCs w:val="28"/>
          <w:lang w:val="en-US"/>
        </w:rPr>
        <w:t>French</w:t>
      </w:r>
      <w:r w:rsidRPr="00B6143D">
        <w:rPr>
          <w:rFonts w:ascii="Times New Roman" w:hAnsi="Times New Roman" w:cs="Times New Roman"/>
          <w:sz w:val="28"/>
          <w:szCs w:val="28"/>
          <w:lang w:val="ru-RU"/>
        </w:rPr>
        <w:t xml:space="preserve"> </w:t>
      </w:r>
      <w:r w:rsidRPr="00F84AC4">
        <w:rPr>
          <w:rFonts w:ascii="Times New Roman" w:hAnsi="Times New Roman" w:cs="Times New Roman"/>
          <w:sz w:val="28"/>
          <w:szCs w:val="28"/>
          <w:lang w:val="ru-RU"/>
        </w:rPr>
        <w:t xml:space="preserve">для </w:t>
      </w:r>
      <w:r w:rsidRPr="009B2620">
        <w:rPr>
          <w:rFonts w:ascii="Times New Roman" w:hAnsi="Times New Roman" w:cs="Times New Roman"/>
          <w:sz w:val="28"/>
          <w:szCs w:val="28"/>
          <w:lang w:val="en-US"/>
        </w:rPr>
        <w:t>Exxon</w:t>
      </w:r>
      <w:r w:rsidRPr="00B6143D">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Mobil</w:t>
      </w:r>
      <w:r w:rsidRPr="00B6143D">
        <w:rPr>
          <w:rFonts w:ascii="Times New Roman" w:hAnsi="Times New Roman" w:cs="Times New Roman"/>
          <w:sz w:val="28"/>
          <w:szCs w:val="28"/>
          <w:lang w:val="ru-RU"/>
        </w:rPr>
        <w:t xml:space="preserve"> </w:t>
      </w:r>
      <w:r w:rsidRPr="009B2620">
        <w:rPr>
          <w:rFonts w:ascii="Times New Roman" w:hAnsi="Times New Roman" w:cs="Times New Roman"/>
          <w:sz w:val="28"/>
          <w:szCs w:val="28"/>
          <w:lang w:val="en-US"/>
        </w:rPr>
        <w:t>Corp</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644"/>
        <w:gridCol w:w="1812"/>
        <w:gridCol w:w="1813"/>
        <w:gridCol w:w="1813"/>
      </w:tblGrid>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Показник</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Коефіцієнт</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Стандартна помилка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t-статистика</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kern w:val="0"/>
                <w:sz w:val="28"/>
                <w:szCs w:val="28"/>
                <w:lang w:eastAsia="de-AT"/>
              </w:rPr>
              <w:t>P-значення</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Константа (α)</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0,05</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0,05</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0,98</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0,34</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en-US"/>
              </w:rPr>
            </w:pPr>
            <w:r w:rsidRPr="00596352">
              <w:rPr>
                <w:rFonts w:ascii="Times New Roman" w:hAnsi="Times New Roman" w:cs="Times New Roman"/>
                <w:color w:val="000000"/>
                <w:kern w:val="0"/>
                <w:sz w:val="28"/>
                <w:szCs w:val="28"/>
                <w:lang w:val="en-US" w:eastAsia="de-AT"/>
              </w:rPr>
              <w:t>FAMA-FRENCH MARKET</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0,37</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0,25</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1,50</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0,15</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SMB</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-0,64</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0,47</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-1,36</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0,19</w:t>
            </w:r>
          </w:p>
        </w:tc>
      </w:tr>
      <w:tr w:rsidR="00F30E41" w:rsidRPr="00596352">
        <w:tc>
          <w:tcPr>
            <w:tcW w:w="1980"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kern w:val="0"/>
                <w:sz w:val="28"/>
                <w:szCs w:val="28"/>
                <w:lang w:eastAsia="de-AT"/>
              </w:rPr>
              <w:t>HML</w:t>
            </w:r>
          </w:p>
        </w:tc>
        <w:tc>
          <w:tcPr>
            <w:tcW w:w="1644"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0,92</w:t>
            </w:r>
          </w:p>
        </w:tc>
        <w:tc>
          <w:tcPr>
            <w:tcW w:w="1812"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0,25</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3,60</w:t>
            </w:r>
          </w:p>
        </w:tc>
        <w:tc>
          <w:tcPr>
            <w:tcW w:w="1813" w:type="dxa"/>
            <w:vAlign w:val="bottom"/>
          </w:tcPr>
          <w:p w:rsidR="00F30E41" w:rsidRPr="00596352" w:rsidRDefault="00F30E41" w:rsidP="00596352">
            <w:pPr>
              <w:spacing w:after="0" w:line="360" w:lineRule="auto"/>
              <w:jc w:val="both"/>
              <w:rPr>
                <w:rFonts w:ascii="Times New Roman" w:hAnsi="Times New Roman" w:cs="Times New Roman"/>
                <w:sz w:val="28"/>
                <w:szCs w:val="28"/>
                <w:lang w:val="ru-RU"/>
              </w:rPr>
            </w:pPr>
            <w:r w:rsidRPr="00596352">
              <w:rPr>
                <w:rFonts w:ascii="Times New Roman" w:hAnsi="Times New Roman" w:cs="Times New Roman"/>
                <w:color w:val="000000"/>
                <w:sz w:val="28"/>
                <w:szCs w:val="28"/>
              </w:rPr>
              <w:t>0,00</w:t>
            </w:r>
          </w:p>
        </w:tc>
      </w:tr>
    </w:tbl>
    <w:p w:rsidR="00F30E41" w:rsidRDefault="00F30E41" w:rsidP="00E030BB">
      <w:pPr>
        <w:spacing w:after="0" w:line="360" w:lineRule="auto"/>
        <w:ind w:firstLine="708"/>
        <w:jc w:val="both"/>
        <w:rPr>
          <w:rFonts w:ascii="Times New Roman" w:hAnsi="Times New Roman" w:cs="Times New Roman"/>
          <w:color w:val="000000"/>
          <w:sz w:val="28"/>
          <w:szCs w:val="28"/>
          <w:lang w:val="ru-RU"/>
        </w:rPr>
      </w:pPr>
      <w:r w:rsidRPr="009B2620">
        <w:rPr>
          <w:rFonts w:ascii="Times New Roman" w:hAnsi="Times New Roman" w:cs="Times New Roman"/>
          <w:sz w:val="28"/>
          <w:szCs w:val="28"/>
          <w:lang w:val="ru-RU"/>
        </w:rPr>
        <w:t>Джерело</w:t>
      </w:r>
      <w:r w:rsidRPr="009B2620">
        <w:rPr>
          <w:rFonts w:ascii="Times New Roman" w:hAnsi="Times New Roman" w:cs="Times New Roman"/>
          <w:sz w:val="28"/>
          <w:szCs w:val="28"/>
        </w:rPr>
        <w:t>: складено автором на основі</w:t>
      </w:r>
      <w:r>
        <w:rPr>
          <w:rFonts w:ascii="Times New Roman" w:hAnsi="Times New Roman" w:cs="Times New Roman"/>
          <w:sz w:val="28"/>
          <w:szCs w:val="28"/>
          <w:lang w:val="ru-RU"/>
        </w:rPr>
        <w:t xml:space="preserve"> </w:t>
      </w:r>
      <w:r w:rsidRPr="00301084">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50</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5B0948">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та </w:t>
      </w:r>
      <w:r w:rsidRPr="00301084">
        <w:rPr>
          <w:rFonts w:ascii="Times New Roman" w:hAnsi="Times New Roman" w:cs="Times New Roman"/>
          <w:color w:val="000000"/>
          <w:sz w:val="28"/>
          <w:szCs w:val="28"/>
        </w:rPr>
        <w:t>[</w:t>
      </w:r>
      <w:r>
        <w:rPr>
          <w:rFonts w:ascii="Times New Roman" w:hAnsi="Times New Roman" w:cs="Times New Roman"/>
          <w:color w:val="000000"/>
          <w:sz w:val="28"/>
          <w:szCs w:val="28"/>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0B6D50">
        <w:rPr>
          <w:rFonts w:ascii="Times New Roman" w:hAnsi="Times New Roman" w:cs="Times New Roman"/>
          <w:color w:val="000000"/>
          <w:sz w:val="28"/>
          <w:szCs w:val="28"/>
        </w:rPr>
        <w:t>​</w:t>
      </w:r>
      <w:r w:rsidRPr="00BA7C41">
        <w:rPr>
          <w:rFonts w:ascii="Times New Roman" w:hAnsi="Times New Roman" w:cs="Times New Roman"/>
          <w:color w:val="000000"/>
          <w:sz w:val="28"/>
          <w:szCs w:val="28"/>
          <w:lang w:val="ru-RU"/>
        </w:rPr>
        <w:t>.</w:t>
      </w:r>
    </w:p>
    <w:p w:rsidR="00F30E41" w:rsidRDefault="00F30E41" w:rsidP="00E030BB">
      <w:pPr>
        <w:spacing w:after="0" w:line="360" w:lineRule="auto"/>
        <w:ind w:firstLine="708"/>
        <w:jc w:val="both"/>
        <w:rPr>
          <w:rFonts w:ascii="Times New Roman" w:hAnsi="Times New Roman" w:cs="Times New Roman"/>
          <w:sz w:val="28"/>
          <w:szCs w:val="28"/>
          <w:lang w:val="ru-RU"/>
        </w:rPr>
      </w:pPr>
      <w:r w:rsidRPr="006568D1">
        <w:rPr>
          <w:rFonts w:ascii="Times New Roman" w:hAnsi="Times New Roman" w:cs="Times New Roman"/>
          <w:sz w:val="28"/>
          <w:szCs w:val="28"/>
        </w:rPr>
        <w:t xml:space="preserve">Регресійний аналіз для компанії Exxon показав, що ключовий вплив має фактор HML (коефіцієнт 0,92, p = 0,00), що вказує на чітку орієнтацію на value-стратегію. </w:t>
      </w:r>
      <w:r w:rsidRPr="006568D1">
        <w:rPr>
          <w:rFonts w:ascii="Times New Roman" w:hAnsi="Times New Roman" w:cs="Times New Roman"/>
          <w:sz w:val="28"/>
          <w:szCs w:val="28"/>
          <w:lang w:val="ru-RU"/>
        </w:rPr>
        <w:t>Ринковий фактор має помірне значення (0,37), але не є статистично значущим (</w:t>
      </w:r>
      <w:r w:rsidRPr="006568D1">
        <w:rPr>
          <w:rFonts w:ascii="Times New Roman" w:hAnsi="Times New Roman" w:cs="Times New Roman"/>
          <w:sz w:val="28"/>
          <w:szCs w:val="28"/>
        </w:rPr>
        <w:t>p</w:t>
      </w:r>
      <w:r w:rsidRPr="006568D1">
        <w:rPr>
          <w:rFonts w:ascii="Times New Roman" w:hAnsi="Times New Roman" w:cs="Times New Roman"/>
          <w:sz w:val="28"/>
          <w:szCs w:val="28"/>
          <w:lang w:val="ru-RU"/>
        </w:rPr>
        <w:t xml:space="preserve"> = 0,15). Фактор розміру (</w:t>
      </w:r>
      <w:r w:rsidRPr="006568D1">
        <w:rPr>
          <w:rFonts w:ascii="Times New Roman" w:hAnsi="Times New Roman" w:cs="Times New Roman"/>
          <w:sz w:val="28"/>
          <w:szCs w:val="28"/>
        </w:rPr>
        <w:t>SMB</w:t>
      </w:r>
      <w:r w:rsidRPr="006568D1">
        <w:rPr>
          <w:rFonts w:ascii="Times New Roman" w:hAnsi="Times New Roman" w:cs="Times New Roman"/>
          <w:sz w:val="28"/>
          <w:szCs w:val="28"/>
          <w:lang w:val="ru-RU"/>
        </w:rPr>
        <w:t>) також не впливає на дохідність (</w:t>
      </w:r>
      <w:r>
        <w:rPr>
          <w:rFonts w:ascii="Times New Roman" w:hAnsi="Times New Roman" w:cs="Times New Roman"/>
          <w:sz w:val="28"/>
          <w:szCs w:val="28"/>
          <w:lang w:val="ru-RU"/>
        </w:rPr>
        <w:t>-</w:t>
      </w:r>
      <w:r w:rsidRPr="006568D1">
        <w:rPr>
          <w:rFonts w:ascii="Times New Roman" w:hAnsi="Times New Roman" w:cs="Times New Roman"/>
          <w:sz w:val="28"/>
          <w:szCs w:val="28"/>
          <w:lang w:val="ru-RU"/>
        </w:rPr>
        <w:t xml:space="preserve">0,64, </w:t>
      </w:r>
      <w:r w:rsidRPr="006568D1">
        <w:rPr>
          <w:rFonts w:ascii="Times New Roman" w:hAnsi="Times New Roman" w:cs="Times New Roman"/>
          <w:sz w:val="28"/>
          <w:szCs w:val="28"/>
        </w:rPr>
        <w:t>p</w:t>
      </w:r>
      <w:r w:rsidRPr="006568D1">
        <w:rPr>
          <w:rFonts w:ascii="Times New Roman" w:hAnsi="Times New Roman" w:cs="Times New Roman"/>
          <w:sz w:val="28"/>
          <w:szCs w:val="28"/>
          <w:lang w:val="ru-RU"/>
        </w:rPr>
        <w:t xml:space="preserve"> = 0,34). Значення </w:t>
      </w:r>
      <w:r w:rsidRPr="006568D1">
        <w:rPr>
          <w:rFonts w:ascii="Times New Roman" w:hAnsi="Times New Roman" w:cs="Times New Roman"/>
          <w:sz w:val="28"/>
          <w:szCs w:val="28"/>
        </w:rPr>
        <w:t>R</w:t>
      </w:r>
      <w:r w:rsidRPr="006568D1">
        <w:rPr>
          <w:rFonts w:ascii="Times New Roman" w:hAnsi="Times New Roman" w:cs="Times New Roman"/>
          <w:sz w:val="28"/>
          <w:szCs w:val="28"/>
          <w:lang w:val="ru-RU"/>
        </w:rPr>
        <w:t xml:space="preserve">² становить 0,41, тобто модель пояснює 41% змін у надлишковій дохідності. Отже, </w:t>
      </w:r>
      <w:r w:rsidRPr="006568D1">
        <w:rPr>
          <w:rFonts w:ascii="Times New Roman" w:hAnsi="Times New Roman" w:cs="Times New Roman"/>
          <w:sz w:val="28"/>
          <w:szCs w:val="28"/>
        </w:rPr>
        <w:t>Exxon</w:t>
      </w:r>
      <w:r w:rsidRPr="006568D1">
        <w:rPr>
          <w:rFonts w:ascii="Times New Roman" w:hAnsi="Times New Roman" w:cs="Times New Roman"/>
          <w:sz w:val="28"/>
          <w:szCs w:val="28"/>
          <w:lang w:val="ru-RU"/>
        </w:rPr>
        <w:t xml:space="preserve"> </w:t>
      </w:r>
      <w:r w:rsidRPr="009B2620">
        <w:rPr>
          <w:rFonts w:ascii="Times New Roman" w:hAnsi="Times New Roman" w:cs="Times New Roman"/>
          <w:sz w:val="28"/>
          <w:szCs w:val="28"/>
          <w:lang w:val="ru-RU"/>
        </w:rPr>
        <w:t>-</w:t>
      </w:r>
      <w:r w:rsidRPr="006568D1">
        <w:rPr>
          <w:rFonts w:ascii="Times New Roman" w:hAnsi="Times New Roman" w:cs="Times New Roman"/>
          <w:sz w:val="28"/>
          <w:szCs w:val="28"/>
          <w:lang w:val="ru-RU"/>
        </w:rPr>
        <w:t xml:space="preserve"> типова </w:t>
      </w:r>
      <w:r w:rsidRPr="006568D1">
        <w:rPr>
          <w:rFonts w:ascii="Times New Roman" w:hAnsi="Times New Roman" w:cs="Times New Roman"/>
          <w:sz w:val="28"/>
          <w:szCs w:val="28"/>
        </w:rPr>
        <w:t>value</w:t>
      </w:r>
      <w:r w:rsidRPr="006568D1">
        <w:rPr>
          <w:rFonts w:ascii="Times New Roman" w:hAnsi="Times New Roman" w:cs="Times New Roman"/>
          <w:sz w:val="28"/>
          <w:szCs w:val="28"/>
          <w:lang w:val="ru-RU"/>
        </w:rPr>
        <w:t>-компанія з незначною залежністю від ринку та розміру.</w:t>
      </w:r>
    </w:p>
    <w:p w:rsidR="00F30E41" w:rsidRDefault="00F30E41" w:rsidP="00E030BB">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Під час досл</w:t>
      </w:r>
      <w:r>
        <w:rPr>
          <w:rFonts w:ascii="Times New Roman" w:hAnsi="Times New Roman" w:cs="Times New Roman"/>
          <w:sz w:val="28"/>
          <w:szCs w:val="28"/>
        </w:rPr>
        <w:t>ідження було виявлено</w:t>
      </w:r>
      <w:r w:rsidRPr="00FB7BC7">
        <w:rPr>
          <w:rFonts w:ascii="Times New Roman" w:hAnsi="Times New Roman" w:cs="Times New Roman"/>
          <w:sz w:val="28"/>
          <w:szCs w:val="28"/>
          <w:lang w:val="ru-RU"/>
        </w:rPr>
        <w:t xml:space="preserve">, що ринковий фактор був більш значущим для окремих компаній, зокрема </w:t>
      </w:r>
      <w:r w:rsidRPr="00FB7BC7">
        <w:rPr>
          <w:rFonts w:ascii="Times New Roman" w:hAnsi="Times New Roman" w:cs="Times New Roman"/>
          <w:sz w:val="28"/>
          <w:szCs w:val="28"/>
          <w:lang w:val="de-AT"/>
        </w:rPr>
        <w:t>ASML</w:t>
      </w:r>
      <w:r w:rsidRPr="00FB7BC7">
        <w:rPr>
          <w:rFonts w:ascii="Times New Roman" w:hAnsi="Times New Roman" w:cs="Times New Roman"/>
          <w:sz w:val="28"/>
          <w:szCs w:val="28"/>
          <w:lang w:val="ru-RU"/>
        </w:rPr>
        <w:t xml:space="preserve"> </w:t>
      </w:r>
      <w:r w:rsidRPr="00FB7BC7">
        <w:rPr>
          <w:rFonts w:ascii="Times New Roman" w:hAnsi="Times New Roman" w:cs="Times New Roman"/>
          <w:sz w:val="28"/>
          <w:szCs w:val="28"/>
          <w:lang w:val="de-AT"/>
        </w:rPr>
        <w:t>Holding</w:t>
      </w:r>
      <w:r w:rsidRPr="00FB7BC7">
        <w:rPr>
          <w:rFonts w:ascii="Times New Roman" w:hAnsi="Times New Roman" w:cs="Times New Roman"/>
          <w:sz w:val="28"/>
          <w:szCs w:val="28"/>
          <w:lang w:val="ru-RU"/>
        </w:rPr>
        <w:t xml:space="preserve">, </w:t>
      </w:r>
      <w:r w:rsidRPr="00FB7BC7">
        <w:rPr>
          <w:rFonts w:ascii="Times New Roman" w:hAnsi="Times New Roman" w:cs="Times New Roman"/>
          <w:sz w:val="28"/>
          <w:szCs w:val="28"/>
          <w:lang w:val="de-AT"/>
        </w:rPr>
        <w:t>Nextera</w:t>
      </w:r>
      <w:r w:rsidRPr="00FB7BC7">
        <w:rPr>
          <w:rFonts w:ascii="Times New Roman" w:hAnsi="Times New Roman" w:cs="Times New Roman"/>
          <w:sz w:val="28"/>
          <w:szCs w:val="28"/>
          <w:lang w:val="ru-RU"/>
        </w:rPr>
        <w:t xml:space="preserve"> </w:t>
      </w:r>
      <w:r w:rsidRPr="00FB7BC7">
        <w:rPr>
          <w:rFonts w:ascii="Times New Roman" w:hAnsi="Times New Roman" w:cs="Times New Roman"/>
          <w:sz w:val="28"/>
          <w:szCs w:val="28"/>
          <w:lang w:val="de-AT"/>
        </w:rPr>
        <w:t>Energy</w:t>
      </w:r>
      <w:r w:rsidRPr="00FB7BC7">
        <w:rPr>
          <w:rFonts w:ascii="Times New Roman" w:hAnsi="Times New Roman" w:cs="Times New Roman"/>
          <w:sz w:val="28"/>
          <w:szCs w:val="28"/>
          <w:lang w:val="ru-RU"/>
        </w:rPr>
        <w:t xml:space="preserve"> та </w:t>
      </w:r>
      <w:r w:rsidRPr="00FB7BC7">
        <w:rPr>
          <w:rFonts w:ascii="Times New Roman" w:hAnsi="Times New Roman" w:cs="Times New Roman"/>
          <w:sz w:val="28"/>
          <w:szCs w:val="28"/>
          <w:lang w:val="de-AT"/>
        </w:rPr>
        <w:t>Roche</w:t>
      </w:r>
      <w:r w:rsidRPr="00FB7BC7">
        <w:rPr>
          <w:rFonts w:ascii="Times New Roman" w:hAnsi="Times New Roman" w:cs="Times New Roman"/>
          <w:sz w:val="28"/>
          <w:szCs w:val="28"/>
          <w:lang w:val="ru-RU"/>
        </w:rPr>
        <w:t xml:space="preserve"> </w:t>
      </w:r>
      <w:r w:rsidRPr="00FB7BC7">
        <w:rPr>
          <w:rFonts w:ascii="Times New Roman" w:hAnsi="Times New Roman" w:cs="Times New Roman"/>
          <w:sz w:val="28"/>
          <w:szCs w:val="28"/>
          <w:lang w:val="de-AT"/>
        </w:rPr>
        <w:t>Holding</w:t>
      </w:r>
      <w:r w:rsidRPr="00FB7BC7">
        <w:rPr>
          <w:rFonts w:ascii="Times New Roman" w:hAnsi="Times New Roman" w:cs="Times New Roman"/>
          <w:sz w:val="28"/>
          <w:szCs w:val="28"/>
          <w:lang w:val="ru-RU"/>
        </w:rPr>
        <w:t>.</w:t>
      </w:r>
    </w:p>
    <w:p w:rsidR="00F30E41" w:rsidRPr="000340A3" w:rsidRDefault="00F30E41" w:rsidP="00E030BB">
      <w:pPr>
        <w:spacing w:after="0" w:line="360" w:lineRule="auto"/>
        <w:ind w:firstLine="708"/>
        <w:jc w:val="both"/>
        <w:rPr>
          <w:rFonts w:ascii="Times New Roman" w:hAnsi="Times New Roman" w:cs="Times New Roman"/>
          <w:sz w:val="28"/>
          <w:szCs w:val="28"/>
          <w:lang w:val="ru-RU"/>
        </w:rPr>
      </w:pPr>
      <w:r w:rsidRPr="000340A3">
        <w:rPr>
          <w:rFonts w:ascii="Times New Roman" w:hAnsi="Times New Roman" w:cs="Times New Roman"/>
          <w:sz w:val="28"/>
          <w:szCs w:val="28"/>
          <w:lang w:val="ru-RU"/>
        </w:rPr>
        <w:t xml:space="preserve">Це можна пояснити як особливостями галузі, в якій працює компанія, так і її бізнес-моделлю. Наприклад, </w:t>
      </w:r>
      <w:r w:rsidRPr="000340A3">
        <w:rPr>
          <w:rFonts w:ascii="Times New Roman" w:hAnsi="Times New Roman" w:cs="Times New Roman"/>
          <w:sz w:val="28"/>
          <w:szCs w:val="28"/>
          <w:lang w:val="de-AT"/>
        </w:rPr>
        <w:t>ASML</w:t>
      </w:r>
      <w:r w:rsidRPr="000340A3">
        <w:rPr>
          <w:rFonts w:ascii="Times New Roman" w:hAnsi="Times New Roman" w:cs="Times New Roman"/>
          <w:sz w:val="28"/>
          <w:szCs w:val="28"/>
          <w:lang w:val="ru-RU"/>
        </w:rPr>
        <w:t xml:space="preserve"> </w:t>
      </w:r>
      <w:r w:rsidRPr="000340A3">
        <w:rPr>
          <w:rFonts w:ascii="Times New Roman" w:hAnsi="Times New Roman" w:cs="Times New Roman"/>
          <w:sz w:val="28"/>
          <w:szCs w:val="28"/>
          <w:lang w:val="de-AT"/>
        </w:rPr>
        <w:t>Holding</w:t>
      </w:r>
      <w:r w:rsidRPr="000340A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0340A3">
        <w:rPr>
          <w:rFonts w:ascii="Times New Roman" w:hAnsi="Times New Roman" w:cs="Times New Roman"/>
          <w:sz w:val="28"/>
          <w:szCs w:val="28"/>
          <w:lang w:val="ru-RU"/>
        </w:rPr>
        <w:t xml:space="preserve"> це технологічна компанія, яка займається виробництвом обладнання для напівпровідників і має складний глобальний ланцюг постачання. Така діяльність сильно залежить від загального інвестиційного клімату в світі, тому не дивно, що її дохідність дуже чутлива до змін на ринку. Щось подібне спостерігається і з </w:t>
      </w:r>
      <w:r w:rsidRPr="000340A3">
        <w:rPr>
          <w:rFonts w:ascii="Times New Roman" w:hAnsi="Times New Roman" w:cs="Times New Roman"/>
          <w:sz w:val="28"/>
          <w:szCs w:val="28"/>
          <w:lang w:val="de-AT"/>
        </w:rPr>
        <w:t>Nextera</w:t>
      </w:r>
      <w:r w:rsidRPr="000340A3">
        <w:rPr>
          <w:rFonts w:ascii="Times New Roman" w:hAnsi="Times New Roman" w:cs="Times New Roman"/>
          <w:sz w:val="28"/>
          <w:szCs w:val="28"/>
          <w:lang w:val="ru-RU"/>
        </w:rPr>
        <w:t xml:space="preserve"> </w:t>
      </w:r>
      <w:r w:rsidRPr="000340A3">
        <w:rPr>
          <w:rFonts w:ascii="Times New Roman" w:hAnsi="Times New Roman" w:cs="Times New Roman"/>
          <w:sz w:val="28"/>
          <w:szCs w:val="28"/>
          <w:lang w:val="de-AT"/>
        </w:rPr>
        <w:t>Energy</w:t>
      </w:r>
      <w:r w:rsidRPr="000340A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0340A3">
        <w:rPr>
          <w:rFonts w:ascii="Times New Roman" w:hAnsi="Times New Roman" w:cs="Times New Roman"/>
          <w:sz w:val="28"/>
          <w:szCs w:val="28"/>
          <w:lang w:val="ru-RU"/>
        </w:rPr>
        <w:t xml:space="preserve"> хоча ця компанія працює в енергетиці, вона спеціалізується на відновлюваних джерелах. Тут важливу роль відіграють державна підтримка, регулювання та очікування інвесторів</w:t>
      </w:r>
      <w:r>
        <w:rPr>
          <w:rFonts w:ascii="Times New Roman" w:hAnsi="Times New Roman" w:cs="Times New Roman"/>
          <w:sz w:val="28"/>
          <w:szCs w:val="28"/>
          <w:lang w:val="ru-RU"/>
        </w:rPr>
        <w:t xml:space="preserve">, </w:t>
      </w:r>
      <w:r w:rsidRPr="000340A3">
        <w:rPr>
          <w:rFonts w:ascii="Times New Roman" w:hAnsi="Times New Roman" w:cs="Times New Roman"/>
          <w:sz w:val="28"/>
          <w:szCs w:val="28"/>
          <w:lang w:val="ru-RU"/>
        </w:rPr>
        <w:t>тобто її дохідність теж сильно пов’язана з ринковими умовами.</w:t>
      </w:r>
    </w:p>
    <w:p w:rsidR="00F30E41" w:rsidRPr="000340A3" w:rsidRDefault="00F30E41" w:rsidP="00E030BB">
      <w:pPr>
        <w:spacing w:after="0" w:line="360" w:lineRule="auto"/>
        <w:ind w:firstLine="708"/>
        <w:jc w:val="both"/>
        <w:rPr>
          <w:rFonts w:ascii="Times New Roman" w:hAnsi="Times New Roman" w:cs="Times New Roman"/>
          <w:sz w:val="28"/>
          <w:szCs w:val="28"/>
          <w:lang w:val="ru-RU"/>
        </w:rPr>
      </w:pPr>
      <w:r w:rsidRPr="000340A3">
        <w:rPr>
          <w:rFonts w:ascii="Times New Roman" w:hAnsi="Times New Roman" w:cs="Times New Roman"/>
          <w:sz w:val="28"/>
          <w:szCs w:val="28"/>
          <w:lang w:val="ru-RU"/>
        </w:rPr>
        <w:t xml:space="preserve">Що стосується </w:t>
      </w:r>
      <w:r w:rsidRPr="000340A3">
        <w:rPr>
          <w:rFonts w:ascii="Times New Roman" w:hAnsi="Times New Roman" w:cs="Times New Roman"/>
          <w:sz w:val="28"/>
          <w:szCs w:val="28"/>
          <w:lang w:val="de-AT"/>
        </w:rPr>
        <w:t>Roche</w:t>
      </w:r>
      <w:r w:rsidRPr="000340A3">
        <w:rPr>
          <w:rFonts w:ascii="Times New Roman" w:hAnsi="Times New Roman" w:cs="Times New Roman"/>
          <w:sz w:val="28"/>
          <w:szCs w:val="28"/>
          <w:lang w:val="ru-RU"/>
        </w:rPr>
        <w:t xml:space="preserve"> </w:t>
      </w:r>
      <w:r w:rsidRPr="000340A3">
        <w:rPr>
          <w:rFonts w:ascii="Times New Roman" w:hAnsi="Times New Roman" w:cs="Times New Roman"/>
          <w:sz w:val="28"/>
          <w:szCs w:val="28"/>
          <w:lang w:val="de-AT"/>
        </w:rPr>
        <w:t>Holding</w:t>
      </w:r>
      <w:r w:rsidRPr="000340A3">
        <w:rPr>
          <w:rFonts w:ascii="Times New Roman" w:hAnsi="Times New Roman" w:cs="Times New Roman"/>
          <w:sz w:val="28"/>
          <w:szCs w:val="28"/>
          <w:lang w:val="ru-RU"/>
        </w:rPr>
        <w:t xml:space="preserve">, то хоча вона й належить до захисного медичного сектору, її великі розміри та активність на міжнародних ринках теж роблять її вразливою до глобальних коливань. У той же час такі компанії, як </w:t>
      </w:r>
      <w:r w:rsidRPr="000340A3">
        <w:rPr>
          <w:rFonts w:ascii="Times New Roman" w:hAnsi="Times New Roman" w:cs="Times New Roman"/>
          <w:sz w:val="28"/>
          <w:szCs w:val="28"/>
          <w:lang w:val="de-AT"/>
        </w:rPr>
        <w:t>Pfizer</w:t>
      </w:r>
      <w:r w:rsidRPr="000340A3">
        <w:rPr>
          <w:rFonts w:ascii="Times New Roman" w:hAnsi="Times New Roman" w:cs="Times New Roman"/>
          <w:sz w:val="28"/>
          <w:szCs w:val="28"/>
          <w:lang w:val="ru-RU"/>
        </w:rPr>
        <w:t xml:space="preserve"> або </w:t>
      </w:r>
      <w:r w:rsidRPr="000340A3">
        <w:rPr>
          <w:rFonts w:ascii="Times New Roman" w:hAnsi="Times New Roman" w:cs="Times New Roman"/>
          <w:sz w:val="28"/>
          <w:szCs w:val="28"/>
          <w:lang w:val="de-AT"/>
        </w:rPr>
        <w:t>TotalEnergies</w:t>
      </w:r>
      <w:r w:rsidRPr="000340A3">
        <w:rPr>
          <w:rFonts w:ascii="Times New Roman" w:hAnsi="Times New Roman" w:cs="Times New Roman"/>
          <w:sz w:val="28"/>
          <w:szCs w:val="28"/>
          <w:lang w:val="ru-RU"/>
        </w:rPr>
        <w:t xml:space="preserve">, показали, що на їхню дохідність більше впливають не самі ринкові умови, а внутрішні характеристики: стабільна бізнес-модель, виплата дивідендів, історична недооціненість тощо. Це добре пояснює, чому у них був сильніший зв’язок саме з фактором </w:t>
      </w:r>
      <w:r w:rsidRPr="000340A3">
        <w:rPr>
          <w:rFonts w:ascii="Times New Roman" w:hAnsi="Times New Roman" w:cs="Times New Roman"/>
          <w:sz w:val="28"/>
          <w:szCs w:val="28"/>
          <w:lang w:val="de-AT"/>
        </w:rPr>
        <w:t>HML</w:t>
      </w:r>
      <w:r w:rsidRPr="000340A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0340A3">
        <w:rPr>
          <w:rFonts w:ascii="Times New Roman" w:hAnsi="Times New Roman" w:cs="Times New Roman"/>
          <w:sz w:val="28"/>
          <w:szCs w:val="28"/>
          <w:lang w:val="ru-RU"/>
        </w:rPr>
        <w:t xml:space="preserve"> тобто вони більше належать до </w:t>
      </w:r>
      <w:r w:rsidRPr="000340A3">
        <w:rPr>
          <w:rFonts w:ascii="Times New Roman" w:hAnsi="Times New Roman" w:cs="Times New Roman"/>
          <w:sz w:val="28"/>
          <w:szCs w:val="28"/>
          <w:lang w:val="de-AT"/>
        </w:rPr>
        <w:t>value</w:t>
      </w:r>
      <w:r w:rsidRPr="000340A3">
        <w:rPr>
          <w:rFonts w:ascii="Times New Roman" w:hAnsi="Times New Roman" w:cs="Times New Roman"/>
          <w:sz w:val="28"/>
          <w:szCs w:val="28"/>
          <w:lang w:val="ru-RU"/>
        </w:rPr>
        <w:t>-акцій.</w:t>
      </w:r>
    </w:p>
    <w:p w:rsidR="00F30E41" w:rsidRDefault="00F30E41" w:rsidP="009C4A08">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t>Отже,</w:t>
      </w:r>
      <w:r w:rsidRPr="000340A3">
        <w:rPr>
          <w:rFonts w:ascii="Times New Roman" w:hAnsi="Times New Roman" w:cs="Times New Roman"/>
          <w:sz w:val="28"/>
          <w:szCs w:val="28"/>
          <w:lang w:val="ru-RU"/>
        </w:rPr>
        <w:t xml:space="preserve"> ринкові фактори найбільше впливають на компанії, які залежать від глобальних тенденцій, інновацій чи державної політики, тоді як інші компанії більше реагують на свої внутрішні показники.</w:t>
      </w:r>
    </w:p>
    <w:p w:rsidR="00F30E41" w:rsidRDefault="00F30E41" w:rsidP="009C4A08">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Default="00F30E41" w:rsidP="009C4A08">
      <w:pPr>
        <w:tabs>
          <w:tab w:val="left" w:pos="6946"/>
        </w:tabs>
        <w:spacing w:after="0" w:line="360" w:lineRule="auto"/>
        <w:ind w:firstLine="709"/>
        <w:jc w:val="both"/>
        <w:rPr>
          <w:rFonts w:ascii="Times New Roman" w:hAnsi="Times New Roman" w:cs="Times New Roman"/>
          <w:b/>
          <w:bCs/>
          <w:color w:val="000000"/>
          <w:sz w:val="28"/>
          <w:szCs w:val="28"/>
          <w:lang w:val="ru-RU"/>
        </w:rPr>
      </w:pPr>
      <w:r w:rsidRPr="00EC3270">
        <w:rPr>
          <w:rFonts w:ascii="Times New Roman" w:hAnsi="Times New Roman" w:cs="Times New Roman"/>
          <w:b/>
          <w:bCs/>
          <w:color w:val="000000"/>
          <w:sz w:val="28"/>
          <w:szCs w:val="28"/>
          <w:lang w:val="ru-RU"/>
        </w:rPr>
        <w:t xml:space="preserve">3.3 </w:t>
      </w:r>
      <w:r w:rsidRPr="00EC3270">
        <w:rPr>
          <w:rFonts w:ascii="Times New Roman" w:hAnsi="Times New Roman" w:cs="Times New Roman"/>
          <w:b/>
          <w:bCs/>
          <w:color w:val="000000"/>
          <w:sz w:val="28"/>
          <w:szCs w:val="28"/>
        </w:rPr>
        <w:t>Аналіз ефективності сформованих портфелів: дохідність, ризик і стратегічна відповідність</w:t>
      </w:r>
      <w:r>
        <w:rPr>
          <w:rFonts w:ascii="Times New Roman" w:hAnsi="Times New Roman" w:cs="Times New Roman"/>
          <w:b/>
          <w:bCs/>
          <w:color w:val="000000"/>
          <w:sz w:val="28"/>
          <w:szCs w:val="28"/>
          <w:lang w:val="ru-RU"/>
        </w:rPr>
        <w:t>.</w:t>
      </w:r>
    </w:p>
    <w:p w:rsidR="00F30E41" w:rsidRDefault="00F30E41" w:rsidP="009C4A08">
      <w:pPr>
        <w:tabs>
          <w:tab w:val="left" w:pos="6946"/>
        </w:tabs>
        <w:spacing w:after="0" w:line="360" w:lineRule="auto"/>
        <w:ind w:firstLine="709"/>
        <w:jc w:val="both"/>
        <w:rPr>
          <w:rFonts w:ascii="Times New Roman" w:hAnsi="Times New Roman" w:cs="Times New Roman"/>
          <w:b/>
          <w:bCs/>
          <w:color w:val="000000"/>
          <w:sz w:val="28"/>
          <w:szCs w:val="28"/>
          <w:lang w:val="ru-RU"/>
        </w:rPr>
      </w:pPr>
    </w:p>
    <w:p w:rsidR="00F30E41" w:rsidRPr="0045426C" w:rsidRDefault="00F30E41" w:rsidP="00C1776E">
      <w:pPr>
        <w:tabs>
          <w:tab w:val="left" w:pos="6946"/>
        </w:tabs>
        <w:spacing w:after="0" w:line="360" w:lineRule="auto"/>
        <w:ind w:firstLine="709"/>
        <w:jc w:val="both"/>
        <w:rPr>
          <w:rFonts w:ascii="Times New Roman" w:hAnsi="Times New Roman" w:cs="Times New Roman"/>
          <w:color w:val="000000"/>
          <w:sz w:val="28"/>
          <w:szCs w:val="28"/>
        </w:rPr>
      </w:pPr>
      <w:r w:rsidRPr="00E15666">
        <w:rPr>
          <w:rFonts w:ascii="Times New Roman" w:hAnsi="Times New Roman" w:cs="Times New Roman"/>
          <w:color w:val="000000"/>
          <w:sz w:val="28"/>
          <w:szCs w:val="28"/>
        </w:rPr>
        <w:t>На заключному етапі було проведено моделювання трьох інвестиційних портфелів, сформованих відповідно до стратегій value, growth та income, з використанням платформи Portfolio Visualizer</w:t>
      </w:r>
      <w:r>
        <w:rPr>
          <w:rFonts w:ascii="Times New Roman" w:hAnsi="Times New Roman" w:cs="Times New Roman"/>
          <w:color w:val="000000"/>
          <w:sz w:val="28"/>
          <w:szCs w:val="28"/>
          <w:lang w:val="ru-RU"/>
        </w:rPr>
        <w:t xml:space="preserve">, </w:t>
      </w:r>
      <w:r w:rsidRPr="00C1776E">
        <w:rPr>
          <w:rFonts w:ascii="Times New Roman" w:hAnsi="Times New Roman" w:cs="Times New Roman"/>
          <w:color w:val="000000"/>
          <w:sz w:val="28"/>
          <w:szCs w:val="28"/>
        </w:rPr>
        <w:t xml:space="preserve">що дозволяє моделювати інвестиційні портфелі на основі історичних даних. Період аналізу охоплює 01.01.2013 </w:t>
      </w:r>
      <w:r w:rsidRPr="0045426C">
        <w:rPr>
          <w:rFonts w:ascii="Times New Roman" w:hAnsi="Times New Roman" w:cs="Times New Roman"/>
          <w:color w:val="000000"/>
          <w:sz w:val="28"/>
          <w:szCs w:val="28"/>
        </w:rPr>
        <w:t>-</w:t>
      </w:r>
      <w:r w:rsidRPr="00C1776E">
        <w:rPr>
          <w:rFonts w:ascii="Times New Roman" w:hAnsi="Times New Roman" w:cs="Times New Roman"/>
          <w:color w:val="000000"/>
          <w:sz w:val="28"/>
          <w:szCs w:val="28"/>
        </w:rPr>
        <w:t xml:space="preserve"> 30.04.2025, з початковим капіталом 10 000 дол. США, щорічним ребалансуванням і реінвестуванням дивідендів. Бенчмарком виступав SPDR S&amp;P 500 ETF.</w:t>
      </w:r>
    </w:p>
    <w:p w:rsidR="00F30E41" w:rsidRPr="0045426C" w:rsidRDefault="00F30E41" w:rsidP="00B343C7">
      <w:pPr>
        <w:tabs>
          <w:tab w:val="left" w:pos="6946"/>
        </w:tabs>
        <w:spacing w:after="0" w:line="360" w:lineRule="auto"/>
        <w:ind w:firstLine="709"/>
        <w:jc w:val="both"/>
        <w:rPr>
          <w:rFonts w:ascii="Times New Roman" w:hAnsi="Times New Roman" w:cs="Times New Roman"/>
          <w:color w:val="000000"/>
          <w:sz w:val="28"/>
          <w:szCs w:val="28"/>
        </w:rPr>
      </w:pPr>
      <w:r w:rsidRPr="00C1776E">
        <w:rPr>
          <w:rFonts w:ascii="Times New Roman" w:hAnsi="Times New Roman" w:cs="Times New Roman"/>
          <w:color w:val="000000"/>
          <w:sz w:val="28"/>
          <w:szCs w:val="28"/>
        </w:rPr>
        <w:t>Портфелі сформовано з ETF секторів енергетики, охорони здоров’я та ІТ. Розрахунки середньої дохідності, волатильності, коефіцієнтів Шарпа й кореляції виконані автоматично засобами сервісу, без ручного обчислення.</w:t>
      </w:r>
      <w:r w:rsidRPr="00B343C7">
        <w:rPr>
          <w:rFonts w:ascii="Times New Roman" w:hAnsi="Times New Roman" w:cs="Times New Roman"/>
          <w:color w:val="000000"/>
          <w:sz w:val="28"/>
          <w:szCs w:val="28"/>
        </w:rPr>
        <w:t xml:space="preserve"> </w:t>
      </w:r>
    </w:p>
    <w:p w:rsidR="00F30E41" w:rsidRPr="00B343C7" w:rsidRDefault="00F30E41" w:rsidP="00B343C7">
      <w:pPr>
        <w:tabs>
          <w:tab w:val="left" w:pos="6946"/>
        </w:tabs>
        <w:spacing w:after="0" w:line="360" w:lineRule="auto"/>
        <w:ind w:firstLine="709"/>
        <w:jc w:val="both"/>
        <w:rPr>
          <w:rFonts w:ascii="Times New Roman" w:hAnsi="Times New Roman" w:cs="Times New Roman"/>
          <w:color w:val="000000"/>
          <w:sz w:val="28"/>
          <w:szCs w:val="28"/>
          <w:lang w:val="ru-RU"/>
        </w:rPr>
      </w:pPr>
      <w:r w:rsidRPr="00C1776E">
        <w:rPr>
          <w:rFonts w:ascii="Times New Roman" w:hAnsi="Times New Roman" w:cs="Times New Roman"/>
          <w:color w:val="000000"/>
          <w:sz w:val="28"/>
          <w:szCs w:val="28"/>
        </w:rPr>
        <w:t xml:space="preserve">Валютні ризики не враховувалися, оскільки всі активи номіновані в доларах США. </w:t>
      </w:r>
    </w:p>
    <w:p w:rsidR="00F30E41" w:rsidRDefault="00F30E41" w:rsidP="00B343C7">
      <w:pPr>
        <w:tabs>
          <w:tab w:val="left" w:pos="6946"/>
        </w:tabs>
        <w:spacing w:after="0" w:line="360" w:lineRule="auto"/>
        <w:ind w:firstLine="709"/>
        <w:jc w:val="both"/>
        <w:rPr>
          <w:rFonts w:ascii="Times New Roman" w:hAnsi="Times New Roman" w:cs="Times New Roman"/>
          <w:color w:val="000000"/>
          <w:sz w:val="28"/>
          <w:szCs w:val="28"/>
          <w:lang w:val="ru-RU"/>
        </w:rPr>
      </w:pPr>
      <w:r w:rsidRPr="00C1776E">
        <w:rPr>
          <w:rFonts w:ascii="Times New Roman" w:hAnsi="Times New Roman" w:cs="Times New Roman"/>
          <w:color w:val="000000"/>
          <w:sz w:val="28"/>
          <w:szCs w:val="28"/>
        </w:rPr>
        <w:t>Для врахування макроекономічної нестабільності проаналізовано як кризовий період (2019</w:t>
      </w:r>
      <w:r>
        <w:rPr>
          <w:rFonts w:ascii="Times New Roman" w:hAnsi="Times New Roman" w:cs="Times New Roman"/>
          <w:color w:val="000000"/>
          <w:sz w:val="28"/>
          <w:szCs w:val="28"/>
          <w:lang w:val="ru-RU"/>
        </w:rPr>
        <w:t>-</w:t>
      </w:r>
      <w:r w:rsidRPr="00C1776E">
        <w:rPr>
          <w:rFonts w:ascii="Times New Roman" w:hAnsi="Times New Roman" w:cs="Times New Roman"/>
          <w:color w:val="000000"/>
          <w:sz w:val="28"/>
          <w:szCs w:val="28"/>
        </w:rPr>
        <w:t>2020 рр.), так і фазу відновлення (2023</w:t>
      </w:r>
      <w:r>
        <w:rPr>
          <w:rFonts w:ascii="Times New Roman" w:hAnsi="Times New Roman" w:cs="Times New Roman"/>
          <w:color w:val="000000"/>
          <w:sz w:val="28"/>
          <w:szCs w:val="28"/>
          <w:lang w:val="ru-RU"/>
        </w:rPr>
        <w:t>-</w:t>
      </w:r>
      <w:r w:rsidRPr="00C1776E">
        <w:rPr>
          <w:rFonts w:ascii="Times New Roman" w:hAnsi="Times New Roman" w:cs="Times New Roman"/>
          <w:color w:val="000000"/>
          <w:sz w:val="28"/>
          <w:szCs w:val="28"/>
        </w:rPr>
        <w:t>2024 рр.), що дозволяє оцінити чутливість стратегій до зовнішніх шоків.</w:t>
      </w:r>
    </w:p>
    <w:p w:rsidR="00F30E41" w:rsidRPr="00B343C7" w:rsidRDefault="00F30E41" w:rsidP="00B343C7">
      <w:pPr>
        <w:tabs>
          <w:tab w:val="left" w:pos="6946"/>
        </w:tabs>
        <w:spacing w:after="0" w:line="360" w:lineRule="auto"/>
        <w:ind w:firstLine="709"/>
        <w:jc w:val="both"/>
        <w:rPr>
          <w:rFonts w:ascii="Times New Roman" w:hAnsi="Times New Roman" w:cs="Times New Roman"/>
          <w:color w:val="000000"/>
          <w:sz w:val="28"/>
          <w:szCs w:val="28"/>
        </w:rPr>
      </w:pPr>
      <w:r w:rsidRPr="003E0E4B">
        <w:rPr>
          <w:rFonts w:ascii="Times New Roman" w:hAnsi="Times New Roman" w:cs="Times New Roman"/>
          <w:color w:val="000000"/>
          <w:sz w:val="28"/>
          <w:szCs w:val="28"/>
        </w:rPr>
        <w:t>Першим етапом моделювання стало формування інвестиційного портфеля за стратегією value, яка орієнтується на стабільні компанії з помірною вартістю, прогнозованими грошовими потоками та відносно низькою волатильністю. Такий портфель зазвичай включає активи, які мають фундаментальну недооціненість, високі дивіденди або сильну позицію на зрілих ринках. Для реалізації цієї стратегії було обрано низку компаній та ETF, що відповідають критеріям вартості та мають позитивну динаміку в умовах помірного ризику.</w:t>
      </w:r>
    </w:p>
    <w:p w:rsidR="00F30E41" w:rsidRPr="00B343C7" w:rsidRDefault="00F30E41" w:rsidP="00B343C7">
      <w:pPr>
        <w:tabs>
          <w:tab w:val="left" w:pos="6946"/>
        </w:tabs>
        <w:spacing w:after="0" w:line="360" w:lineRule="auto"/>
        <w:ind w:firstLine="709"/>
        <w:jc w:val="both"/>
        <w:rPr>
          <w:rFonts w:ascii="Times New Roman" w:hAnsi="Times New Roman" w:cs="Times New Roman"/>
          <w:color w:val="000000"/>
          <w:sz w:val="28"/>
          <w:szCs w:val="28"/>
        </w:rPr>
      </w:pPr>
      <w:r>
        <w:rPr>
          <w:noProof/>
          <w:lang w:val="ru-RU" w:eastAsia="ru-RU"/>
        </w:rPr>
        <w:pict>
          <v:shape id="_x0000_s1038" type="#_x0000_t75" style="position:absolute;left:0;text-align:left;margin-left:12.15pt;margin-top:-.5pt;width:380.15pt;height:179.05pt;z-index:251662848;visibility:visible">
            <v:imagedata r:id="rId47" o:title=""/>
            <w10:wrap type="topAndBottom"/>
          </v:shape>
          <o:OLEObject Type="Embed" ProgID="Excel.Chart.8" ShapeID="_x0000_s1038" DrawAspect="Content" ObjectID="_1811317246" r:id="rId48"/>
        </w:pict>
      </w:r>
      <w:r>
        <w:rPr>
          <w:rFonts w:ascii="Times New Roman" w:hAnsi="Times New Roman" w:cs="Times New Roman"/>
          <w:color w:val="000000"/>
          <w:sz w:val="28"/>
          <w:szCs w:val="28"/>
          <w:lang w:val="ru-RU"/>
        </w:rPr>
        <w:t xml:space="preserve">Рис. 3.3. </w:t>
      </w:r>
      <w:r w:rsidRPr="00933CDF">
        <w:rPr>
          <w:rFonts w:ascii="Times New Roman" w:hAnsi="Times New Roman" w:cs="Times New Roman"/>
          <w:color w:val="000000"/>
          <w:sz w:val="28"/>
          <w:szCs w:val="28"/>
        </w:rPr>
        <w:t>Структура портфеля за стратегією value</w:t>
      </w:r>
      <w:r>
        <w:rPr>
          <w:rFonts w:ascii="Times New Roman" w:hAnsi="Times New Roman" w:cs="Times New Roman"/>
          <w:color w:val="000000"/>
          <w:sz w:val="28"/>
          <w:szCs w:val="28"/>
          <w:lang w:val="ru-RU"/>
        </w:rPr>
        <w:t>.</w:t>
      </w:r>
    </w:p>
    <w:p w:rsidR="00F30E41" w:rsidRDefault="00F30E41" w:rsidP="007B73F6">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Джерело: складено автором.</w:t>
      </w:r>
    </w:p>
    <w:p w:rsidR="00F30E41" w:rsidRPr="002213A2" w:rsidRDefault="00F30E41" w:rsidP="007B73F6">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ru-RU"/>
        </w:rPr>
        <w:t xml:space="preserve">Основу портфеля складає </w:t>
      </w:r>
      <w:r w:rsidRPr="002213A2">
        <w:rPr>
          <w:rFonts w:ascii="Times New Roman" w:hAnsi="Times New Roman" w:cs="Times New Roman"/>
          <w:color w:val="000000"/>
          <w:sz w:val="28"/>
          <w:szCs w:val="28"/>
          <w:lang w:val="de-AT"/>
        </w:rPr>
        <w:t>Vanguard</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Value</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ETF</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VTV</w:t>
      </w:r>
      <w:r w:rsidRPr="002213A2">
        <w:rPr>
          <w:rFonts w:ascii="Times New Roman" w:hAnsi="Times New Roman" w:cs="Times New Roman"/>
          <w:color w:val="000000"/>
          <w:sz w:val="28"/>
          <w:szCs w:val="28"/>
          <w:lang w:val="ru-RU"/>
        </w:rPr>
        <w:t xml:space="preserve">) з часткою 40%. Це фонд, що репрезентує широкий набір </w:t>
      </w:r>
      <w:r w:rsidRPr="002213A2">
        <w:rPr>
          <w:rFonts w:ascii="Times New Roman" w:hAnsi="Times New Roman" w:cs="Times New Roman"/>
          <w:color w:val="000000"/>
          <w:sz w:val="28"/>
          <w:szCs w:val="28"/>
          <w:lang w:val="de-AT"/>
        </w:rPr>
        <w:t>value</w:t>
      </w:r>
      <w:r w:rsidRPr="002213A2">
        <w:rPr>
          <w:rFonts w:ascii="Times New Roman" w:hAnsi="Times New Roman" w:cs="Times New Roman"/>
          <w:color w:val="000000"/>
          <w:sz w:val="28"/>
          <w:szCs w:val="28"/>
          <w:lang w:val="ru-RU"/>
        </w:rPr>
        <w:t>-компаній американського ринку, забезпечуючи автоматичну диверсифікацію та зниження ризику. Через свою стратегію фонд охоплює компанії зі стабільною капіталізацією, історією прибутковості та сильними фундаментальними показниками, тому він є центральним елементом портфеля.</w:t>
      </w:r>
    </w:p>
    <w:p w:rsidR="00F30E41" w:rsidRPr="002213A2" w:rsidRDefault="00F30E41" w:rsidP="002213A2">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ru-RU"/>
        </w:rPr>
        <w:t xml:space="preserve">Другим за значенням компонентом є </w:t>
      </w:r>
      <w:r w:rsidRPr="002213A2">
        <w:rPr>
          <w:rFonts w:ascii="Times New Roman" w:hAnsi="Times New Roman" w:cs="Times New Roman"/>
          <w:color w:val="000000"/>
          <w:sz w:val="28"/>
          <w:szCs w:val="28"/>
          <w:lang w:val="de-AT"/>
        </w:rPr>
        <w:t>Vanguard</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Health</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Care</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ETF</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VHT</w:t>
      </w:r>
      <w:r w:rsidRPr="002213A2">
        <w:rPr>
          <w:rFonts w:ascii="Times New Roman" w:hAnsi="Times New Roman" w:cs="Times New Roman"/>
          <w:color w:val="000000"/>
          <w:sz w:val="28"/>
          <w:szCs w:val="28"/>
          <w:lang w:val="ru-RU"/>
        </w:rPr>
        <w:t>) з часткою 20%. Сектор охорони здоров’я традиційно вважається захисним і стійким до циклічних коливань, тому включення цього фонду допомагає знизити загальну волатильність портфеля та забезпечити стабільне зростання у довгостроковій перспективі.</w:t>
      </w:r>
    </w:p>
    <w:p w:rsidR="00F30E41" w:rsidRPr="002213A2" w:rsidRDefault="00F30E41" w:rsidP="002213A2">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de-AT"/>
        </w:rPr>
        <w:t>NVIDIA</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Corporation</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NVDA</w:t>
      </w:r>
      <w:r w:rsidRPr="002213A2">
        <w:rPr>
          <w:rFonts w:ascii="Times New Roman" w:hAnsi="Times New Roman" w:cs="Times New Roman"/>
          <w:color w:val="000000"/>
          <w:sz w:val="28"/>
          <w:szCs w:val="28"/>
          <w:lang w:val="ru-RU"/>
        </w:rPr>
        <w:t xml:space="preserve">) займає 9% портфеля </w:t>
      </w:r>
      <w:r>
        <w:rPr>
          <w:rFonts w:ascii="Times New Roman" w:hAnsi="Times New Roman" w:cs="Times New Roman"/>
          <w:color w:val="000000"/>
          <w:sz w:val="28"/>
          <w:szCs w:val="28"/>
          <w:lang w:val="ru-RU"/>
        </w:rPr>
        <w:t>-</w:t>
      </w:r>
      <w:r w:rsidRPr="002213A2">
        <w:rPr>
          <w:rFonts w:ascii="Times New Roman" w:hAnsi="Times New Roman" w:cs="Times New Roman"/>
          <w:color w:val="000000"/>
          <w:sz w:val="28"/>
          <w:szCs w:val="28"/>
          <w:lang w:val="ru-RU"/>
        </w:rPr>
        <w:t xml:space="preserve"> попри свою орієнтацію на зростання, компанія включена з огляду на її фінансові результати та стабільний розвиток навіть у періоди спаду. Це приклад активу, що поєднує ознаки зростання з внутрішньою вартістю.</w:t>
      </w:r>
    </w:p>
    <w:p w:rsidR="00F30E41" w:rsidRPr="00334113" w:rsidRDefault="00F30E41" w:rsidP="00A657AB">
      <w:pPr>
        <w:tabs>
          <w:tab w:val="left" w:pos="6946"/>
        </w:tabs>
        <w:spacing w:after="0" w:line="360" w:lineRule="auto"/>
        <w:ind w:firstLine="709"/>
        <w:jc w:val="both"/>
        <w:rPr>
          <w:rFonts w:ascii="Times New Roman" w:hAnsi="Times New Roman" w:cs="Times New Roman"/>
          <w:color w:val="000000"/>
          <w:sz w:val="28"/>
          <w:szCs w:val="28"/>
          <w:lang w:val="en-US"/>
        </w:rPr>
      </w:pPr>
      <w:r w:rsidRPr="002213A2">
        <w:rPr>
          <w:rFonts w:ascii="Times New Roman" w:hAnsi="Times New Roman" w:cs="Times New Roman"/>
          <w:color w:val="000000"/>
          <w:sz w:val="28"/>
          <w:szCs w:val="28"/>
          <w:lang w:val="de-AT"/>
        </w:rPr>
        <w:t>BMO</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Equal</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Weight</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Global</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Gold</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Index</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ETF</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ZGD</w:t>
      </w:r>
      <w:r w:rsidRPr="00334113">
        <w:rPr>
          <w:rFonts w:ascii="Times New Roman" w:hAnsi="Times New Roman" w:cs="Times New Roman"/>
          <w:color w:val="000000"/>
          <w:sz w:val="28"/>
          <w:szCs w:val="28"/>
          <w:lang w:val="en-US"/>
        </w:rPr>
        <w:t>:</w:t>
      </w:r>
      <w:r w:rsidRPr="002213A2">
        <w:rPr>
          <w:rFonts w:ascii="Times New Roman" w:hAnsi="Times New Roman" w:cs="Times New Roman"/>
          <w:color w:val="000000"/>
          <w:sz w:val="28"/>
          <w:szCs w:val="28"/>
          <w:lang w:val="de-AT"/>
        </w:rPr>
        <w:t>CA</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було</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включено</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з</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часткою</w:t>
      </w:r>
      <w:r w:rsidRPr="00334113">
        <w:rPr>
          <w:rFonts w:ascii="Times New Roman" w:hAnsi="Times New Roman" w:cs="Times New Roman"/>
          <w:color w:val="000000"/>
          <w:sz w:val="28"/>
          <w:szCs w:val="28"/>
          <w:lang w:val="en-US"/>
        </w:rPr>
        <w:t xml:space="preserve"> 8% </w:t>
      </w:r>
      <w:r w:rsidRPr="002213A2">
        <w:rPr>
          <w:rFonts w:ascii="Times New Roman" w:hAnsi="Times New Roman" w:cs="Times New Roman"/>
          <w:color w:val="000000"/>
          <w:sz w:val="28"/>
          <w:szCs w:val="28"/>
          <w:lang w:val="ru-RU"/>
        </w:rPr>
        <w:t>як</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інструмент</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захисту</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від</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інфляційних</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та</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геополітичних</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ризиків</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Золото</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традиційно</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відіграє</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роль</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хеджу</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в</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періоди</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нестабільності</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тому</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його</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присутність</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у</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de-AT"/>
        </w:rPr>
        <w:t>value</w:t>
      </w:r>
      <w:r w:rsidRPr="00334113">
        <w:rPr>
          <w:rFonts w:ascii="Times New Roman" w:hAnsi="Times New Roman" w:cs="Times New Roman"/>
          <w:color w:val="000000"/>
          <w:sz w:val="28"/>
          <w:szCs w:val="28"/>
          <w:lang w:val="en-US"/>
        </w:rPr>
        <w:t>-</w:t>
      </w:r>
      <w:r w:rsidRPr="002213A2">
        <w:rPr>
          <w:rFonts w:ascii="Times New Roman" w:hAnsi="Times New Roman" w:cs="Times New Roman"/>
          <w:color w:val="000000"/>
          <w:sz w:val="28"/>
          <w:szCs w:val="28"/>
          <w:lang w:val="ru-RU"/>
        </w:rPr>
        <w:t>портфелі</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є</w:t>
      </w:r>
      <w:r w:rsidRPr="00334113">
        <w:rPr>
          <w:rFonts w:ascii="Times New Roman" w:hAnsi="Times New Roman" w:cs="Times New Roman"/>
          <w:color w:val="000000"/>
          <w:sz w:val="28"/>
          <w:szCs w:val="28"/>
          <w:lang w:val="en-US"/>
        </w:rPr>
        <w:t xml:space="preserve"> </w:t>
      </w:r>
      <w:r w:rsidRPr="002213A2">
        <w:rPr>
          <w:rFonts w:ascii="Times New Roman" w:hAnsi="Times New Roman" w:cs="Times New Roman"/>
          <w:color w:val="000000"/>
          <w:sz w:val="28"/>
          <w:szCs w:val="28"/>
          <w:lang w:val="ru-RU"/>
        </w:rPr>
        <w:t>обґрунтованою</w:t>
      </w:r>
      <w:r w:rsidRPr="00334113">
        <w:rPr>
          <w:rFonts w:ascii="Times New Roman" w:hAnsi="Times New Roman" w:cs="Times New Roman"/>
          <w:color w:val="000000"/>
          <w:sz w:val="28"/>
          <w:szCs w:val="28"/>
          <w:lang w:val="en-US"/>
        </w:rPr>
        <w:t>.</w:t>
      </w:r>
    </w:p>
    <w:p w:rsidR="00F30E41" w:rsidRDefault="00F30E41" w:rsidP="00A657AB">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ru-RU"/>
        </w:rPr>
        <w:t>По 7% портфеля розподілено між трьома компаніями:</w:t>
      </w:r>
    </w:p>
    <w:p w:rsidR="00F30E41" w:rsidRDefault="00F30E41" w:rsidP="00A657AB">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de-AT"/>
        </w:rPr>
        <w:t>Exxon</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Mobil</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Corp</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XOM</w:t>
      </w:r>
      <w:r w:rsidRPr="002213A2">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w:t>
      </w:r>
      <w:r w:rsidRPr="002213A2">
        <w:rPr>
          <w:rFonts w:ascii="Times New Roman" w:hAnsi="Times New Roman" w:cs="Times New Roman"/>
          <w:color w:val="000000"/>
          <w:sz w:val="28"/>
          <w:szCs w:val="28"/>
          <w:lang w:val="ru-RU"/>
        </w:rPr>
        <w:t xml:space="preserve"> представник традиційного енергетичного сектору з високими дивідендами та стабільною бізнес-моделлю;</w:t>
      </w:r>
    </w:p>
    <w:p w:rsidR="00F30E41" w:rsidRDefault="00F30E41" w:rsidP="00A657AB">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de-AT"/>
        </w:rPr>
        <w:t>TotalEnergies</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SE</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ADR</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TTE</w:t>
      </w:r>
      <w:r w:rsidRPr="002213A2">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w:t>
      </w:r>
      <w:r w:rsidRPr="002213A2">
        <w:rPr>
          <w:rFonts w:ascii="Times New Roman" w:hAnsi="Times New Roman" w:cs="Times New Roman"/>
          <w:color w:val="000000"/>
          <w:sz w:val="28"/>
          <w:szCs w:val="28"/>
          <w:lang w:val="ru-RU"/>
        </w:rPr>
        <w:t xml:space="preserve"> ще один нафтогазовий гігант, що демонструє ознаки стійкості та вартості;</w:t>
      </w:r>
    </w:p>
    <w:p w:rsidR="00F30E41" w:rsidRPr="002213A2" w:rsidRDefault="00F30E41" w:rsidP="00A657AB">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de-AT"/>
        </w:rPr>
        <w:t>Nextera</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Energy</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Inc</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NEE</w:t>
      </w:r>
      <w:r w:rsidRPr="002213A2">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w:t>
      </w:r>
      <w:r w:rsidRPr="002213A2">
        <w:rPr>
          <w:rFonts w:ascii="Times New Roman" w:hAnsi="Times New Roman" w:cs="Times New Roman"/>
          <w:color w:val="000000"/>
          <w:sz w:val="28"/>
          <w:szCs w:val="28"/>
          <w:lang w:val="ru-RU"/>
        </w:rPr>
        <w:t xml:space="preserve"> компанія з фокусом на відновлювану енергетику, яка також поєднує стабільні доходи з перспективним напрямком розвитку.</w:t>
      </w:r>
    </w:p>
    <w:p w:rsidR="00F30E41" w:rsidRPr="00755236" w:rsidRDefault="00F30E41" w:rsidP="002213A2">
      <w:pPr>
        <w:tabs>
          <w:tab w:val="left" w:pos="6946"/>
        </w:tabs>
        <w:spacing w:after="0" w:line="360" w:lineRule="auto"/>
        <w:ind w:firstLine="709"/>
        <w:jc w:val="both"/>
        <w:rPr>
          <w:rFonts w:ascii="Times New Roman" w:hAnsi="Times New Roman" w:cs="Times New Roman"/>
          <w:color w:val="000000"/>
          <w:sz w:val="28"/>
          <w:szCs w:val="28"/>
          <w:lang w:val="ru-RU"/>
        </w:rPr>
      </w:pPr>
      <w:r w:rsidRPr="002213A2">
        <w:rPr>
          <w:rFonts w:ascii="Times New Roman" w:hAnsi="Times New Roman" w:cs="Times New Roman"/>
          <w:color w:val="000000"/>
          <w:sz w:val="28"/>
          <w:szCs w:val="28"/>
          <w:lang w:val="ru-RU"/>
        </w:rPr>
        <w:t xml:space="preserve">Нарешті, </w:t>
      </w:r>
      <w:r w:rsidRPr="002213A2">
        <w:rPr>
          <w:rFonts w:ascii="Times New Roman" w:hAnsi="Times New Roman" w:cs="Times New Roman"/>
          <w:color w:val="000000"/>
          <w:sz w:val="28"/>
          <w:szCs w:val="28"/>
          <w:lang w:val="de-AT"/>
        </w:rPr>
        <w:t>Pfizer</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Inc</w:t>
      </w:r>
      <w:r w:rsidRPr="002213A2">
        <w:rPr>
          <w:rFonts w:ascii="Times New Roman" w:hAnsi="Times New Roman" w:cs="Times New Roman"/>
          <w:color w:val="000000"/>
          <w:sz w:val="28"/>
          <w:szCs w:val="28"/>
          <w:lang w:val="ru-RU"/>
        </w:rPr>
        <w:t xml:space="preserve"> (</w:t>
      </w:r>
      <w:r w:rsidRPr="002213A2">
        <w:rPr>
          <w:rFonts w:ascii="Times New Roman" w:hAnsi="Times New Roman" w:cs="Times New Roman"/>
          <w:color w:val="000000"/>
          <w:sz w:val="28"/>
          <w:szCs w:val="28"/>
          <w:lang w:val="de-AT"/>
        </w:rPr>
        <w:t>PFE</w:t>
      </w:r>
      <w:r w:rsidRPr="002213A2">
        <w:rPr>
          <w:rFonts w:ascii="Times New Roman" w:hAnsi="Times New Roman" w:cs="Times New Roman"/>
          <w:color w:val="000000"/>
          <w:sz w:val="28"/>
          <w:szCs w:val="28"/>
          <w:lang w:val="ru-RU"/>
        </w:rPr>
        <w:t xml:space="preserve">) займає 2% у портфелі </w:t>
      </w:r>
      <w:r>
        <w:rPr>
          <w:rFonts w:ascii="Times New Roman" w:hAnsi="Times New Roman" w:cs="Times New Roman"/>
          <w:color w:val="000000"/>
          <w:sz w:val="28"/>
          <w:szCs w:val="28"/>
          <w:lang w:val="ru-RU"/>
        </w:rPr>
        <w:t>-</w:t>
      </w:r>
      <w:r w:rsidRPr="002213A2">
        <w:rPr>
          <w:rFonts w:ascii="Times New Roman" w:hAnsi="Times New Roman" w:cs="Times New Roman"/>
          <w:color w:val="000000"/>
          <w:sz w:val="28"/>
          <w:szCs w:val="28"/>
          <w:lang w:val="ru-RU"/>
        </w:rPr>
        <w:t xml:space="preserve"> її роль полягає у диверсифікації фармацевтичного сегменту, де компанія, попри не найвищу дохідність останніх років, залишається сильним брендом із прогнозованими дивідендами.</w:t>
      </w:r>
    </w:p>
    <w:p w:rsidR="00F30E41" w:rsidRPr="0033515E" w:rsidRDefault="00F30E41" w:rsidP="002213A2">
      <w:pPr>
        <w:tabs>
          <w:tab w:val="left" w:pos="6946"/>
        </w:tabs>
        <w:spacing w:after="0" w:line="360" w:lineRule="auto"/>
        <w:ind w:firstLine="709"/>
        <w:jc w:val="both"/>
        <w:rPr>
          <w:rFonts w:ascii="Times New Roman" w:hAnsi="Times New Roman" w:cs="Times New Roman"/>
          <w:color w:val="000000"/>
          <w:sz w:val="28"/>
          <w:szCs w:val="28"/>
          <w:lang w:val="ru-RU"/>
        </w:rPr>
      </w:pPr>
      <w:r w:rsidRPr="0033515E">
        <w:rPr>
          <w:rFonts w:ascii="Times New Roman" w:hAnsi="Times New Roman" w:cs="Times New Roman"/>
          <w:color w:val="000000"/>
          <w:sz w:val="28"/>
          <w:szCs w:val="28"/>
        </w:rPr>
        <w:t>Загалом побудова цього портфеля базувалася на поєднанні надійних секторів, дивідендної стратегії, помірного ризику та захисних інструментів, що є характерним для value-підходу. У наступних підпунктах буде здійснено аналогічне моделювання портфелів за стратегіями growth та income.</w:t>
      </w:r>
    </w:p>
    <w:p w:rsidR="00F30E41" w:rsidRDefault="00F30E41" w:rsidP="002213A2">
      <w:pPr>
        <w:tabs>
          <w:tab w:val="left" w:pos="6946"/>
        </w:tabs>
        <w:spacing w:after="0" w:line="360" w:lineRule="auto"/>
        <w:ind w:firstLine="709"/>
        <w:jc w:val="both"/>
        <w:rPr>
          <w:rFonts w:ascii="Times New Roman" w:hAnsi="Times New Roman" w:cs="Times New Roman"/>
          <w:color w:val="000000"/>
          <w:sz w:val="28"/>
          <w:szCs w:val="28"/>
          <w:lang w:val="ru-RU"/>
        </w:rPr>
      </w:pPr>
      <w:r>
        <w:rPr>
          <w:noProof/>
          <w:lang w:val="ru-RU" w:eastAsia="ru-RU"/>
        </w:rPr>
        <w:pict>
          <v:shape id="_x0000_s1039" type="#_x0000_t75" style="position:absolute;left:0;text-align:left;margin-left:-.95pt;margin-top:146.3pt;width:411.35pt;height:172.8pt;z-index:251663872;visibility:visible;mso-wrap-distance-bottom:.03pt">
            <v:imagedata r:id="rId49" o:title=""/>
            <w10:wrap type="topAndBottom"/>
          </v:shape>
          <o:OLEObject Type="Embed" ProgID="Excel.Chart.8" ShapeID="_x0000_s1039" DrawAspect="Content" ObjectID="_1811317247" r:id="rId50"/>
        </w:pict>
      </w:r>
      <w:r w:rsidRPr="00561E23">
        <w:rPr>
          <w:rFonts w:ascii="Times New Roman" w:hAnsi="Times New Roman" w:cs="Times New Roman"/>
          <w:color w:val="000000"/>
          <w:sz w:val="28"/>
          <w:szCs w:val="28"/>
        </w:rPr>
        <w:t>Наступним етапом було сформовано портфель за стратегією growth, яка орієнтується на активи з високим потенціалом зростання капіталу. Цей підхід передбачає включення компаній і фондів, що демонструють значне розширення бізнесу, зростання прибутків та інноваційність, навіть якщо вони не завжди мають стабільні дивідендні виплати. У рамках цієї стратегії перевага надається активам із високими темпами зростання, навіть за умов вищого ризику.</w:t>
      </w:r>
    </w:p>
    <w:p w:rsidR="00F30E41" w:rsidRPr="00933CDF" w:rsidRDefault="00F30E41" w:rsidP="009D21E0">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Рис. 3.4. </w:t>
      </w:r>
      <w:r w:rsidRPr="00933CDF">
        <w:rPr>
          <w:rFonts w:ascii="Times New Roman" w:hAnsi="Times New Roman" w:cs="Times New Roman"/>
          <w:color w:val="000000"/>
          <w:sz w:val="28"/>
          <w:szCs w:val="28"/>
        </w:rPr>
        <w:t xml:space="preserve">Структура портфеля за стратегією </w:t>
      </w:r>
      <w:r>
        <w:rPr>
          <w:rFonts w:ascii="Times New Roman" w:hAnsi="Times New Roman" w:cs="Times New Roman"/>
          <w:color w:val="000000"/>
          <w:sz w:val="28"/>
          <w:szCs w:val="28"/>
          <w:lang w:val="en-US"/>
        </w:rPr>
        <w:t>growth</w:t>
      </w:r>
      <w:r>
        <w:rPr>
          <w:rFonts w:ascii="Times New Roman" w:hAnsi="Times New Roman" w:cs="Times New Roman"/>
          <w:color w:val="000000"/>
          <w:sz w:val="28"/>
          <w:szCs w:val="28"/>
          <w:lang w:val="ru-RU"/>
        </w:rPr>
        <w:t>.</w:t>
      </w:r>
    </w:p>
    <w:p w:rsidR="00F30E41" w:rsidRPr="002213A2" w:rsidRDefault="00F30E41" w:rsidP="009D21E0">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Джерело: складено автором.</w:t>
      </w:r>
    </w:p>
    <w:p w:rsidR="00F30E41" w:rsidRPr="009D21E0" w:rsidRDefault="00F30E41" w:rsidP="009D21E0">
      <w:pPr>
        <w:tabs>
          <w:tab w:val="left" w:pos="6946"/>
        </w:tabs>
        <w:spacing w:after="0" w:line="360" w:lineRule="auto"/>
        <w:ind w:firstLine="709"/>
        <w:jc w:val="both"/>
        <w:rPr>
          <w:rFonts w:ascii="Times New Roman" w:hAnsi="Times New Roman" w:cs="Times New Roman"/>
          <w:color w:val="000000"/>
          <w:sz w:val="28"/>
          <w:szCs w:val="28"/>
          <w:lang w:val="ru-RU"/>
        </w:rPr>
      </w:pPr>
      <w:r w:rsidRPr="009D21E0">
        <w:rPr>
          <w:rFonts w:ascii="Times New Roman" w:hAnsi="Times New Roman" w:cs="Times New Roman"/>
          <w:color w:val="000000"/>
          <w:sz w:val="28"/>
          <w:szCs w:val="28"/>
          <w:lang w:val="ru-RU"/>
        </w:rPr>
        <w:t xml:space="preserve">Основу портфеля склали </w:t>
      </w:r>
      <w:r w:rsidRPr="009D21E0">
        <w:rPr>
          <w:rFonts w:ascii="Times New Roman" w:hAnsi="Times New Roman" w:cs="Times New Roman"/>
          <w:color w:val="000000"/>
          <w:sz w:val="28"/>
          <w:szCs w:val="28"/>
          <w:lang w:val="de-AT"/>
        </w:rPr>
        <w:t>Vanguard</w:t>
      </w:r>
      <w:r w:rsidRPr="009D21E0">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de-AT"/>
        </w:rPr>
        <w:t>Growth</w:t>
      </w:r>
      <w:r w:rsidRPr="009D21E0">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de-AT"/>
        </w:rPr>
        <w:t>ETF</w:t>
      </w:r>
      <w:r w:rsidRPr="009D21E0">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de-AT"/>
        </w:rPr>
        <w:t>VUG</w:t>
      </w:r>
      <w:r w:rsidRPr="009D21E0">
        <w:rPr>
          <w:rFonts w:ascii="Times New Roman" w:hAnsi="Times New Roman" w:cs="Times New Roman"/>
          <w:color w:val="000000"/>
          <w:sz w:val="28"/>
          <w:szCs w:val="28"/>
          <w:lang w:val="ru-RU"/>
        </w:rPr>
        <w:t xml:space="preserve">) з часткою 36%, який репрезентує широкий набір компаній з високим потенціалом зростання, зокрема в технологічному та споживчому секторах. Його використання дозволяє досягти глибокої диверсифікації всередині сегменту </w:t>
      </w:r>
      <w:r w:rsidRPr="009D21E0">
        <w:rPr>
          <w:rFonts w:ascii="Times New Roman" w:hAnsi="Times New Roman" w:cs="Times New Roman"/>
          <w:color w:val="000000"/>
          <w:sz w:val="28"/>
          <w:szCs w:val="28"/>
          <w:lang w:val="de-AT"/>
        </w:rPr>
        <w:t>growth</w:t>
      </w:r>
      <w:r w:rsidRPr="009D21E0">
        <w:rPr>
          <w:rFonts w:ascii="Times New Roman" w:hAnsi="Times New Roman" w:cs="Times New Roman"/>
          <w:color w:val="000000"/>
          <w:sz w:val="28"/>
          <w:szCs w:val="28"/>
          <w:lang w:val="ru-RU"/>
        </w:rPr>
        <w:t xml:space="preserve"> і зменшити вплив окремих активів на загальний результат.</w:t>
      </w:r>
    </w:p>
    <w:p w:rsidR="00F30E41" w:rsidRPr="0055370E" w:rsidRDefault="00F30E41" w:rsidP="0055370E">
      <w:pPr>
        <w:tabs>
          <w:tab w:val="left" w:pos="6946"/>
        </w:tabs>
        <w:spacing w:after="0" w:line="360" w:lineRule="auto"/>
        <w:ind w:firstLine="709"/>
        <w:jc w:val="both"/>
        <w:rPr>
          <w:rFonts w:ascii="Times New Roman" w:hAnsi="Times New Roman" w:cs="Times New Roman"/>
          <w:color w:val="000000"/>
          <w:sz w:val="28"/>
          <w:szCs w:val="28"/>
          <w:lang w:val="ru-RU"/>
        </w:rPr>
      </w:pPr>
      <w:r w:rsidRPr="009D21E0">
        <w:rPr>
          <w:rFonts w:ascii="Times New Roman" w:hAnsi="Times New Roman" w:cs="Times New Roman"/>
          <w:color w:val="000000"/>
          <w:sz w:val="28"/>
          <w:szCs w:val="28"/>
          <w:lang w:val="ru-RU"/>
        </w:rPr>
        <w:t xml:space="preserve">З огляду на динаміку ринку останніх років, до портфеля було включено </w:t>
      </w:r>
      <w:r w:rsidRPr="009D21E0">
        <w:rPr>
          <w:rFonts w:ascii="Times New Roman" w:hAnsi="Times New Roman" w:cs="Times New Roman"/>
          <w:color w:val="000000"/>
          <w:sz w:val="28"/>
          <w:szCs w:val="28"/>
          <w:lang w:val="de-AT"/>
        </w:rPr>
        <w:t>Bitcoin</w:t>
      </w:r>
      <w:r w:rsidRPr="009D21E0">
        <w:rPr>
          <w:rFonts w:ascii="Times New Roman" w:hAnsi="Times New Roman" w:cs="Times New Roman"/>
          <w:color w:val="000000"/>
          <w:sz w:val="28"/>
          <w:szCs w:val="28"/>
          <w:lang w:val="ru-RU"/>
        </w:rPr>
        <w:t xml:space="preserve"> (14%), як інструмент, що поєднує надвисокий потенціал зростання з високим ризиком. Хоча стратегія передбачала обмеження до 10% на один актив, у випадку біткоїна було прийнято рішення вийти за межі цієї межі до 14%, оскільки симуляція показала суттєвий вплив цього активу на загальну прибутковість портфеля при контрольованому ризику.</w:t>
      </w:r>
    </w:p>
    <w:p w:rsidR="00F30E41" w:rsidRPr="0055370E" w:rsidRDefault="00F30E41" w:rsidP="0055370E">
      <w:pPr>
        <w:tabs>
          <w:tab w:val="left" w:pos="6946"/>
        </w:tabs>
        <w:spacing w:after="0" w:line="360" w:lineRule="auto"/>
        <w:ind w:firstLine="709"/>
        <w:jc w:val="both"/>
        <w:rPr>
          <w:rFonts w:ascii="Times New Roman" w:hAnsi="Times New Roman" w:cs="Times New Roman"/>
          <w:color w:val="000000"/>
          <w:sz w:val="28"/>
          <w:szCs w:val="28"/>
          <w:lang w:val="ru-RU"/>
        </w:rPr>
      </w:pPr>
      <w:r w:rsidRPr="009D21E0">
        <w:rPr>
          <w:rFonts w:ascii="Times New Roman" w:hAnsi="Times New Roman" w:cs="Times New Roman"/>
          <w:color w:val="000000"/>
          <w:sz w:val="28"/>
          <w:szCs w:val="28"/>
          <w:lang w:val="de-AT"/>
        </w:rPr>
        <w:t>NVIDIA</w:t>
      </w:r>
      <w:r w:rsidRPr="009D21E0">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de-AT"/>
        </w:rPr>
        <w:t>Corporation</w:t>
      </w:r>
      <w:r w:rsidRPr="009D21E0">
        <w:rPr>
          <w:rFonts w:ascii="Times New Roman" w:hAnsi="Times New Roman" w:cs="Times New Roman"/>
          <w:color w:val="000000"/>
          <w:sz w:val="28"/>
          <w:szCs w:val="28"/>
          <w:lang w:val="ru-RU"/>
        </w:rPr>
        <w:t xml:space="preserve"> (13%) також входить до складу як технологічна компанія з вибуховим ростом, що вже багато років перевищує очікування аналітиків. </w:t>
      </w:r>
    </w:p>
    <w:p w:rsidR="00F30E41" w:rsidRPr="00755236" w:rsidRDefault="00F30E41" w:rsidP="0055370E">
      <w:pPr>
        <w:tabs>
          <w:tab w:val="left" w:pos="6946"/>
        </w:tabs>
        <w:spacing w:after="0" w:line="360" w:lineRule="auto"/>
        <w:ind w:firstLine="709"/>
        <w:jc w:val="both"/>
        <w:rPr>
          <w:rFonts w:ascii="Times New Roman" w:hAnsi="Times New Roman" w:cs="Times New Roman"/>
          <w:color w:val="000000"/>
          <w:sz w:val="28"/>
          <w:szCs w:val="28"/>
          <w:lang w:val="ru-RU"/>
        </w:rPr>
      </w:pPr>
      <w:r w:rsidRPr="009D21E0">
        <w:rPr>
          <w:rFonts w:ascii="Times New Roman" w:hAnsi="Times New Roman" w:cs="Times New Roman"/>
          <w:color w:val="000000"/>
          <w:sz w:val="28"/>
          <w:szCs w:val="28"/>
          <w:lang w:val="en-US"/>
        </w:rPr>
        <w:t>Vanguard</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en-US"/>
        </w:rPr>
        <w:t>Health</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en-US"/>
        </w:rPr>
        <w:t>Care</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en-US"/>
        </w:rPr>
        <w:t>ETF</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en-US"/>
        </w:rPr>
        <w:t>VHT</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займає</w:t>
      </w:r>
      <w:r w:rsidRPr="00755236">
        <w:rPr>
          <w:rFonts w:ascii="Times New Roman" w:hAnsi="Times New Roman" w:cs="Times New Roman"/>
          <w:color w:val="000000"/>
          <w:sz w:val="28"/>
          <w:szCs w:val="28"/>
          <w:lang w:val="ru-RU"/>
        </w:rPr>
        <w:t xml:space="preserve"> 15% </w:t>
      </w:r>
      <w:r w:rsidRPr="009D21E0">
        <w:rPr>
          <w:rFonts w:ascii="Times New Roman" w:hAnsi="Times New Roman" w:cs="Times New Roman"/>
          <w:color w:val="000000"/>
          <w:sz w:val="28"/>
          <w:szCs w:val="28"/>
          <w:lang w:val="ru-RU"/>
        </w:rPr>
        <w:t>портфеля</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як</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захисний</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елемент</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який</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допомагає</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частково</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знизити</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ризик</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забезпечуючи</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стабільність</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у</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кризових</w:t>
      </w:r>
      <w:r w:rsidRPr="00755236">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ru-RU"/>
        </w:rPr>
        <w:t>періодах</w:t>
      </w:r>
      <w:r w:rsidRPr="00755236">
        <w:rPr>
          <w:rFonts w:ascii="Times New Roman" w:hAnsi="Times New Roman" w:cs="Times New Roman"/>
          <w:color w:val="000000"/>
          <w:sz w:val="28"/>
          <w:szCs w:val="28"/>
          <w:lang w:val="ru-RU"/>
        </w:rPr>
        <w:t>.</w:t>
      </w:r>
    </w:p>
    <w:p w:rsidR="00F30E41" w:rsidRPr="009D21E0" w:rsidRDefault="00F30E41" w:rsidP="009D21E0">
      <w:pPr>
        <w:tabs>
          <w:tab w:val="left" w:pos="6946"/>
        </w:tabs>
        <w:spacing w:after="0" w:line="360" w:lineRule="auto"/>
        <w:ind w:firstLine="709"/>
        <w:jc w:val="both"/>
        <w:rPr>
          <w:rFonts w:ascii="Times New Roman" w:hAnsi="Times New Roman" w:cs="Times New Roman"/>
          <w:color w:val="000000"/>
          <w:sz w:val="28"/>
          <w:szCs w:val="28"/>
          <w:lang w:val="ru-RU"/>
        </w:rPr>
      </w:pPr>
      <w:r w:rsidRPr="009D21E0">
        <w:rPr>
          <w:rFonts w:ascii="Times New Roman" w:hAnsi="Times New Roman" w:cs="Times New Roman"/>
          <w:color w:val="000000"/>
          <w:sz w:val="28"/>
          <w:szCs w:val="28"/>
          <w:lang w:val="en-US"/>
        </w:rPr>
        <w:t xml:space="preserve">BMO Equal Weight Global Gold Index ETF (ZGD) </w:t>
      </w:r>
      <w:r w:rsidRPr="009D21E0">
        <w:rPr>
          <w:rFonts w:ascii="Times New Roman" w:hAnsi="Times New Roman" w:cs="Times New Roman"/>
          <w:color w:val="000000"/>
          <w:sz w:val="28"/>
          <w:szCs w:val="28"/>
          <w:lang w:val="de-AT"/>
        </w:rPr>
        <w:t>було</w:t>
      </w:r>
      <w:r w:rsidRPr="009D21E0">
        <w:rPr>
          <w:rFonts w:ascii="Times New Roman" w:hAnsi="Times New Roman" w:cs="Times New Roman"/>
          <w:color w:val="000000"/>
          <w:sz w:val="28"/>
          <w:szCs w:val="28"/>
          <w:lang w:val="en-US"/>
        </w:rPr>
        <w:t xml:space="preserve"> </w:t>
      </w:r>
      <w:r w:rsidRPr="009D21E0">
        <w:rPr>
          <w:rFonts w:ascii="Times New Roman" w:hAnsi="Times New Roman" w:cs="Times New Roman"/>
          <w:color w:val="000000"/>
          <w:sz w:val="28"/>
          <w:szCs w:val="28"/>
          <w:lang w:val="de-AT"/>
        </w:rPr>
        <w:t>включено</w:t>
      </w:r>
      <w:r w:rsidRPr="009D21E0">
        <w:rPr>
          <w:rFonts w:ascii="Times New Roman" w:hAnsi="Times New Roman" w:cs="Times New Roman"/>
          <w:color w:val="000000"/>
          <w:sz w:val="28"/>
          <w:szCs w:val="28"/>
          <w:lang w:val="en-US"/>
        </w:rPr>
        <w:t xml:space="preserve"> </w:t>
      </w:r>
      <w:r w:rsidRPr="009D21E0">
        <w:rPr>
          <w:rFonts w:ascii="Times New Roman" w:hAnsi="Times New Roman" w:cs="Times New Roman"/>
          <w:color w:val="000000"/>
          <w:sz w:val="28"/>
          <w:szCs w:val="28"/>
          <w:lang w:val="de-AT"/>
        </w:rPr>
        <w:t>з</w:t>
      </w:r>
      <w:r w:rsidRPr="009D21E0">
        <w:rPr>
          <w:rFonts w:ascii="Times New Roman" w:hAnsi="Times New Roman" w:cs="Times New Roman"/>
          <w:color w:val="000000"/>
          <w:sz w:val="28"/>
          <w:szCs w:val="28"/>
          <w:lang w:val="en-US"/>
        </w:rPr>
        <w:t xml:space="preserve"> </w:t>
      </w:r>
      <w:r w:rsidRPr="009D21E0">
        <w:rPr>
          <w:rFonts w:ascii="Times New Roman" w:hAnsi="Times New Roman" w:cs="Times New Roman"/>
          <w:color w:val="000000"/>
          <w:sz w:val="28"/>
          <w:szCs w:val="28"/>
          <w:lang w:val="de-AT"/>
        </w:rPr>
        <w:t>часткою</w:t>
      </w:r>
      <w:r w:rsidRPr="009D21E0">
        <w:rPr>
          <w:rFonts w:ascii="Times New Roman" w:hAnsi="Times New Roman" w:cs="Times New Roman"/>
          <w:color w:val="000000"/>
          <w:sz w:val="28"/>
          <w:szCs w:val="28"/>
          <w:lang w:val="en-US"/>
        </w:rPr>
        <w:t xml:space="preserve"> </w:t>
      </w:r>
      <w:r w:rsidRPr="009D21E0">
        <w:rPr>
          <w:rFonts w:ascii="Times New Roman" w:hAnsi="Times New Roman" w:cs="Times New Roman"/>
          <w:color w:val="000000"/>
          <w:sz w:val="28"/>
          <w:szCs w:val="28"/>
          <w:lang w:val="ru-RU"/>
        </w:rPr>
        <w:t>10% як інструмент для часткового хеджування ризику через експозицію на товарний ринок. Хоча золото не належить до активів зростання, його додано для балансування портфеля на випадок ринкової нестабільності.</w:t>
      </w:r>
    </w:p>
    <w:p w:rsidR="00F30E41" w:rsidRPr="009D21E0" w:rsidRDefault="00F30E41" w:rsidP="009D21E0">
      <w:pPr>
        <w:tabs>
          <w:tab w:val="left" w:pos="6946"/>
        </w:tabs>
        <w:spacing w:after="0" w:line="360" w:lineRule="auto"/>
        <w:ind w:firstLine="709"/>
        <w:jc w:val="both"/>
        <w:rPr>
          <w:rFonts w:ascii="Times New Roman" w:hAnsi="Times New Roman" w:cs="Times New Roman"/>
          <w:color w:val="000000"/>
          <w:sz w:val="28"/>
          <w:szCs w:val="28"/>
          <w:lang w:val="ru-RU"/>
        </w:rPr>
      </w:pPr>
      <w:r w:rsidRPr="009D21E0">
        <w:rPr>
          <w:rFonts w:ascii="Times New Roman" w:hAnsi="Times New Roman" w:cs="Times New Roman"/>
          <w:color w:val="000000"/>
          <w:sz w:val="28"/>
          <w:szCs w:val="28"/>
          <w:lang w:val="ru-RU"/>
        </w:rPr>
        <w:t xml:space="preserve">Крім того, включено </w:t>
      </w:r>
      <w:r w:rsidRPr="009D21E0">
        <w:rPr>
          <w:rFonts w:ascii="Times New Roman" w:hAnsi="Times New Roman" w:cs="Times New Roman"/>
          <w:color w:val="000000"/>
          <w:sz w:val="28"/>
          <w:szCs w:val="28"/>
          <w:lang w:val="de-AT"/>
        </w:rPr>
        <w:t>ASML</w:t>
      </w:r>
      <w:r w:rsidRPr="009D21E0">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de-AT"/>
        </w:rPr>
        <w:t>Holding</w:t>
      </w:r>
      <w:r w:rsidRPr="009D21E0">
        <w:rPr>
          <w:rFonts w:ascii="Times New Roman" w:hAnsi="Times New Roman" w:cs="Times New Roman"/>
          <w:color w:val="000000"/>
          <w:sz w:val="28"/>
          <w:szCs w:val="28"/>
          <w:lang w:val="ru-RU"/>
        </w:rPr>
        <w:t xml:space="preserve"> (7%) та </w:t>
      </w:r>
      <w:r w:rsidRPr="009D21E0">
        <w:rPr>
          <w:rFonts w:ascii="Times New Roman" w:hAnsi="Times New Roman" w:cs="Times New Roman"/>
          <w:color w:val="000000"/>
          <w:sz w:val="28"/>
          <w:szCs w:val="28"/>
          <w:lang w:val="de-AT"/>
        </w:rPr>
        <w:t>Sony</w:t>
      </w:r>
      <w:r w:rsidRPr="009D21E0">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de-AT"/>
        </w:rPr>
        <w:t>Group</w:t>
      </w:r>
      <w:r w:rsidRPr="009D21E0">
        <w:rPr>
          <w:rFonts w:ascii="Times New Roman" w:hAnsi="Times New Roman" w:cs="Times New Roman"/>
          <w:color w:val="000000"/>
          <w:sz w:val="28"/>
          <w:szCs w:val="28"/>
          <w:lang w:val="ru-RU"/>
        </w:rPr>
        <w:t xml:space="preserve"> </w:t>
      </w:r>
      <w:r w:rsidRPr="009D21E0">
        <w:rPr>
          <w:rFonts w:ascii="Times New Roman" w:hAnsi="Times New Roman" w:cs="Times New Roman"/>
          <w:color w:val="000000"/>
          <w:sz w:val="28"/>
          <w:szCs w:val="28"/>
          <w:lang w:val="de-AT"/>
        </w:rPr>
        <w:t>Corp</w:t>
      </w:r>
      <w:r w:rsidRPr="009D21E0">
        <w:rPr>
          <w:rFonts w:ascii="Times New Roman" w:hAnsi="Times New Roman" w:cs="Times New Roman"/>
          <w:color w:val="000000"/>
          <w:sz w:val="28"/>
          <w:szCs w:val="28"/>
          <w:lang w:val="ru-RU"/>
        </w:rPr>
        <w:t xml:space="preserve"> (5%) </w:t>
      </w:r>
      <w:r w:rsidRPr="0055370E">
        <w:rPr>
          <w:rFonts w:ascii="Times New Roman" w:hAnsi="Times New Roman" w:cs="Times New Roman"/>
          <w:color w:val="000000"/>
          <w:sz w:val="28"/>
          <w:szCs w:val="28"/>
          <w:lang w:val="ru-RU"/>
        </w:rPr>
        <w:t>-</w:t>
      </w:r>
      <w:r w:rsidRPr="009D21E0">
        <w:rPr>
          <w:rFonts w:ascii="Times New Roman" w:hAnsi="Times New Roman" w:cs="Times New Roman"/>
          <w:color w:val="000000"/>
          <w:sz w:val="28"/>
          <w:szCs w:val="28"/>
          <w:lang w:val="ru-RU"/>
        </w:rPr>
        <w:t xml:space="preserve"> обидві компанії є прикладами стійкого зростання на глобальному ринку завдяки інноваційним продуктам та лідерським позиціям у своїх галузях.</w:t>
      </w:r>
    </w:p>
    <w:p w:rsidR="00F30E41" w:rsidRPr="009D21E0" w:rsidRDefault="00F30E41" w:rsidP="009D21E0">
      <w:pPr>
        <w:tabs>
          <w:tab w:val="left" w:pos="6946"/>
        </w:tabs>
        <w:spacing w:after="0" w:line="360" w:lineRule="auto"/>
        <w:ind w:firstLine="709"/>
        <w:jc w:val="both"/>
        <w:rPr>
          <w:rFonts w:ascii="Times New Roman" w:hAnsi="Times New Roman" w:cs="Times New Roman"/>
          <w:color w:val="000000"/>
          <w:sz w:val="28"/>
          <w:szCs w:val="28"/>
          <w:lang w:val="ru-RU"/>
        </w:rPr>
      </w:pPr>
      <w:r w:rsidRPr="009D21E0">
        <w:rPr>
          <w:rFonts w:ascii="Times New Roman" w:hAnsi="Times New Roman" w:cs="Times New Roman"/>
          <w:color w:val="000000"/>
          <w:sz w:val="28"/>
          <w:szCs w:val="28"/>
          <w:lang w:val="ru-RU"/>
        </w:rPr>
        <w:t xml:space="preserve">Таким чином, портфель </w:t>
      </w:r>
      <w:r w:rsidRPr="009D21E0">
        <w:rPr>
          <w:rFonts w:ascii="Times New Roman" w:hAnsi="Times New Roman" w:cs="Times New Roman"/>
          <w:color w:val="000000"/>
          <w:sz w:val="28"/>
          <w:szCs w:val="28"/>
          <w:lang w:val="de-AT"/>
        </w:rPr>
        <w:t>growth</w:t>
      </w:r>
      <w:r w:rsidRPr="009D21E0">
        <w:rPr>
          <w:rFonts w:ascii="Times New Roman" w:hAnsi="Times New Roman" w:cs="Times New Roman"/>
          <w:color w:val="000000"/>
          <w:sz w:val="28"/>
          <w:szCs w:val="28"/>
          <w:lang w:val="ru-RU"/>
        </w:rPr>
        <w:t>-стратегії сформовано на основі високопотенційних активів, серед яких значну роль відіграють технології та цифрові активи. Загальний ризик портфеля зростає, проте це виправдано очікуваним приростом капіталу у довгостроковій перспективі.</w:t>
      </w:r>
    </w:p>
    <w:p w:rsidR="00F30E41" w:rsidRDefault="00F30E41" w:rsidP="0050064B">
      <w:pPr>
        <w:tabs>
          <w:tab w:val="left" w:pos="6946"/>
        </w:tabs>
        <w:spacing w:after="0" w:line="360" w:lineRule="auto"/>
        <w:ind w:firstLine="709"/>
        <w:jc w:val="both"/>
        <w:rPr>
          <w:rFonts w:ascii="Times New Roman" w:hAnsi="Times New Roman" w:cs="Times New Roman"/>
          <w:color w:val="000000"/>
          <w:sz w:val="28"/>
          <w:szCs w:val="28"/>
        </w:rPr>
      </w:pPr>
      <w:r>
        <w:rPr>
          <w:noProof/>
          <w:lang w:val="ru-RU" w:eastAsia="ru-RU"/>
        </w:rPr>
        <w:pict>
          <v:shape id="_x0000_s1040" type="#_x0000_t75" style="position:absolute;left:0;text-align:left;margin-left:9.45pt;margin-top:40.75pt;width:410.9pt;height:179.5pt;z-index:251664896;visibility:visible">
            <v:imagedata r:id="rId51" o:title=""/>
            <w10:wrap type="topAndBottom"/>
          </v:shape>
          <o:OLEObject Type="Embed" ProgID="Excel.Chart.8" ShapeID="_x0000_s1040" DrawAspect="Content" ObjectID="_1811317248" r:id="rId52"/>
        </w:pict>
      </w:r>
      <w:r w:rsidRPr="00864814">
        <w:rPr>
          <w:rFonts w:ascii="Times New Roman" w:hAnsi="Times New Roman" w:cs="Times New Roman"/>
          <w:color w:val="000000"/>
          <w:sz w:val="28"/>
          <w:szCs w:val="28"/>
          <w:lang w:val="ru-RU"/>
        </w:rPr>
        <w:t>Дал</w:t>
      </w:r>
      <w:r w:rsidRPr="00864814">
        <w:rPr>
          <w:rFonts w:ascii="Times New Roman" w:hAnsi="Times New Roman" w:cs="Times New Roman"/>
          <w:color w:val="000000"/>
          <w:sz w:val="28"/>
          <w:szCs w:val="28"/>
        </w:rPr>
        <w:t xml:space="preserve">і було сформовано портфель за стратегією income, який спрямований на досягнення стабільного грошового потоку при мінімальному рівні ризику. </w:t>
      </w:r>
    </w:p>
    <w:p w:rsidR="00F30E41" w:rsidRPr="00933CDF" w:rsidRDefault="00F30E41" w:rsidP="00C14E76">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Рис. 3.5. </w:t>
      </w:r>
      <w:r w:rsidRPr="00933CDF">
        <w:rPr>
          <w:rFonts w:ascii="Times New Roman" w:hAnsi="Times New Roman" w:cs="Times New Roman"/>
          <w:color w:val="000000"/>
          <w:sz w:val="28"/>
          <w:szCs w:val="28"/>
        </w:rPr>
        <w:t xml:space="preserve">Структура портфеля за стратегією </w:t>
      </w:r>
      <w:r>
        <w:rPr>
          <w:rFonts w:ascii="Times New Roman" w:hAnsi="Times New Roman" w:cs="Times New Roman"/>
          <w:color w:val="000000"/>
          <w:sz w:val="28"/>
          <w:szCs w:val="28"/>
          <w:lang w:val="en-US"/>
        </w:rPr>
        <w:t>income</w:t>
      </w:r>
      <w:r>
        <w:rPr>
          <w:rFonts w:ascii="Times New Roman" w:hAnsi="Times New Roman" w:cs="Times New Roman"/>
          <w:color w:val="000000"/>
          <w:sz w:val="28"/>
          <w:szCs w:val="28"/>
          <w:lang w:val="ru-RU"/>
        </w:rPr>
        <w:t>.</w:t>
      </w:r>
    </w:p>
    <w:p w:rsidR="00F30E41" w:rsidRPr="00755236" w:rsidRDefault="00F30E41" w:rsidP="00C14E76">
      <w:pPr>
        <w:tabs>
          <w:tab w:val="left" w:pos="6946"/>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Джерело: складено автором.</w:t>
      </w:r>
    </w:p>
    <w:p w:rsidR="00F30E41" w:rsidRPr="00D600E3" w:rsidRDefault="00F30E41" w:rsidP="00905FCC">
      <w:pPr>
        <w:tabs>
          <w:tab w:val="left" w:pos="6946"/>
        </w:tabs>
        <w:spacing w:after="0" w:line="360" w:lineRule="auto"/>
        <w:ind w:firstLine="709"/>
        <w:jc w:val="both"/>
        <w:rPr>
          <w:rFonts w:ascii="Times New Roman" w:hAnsi="Times New Roman" w:cs="Times New Roman"/>
          <w:color w:val="000000"/>
          <w:sz w:val="28"/>
          <w:szCs w:val="28"/>
          <w:lang w:val="ru-RU"/>
        </w:rPr>
      </w:pPr>
      <w:r w:rsidRPr="00755236">
        <w:rPr>
          <w:rFonts w:ascii="Times New Roman" w:hAnsi="Times New Roman" w:cs="Times New Roman"/>
          <w:color w:val="000000"/>
          <w:sz w:val="28"/>
          <w:szCs w:val="28"/>
          <w:lang w:val="ru-RU"/>
        </w:rPr>
        <w:t xml:space="preserve">Основу портфеля склав </w:t>
      </w:r>
      <w:r w:rsidRPr="00905FCC">
        <w:rPr>
          <w:rFonts w:ascii="Times New Roman" w:hAnsi="Times New Roman" w:cs="Times New Roman"/>
          <w:color w:val="000000"/>
          <w:sz w:val="28"/>
          <w:szCs w:val="28"/>
          <w:lang w:val="en-US"/>
        </w:rPr>
        <w:t>Vanguard</w:t>
      </w:r>
      <w:r w:rsidRPr="00755236">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Health</w:t>
      </w:r>
      <w:r w:rsidRPr="00755236">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Care</w:t>
      </w:r>
      <w:r w:rsidRPr="00755236">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ETF</w:t>
      </w:r>
      <w:r w:rsidRPr="00755236">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VHT</w:t>
      </w:r>
      <w:r w:rsidRPr="00755236">
        <w:rPr>
          <w:rFonts w:ascii="Times New Roman" w:hAnsi="Times New Roman" w:cs="Times New Roman"/>
          <w:color w:val="000000"/>
          <w:sz w:val="28"/>
          <w:szCs w:val="28"/>
          <w:lang w:val="ru-RU"/>
        </w:rPr>
        <w:t xml:space="preserve">) з часткою </w:t>
      </w:r>
      <w:r w:rsidRPr="00D600E3">
        <w:rPr>
          <w:rFonts w:ascii="Times New Roman" w:hAnsi="Times New Roman" w:cs="Times New Roman"/>
          <w:color w:val="000000"/>
          <w:sz w:val="28"/>
          <w:szCs w:val="28"/>
          <w:lang w:val="ru-RU"/>
        </w:rPr>
        <w:t xml:space="preserve">40%. Сектор охорони здоров’я демонструє стабільні фінансові показники навіть у періоди економічної турбулентності, а компанії в його складі зазвичай мають передбачувану дивідендну політику, що робить цей </w:t>
      </w:r>
      <w:r w:rsidRPr="00905FCC">
        <w:rPr>
          <w:rFonts w:ascii="Times New Roman" w:hAnsi="Times New Roman" w:cs="Times New Roman"/>
          <w:color w:val="000000"/>
          <w:sz w:val="28"/>
          <w:szCs w:val="28"/>
          <w:lang w:val="en-US"/>
        </w:rPr>
        <w:t>ETF</w:t>
      </w:r>
      <w:r w:rsidRPr="00D600E3">
        <w:rPr>
          <w:rFonts w:ascii="Times New Roman" w:hAnsi="Times New Roman" w:cs="Times New Roman"/>
          <w:color w:val="000000"/>
          <w:sz w:val="28"/>
          <w:szCs w:val="28"/>
          <w:lang w:val="ru-RU"/>
        </w:rPr>
        <w:t xml:space="preserve"> ідеальним для стратегії </w:t>
      </w:r>
      <w:r w:rsidRPr="00905FCC">
        <w:rPr>
          <w:rFonts w:ascii="Times New Roman" w:hAnsi="Times New Roman" w:cs="Times New Roman"/>
          <w:color w:val="000000"/>
          <w:sz w:val="28"/>
          <w:szCs w:val="28"/>
          <w:lang w:val="en-US"/>
        </w:rPr>
        <w:t>income</w:t>
      </w:r>
      <w:r w:rsidRPr="00D600E3">
        <w:rPr>
          <w:rFonts w:ascii="Times New Roman" w:hAnsi="Times New Roman" w:cs="Times New Roman"/>
          <w:color w:val="000000"/>
          <w:sz w:val="28"/>
          <w:szCs w:val="28"/>
          <w:lang w:val="ru-RU"/>
        </w:rPr>
        <w:t>.</w:t>
      </w:r>
    </w:p>
    <w:p w:rsidR="00F30E41" w:rsidRPr="00905FCC" w:rsidRDefault="00F30E41" w:rsidP="00905FCC">
      <w:pPr>
        <w:tabs>
          <w:tab w:val="left" w:pos="6946"/>
        </w:tabs>
        <w:spacing w:after="0" w:line="360" w:lineRule="auto"/>
        <w:ind w:firstLine="709"/>
        <w:jc w:val="both"/>
        <w:rPr>
          <w:rFonts w:ascii="Times New Roman" w:hAnsi="Times New Roman" w:cs="Times New Roman"/>
          <w:color w:val="000000"/>
          <w:sz w:val="28"/>
          <w:szCs w:val="28"/>
          <w:lang w:val="ru-RU"/>
        </w:rPr>
      </w:pPr>
      <w:r w:rsidRPr="00D600E3">
        <w:rPr>
          <w:rFonts w:ascii="Times New Roman" w:hAnsi="Times New Roman" w:cs="Times New Roman"/>
          <w:color w:val="000000"/>
          <w:sz w:val="28"/>
          <w:szCs w:val="28"/>
          <w:lang w:val="ru-RU"/>
        </w:rPr>
        <w:t xml:space="preserve">Другим за значенням активом став </w:t>
      </w:r>
      <w:r w:rsidRPr="00905FCC">
        <w:rPr>
          <w:rFonts w:ascii="Times New Roman" w:hAnsi="Times New Roman" w:cs="Times New Roman"/>
          <w:color w:val="000000"/>
          <w:sz w:val="28"/>
          <w:szCs w:val="28"/>
          <w:lang w:val="en-US"/>
        </w:rPr>
        <w:t>iShares</w:t>
      </w:r>
      <w:r w:rsidRPr="00D600E3">
        <w:rPr>
          <w:rFonts w:ascii="Times New Roman" w:hAnsi="Times New Roman" w:cs="Times New Roman"/>
          <w:color w:val="000000"/>
          <w:sz w:val="28"/>
          <w:szCs w:val="28"/>
          <w:lang w:val="ru-RU"/>
        </w:rPr>
        <w:t xml:space="preserve"> 1–3 </w:t>
      </w:r>
      <w:r w:rsidRPr="00905FCC">
        <w:rPr>
          <w:rFonts w:ascii="Times New Roman" w:hAnsi="Times New Roman" w:cs="Times New Roman"/>
          <w:color w:val="000000"/>
          <w:sz w:val="28"/>
          <w:szCs w:val="28"/>
          <w:lang w:val="en-US"/>
        </w:rPr>
        <w:t>Year</w:t>
      </w:r>
      <w:r w:rsidRPr="00D600E3">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Treasury</w:t>
      </w:r>
      <w:r w:rsidRPr="00D600E3">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Bond</w:t>
      </w:r>
      <w:r w:rsidRPr="00D600E3">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ETF</w:t>
      </w:r>
      <w:r w:rsidRPr="00D600E3">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en-US"/>
        </w:rPr>
        <w:t>SHY</w:t>
      </w:r>
      <w:r w:rsidRPr="00D600E3">
        <w:rPr>
          <w:rFonts w:ascii="Times New Roman" w:hAnsi="Times New Roman" w:cs="Times New Roman"/>
          <w:color w:val="000000"/>
          <w:sz w:val="28"/>
          <w:szCs w:val="28"/>
          <w:lang w:val="ru-RU"/>
        </w:rPr>
        <w:t xml:space="preserve">) з часткою </w:t>
      </w:r>
      <w:r w:rsidRPr="00905FCC">
        <w:rPr>
          <w:rFonts w:ascii="Times New Roman" w:hAnsi="Times New Roman" w:cs="Times New Roman"/>
          <w:color w:val="000000"/>
          <w:sz w:val="28"/>
          <w:szCs w:val="28"/>
          <w:lang w:val="ru-RU"/>
        </w:rPr>
        <w:t>33%, який забезпечує мінімальний ризик та стабільний дохід у вигляді купонних виплат. Цей фонд відіграє роль якірного активу для захисту портфеля від волатильності.</w:t>
      </w:r>
    </w:p>
    <w:p w:rsidR="00F30E41" w:rsidRPr="00905FCC" w:rsidRDefault="00F30E41" w:rsidP="00905FCC">
      <w:pPr>
        <w:tabs>
          <w:tab w:val="left" w:pos="6946"/>
        </w:tabs>
        <w:spacing w:after="0" w:line="360" w:lineRule="auto"/>
        <w:ind w:firstLine="709"/>
        <w:jc w:val="both"/>
        <w:rPr>
          <w:rFonts w:ascii="Times New Roman" w:hAnsi="Times New Roman" w:cs="Times New Roman"/>
          <w:color w:val="000000"/>
          <w:sz w:val="28"/>
          <w:szCs w:val="28"/>
          <w:lang w:val="ru-RU"/>
        </w:rPr>
      </w:pPr>
      <w:r w:rsidRPr="00905FCC">
        <w:rPr>
          <w:rFonts w:ascii="Times New Roman" w:hAnsi="Times New Roman" w:cs="Times New Roman"/>
          <w:color w:val="000000"/>
          <w:sz w:val="28"/>
          <w:szCs w:val="28"/>
          <w:lang w:val="de-AT"/>
        </w:rPr>
        <w:t>Vanguard</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High</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Dividend</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Yield</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ETF</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VYM</w:t>
      </w:r>
      <w:r w:rsidRPr="00905FCC">
        <w:rPr>
          <w:rFonts w:ascii="Times New Roman" w:hAnsi="Times New Roman" w:cs="Times New Roman"/>
          <w:color w:val="000000"/>
          <w:sz w:val="28"/>
          <w:szCs w:val="28"/>
          <w:lang w:val="ru-RU"/>
        </w:rPr>
        <w:t xml:space="preserve">) займає 14% портфеля </w:t>
      </w:r>
      <w:r w:rsidRPr="00DD42C4">
        <w:rPr>
          <w:rFonts w:ascii="Times New Roman" w:hAnsi="Times New Roman" w:cs="Times New Roman"/>
          <w:color w:val="000000"/>
          <w:sz w:val="28"/>
          <w:szCs w:val="28"/>
          <w:lang w:val="ru-RU"/>
        </w:rPr>
        <w:t>-</w:t>
      </w:r>
      <w:r w:rsidRPr="00905FCC">
        <w:rPr>
          <w:rFonts w:ascii="Times New Roman" w:hAnsi="Times New Roman" w:cs="Times New Roman"/>
          <w:color w:val="000000"/>
          <w:sz w:val="28"/>
          <w:szCs w:val="28"/>
          <w:lang w:val="ru-RU"/>
        </w:rPr>
        <w:t xml:space="preserve"> він складається з компаній, які регулярно виплачують високі дивіденди. Цей </w:t>
      </w:r>
      <w:r w:rsidRPr="00905FCC">
        <w:rPr>
          <w:rFonts w:ascii="Times New Roman" w:hAnsi="Times New Roman" w:cs="Times New Roman"/>
          <w:color w:val="000000"/>
          <w:sz w:val="28"/>
          <w:szCs w:val="28"/>
          <w:lang w:val="de-AT"/>
        </w:rPr>
        <w:t>ETF</w:t>
      </w:r>
      <w:r w:rsidRPr="00905FCC">
        <w:rPr>
          <w:rFonts w:ascii="Times New Roman" w:hAnsi="Times New Roman" w:cs="Times New Roman"/>
          <w:color w:val="000000"/>
          <w:sz w:val="28"/>
          <w:szCs w:val="28"/>
          <w:lang w:val="ru-RU"/>
        </w:rPr>
        <w:t xml:space="preserve"> сприяє досягненню головної мети стратегії </w:t>
      </w:r>
      <w:r w:rsidRPr="00DD42C4">
        <w:rPr>
          <w:rFonts w:ascii="Times New Roman" w:hAnsi="Times New Roman" w:cs="Times New Roman"/>
          <w:color w:val="000000"/>
          <w:sz w:val="28"/>
          <w:szCs w:val="28"/>
          <w:lang w:val="ru-RU"/>
        </w:rPr>
        <w:t>-</w:t>
      </w:r>
      <w:r w:rsidRPr="00905FCC">
        <w:rPr>
          <w:rFonts w:ascii="Times New Roman" w:hAnsi="Times New Roman" w:cs="Times New Roman"/>
          <w:color w:val="000000"/>
          <w:sz w:val="28"/>
          <w:szCs w:val="28"/>
          <w:lang w:val="ru-RU"/>
        </w:rPr>
        <w:t xml:space="preserve"> створення пасивного доходу, при цьому підтримуючи диверсифікацію в межах різних галузей.</w:t>
      </w:r>
    </w:p>
    <w:p w:rsidR="00F30E41" w:rsidRPr="00905FCC" w:rsidRDefault="00F30E41" w:rsidP="00905FCC">
      <w:pPr>
        <w:tabs>
          <w:tab w:val="left" w:pos="6946"/>
        </w:tabs>
        <w:spacing w:after="0" w:line="360" w:lineRule="auto"/>
        <w:ind w:firstLine="709"/>
        <w:jc w:val="both"/>
        <w:rPr>
          <w:rFonts w:ascii="Times New Roman" w:hAnsi="Times New Roman" w:cs="Times New Roman"/>
          <w:color w:val="000000"/>
          <w:sz w:val="28"/>
          <w:szCs w:val="28"/>
          <w:lang w:val="ru-RU"/>
        </w:rPr>
      </w:pPr>
      <w:r w:rsidRPr="00905FCC">
        <w:rPr>
          <w:rFonts w:ascii="Times New Roman" w:hAnsi="Times New Roman" w:cs="Times New Roman"/>
          <w:color w:val="000000"/>
          <w:sz w:val="28"/>
          <w:szCs w:val="28"/>
          <w:lang w:val="de-AT"/>
        </w:rPr>
        <w:t>BMO</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Equal</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Weight</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Global</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Gold</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Index</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ETF</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ZGD</w:t>
      </w:r>
      <w:r w:rsidRPr="00905FCC">
        <w:rPr>
          <w:rFonts w:ascii="Times New Roman" w:hAnsi="Times New Roman" w:cs="Times New Roman"/>
          <w:color w:val="000000"/>
          <w:sz w:val="28"/>
          <w:szCs w:val="28"/>
          <w:lang w:val="ru-RU"/>
        </w:rPr>
        <w:t>), який становить 6% портфеля, включено для хеджування інфляційних ризиків і додаткової захищеності в періоди макроекономічної нестабільності.</w:t>
      </w:r>
    </w:p>
    <w:p w:rsidR="00F30E41" w:rsidRPr="00905FCC" w:rsidRDefault="00F30E41" w:rsidP="00905FCC">
      <w:pPr>
        <w:tabs>
          <w:tab w:val="left" w:pos="6946"/>
        </w:tabs>
        <w:spacing w:after="0" w:line="360" w:lineRule="auto"/>
        <w:ind w:firstLine="709"/>
        <w:jc w:val="both"/>
        <w:rPr>
          <w:rFonts w:ascii="Times New Roman" w:hAnsi="Times New Roman" w:cs="Times New Roman"/>
          <w:color w:val="000000"/>
          <w:sz w:val="28"/>
          <w:szCs w:val="28"/>
          <w:lang w:val="ru-RU"/>
        </w:rPr>
      </w:pPr>
      <w:r w:rsidRPr="00905FCC">
        <w:rPr>
          <w:rFonts w:ascii="Times New Roman" w:hAnsi="Times New Roman" w:cs="Times New Roman"/>
          <w:color w:val="000000"/>
          <w:sz w:val="28"/>
          <w:szCs w:val="28"/>
          <w:lang w:val="de-AT"/>
        </w:rPr>
        <w:t>NVIDIA</w:t>
      </w:r>
      <w:r w:rsidRPr="00905FCC">
        <w:rPr>
          <w:rFonts w:ascii="Times New Roman" w:hAnsi="Times New Roman" w:cs="Times New Roman"/>
          <w:color w:val="000000"/>
          <w:sz w:val="28"/>
          <w:szCs w:val="28"/>
          <w:lang w:val="ru-RU"/>
        </w:rPr>
        <w:t xml:space="preserve"> </w:t>
      </w:r>
      <w:r w:rsidRPr="00905FCC">
        <w:rPr>
          <w:rFonts w:ascii="Times New Roman" w:hAnsi="Times New Roman" w:cs="Times New Roman"/>
          <w:color w:val="000000"/>
          <w:sz w:val="28"/>
          <w:szCs w:val="28"/>
          <w:lang w:val="de-AT"/>
        </w:rPr>
        <w:t>Corporation</w:t>
      </w:r>
      <w:r w:rsidRPr="00905FCC">
        <w:rPr>
          <w:rFonts w:ascii="Times New Roman" w:hAnsi="Times New Roman" w:cs="Times New Roman"/>
          <w:color w:val="000000"/>
          <w:sz w:val="28"/>
          <w:szCs w:val="28"/>
          <w:lang w:val="ru-RU"/>
        </w:rPr>
        <w:t xml:space="preserve"> (4%) відіграє другорядну, але стратегічну роль. Попри те, що це компанія з високим потенціалом зростання, у цьому портфелі вона виконує функцію балансування прибутковості, дозволяючи отримати додатковий приріст капіталу без істотного підвищення загального ризику.</w:t>
      </w:r>
    </w:p>
    <w:p w:rsidR="00F30E41" w:rsidRPr="00334113" w:rsidRDefault="00F30E41" w:rsidP="00905FCC">
      <w:pPr>
        <w:tabs>
          <w:tab w:val="left" w:pos="6946"/>
        </w:tabs>
        <w:spacing w:after="0" w:line="360" w:lineRule="auto"/>
        <w:ind w:firstLine="709"/>
        <w:jc w:val="both"/>
        <w:rPr>
          <w:rFonts w:ascii="Times New Roman" w:hAnsi="Times New Roman" w:cs="Times New Roman"/>
          <w:color w:val="000000"/>
          <w:sz w:val="28"/>
          <w:szCs w:val="28"/>
          <w:lang w:val="en-US"/>
        </w:rPr>
      </w:pPr>
      <w:r w:rsidRPr="00905FCC">
        <w:rPr>
          <w:rFonts w:ascii="Times New Roman" w:hAnsi="Times New Roman" w:cs="Times New Roman"/>
          <w:color w:val="000000"/>
          <w:sz w:val="28"/>
          <w:szCs w:val="28"/>
          <w:lang w:val="ru-RU"/>
        </w:rPr>
        <w:t>Три</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компанії</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Roche</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Holding</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Ltd</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Nextera</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Energy</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Inc</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та</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Takeda</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Pharmaceutical</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de-AT"/>
        </w:rPr>
        <w:t>Co</w:t>
      </w:r>
      <w:r w:rsidRPr="00334113">
        <w:rPr>
          <w:rFonts w:ascii="Times New Roman" w:hAnsi="Times New Roman" w:cs="Times New Roman"/>
          <w:color w:val="000000"/>
          <w:sz w:val="28"/>
          <w:szCs w:val="28"/>
          <w:lang w:val="en-US"/>
        </w:rPr>
        <w:t xml:space="preserve"> - </w:t>
      </w:r>
      <w:r w:rsidRPr="00905FCC">
        <w:rPr>
          <w:rFonts w:ascii="Times New Roman" w:hAnsi="Times New Roman" w:cs="Times New Roman"/>
          <w:color w:val="000000"/>
          <w:sz w:val="28"/>
          <w:szCs w:val="28"/>
          <w:lang w:val="ru-RU"/>
        </w:rPr>
        <w:t>мають</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по</w:t>
      </w:r>
      <w:r w:rsidRPr="00334113">
        <w:rPr>
          <w:rFonts w:ascii="Times New Roman" w:hAnsi="Times New Roman" w:cs="Times New Roman"/>
          <w:color w:val="000000"/>
          <w:sz w:val="28"/>
          <w:szCs w:val="28"/>
          <w:lang w:val="en-US"/>
        </w:rPr>
        <w:t xml:space="preserve"> 1% </w:t>
      </w:r>
      <w:r w:rsidRPr="00905FCC">
        <w:rPr>
          <w:rFonts w:ascii="Times New Roman" w:hAnsi="Times New Roman" w:cs="Times New Roman"/>
          <w:color w:val="000000"/>
          <w:sz w:val="28"/>
          <w:szCs w:val="28"/>
          <w:lang w:val="ru-RU"/>
        </w:rPr>
        <w:t>кожна</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Вони</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були</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включені</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як</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додаткові</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стабілізаційні</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активи</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що</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історично</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демонструють</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передбачувану</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дохідність</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або</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мають</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позитивну</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динаміку</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дивідендів</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у</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межах</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своїх</w:t>
      </w:r>
      <w:r w:rsidRPr="00334113">
        <w:rPr>
          <w:rFonts w:ascii="Times New Roman" w:hAnsi="Times New Roman" w:cs="Times New Roman"/>
          <w:color w:val="000000"/>
          <w:sz w:val="28"/>
          <w:szCs w:val="28"/>
          <w:lang w:val="en-US"/>
        </w:rPr>
        <w:t xml:space="preserve"> </w:t>
      </w:r>
      <w:r w:rsidRPr="00905FCC">
        <w:rPr>
          <w:rFonts w:ascii="Times New Roman" w:hAnsi="Times New Roman" w:cs="Times New Roman"/>
          <w:color w:val="000000"/>
          <w:sz w:val="28"/>
          <w:szCs w:val="28"/>
          <w:lang w:val="ru-RU"/>
        </w:rPr>
        <w:t>галузей</w:t>
      </w:r>
      <w:r w:rsidRPr="00334113">
        <w:rPr>
          <w:rFonts w:ascii="Times New Roman" w:hAnsi="Times New Roman" w:cs="Times New Roman"/>
          <w:color w:val="000000"/>
          <w:sz w:val="28"/>
          <w:szCs w:val="28"/>
          <w:lang w:val="en-US"/>
        </w:rPr>
        <w:t>.</w:t>
      </w:r>
    </w:p>
    <w:p w:rsidR="00F30E41" w:rsidRPr="00334113" w:rsidRDefault="00F30E41" w:rsidP="00413AC4">
      <w:pPr>
        <w:tabs>
          <w:tab w:val="left" w:pos="6946"/>
        </w:tabs>
        <w:spacing w:after="0" w:line="360" w:lineRule="auto"/>
        <w:ind w:firstLine="709"/>
        <w:jc w:val="both"/>
        <w:rPr>
          <w:rFonts w:ascii="Times New Roman" w:hAnsi="Times New Roman" w:cs="Times New Roman"/>
          <w:color w:val="000000"/>
          <w:sz w:val="28"/>
          <w:szCs w:val="28"/>
          <w:lang w:val="en-US"/>
        </w:rPr>
      </w:pPr>
      <w:r w:rsidRPr="00413AC4">
        <w:rPr>
          <w:rFonts w:ascii="Times New Roman" w:hAnsi="Times New Roman" w:cs="Times New Roman"/>
          <w:color w:val="000000"/>
          <w:sz w:val="28"/>
          <w:szCs w:val="28"/>
          <w:lang w:val="ru-RU"/>
        </w:rPr>
        <w:t>Після</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формування</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трьох</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портфелів</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за</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стратегіями</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de-AT"/>
        </w:rPr>
        <w:t>value</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de-AT"/>
        </w:rPr>
        <w:t>growth</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та</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de-AT"/>
        </w:rPr>
        <w:t>income</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доцільно</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провести</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підсумкове</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порівняння</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їхньої</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ефективності</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в</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часовій</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динаміці</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З</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цією</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метою</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було</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проаналізовано</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річну</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дохідність</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кожного</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портфеля</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у</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період</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з</w:t>
      </w:r>
      <w:r w:rsidRPr="00334113">
        <w:rPr>
          <w:rFonts w:ascii="Times New Roman" w:hAnsi="Times New Roman" w:cs="Times New Roman"/>
          <w:color w:val="000000"/>
          <w:sz w:val="28"/>
          <w:szCs w:val="28"/>
          <w:lang w:val="en-US"/>
        </w:rPr>
        <w:t xml:space="preserve"> 2016 </w:t>
      </w:r>
      <w:r w:rsidRPr="00413AC4">
        <w:rPr>
          <w:rFonts w:ascii="Times New Roman" w:hAnsi="Times New Roman" w:cs="Times New Roman"/>
          <w:color w:val="000000"/>
          <w:sz w:val="28"/>
          <w:szCs w:val="28"/>
          <w:lang w:val="ru-RU"/>
        </w:rPr>
        <w:t>по</w:t>
      </w:r>
      <w:r w:rsidRPr="00334113">
        <w:rPr>
          <w:rFonts w:ascii="Times New Roman" w:hAnsi="Times New Roman" w:cs="Times New Roman"/>
          <w:color w:val="000000"/>
          <w:sz w:val="28"/>
          <w:szCs w:val="28"/>
          <w:lang w:val="en-US"/>
        </w:rPr>
        <w:t xml:space="preserve"> 2025 </w:t>
      </w:r>
      <w:r w:rsidRPr="00413AC4">
        <w:rPr>
          <w:rFonts w:ascii="Times New Roman" w:hAnsi="Times New Roman" w:cs="Times New Roman"/>
          <w:color w:val="000000"/>
          <w:sz w:val="28"/>
          <w:szCs w:val="28"/>
          <w:lang w:val="ru-RU"/>
        </w:rPr>
        <w:t>роки</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з</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урахуванням</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результатів</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симуляції</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отриманих</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ru-RU"/>
        </w:rPr>
        <w:t>у</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de-AT"/>
        </w:rPr>
        <w:t>Portfolio</w:t>
      </w:r>
      <w:r w:rsidRPr="00334113">
        <w:rPr>
          <w:rFonts w:ascii="Times New Roman" w:hAnsi="Times New Roman" w:cs="Times New Roman"/>
          <w:color w:val="000000"/>
          <w:sz w:val="28"/>
          <w:szCs w:val="28"/>
          <w:lang w:val="en-US"/>
        </w:rPr>
        <w:t xml:space="preserve"> </w:t>
      </w:r>
      <w:r w:rsidRPr="00413AC4">
        <w:rPr>
          <w:rFonts w:ascii="Times New Roman" w:hAnsi="Times New Roman" w:cs="Times New Roman"/>
          <w:color w:val="000000"/>
          <w:sz w:val="28"/>
          <w:szCs w:val="28"/>
          <w:lang w:val="de-AT"/>
        </w:rPr>
        <w:t>Visualizer</w:t>
      </w:r>
      <w:r w:rsidRPr="00334113">
        <w:rPr>
          <w:rFonts w:ascii="Times New Roman" w:hAnsi="Times New Roman" w:cs="Times New Roman"/>
          <w:color w:val="000000"/>
          <w:sz w:val="28"/>
          <w:szCs w:val="28"/>
          <w:lang w:val="en-US"/>
        </w:rPr>
        <w:t>.</w:t>
      </w:r>
    </w:p>
    <w:p w:rsidR="00F30E41" w:rsidRPr="00413AC4" w:rsidRDefault="00F30E41" w:rsidP="00413AC4">
      <w:pPr>
        <w:tabs>
          <w:tab w:val="left" w:pos="6946"/>
        </w:tabs>
        <w:spacing w:after="0" w:line="360" w:lineRule="auto"/>
        <w:ind w:firstLine="709"/>
        <w:jc w:val="both"/>
        <w:rPr>
          <w:rFonts w:ascii="Times New Roman" w:hAnsi="Times New Roman" w:cs="Times New Roman"/>
          <w:color w:val="000000"/>
          <w:sz w:val="28"/>
          <w:szCs w:val="28"/>
          <w:lang w:val="ru-RU"/>
        </w:rPr>
      </w:pPr>
      <w:r w:rsidRPr="00596352">
        <w:rPr>
          <w:rFonts w:ascii="Times New Roman" w:hAnsi="Times New Roman" w:cs="Times New Roman"/>
          <w:noProof/>
          <w:color w:val="000000"/>
          <w:sz w:val="28"/>
          <w:szCs w:val="28"/>
          <w:lang w:val="ru-RU" w:eastAsia="ru-RU"/>
        </w:rPr>
        <w:object w:dxaOrig="8180" w:dyaOrig="4263">
          <v:shape id="Діаграма 1" o:spid="_x0000_i1075" type="#_x0000_t75" style="width:408.75pt;height:213pt;visibility:visible" o:ole="">
            <v:imagedata r:id="rId53" o:title="" cropbottom="-15f"/>
            <o:lock v:ext="edit" aspectratio="f"/>
          </v:shape>
          <o:OLEObject Type="Embed" ProgID="Excel.Chart.8" ShapeID="Діаграма 1" DrawAspect="Content" ObjectID="_1811317233" r:id="rId54"/>
        </w:object>
      </w:r>
    </w:p>
    <w:p w:rsidR="00F30E41" w:rsidRDefault="00F30E41" w:rsidP="00413AC4">
      <w:pPr>
        <w:tabs>
          <w:tab w:val="left" w:pos="694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Рис. 3.4. </w:t>
      </w:r>
      <w:r w:rsidRPr="007E186E">
        <w:rPr>
          <w:rFonts w:ascii="Times New Roman" w:hAnsi="Times New Roman" w:cs="Times New Roman"/>
          <w:color w:val="000000"/>
          <w:sz w:val="28"/>
          <w:szCs w:val="28"/>
        </w:rPr>
        <w:t>Річна дохідність</w:t>
      </w:r>
      <w:r>
        <w:rPr>
          <w:rFonts w:ascii="Times New Roman" w:hAnsi="Times New Roman" w:cs="Times New Roman"/>
          <w:color w:val="000000"/>
          <w:sz w:val="28"/>
          <w:szCs w:val="28"/>
        </w:rPr>
        <w:t xml:space="preserve"> смодельованих</w:t>
      </w:r>
      <w:r w:rsidRPr="007E186E">
        <w:rPr>
          <w:rFonts w:ascii="Times New Roman" w:hAnsi="Times New Roman" w:cs="Times New Roman"/>
          <w:color w:val="000000"/>
          <w:sz w:val="28"/>
          <w:szCs w:val="28"/>
        </w:rPr>
        <w:t xml:space="preserve"> портфелів за період 2016–2025 рр.</w:t>
      </w:r>
    </w:p>
    <w:p w:rsidR="00F30E41" w:rsidRPr="0045426C" w:rsidRDefault="00F30E41" w:rsidP="00413AC4">
      <w:pPr>
        <w:tabs>
          <w:tab w:val="left" w:pos="6946"/>
        </w:tabs>
        <w:spacing w:after="0" w:line="360" w:lineRule="auto"/>
        <w:ind w:firstLine="709"/>
        <w:jc w:val="both"/>
        <w:rPr>
          <w:rFonts w:ascii="Times New Roman" w:hAnsi="Times New Roman" w:cs="Times New Roman"/>
          <w:color w:val="000000"/>
          <w:sz w:val="28"/>
          <w:szCs w:val="28"/>
        </w:rPr>
      </w:pPr>
      <w:r w:rsidRPr="0045426C">
        <w:rPr>
          <w:rFonts w:ascii="Times New Roman" w:hAnsi="Times New Roman" w:cs="Times New Roman"/>
          <w:color w:val="000000"/>
          <w:sz w:val="28"/>
          <w:szCs w:val="28"/>
        </w:rPr>
        <w:t>Джерело: складено автором.</w:t>
      </w:r>
    </w:p>
    <w:p w:rsidR="00F30E41" w:rsidRPr="00ED6FB4" w:rsidRDefault="00F30E41" w:rsidP="00ED6FB4">
      <w:pPr>
        <w:tabs>
          <w:tab w:val="left" w:pos="6946"/>
        </w:tabs>
        <w:spacing w:after="0" w:line="360" w:lineRule="auto"/>
        <w:ind w:firstLine="709"/>
        <w:jc w:val="both"/>
        <w:rPr>
          <w:rFonts w:ascii="Times New Roman" w:hAnsi="Times New Roman" w:cs="Times New Roman"/>
          <w:color w:val="000000"/>
          <w:sz w:val="28"/>
          <w:szCs w:val="28"/>
          <w:lang w:val="ru-RU"/>
        </w:rPr>
      </w:pPr>
      <w:r w:rsidRPr="0045426C">
        <w:rPr>
          <w:rFonts w:ascii="Times New Roman" w:hAnsi="Times New Roman" w:cs="Times New Roman"/>
          <w:color w:val="000000"/>
          <w:sz w:val="28"/>
          <w:szCs w:val="28"/>
        </w:rPr>
        <w:t xml:space="preserve">Після аналізу графіка динаміки річної дохідності трьох інвестиційних портфелів можна зробити висновок, що найбільшу прибутковість продемонстрував </w:t>
      </w:r>
      <w:r w:rsidRPr="00ED6FB4">
        <w:rPr>
          <w:rFonts w:ascii="Times New Roman" w:hAnsi="Times New Roman" w:cs="Times New Roman"/>
          <w:color w:val="000000"/>
          <w:sz w:val="28"/>
          <w:szCs w:val="28"/>
          <w:lang w:val="ru-RU"/>
        </w:rPr>
        <w:t>growth</w:t>
      </w:r>
      <w:r w:rsidRPr="0045426C">
        <w:rPr>
          <w:rFonts w:ascii="Times New Roman" w:hAnsi="Times New Roman" w:cs="Times New Roman"/>
          <w:color w:val="000000"/>
          <w:sz w:val="28"/>
          <w:szCs w:val="28"/>
        </w:rPr>
        <w:t xml:space="preserve">-портфель. Його структура переважно складалася з активів високоризикового, але перспективного характеру: </w:t>
      </w:r>
      <w:r w:rsidRPr="00ED6FB4">
        <w:rPr>
          <w:rFonts w:ascii="Times New Roman" w:hAnsi="Times New Roman" w:cs="Times New Roman"/>
          <w:color w:val="000000"/>
          <w:sz w:val="28"/>
          <w:szCs w:val="28"/>
          <w:lang w:val="ru-RU"/>
        </w:rPr>
        <w:t>Vanguard</w:t>
      </w:r>
      <w:r w:rsidRPr="0045426C">
        <w:rPr>
          <w:rFonts w:ascii="Times New Roman" w:hAnsi="Times New Roman" w:cs="Times New Roman"/>
          <w:color w:val="000000"/>
          <w:sz w:val="28"/>
          <w:szCs w:val="28"/>
        </w:rPr>
        <w:t xml:space="preserve"> </w:t>
      </w:r>
      <w:r w:rsidRPr="00ED6FB4">
        <w:rPr>
          <w:rFonts w:ascii="Times New Roman" w:hAnsi="Times New Roman" w:cs="Times New Roman"/>
          <w:color w:val="000000"/>
          <w:sz w:val="28"/>
          <w:szCs w:val="28"/>
          <w:lang w:val="ru-RU"/>
        </w:rPr>
        <w:t>Growth</w:t>
      </w:r>
      <w:r w:rsidRPr="0045426C">
        <w:rPr>
          <w:rFonts w:ascii="Times New Roman" w:hAnsi="Times New Roman" w:cs="Times New Roman"/>
          <w:color w:val="000000"/>
          <w:sz w:val="28"/>
          <w:szCs w:val="28"/>
        </w:rPr>
        <w:t xml:space="preserve"> </w:t>
      </w:r>
      <w:r w:rsidRPr="00ED6FB4">
        <w:rPr>
          <w:rFonts w:ascii="Times New Roman" w:hAnsi="Times New Roman" w:cs="Times New Roman"/>
          <w:color w:val="000000"/>
          <w:sz w:val="28"/>
          <w:szCs w:val="28"/>
          <w:lang w:val="ru-RU"/>
        </w:rPr>
        <w:t>ETF</w:t>
      </w:r>
      <w:r w:rsidRPr="0045426C">
        <w:rPr>
          <w:rFonts w:ascii="Times New Roman" w:hAnsi="Times New Roman" w:cs="Times New Roman"/>
          <w:color w:val="000000"/>
          <w:sz w:val="28"/>
          <w:szCs w:val="28"/>
        </w:rPr>
        <w:t xml:space="preserve">, акції технологічних компаній </w:t>
      </w:r>
      <w:r w:rsidRPr="00ED6FB4">
        <w:rPr>
          <w:rFonts w:ascii="Times New Roman" w:hAnsi="Times New Roman" w:cs="Times New Roman"/>
          <w:color w:val="000000"/>
          <w:sz w:val="28"/>
          <w:szCs w:val="28"/>
          <w:lang w:val="ru-RU"/>
        </w:rPr>
        <w:t>NVIDIA</w:t>
      </w:r>
      <w:r w:rsidRPr="0045426C">
        <w:rPr>
          <w:rFonts w:ascii="Times New Roman" w:hAnsi="Times New Roman" w:cs="Times New Roman"/>
          <w:color w:val="000000"/>
          <w:sz w:val="28"/>
          <w:szCs w:val="28"/>
        </w:rPr>
        <w:t xml:space="preserve">, </w:t>
      </w:r>
      <w:r w:rsidRPr="00ED6FB4">
        <w:rPr>
          <w:rFonts w:ascii="Times New Roman" w:hAnsi="Times New Roman" w:cs="Times New Roman"/>
          <w:color w:val="000000"/>
          <w:sz w:val="28"/>
          <w:szCs w:val="28"/>
          <w:lang w:val="ru-RU"/>
        </w:rPr>
        <w:t>ASML</w:t>
      </w:r>
      <w:r w:rsidRPr="0045426C">
        <w:rPr>
          <w:rFonts w:ascii="Times New Roman" w:hAnsi="Times New Roman" w:cs="Times New Roman"/>
          <w:color w:val="000000"/>
          <w:sz w:val="28"/>
          <w:szCs w:val="28"/>
        </w:rPr>
        <w:t xml:space="preserve">, </w:t>
      </w:r>
      <w:r w:rsidRPr="00ED6FB4">
        <w:rPr>
          <w:rFonts w:ascii="Times New Roman" w:hAnsi="Times New Roman" w:cs="Times New Roman"/>
          <w:color w:val="000000"/>
          <w:sz w:val="28"/>
          <w:szCs w:val="28"/>
          <w:lang w:val="ru-RU"/>
        </w:rPr>
        <w:t>Sony</w:t>
      </w:r>
      <w:r w:rsidRPr="0045426C">
        <w:rPr>
          <w:rFonts w:ascii="Times New Roman" w:hAnsi="Times New Roman" w:cs="Times New Roman"/>
          <w:color w:val="000000"/>
          <w:sz w:val="28"/>
          <w:szCs w:val="28"/>
        </w:rPr>
        <w:t xml:space="preserve"> </w:t>
      </w:r>
      <w:r w:rsidRPr="00ED6FB4">
        <w:rPr>
          <w:rFonts w:ascii="Times New Roman" w:hAnsi="Times New Roman" w:cs="Times New Roman"/>
          <w:color w:val="000000"/>
          <w:sz w:val="28"/>
          <w:szCs w:val="28"/>
          <w:lang w:val="ru-RU"/>
        </w:rPr>
        <w:t>Group</w:t>
      </w:r>
      <w:r w:rsidRPr="0045426C">
        <w:rPr>
          <w:rFonts w:ascii="Times New Roman" w:hAnsi="Times New Roman" w:cs="Times New Roman"/>
          <w:color w:val="000000"/>
          <w:sz w:val="28"/>
          <w:szCs w:val="28"/>
        </w:rPr>
        <w:t xml:space="preserve">, а також </w:t>
      </w:r>
      <w:r w:rsidRPr="00ED6FB4">
        <w:rPr>
          <w:rFonts w:ascii="Times New Roman" w:hAnsi="Times New Roman" w:cs="Times New Roman"/>
          <w:color w:val="000000"/>
          <w:sz w:val="28"/>
          <w:szCs w:val="28"/>
          <w:lang w:val="ru-RU"/>
        </w:rPr>
        <w:t>Bitcoin</w:t>
      </w:r>
      <w:r w:rsidRPr="0045426C">
        <w:rPr>
          <w:rFonts w:ascii="Times New Roman" w:hAnsi="Times New Roman" w:cs="Times New Roman"/>
          <w:color w:val="000000"/>
          <w:sz w:val="28"/>
          <w:szCs w:val="28"/>
        </w:rPr>
        <w:t xml:space="preserve"> і частка в секторі охорони здоров’я. Найвищий результат було зафіксовано у 2017 році, коли дохідність перевищила 200%. </w:t>
      </w:r>
      <w:r w:rsidRPr="00ED6FB4">
        <w:rPr>
          <w:rFonts w:ascii="Times New Roman" w:hAnsi="Times New Roman" w:cs="Times New Roman"/>
          <w:color w:val="000000"/>
          <w:sz w:val="28"/>
          <w:szCs w:val="28"/>
          <w:lang w:val="ru-RU"/>
        </w:rPr>
        <w:t xml:space="preserve">Це пояснюється тим, що саме в цей період на ринку спостерігалося стрімке зростання вартості активів технологічного та криптовалютного секторів. Крім того, у 2020 та 2023 роках, на тлі економічного відновлення після пандемії та зростання попиту на інноваційні продукти, портфель знову демонстрував високі прибутки </w:t>
      </w:r>
      <w:r>
        <w:rPr>
          <w:rFonts w:ascii="Times New Roman" w:hAnsi="Times New Roman" w:cs="Times New Roman"/>
          <w:color w:val="000000"/>
          <w:sz w:val="28"/>
          <w:szCs w:val="28"/>
          <w:lang w:val="ru-RU"/>
        </w:rPr>
        <w:t>-</w:t>
      </w:r>
      <w:r w:rsidRPr="00ED6FB4">
        <w:rPr>
          <w:rFonts w:ascii="Times New Roman" w:hAnsi="Times New Roman" w:cs="Times New Roman"/>
          <w:color w:val="000000"/>
          <w:sz w:val="28"/>
          <w:szCs w:val="28"/>
          <w:lang w:val="ru-RU"/>
        </w:rPr>
        <w:t xml:space="preserve"> понад 50% річних.</w:t>
      </w:r>
    </w:p>
    <w:p w:rsidR="00F30E41" w:rsidRPr="00ED6FB4" w:rsidRDefault="00F30E41" w:rsidP="00ED6FB4">
      <w:pPr>
        <w:tabs>
          <w:tab w:val="left" w:pos="6946"/>
        </w:tabs>
        <w:spacing w:after="0" w:line="360" w:lineRule="auto"/>
        <w:ind w:firstLine="709"/>
        <w:jc w:val="both"/>
        <w:rPr>
          <w:rFonts w:ascii="Times New Roman" w:hAnsi="Times New Roman" w:cs="Times New Roman"/>
          <w:color w:val="000000"/>
          <w:sz w:val="28"/>
          <w:szCs w:val="28"/>
          <w:lang w:val="ru-RU"/>
        </w:rPr>
      </w:pPr>
      <w:r w:rsidRPr="00ED6FB4">
        <w:rPr>
          <w:rFonts w:ascii="Times New Roman" w:hAnsi="Times New Roman" w:cs="Times New Roman"/>
          <w:color w:val="000000"/>
          <w:sz w:val="28"/>
          <w:szCs w:val="28"/>
          <w:lang w:val="ru-RU"/>
        </w:rPr>
        <w:t>Проте така динаміка не є сталою: вже у 2018 році фіксується зниження, а в 2022 році прибутковість стала від’ємною. Це був рік, коли на глобальному рівні загострилися геополітичні конфлікти, пришвидшилась інфляція, а центральні банки почали стрімко підвищувати облікові ставки. Ці фактори спричинили відтік інвесторів із ризикових активів, до яких належить більшість складових growth-портфеля. Таким чином, попри потенціал високого доходу, дана стратегія виявилася найбільш вразливою до зовнішніх шоків, особливо у нестабільні періоди.</w:t>
      </w:r>
    </w:p>
    <w:p w:rsidR="00F30E41" w:rsidRPr="00ED6FB4" w:rsidRDefault="00F30E41" w:rsidP="00ED6FB4">
      <w:pPr>
        <w:tabs>
          <w:tab w:val="left" w:pos="6946"/>
        </w:tabs>
        <w:spacing w:after="0" w:line="360" w:lineRule="auto"/>
        <w:ind w:firstLine="709"/>
        <w:jc w:val="both"/>
        <w:rPr>
          <w:rFonts w:ascii="Times New Roman" w:hAnsi="Times New Roman" w:cs="Times New Roman"/>
          <w:color w:val="000000"/>
          <w:sz w:val="28"/>
          <w:szCs w:val="28"/>
          <w:lang w:val="ru-RU"/>
        </w:rPr>
      </w:pPr>
      <w:r w:rsidRPr="00ED6FB4">
        <w:rPr>
          <w:rFonts w:ascii="Times New Roman" w:hAnsi="Times New Roman" w:cs="Times New Roman"/>
          <w:color w:val="000000"/>
          <w:sz w:val="28"/>
          <w:szCs w:val="28"/>
          <w:lang w:val="ru-RU"/>
        </w:rPr>
        <w:t xml:space="preserve">У свою чергу, value-портфель продемонстрував більш помірковану, але стабільну дохідність. Він складався з Vanguard Value ETF (40%), а також акцій компаній з реального сектору: Pfizer, Exxon Mobil, TotalEnergies, NextEra Energy та ін. У кризові роки, зокрема у 2020 та 2022, цей портфель виявився стійкішим </w:t>
      </w:r>
      <w:r>
        <w:rPr>
          <w:rFonts w:ascii="Times New Roman" w:hAnsi="Times New Roman" w:cs="Times New Roman"/>
          <w:color w:val="000000"/>
          <w:sz w:val="28"/>
          <w:szCs w:val="28"/>
          <w:lang w:val="ru-RU"/>
        </w:rPr>
        <w:t>-</w:t>
      </w:r>
      <w:r w:rsidRPr="00ED6FB4">
        <w:rPr>
          <w:rFonts w:ascii="Times New Roman" w:hAnsi="Times New Roman" w:cs="Times New Roman"/>
          <w:color w:val="000000"/>
          <w:sz w:val="28"/>
          <w:szCs w:val="28"/>
          <w:lang w:val="ru-RU"/>
        </w:rPr>
        <w:t xml:space="preserve"> у ньому або не було від’ємної дохідності, або просадка була мінімальною. Це пояснюється тим, що value-стратегія орієнтована на акції компаній зі стабільними фінансовими показниками, часто — з регулярними дивідендами та меншою спекулятивною складовою. Такі компанії менш чутливі до короткострокових змін на ринку й зберігають привабливість навіть в умовах невизначеності.</w:t>
      </w:r>
    </w:p>
    <w:p w:rsidR="00F30E41" w:rsidRPr="00ED6FB4" w:rsidRDefault="00F30E41" w:rsidP="00ED6FB4">
      <w:pPr>
        <w:tabs>
          <w:tab w:val="left" w:pos="6946"/>
        </w:tabs>
        <w:spacing w:after="0" w:line="360" w:lineRule="auto"/>
        <w:ind w:firstLine="709"/>
        <w:jc w:val="both"/>
        <w:rPr>
          <w:rFonts w:ascii="Times New Roman" w:hAnsi="Times New Roman" w:cs="Times New Roman"/>
          <w:color w:val="000000"/>
          <w:sz w:val="28"/>
          <w:szCs w:val="28"/>
          <w:lang w:val="ru-RU"/>
        </w:rPr>
      </w:pPr>
      <w:r w:rsidRPr="00ED6FB4">
        <w:rPr>
          <w:rFonts w:ascii="Times New Roman" w:hAnsi="Times New Roman" w:cs="Times New Roman"/>
          <w:color w:val="000000"/>
          <w:sz w:val="28"/>
          <w:szCs w:val="28"/>
          <w:lang w:val="ru-RU"/>
        </w:rPr>
        <w:t>Income-портфель був найконсервативнішим за структурою. Основу портфеля складали iShares 1</w:t>
      </w:r>
      <w:r>
        <w:rPr>
          <w:rFonts w:ascii="Times New Roman" w:hAnsi="Times New Roman" w:cs="Times New Roman"/>
          <w:color w:val="000000"/>
          <w:sz w:val="28"/>
          <w:szCs w:val="28"/>
          <w:lang w:val="ru-RU"/>
        </w:rPr>
        <w:t>-</w:t>
      </w:r>
      <w:r w:rsidRPr="00ED6FB4">
        <w:rPr>
          <w:rFonts w:ascii="Times New Roman" w:hAnsi="Times New Roman" w:cs="Times New Roman"/>
          <w:color w:val="000000"/>
          <w:sz w:val="28"/>
          <w:szCs w:val="28"/>
          <w:lang w:val="ru-RU"/>
        </w:rPr>
        <w:t>3 Year Treasury Bond ETF (33%), Vanguard High Dividend Yield ETF, а також акції великих фармацевтичних компаній, таких як Roche та Takeda, і золото (BMO Gold ETF). Дохідність цього портфеля у більшості років залишалася в межах 5</w:t>
      </w:r>
      <w:r>
        <w:rPr>
          <w:rFonts w:ascii="Times New Roman" w:hAnsi="Times New Roman" w:cs="Times New Roman"/>
          <w:color w:val="000000"/>
          <w:sz w:val="28"/>
          <w:szCs w:val="28"/>
          <w:lang w:val="ru-RU"/>
        </w:rPr>
        <w:t>-</w:t>
      </w:r>
      <w:r w:rsidRPr="00ED6FB4">
        <w:rPr>
          <w:rFonts w:ascii="Times New Roman" w:hAnsi="Times New Roman" w:cs="Times New Roman"/>
          <w:color w:val="000000"/>
          <w:sz w:val="28"/>
          <w:szCs w:val="28"/>
          <w:lang w:val="ru-RU"/>
        </w:rPr>
        <w:t>15%, без різких коливань і з незначним впливом криз. Навіть у 2022 році, коли інші портфелі зазнали втрат, income-портфель продовжував демонструвати позитивну динаміку. Така поведінка є типовою для захисних стратегій, орієнтованих не на зростання капіталу, а на його збереження та регулярний грошовий потік.</w:t>
      </w:r>
    </w:p>
    <w:p w:rsidR="00F30E41" w:rsidRPr="00ED6FB4" w:rsidRDefault="00F30E41" w:rsidP="00ED6FB4">
      <w:pPr>
        <w:tabs>
          <w:tab w:val="left" w:pos="6946"/>
        </w:tabs>
        <w:spacing w:after="0" w:line="360" w:lineRule="auto"/>
        <w:ind w:firstLine="709"/>
        <w:jc w:val="both"/>
        <w:rPr>
          <w:rFonts w:ascii="Times New Roman" w:hAnsi="Times New Roman" w:cs="Times New Roman"/>
          <w:color w:val="000000"/>
          <w:sz w:val="28"/>
          <w:szCs w:val="28"/>
          <w:lang w:val="ru-RU"/>
        </w:rPr>
      </w:pPr>
    </w:p>
    <w:p w:rsidR="00F30E41" w:rsidRPr="00ED6FB4" w:rsidRDefault="00F30E41" w:rsidP="003A0BB9">
      <w:pPr>
        <w:tabs>
          <w:tab w:val="left" w:pos="6946"/>
        </w:tabs>
        <w:spacing w:after="0" w:line="360" w:lineRule="auto"/>
        <w:ind w:firstLine="709"/>
        <w:jc w:val="both"/>
        <w:rPr>
          <w:rFonts w:ascii="Times New Roman" w:hAnsi="Times New Roman" w:cs="Times New Roman"/>
          <w:color w:val="000000"/>
          <w:sz w:val="28"/>
          <w:szCs w:val="28"/>
          <w:lang w:val="ru-RU"/>
        </w:rPr>
      </w:pPr>
      <w:r w:rsidRPr="00ED6FB4">
        <w:rPr>
          <w:rFonts w:ascii="Times New Roman" w:hAnsi="Times New Roman" w:cs="Times New Roman"/>
          <w:color w:val="000000"/>
          <w:sz w:val="28"/>
          <w:szCs w:val="28"/>
          <w:lang w:val="ru-RU"/>
        </w:rPr>
        <w:t xml:space="preserve">Для об’єктивного порівняння портфелі було зіставлено з бенчмарком </w:t>
      </w:r>
      <w:r>
        <w:rPr>
          <w:rFonts w:ascii="Times New Roman" w:hAnsi="Times New Roman" w:cs="Times New Roman"/>
          <w:color w:val="000000"/>
          <w:sz w:val="28"/>
          <w:szCs w:val="28"/>
          <w:lang w:val="ru-RU"/>
        </w:rPr>
        <w:t>-</w:t>
      </w:r>
      <w:r w:rsidRPr="00ED6FB4">
        <w:rPr>
          <w:rFonts w:ascii="Times New Roman" w:hAnsi="Times New Roman" w:cs="Times New Roman"/>
          <w:color w:val="000000"/>
          <w:sz w:val="28"/>
          <w:szCs w:val="28"/>
          <w:lang w:val="ru-RU"/>
        </w:rPr>
        <w:t xml:space="preserve"> SPDR S&amp;P 500 ETF. У кризові роки, зокрема у 2022, цей індекс також зазнав втрат. Однак як value, так і income-портфелі виявилися ефективнішими у плані збереження капіталу, що підтверджує доцільність використання консервативних стратегій у періоди нестабільності.</w:t>
      </w:r>
    </w:p>
    <w:p w:rsidR="00F30E41" w:rsidRDefault="00F30E41" w:rsidP="00ED6FB4">
      <w:pPr>
        <w:tabs>
          <w:tab w:val="left" w:pos="6946"/>
        </w:tabs>
        <w:spacing w:after="0" w:line="360" w:lineRule="auto"/>
        <w:ind w:firstLine="709"/>
        <w:jc w:val="both"/>
        <w:rPr>
          <w:rFonts w:ascii="Times New Roman" w:hAnsi="Times New Roman" w:cs="Times New Roman"/>
          <w:color w:val="000000"/>
          <w:sz w:val="28"/>
          <w:szCs w:val="28"/>
          <w:lang w:val="ru-RU"/>
        </w:rPr>
      </w:pPr>
      <w:r w:rsidRPr="00ED6FB4">
        <w:rPr>
          <w:rFonts w:ascii="Times New Roman" w:hAnsi="Times New Roman" w:cs="Times New Roman"/>
          <w:color w:val="000000"/>
          <w:sz w:val="28"/>
          <w:szCs w:val="28"/>
          <w:lang w:val="ru-RU"/>
        </w:rPr>
        <w:t>Таким чином, результати моделювання демонструють, що вибір інвестиційної стратегії має критичне значення для ефективності портфеля. Growth-стратегія забезпечує найвищу дохідність у сприятливих умовах, але супроводжується високим рівнем ризику. Value-стратегія є збалансованим варіантом, що поєднує зростання з помірною стійкістю. Income-стратегія, хоч і має найнижчу дохідність, виявилася найстабільнішою під час криз. Відтак інвестору слід враховувати як власну схильність до ризику, так і поточні макроекономічні умови при формуванні портфеля.</w:t>
      </w:r>
    </w:p>
    <w:p w:rsidR="00F30E41" w:rsidRPr="00B5654E" w:rsidRDefault="00F30E41" w:rsidP="00ED6FB4">
      <w:pPr>
        <w:tabs>
          <w:tab w:val="left" w:pos="6946"/>
        </w:tabs>
        <w:spacing w:after="0" w:line="360" w:lineRule="auto"/>
        <w:ind w:firstLine="709"/>
        <w:jc w:val="both"/>
        <w:rPr>
          <w:rFonts w:ascii="Times New Roman" w:hAnsi="Times New Roman" w:cs="Times New Roman"/>
          <w:color w:val="000000"/>
          <w:sz w:val="28"/>
          <w:szCs w:val="28"/>
          <w:lang w:val="ru-RU"/>
        </w:rPr>
      </w:pPr>
      <w:r w:rsidRPr="00B5654E">
        <w:rPr>
          <w:rFonts w:ascii="Times New Roman" w:hAnsi="Times New Roman" w:cs="Times New Roman"/>
          <w:color w:val="000000"/>
          <w:sz w:val="28"/>
          <w:szCs w:val="28"/>
          <w:lang w:val="ru-RU"/>
        </w:rPr>
        <w:t>З урахуванням отриманих результатів можна сформулювати такі рекомендації:</w:t>
      </w:r>
    </w:p>
    <w:p w:rsidR="00F30E41" w:rsidRPr="00B5654E" w:rsidRDefault="00F30E41" w:rsidP="00B5654E">
      <w:pPr>
        <w:numPr>
          <w:ilvl w:val="0"/>
          <w:numId w:val="10"/>
        </w:numPr>
        <w:tabs>
          <w:tab w:val="left" w:pos="6946"/>
        </w:tabs>
        <w:spacing w:after="0" w:line="360" w:lineRule="auto"/>
        <w:jc w:val="both"/>
        <w:rPr>
          <w:rFonts w:ascii="Times New Roman" w:hAnsi="Times New Roman" w:cs="Times New Roman"/>
          <w:color w:val="000000"/>
          <w:sz w:val="28"/>
          <w:szCs w:val="28"/>
          <w:lang w:val="ru-RU"/>
        </w:rPr>
      </w:pPr>
      <w:r w:rsidRPr="00B5654E">
        <w:rPr>
          <w:rFonts w:ascii="Times New Roman" w:hAnsi="Times New Roman" w:cs="Times New Roman"/>
          <w:color w:val="000000"/>
          <w:sz w:val="28"/>
          <w:szCs w:val="28"/>
          <w:lang w:val="de-AT"/>
        </w:rPr>
        <w:t>Value</w:t>
      </w:r>
      <w:r w:rsidRPr="00B5654E">
        <w:rPr>
          <w:rFonts w:ascii="Times New Roman" w:hAnsi="Times New Roman" w:cs="Times New Roman"/>
          <w:color w:val="000000"/>
          <w:sz w:val="28"/>
          <w:szCs w:val="28"/>
          <w:lang w:val="ru-RU"/>
        </w:rPr>
        <w:t>-портфель доцільно обирати інвесторам із помірною толерантністю до ризику, орієнтованим на довгострокове збереження капіталу й стабільну дохідність.</w:t>
      </w:r>
    </w:p>
    <w:p w:rsidR="00F30E41" w:rsidRPr="00B5654E" w:rsidRDefault="00F30E41" w:rsidP="00B5654E">
      <w:pPr>
        <w:numPr>
          <w:ilvl w:val="0"/>
          <w:numId w:val="10"/>
        </w:numPr>
        <w:tabs>
          <w:tab w:val="left" w:pos="6946"/>
        </w:tabs>
        <w:spacing w:after="0" w:line="360" w:lineRule="auto"/>
        <w:jc w:val="both"/>
        <w:rPr>
          <w:rFonts w:ascii="Times New Roman" w:hAnsi="Times New Roman" w:cs="Times New Roman"/>
          <w:color w:val="000000"/>
          <w:sz w:val="28"/>
          <w:szCs w:val="28"/>
          <w:lang w:val="ru-RU"/>
        </w:rPr>
      </w:pPr>
      <w:r w:rsidRPr="00B5654E">
        <w:rPr>
          <w:rFonts w:ascii="Times New Roman" w:hAnsi="Times New Roman" w:cs="Times New Roman"/>
          <w:color w:val="000000"/>
          <w:sz w:val="28"/>
          <w:szCs w:val="28"/>
          <w:lang w:val="de-AT"/>
        </w:rPr>
        <w:t>Growth</w:t>
      </w:r>
      <w:r w:rsidRPr="00B5654E">
        <w:rPr>
          <w:rFonts w:ascii="Times New Roman" w:hAnsi="Times New Roman" w:cs="Times New Roman"/>
          <w:color w:val="000000"/>
          <w:sz w:val="28"/>
          <w:szCs w:val="28"/>
          <w:lang w:val="ru-RU"/>
        </w:rPr>
        <w:t>-портфель підходить для інвесторів, що прагнуть агресивного зростання капіталу та готові до підвищеної волатильності.</w:t>
      </w:r>
    </w:p>
    <w:p w:rsidR="00F30E41" w:rsidRPr="00B5654E" w:rsidRDefault="00F30E41" w:rsidP="00B5654E">
      <w:pPr>
        <w:numPr>
          <w:ilvl w:val="0"/>
          <w:numId w:val="10"/>
        </w:numPr>
        <w:tabs>
          <w:tab w:val="left" w:pos="6946"/>
        </w:tabs>
        <w:spacing w:after="0" w:line="360" w:lineRule="auto"/>
        <w:jc w:val="both"/>
        <w:rPr>
          <w:rFonts w:ascii="Times New Roman" w:hAnsi="Times New Roman" w:cs="Times New Roman"/>
          <w:color w:val="000000"/>
          <w:sz w:val="28"/>
          <w:szCs w:val="28"/>
          <w:lang w:val="ru-RU"/>
        </w:rPr>
      </w:pPr>
      <w:r w:rsidRPr="00B5654E">
        <w:rPr>
          <w:rFonts w:ascii="Times New Roman" w:hAnsi="Times New Roman" w:cs="Times New Roman"/>
          <w:color w:val="000000"/>
          <w:sz w:val="28"/>
          <w:szCs w:val="28"/>
          <w:lang w:val="de-AT"/>
        </w:rPr>
        <w:t>Income</w:t>
      </w:r>
      <w:r w:rsidRPr="00B5654E">
        <w:rPr>
          <w:rFonts w:ascii="Times New Roman" w:hAnsi="Times New Roman" w:cs="Times New Roman"/>
          <w:color w:val="000000"/>
          <w:sz w:val="28"/>
          <w:szCs w:val="28"/>
          <w:lang w:val="ru-RU"/>
        </w:rPr>
        <w:t>-портфель є оптимальним для інвесторів, орієнтованих на стабільний дохід і мінімізацію ризиків, зокрема в періоди ринкової нестабільності.</w:t>
      </w:r>
    </w:p>
    <w:p w:rsidR="00F30E41" w:rsidRPr="00B5654E" w:rsidRDefault="00F30E41" w:rsidP="00B5654E">
      <w:pPr>
        <w:numPr>
          <w:ilvl w:val="0"/>
          <w:numId w:val="10"/>
        </w:numPr>
        <w:tabs>
          <w:tab w:val="left" w:pos="6946"/>
        </w:tabs>
        <w:spacing w:after="0" w:line="360" w:lineRule="auto"/>
        <w:jc w:val="both"/>
        <w:rPr>
          <w:rFonts w:ascii="Times New Roman" w:hAnsi="Times New Roman" w:cs="Times New Roman"/>
          <w:color w:val="000000"/>
          <w:sz w:val="28"/>
          <w:szCs w:val="28"/>
          <w:lang w:val="ru-RU"/>
        </w:rPr>
      </w:pPr>
      <w:r w:rsidRPr="00B5654E">
        <w:rPr>
          <w:rFonts w:ascii="Times New Roman" w:hAnsi="Times New Roman" w:cs="Times New Roman"/>
          <w:color w:val="000000"/>
          <w:sz w:val="28"/>
          <w:szCs w:val="28"/>
          <w:lang w:val="ru-RU"/>
        </w:rPr>
        <w:t>Доцільним є формування комбінованого портфеля, який об’єднує елементи всіх трьох стратегій залежно від індивідуальних цілей та інвестиційного горизонту.</w:t>
      </w:r>
    </w:p>
    <w:p w:rsidR="00F30E41" w:rsidRPr="003A0BB9" w:rsidRDefault="00F30E41" w:rsidP="003A0BB9">
      <w:pPr>
        <w:tabs>
          <w:tab w:val="left" w:pos="6946"/>
        </w:tabs>
        <w:spacing w:after="0" w:line="360" w:lineRule="auto"/>
        <w:ind w:firstLine="709"/>
        <w:jc w:val="both"/>
        <w:rPr>
          <w:rFonts w:ascii="Times New Roman" w:hAnsi="Times New Roman" w:cs="Times New Roman"/>
          <w:color w:val="000000"/>
          <w:sz w:val="28"/>
          <w:szCs w:val="28"/>
          <w:lang w:val="ru-RU"/>
        </w:rPr>
      </w:pPr>
      <w:r w:rsidRPr="00695022">
        <w:rPr>
          <w:rFonts w:ascii="Times New Roman" w:hAnsi="Times New Roman" w:cs="Times New Roman"/>
          <w:color w:val="000000"/>
          <w:sz w:val="28"/>
          <w:szCs w:val="28"/>
        </w:rPr>
        <w:t>Загалом, результати дослідження засвідчують важливість адаптації портфельної структури до профілю інвестора та ринкових умов.</w:t>
      </w:r>
    </w:p>
    <w:p w:rsidR="00F30E41" w:rsidRDefault="00F30E41" w:rsidP="00D9363D">
      <w:pPr>
        <w:tabs>
          <w:tab w:val="left" w:pos="6946"/>
        </w:tabs>
        <w:spacing w:after="0" w:line="360" w:lineRule="auto"/>
        <w:rPr>
          <w:rFonts w:ascii="Times New Roman" w:hAnsi="Times New Roman" w:cs="Times New Roman"/>
          <w:b/>
          <w:bCs/>
          <w:color w:val="000000"/>
          <w:sz w:val="28"/>
          <w:szCs w:val="28"/>
          <w:lang w:val="ru-RU"/>
        </w:rPr>
      </w:pPr>
    </w:p>
    <w:p w:rsidR="00F30E41" w:rsidRDefault="00F30E41" w:rsidP="00D600E3">
      <w:pPr>
        <w:tabs>
          <w:tab w:val="left" w:pos="6946"/>
        </w:tabs>
        <w:spacing w:after="0" w:line="360" w:lineRule="auto"/>
        <w:jc w:val="center"/>
        <w:rPr>
          <w:rFonts w:ascii="Times New Roman" w:hAnsi="Times New Roman" w:cs="Times New Roman"/>
          <w:b/>
          <w:bCs/>
          <w:color w:val="000000"/>
          <w:sz w:val="28"/>
          <w:szCs w:val="28"/>
          <w:lang w:val="ru-RU"/>
        </w:rPr>
      </w:pPr>
      <w:r w:rsidRPr="00A66AAD">
        <w:rPr>
          <w:rFonts w:ascii="Times New Roman" w:hAnsi="Times New Roman" w:cs="Times New Roman"/>
          <w:b/>
          <w:bCs/>
          <w:color w:val="000000"/>
          <w:sz w:val="28"/>
          <w:szCs w:val="28"/>
          <w:lang w:val="ru-RU"/>
        </w:rPr>
        <w:t>ВИСНОВКИ</w:t>
      </w:r>
    </w:p>
    <w:p w:rsidR="00F30E41" w:rsidRDefault="00F30E41" w:rsidP="00D600E3">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E20D3C">
      <w:pPr>
        <w:tabs>
          <w:tab w:val="left" w:pos="6946"/>
        </w:tabs>
        <w:spacing w:after="0" w:line="360" w:lineRule="auto"/>
        <w:ind w:firstLine="709"/>
        <w:jc w:val="both"/>
        <w:rPr>
          <w:rFonts w:ascii="Times New Roman" w:hAnsi="Times New Roman" w:cs="Times New Roman"/>
          <w:color w:val="000000"/>
          <w:sz w:val="28"/>
          <w:szCs w:val="28"/>
          <w:lang w:val="ru-RU"/>
        </w:rPr>
      </w:pPr>
      <w:r w:rsidRPr="002D0872">
        <w:rPr>
          <w:rFonts w:ascii="Times New Roman" w:hAnsi="Times New Roman" w:cs="Times New Roman"/>
          <w:color w:val="000000"/>
          <w:sz w:val="28"/>
          <w:szCs w:val="28"/>
        </w:rPr>
        <w:t>Проведене аналітико-моделювальн</w:t>
      </w:r>
      <w:r w:rsidRPr="002D0872">
        <w:rPr>
          <w:rFonts w:ascii="Times New Roman" w:hAnsi="Times New Roman" w:cs="Times New Roman"/>
          <w:color w:val="000000"/>
          <w:sz w:val="28"/>
          <w:szCs w:val="28"/>
          <w:lang w:val="ru-RU"/>
        </w:rPr>
        <w:t>е</w:t>
      </w:r>
      <w:r w:rsidRPr="002D0872">
        <w:rPr>
          <w:rFonts w:ascii="Times New Roman" w:hAnsi="Times New Roman" w:cs="Times New Roman"/>
          <w:color w:val="000000"/>
          <w:sz w:val="28"/>
          <w:szCs w:val="28"/>
        </w:rPr>
        <w:t xml:space="preserve"> дослідження дозволило зробити наступні висновки:</w:t>
      </w:r>
    </w:p>
    <w:p w:rsidR="00F30E41" w:rsidRDefault="00F30E41" w:rsidP="00E20D3C">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1. Було опрацьовано та проаналізовано основні теоретичні підходи до формування та класифікації інвестиційних портфелів.</w:t>
      </w:r>
    </w:p>
    <w:p w:rsidR="00F30E41" w:rsidRDefault="00F30E41" w:rsidP="00D22486">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 xml:space="preserve">На основі проведеного теоретичного аналізу було досліджено сучасні підходи до формування та класифікації інвестиційних портфелів. Розкрито суть моделей Марковіца, CAPM і Фама-Френча, які дозволяють оцінити співвідношення ризику та доходності при формуванні портфеля. Виокремлено ключові інвестиційні стратегії </w:t>
      </w:r>
      <w:r>
        <w:rPr>
          <w:rFonts w:ascii="Times New Roman" w:hAnsi="Times New Roman" w:cs="Times New Roman"/>
          <w:color w:val="000000"/>
          <w:sz w:val="28"/>
          <w:szCs w:val="28"/>
          <w:lang w:val="ru-RU"/>
        </w:rPr>
        <w:t>-</w:t>
      </w:r>
      <w:r w:rsidRPr="00E20D3C">
        <w:rPr>
          <w:rFonts w:ascii="Times New Roman" w:hAnsi="Times New Roman" w:cs="Times New Roman"/>
          <w:color w:val="000000"/>
          <w:sz w:val="28"/>
          <w:szCs w:val="28"/>
          <w:lang w:val="ru-RU"/>
        </w:rPr>
        <w:t xml:space="preserve"> value, growth та income </w:t>
      </w:r>
      <w:r>
        <w:rPr>
          <w:rFonts w:ascii="Times New Roman" w:hAnsi="Times New Roman" w:cs="Times New Roman"/>
          <w:color w:val="000000"/>
          <w:sz w:val="28"/>
          <w:szCs w:val="28"/>
          <w:lang w:val="ru-RU"/>
        </w:rPr>
        <w:t>-</w:t>
      </w:r>
      <w:r w:rsidRPr="00E20D3C">
        <w:rPr>
          <w:rFonts w:ascii="Times New Roman" w:hAnsi="Times New Roman" w:cs="Times New Roman"/>
          <w:color w:val="000000"/>
          <w:sz w:val="28"/>
          <w:szCs w:val="28"/>
          <w:lang w:val="ru-RU"/>
        </w:rPr>
        <w:t xml:space="preserve"> а також визначено їхню доцільність залежно від інвестиційних цілей, горизонту інвестування та рівня ризику. Доведено, що ефективне портфельне інвестування неможливе без диверсифікації активів за секторами, регіонами та типами інструментів, що мінімізує сукупний ризик і підвищує стабільність доходності.</w:t>
      </w:r>
    </w:p>
    <w:p w:rsidR="00F30E41" w:rsidRDefault="00F30E41" w:rsidP="00D22486">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 xml:space="preserve">2. Було проаналізовано галузеву структуру та виявлено ринкові тенденції </w:t>
      </w:r>
      <w:r>
        <w:rPr>
          <w:rFonts w:ascii="Times New Roman" w:hAnsi="Times New Roman" w:cs="Times New Roman"/>
          <w:color w:val="000000"/>
          <w:sz w:val="28"/>
          <w:szCs w:val="28"/>
          <w:lang w:val="ru-RU"/>
        </w:rPr>
        <w:t xml:space="preserve">у </w:t>
      </w:r>
      <w:r w:rsidRPr="00E20D3C">
        <w:rPr>
          <w:rFonts w:ascii="Times New Roman" w:hAnsi="Times New Roman" w:cs="Times New Roman"/>
          <w:color w:val="000000"/>
          <w:sz w:val="28"/>
          <w:szCs w:val="28"/>
          <w:lang w:val="ru-RU"/>
        </w:rPr>
        <w:t>секторах технології, охорона здоров’я та енергетики.</w:t>
      </w:r>
    </w:p>
    <w:p w:rsidR="00F30E41" w:rsidRDefault="00F30E41" w:rsidP="005D499F">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У результаті проведеного аналізу було встановлено, що технологічний сектор вирізняється високими темпами зростання та значним інноваційним потенціалом за умов підвищеної волатильності. Сектор охорони здоров’я продемонстрував відносну стабільність і низьку чутливість до макроекономічних коливань, що зумовлює його захисну функцію в періоди нестабільності. Енергетичний сектор відзначається стійкою динамікою розвитку на тлі глобального переходу до відновлюваних джерел енергії. Зроблено висновок, що галузева структура портфеля суттєво впливає на співвідношення ризику та дохідності, а її оптимальне поєднання сприяє підвищенню ефективності інвестиційного управління.</w:t>
      </w:r>
    </w:p>
    <w:p w:rsidR="00F30E41" w:rsidRDefault="00F30E41" w:rsidP="005D499F">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3. Було виявлено суттєві відмінності в дохідності активів різних секторів в умовах економічної невизначеності.</w:t>
      </w:r>
    </w:p>
    <w:p w:rsidR="00F30E41" w:rsidRDefault="00F30E41" w:rsidP="0051208F">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У ході порівняльного аналізу було виявлено, що технологічні компанії демонструють найвищу прибутковість, що обумовлено інтенсивним розвитком цифрових технологій та високим інтересом з боку інвесторів. Сектор охорони здоров’я забезпечив стабільну, але помірну дохідність, підтверджуючи свою низьку чутливість до ринкових шоків. Енергетичний сектор, незважаючи на загальну волатильність, продемонстрував потенціал до зростання завдяки інвестиціям у відновлювану енергетику. Отримані результати підтверджують, що в умовах нестабільності найефективнішими є поєднання активів із різним рівнем дохідності та ризику, що забезпечує баланс між зростанням капіталу та його збереженням.</w:t>
      </w:r>
    </w:p>
    <w:p w:rsidR="00F30E41" w:rsidRPr="00BC5A97" w:rsidRDefault="00F30E41" w:rsidP="00BC5A97">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4. Було проведено кореляційний та регресійний аналіз для оцінки взаємозв’язків між активами та рівнем їх ризиковості.</w:t>
      </w:r>
    </w:p>
    <w:p w:rsidR="00F30E41" w:rsidRPr="0027100F" w:rsidRDefault="00F30E41" w:rsidP="0027100F">
      <w:pPr>
        <w:tabs>
          <w:tab w:val="left" w:pos="6946"/>
        </w:tabs>
        <w:spacing w:after="0" w:line="360" w:lineRule="auto"/>
        <w:ind w:firstLine="709"/>
        <w:jc w:val="both"/>
        <w:rPr>
          <w:rFonts w:ascii="Times New Roman" w:hAnsi="Times New Roman" w:cs="Times New Roman"/>
          <w:color w:val="000000"/>
          <w:sz w:val="28"/>
          <w:szCs w:val="28"/>
          <w:lang w:val="ru-RU"/>
        </w:rPr>
      </w:pPr>
      <w:r w:rsidRPr="00BC5A97">
        <w:rPr>
          <w:rFonts w:ascii="Times New Roman" w:hAnsi="Times New Roman" w:cs="Times New Roman"/>
          <w:color w:val="000000"/>
          <w:sz w:val="28"/>
          <w:szCs w:val="28"/>
          <w:lang w:val="ru-RU"/>
        </w:rPr>
        <w:t>У ході аналізу встановлено, що між активами різних секторів існують варіативні кореляційні зв’язки, що дозволяє ефективніше контролювати загальний ризик портфеля. Регресійне моделювання з використанням багатофакторної моделі Фама–Френча дало змогу оцінити вплив ринкового ризику, розміру компанії та співвідношення ринкової і балансової вартості на дохідність активів. На основі отриманих коефіцієнтів було здійснено класифікацію акцій відповідно до інвестиційних стратегій: визначено, які активи належать до портфелів типу value, growth або income.</w:t>
      </w:r>
    </w:p>
    <w:p w:rsidR="00F30E41" w:rsidRPr="00F67206" w:rsidRDefault="00F30E41" w:rsidP="0027100F">
      <w:pPr>
        <w:tabs>
          <w:tab w:val="left" w:pos="6946"/>
        </w:tabs>
        <w:spacing w:after="0" w:line="360" w:lineRule="auto"/>
        <w:ind w:firstLine="709"/>
        <w:jc w:val="both"/>
        <w:rPr>
          <w:rFonts w:ascii="Times New Roman" w:hAnsi="Times New Roman" w:cs="Times New Roman"/>
          <w:color w:val="000000"/>
          <w:sz w:val="28"/>
          <w:szCs w:val="28"/>
          <w:lang w:val="ru-RU"/>
        </w:rPr>
      </w:pPr>
      <w:r w:rsidRPr="0027100F">
        <w:rPr>
          <w:rFonts w:ascii="Times New Roman" w:hAnsi="Times New Roman" w:cs="Times New Roman"/>
          <w:color w:val="000000"/>
          <w:sz w:val="28"/>
          <w:szCs w:val="28"/>
          <w:lang w:val="ru-RU"/>
        </w:rPr>
        <w:t xml:space="preserve">5. </w:t>
      </w:r>
      <w:r w:rsidRPr="00E20D3C">
        <w:rPr>
          <w:rFonts w:ascii="Times New Roman" w:hAnsi="Times New Roman" w:cs="Times New Roman"/>
          <w:color w:val="000000"/>
          <w:sz w:val="28"/>
          <w:szCs w:val="28"/>
          <w:lang w:val="ru-RU"/>
        </w:rPr>
        <w:t>Було</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сформовано</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та</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проаналізовано</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інвестиційні</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портфелі</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відповідно</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до</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стратегій</w:t>
      </w:r>
      <w:r w:rsidRPr="0027100F">
        <w:rPr>
          <w:rFonts w:ascii="Times New Roman" w:hAnsi="Times New Roman" w:cs="Times New Roman"/>
          <w:color w:val="000000"/>
          <w:sz w:val="28"/>
          <w:szCs w:val="28"/>
          <w:lang w:val="ru-RU"/>
        </w:rPr>
        <w:t xml:space="preserve"> </w:t>
      </w:r>
      <w:r w:rsidRPr="00BC5A97">
        <w:rPr>
          <w:rFonts w:ascii="Times New Roman" w:hAnsi="Times New Roman" w:cs="Times New Roman"/>
          <w:color w:val="000000"/>
          <w:sz w:val="28"/>
          <w:szCs w:val="28"/>
          <w:lang w:val="en-US"/>
        </w:rPr>
        <w:t>value</w:t>
      </w:r>
      <w:r w:rsidRPr="0027100F">
        <w:rPr>
          <w:rFonts w:ascii="Times New Roman" w:hAnsi="Times New Roman" w:cs="Times New Roman"/>
          <w:color w:val="000000"/>
          <w:sz w:val="28"/>
          <w:szCs w:val="28"/>
          <w:lang w:val="ru-RU"/>
        </w:rPr>
        <w:t xml:space="preserve">, </w:t>
      </w:r>
      <w:r w:rsidRPr="00BC5A97">
        <w:rPr>
          <w:rFonts w:ascii="Times New Roman" w:hAnsi="Times New Roman" w:cs="Times New Roman"/>
          <w:color w:val="000000"/>
          <w:sz w:val="28"/>
          <w:szCs w:val="28"/>
          <w:lang w:val="en-US"/>
        </w:rPr>
        <w:t>growth</w:t>
      </w:r>
      <w:r w:rsidRPr="0027100F">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та</w:t>
      </w:r>
      <w:r w:rsidRPr="0027100F">
        <w:rPr>
          <w:rFonts w:ascii="Times New Roman" w:hAnsi="Times New Roman" w:cs="Times New Roman"/>
          <w:color w:val="000000"/>
          <w:sz w:val="28"/>
          <w:szCs w:val="28"/>
          <w:lang w:val="ru-RU"/>
        </w:rPr>
        <w:t xml:space="preserve"> </w:t>
      </w:r>
      <w:r w:rsidRPr="00BC5A97">
        <w:rPr>
          <w:rFonts w:ascii="Times New Roman" w:hAnsi="Times New Roman" w:cs="Times New Roman"/>
          <w:color w:val="000000"/>
          <w:sz w:val="28"/>
          <w:szCs w:val="28"/>
          <w:lang w:val="en-US"/>
        </w:rPr>
        <w:t>income</w:t>
      </w:r>
      <w:r w:rsidRPr="0027100F">
        <w:rPr>
          <w:rFonts w:ascii="Times New Roman" w:hAnsi="Times New Roman" w:cs="Times New Roman"/>
          <w:color w:val="000000"/>
          <w:sz w:val="28"/>
          <w:szCs w:val="28"/>
          <w:lang w:val="ru-RU"/>
        </w:rPr>
        <w:t>.</w:t>
      </w:r>
    </w:p>
    <w:p w:rsidR="00F30E41" w:rsidRPr="0027100F" w:rsidRDefault="00F30E41" w:rsidP="0027100F">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Результати</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моделювання</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показали</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що</w:t>
      </w:r>
      <w:r w:rsidRPr="00F67206">
        <w:rPr>
          <w:rFonts w:ascii="Times New Roman" w:hAnsi="Times New Roman" w:cs="Times New Roman"/>
          <w:color w:val="000000"/>
          <w:sz w:val="28"/>
          <w:szCs w:val="28"/>
          <w:lang w:val="ru-RU"/>
        </w:rPr>
        <w:t xml:space="preserve"> </w:t>
      </w:r>
      <w:r w:rsidRPr="0027100F">
        <w:rPr>
          <w:rFonts w:ascii="Times New Roman" w:hAnsi="Times New Roman" w:cs="Times New Roman"/>
          <w:color w:val="000000"/>
          <w:sz w:val="28"/>
          <w:szCs w:val="28"/>
          <w:lang w:val="en-US"/>
        </w:rPr>
        <w:t>growth</w:t>
      </w:r>
      <w:r w:rsidRPr="00F67206">
        <w:rPr>
          <w:rFonts w:ascii="Times New Roman" w:hAnsi="Times New Roman" w:cs="Times New Roman"/>
          <w:color w:val="000000"/>
          <w:sz w:val="28"/>
          <w:szCs w:val="28"/>
          <w:lang w:val="ru-RU"/>
        </w:rPr>
        <w:t>-</w:t>
      </w:r>
      <w:r w:rsidRPr="00E20D3C">
        <w:rPr>
          <w:rFonts w:ascii="Times New Roman" w:hAnsi="Times New Roman" w:cs="Times New Roman"/>
          <w:color w:val="000000"/>
          <w:sz w:val="28"/>
          <w:szCs w:val="28"/>
          <w:lang w:val="ru-RU"/>
        </w:rPr>
        <w:t>портфель</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забезпечив</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найвищу</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дохідність</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за</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умов</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високої</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волатильності</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тоді</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як</w:t>
      </w:r>
      <w:r w:rsidRPr="00F67206">
        <w:rPr>
          <w:rFonts w:ascii="Times New Roman" w:hAnsi="Times New Roman" w:cs="Times New Roman"/>
          <w:color w:val="000000"/>
          <w:sz w:val="28"/>
          <w:szCs w:val="28"/>
          <w:lang w:val="ru-RU"/>
        </w:rPr>
        <w:t xml:space="preserve"> </w:t>
      </w:r>
      <w:r w:rsidRPr="0027100F">
        <w:rPr>
          <w:rFonts w:ascii="Times New Roman" w:hAnsi="Times New Roman" w:cs="Times New Roman"/>
          <w:color w:val="000000"/>
          <w:sz w:val="28"/>
          <w:szCs w:val="28"/>
          <w:lang w:val="en-US"/>
        </w:rPr>
        <w:t>value</w:t>
      </w:r>
      <w:r w:rsidRPr="00F67206">
        <w:rPr>
          <w:rFonts w:ascii="Times New Roman" w:hAnsi="Times New Roman" w:cs="Times New Roman"/>
          <w:color w:val="000000"/>
          <w:sz w:val="28"/>
          <w:szCs w:val="28"/>
          <w:lang w:val="ru-RU"/>
        </w:rPr>
        <w:t>-</w:t>
      </w:r>
      <w:r w:rsidRPr="00E20D3C">
        <w:rPr>
          <w:rFonts w:ascii="Times New Roman" w:hAnsi="Times New Roman" w:cs="Times New Roman"/>
          <w:color w:val="000000"/>
          <w:sz w:val="28"/>
          <w:szCs w:val="28"/>
          <w:lang w:val="ru-RU"/>
        </w:rPr>
        <w:t>портфель</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відзначився</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стабільнішими</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результатами</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за</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помірного</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рівня</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ризику</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 xml:space="preserve">Income-портфель продемонстрував найнижчу волатильність і надійний грошовий потік. Встановлено, що вибір стратегії має ґрунтуватися на індивідуальних інвестиційних пріоритетах </w:t>
      </w:r>
      <w:r w:rsidRPr="0027100F">
        <w:rPr>
          <w:rFonts w:ascii="Times New Roman" w:hAnsi="Times New Roman" w:cs="Times New Roman"/>
          <w:color w:val="000000"/>
          <w:sz w:val="28"/>
          <w:szCs w:val="28"/>
          <w:lang w:val="ru-RU"/>
        </w:rPr>
        <w:t>-</w:t>
      </w:r>
      <w:r w:rsidRPr="00E20D3C">
        <w:rPr>
          <w:rFonts w:ascii="Times New Roman" w:hAnsi="Times New Roman" w:cs="Times New Roman"/>
          <w:color w:val="000000"/>
          <w:sz w:val="28"/>
          <w:szCs w:val="28"/>
          <w:lang w:val="ru-RU"/>
        </w:rPr>
        <w:t xml:space="preserve"> від орієнтації на прибуток до збереження капіталу чи отримання стабільного доходу.</w:t>
      </w:r>
    </w:p>
    <w:p w:rsidR="00F30E41" w:rsidRPr="00F67206" w:rsidRDefault="00F30E41" w:rsidP="0027100F">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6. Було обґрунтовано рекомендації щодо оптимізації портфельних стратегій з урахуванням ринкових ризиків і макроекономічних чинників.</w:t>
      </w:r>
    </w:p>
    <w:p w:rsidR="00F30E41" w:rsidRPr="0027100F" w:rsidRDefault="00F30E41" w:rsidP="0027100F">
      <w:pPr>
        <w:tabs>
          <w:tab w:val="left" w:pos="6946"/>
        </w:tabs>
        <w:spacing w:after="0" w:line="360" w:lineRule="auto"/>
        <w:ind w:firstLine="709"/>
        <w:jc w:val="both"/>
        <w:rPr>
          <w:rFonts w:ascii="Times New Roman" w:hAnsi="Times New Roman" w:cs="Times New Roman"/>
          <w:color w:val="000000"/>
          <w:sz w:val="28"/>
          <w:szCs w:val="28"/>
          <w:lang w:val="ru-RU"/>
        </w:rPr>
      </w:pPr>
      <w:r w:rsidRPr="00E20D3C">
        <w:rPr>
          <w:rFonts w:ascii="Times New Roman" w:hAnsi="Times New Roman" w:cs="Times New Roman"/>
          <w:color w:val="000000"/>
          <w:sz w:val="28"/>
          <w:szCs w:val="28"/>
          <w:lang w:val="ru-RU"/>
        </w:rPr>
        <w:t>Зроблено</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висновок</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про</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доцільність</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застосування</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адаптивного</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підходу</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до</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управління</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портфелем</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який</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враховує</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зміну</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макроекономічних</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умов</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таких</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як</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рівень</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інфляції</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відсоткові</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ставки</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та</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глобальні</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шоки</w:t>
      </w:r>
      <w:r w:rsidRPr="00F67206">
        <w:rPr>
          <w:rFonts w:ascii="Times New Roman" w:hAnsi="Times New Roman" w:cs="Times New Roman"/>
          <w:color w:val="000000"/>
          <w:sz w:val="28"/>
          <w:szCs w:val="28"/>
          <w:lang w:val="ru-RU"/>
        </w:rPr>
        <w:t xml:space="preserve">. </w:t>
      </w:r>
      <w:r w:rsidRPr="00E20D3C">
        <w:rPr>
          <w:rFonts w:ascii="Times New Roman" w:hAnsi="Times New Roman" w:cs="Times New Roman"/>
          <w:color w:val="000000"/>
          <w:sz w:val="28"/>
          <w:szCs w:val="28"/>
          <w:lang w:val="ru-RU"/>
        </w:rPr>
        <w:t xml:space="preserve">Рекомендовано використовувати комбінацію активного та пасивного управління залежно від фази ринкового циклу. </w:t>
      </w:r>
    </w:p>
    <w:p w:rsidR="00F30E41" w:rsidRPr="007231CE"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Pr="003E0E4B"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Pr="003E0E4B"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Pr="003E0E4B"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Pr="003E0E4B"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Pr="003E0E4B"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Pr="003E0E4B"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rPr>
      </w:pPr>
    </w:p>
    <w:p w:rsidR="00F30E41" w:rsidRPr="00263A19"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F67206">
      <w:pPr>
        <w:rPr>
          <w:rFonts w:ascii="Times New Roman" w:hAnsi="Times New Roman" w:cs="Times New Roman"/>
          <w:b/>
          <w:bCs/>
          <w:color w:val="000000"/>
          <w:sz w:val="28"/>
          <w:szCs w:val="28"/>
          <w:lang w:val="ru-RU"/>
        </w:rPr>
      </w:pPr>
    </w:p>
    <w:p w:rsidR="00F30E41" w:rsidRPr="00E21D60" w:rsidRDefault="00F30E41" w:rsidP="00F67206">
      <w:pPr>
        <w:rPr>
          <w:rFonts w:ascii="Times New Roman" w:hAnsi="Times New Roman" w:cs="Times New Roman"/>
          <w:b/>
          <w:bCs/>
          <w:color w:val="000000"/>
          <w:sz w:val="28"/>
          <w:szCs w:val="28"/>
          <w:lang w:val="ru-RU"/>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Pr="0045426C"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r w:rsidRPr="0081360B">
        <w:rPr>
          <w:rFonts w:ascii="Times New Roman" w:hAnsi="Times New Roman" w:cs="Times New Roman"/>
          <w:b/>
          <w:bCs/>
          <w:color w:val="000000"/>
          <w:sz w:val="28"/>
          <w:szCs w:val="28"/>
        </w:rPr>
        <w:t xml:space="preserve">СПИСОК </w:t>
      </w:r>
      <w:r>
        <w:rPr>
          <w:rFonts w:ascii="Times New Roman" w:hAnsi="Times New Roman" w:cs="Times New Roman"/>
          <w:b/>
          <w:bCs/>
          <w:color w:val="000000"/>
          <w:sz w:val="28"/>
          <w:szCs w:val="28"/>
          <w:lang w:val="ru-RU"/>
        </w:rPr>
        <w:t xml:space="preserve">ВИКОРИСТАНИХ </w:t>
      </w:r>
      <w:r w:rsidRPr="0081360B">
        <w:rPr>
          <w:rFonts w:ascii="Times New Roman" w:hAnsi="Times New Roman" w:cs="Times New Roman"/>
          <w:b/>
          <w:bCs/>
          <w:color w:val="000000"/>
          <w:sz w:val="28"/>
          <w:szCs w:val="28"/>
        </w:rPr>
        <w:t>ДЖЕРЕЛ</w:t>
      </w:r>
    </w:p>
    <w:p w:rsidR="00F30E41" w:rsidRPr="0045426C" w:rsidRDefault="00F30E41" w:rsidP="00C04144">
      <w:pPr>
        <w:tabs>
          <w:tab w:val="left" w:pos="6946"/>
        </w:tabs>
        <w:spacing w:after="0" w:line="360" w:lineRule="auto"/>
        <w:jc w:val="center"/>
        <w:rPr>
          <w:rFonts w:ascii="Times New Roman" w:hAnsi="Times New Roman" w:cs="Times New Roman"/>
          <w:b/>
          <w:bCs/>
          <w:color w:val="000000"/>
          <w:sz w:val="28"/>
          <w:szCs w:val="28"/>
          <w:lang w:val="ru-RU"/>
        </w:rPr>
      </w:pPr>
    </w:p>
    <w:p w:rsidR="00F30E41" w:rsidRPr="00C1776E" w:rsidRDefault="00F30E41" w:rsidP="00C04144">
      <w:pPr>
        <w:tabs>
          <w:tab w:val="left" w:pos="6946"/>
        </w:tabs>
        <w:spacing w:after="0" w:line="360" w:lineRule="auto"/>
        <w:jc w:val="both"/>
        <w:rPr>
          <w:rFonts w:ascii="Times New Roman" w:hAnsi="Times New Roman" w:cs="Times New Roman"/>
          <w:color w:val="000000"/>
          <w:sz w:val="28"/>
          <w:szCs w:val="28"/>
          <w:lang w:val="en-US"/>
        </w:rPr>
      </w:pPr>
      <w:r w:rsidRPr="00C04144">
        <w:rPr>
          <w:rFonts w:ascii="Times New Roman" w:hAnsi="Times New Roman" w:cs="Times New Roman"/>
          <w:color w:val="000000"/>
          <w:sz w:val="28"/>
          <w:szCs w:val="28"/>
        </w:rPr>
        <w:t>1.</w:t>
      </w:r>
      <w:r w:rsidRPr="00C04144">
        <w:rPr>
          <w:rFonts w:ascii="Times New Roman" w:hAnsi="Times New Roman" w:cs="Times New Roman"/>
          <w:sz w:val="28"/>
          <w:szCs w:val="28"/>
        </w:rPr>
        <w:t xml:space="preserve"> Yunhe Zhang</w:t>
      </w:r>
      <w:r w:rsidRPr="0045426C">
        <w:rPr>
          <w:rFonts w:ascii="Times New Roman" w:hAnsi="Times New Roman" w:cs="Times New Roman"/>
          <w:sz w:val="28"/>
          <w:szCs w:val="28"/>
          <w:lang w:val="ru-RU"/>
        </w:rPr>
        <w:t>.</w:t>
      </w:r>
      <w:r w:rsidRPr="00C04144">
        <w:rPr>
          <w:rFonts w:ascii="Times New Roman" w:hAnsi="Times New Roman" w:cs="Times New Roman"/>
          <w:sz w:val="28"/>
          <w:szCs w:val="28"/>
        </w:rPr>
        <w:t xml:space="preserve"> </w:t>
      </w:r>
      <w:r w:rsidRPr="00F2350F">
        <w:rPr>
          <w:rFonts w:ascii="Times New Roman" w:hAnsi="Times New Roman" w:cs="Times New Roman"/>
          <w:i/>
          <w:iCs/>
          <w:sz w:val="28"/>
          <w:szCs w:val="28"/>
        </w:rPr>
        <w:t>Advances in Economics, Management and Political Sciences.</w:t>
      </w:r>
      <w:r w:rsidRPr="00C04144">
        <w:rPr>
          <w:rFonts w:ascii="Times New Roman" w:hAnsi="Times New Roman" w:cs="Times New Roman"/>
          <w:sz w:val="28"/>
          <w:szCs w:val="28"/>
        </w:rPr>
        <w:t xml:space="preserve"> </w:t>
      </w:r>
      <w:r w:rsidRPr="00C04144">
        <w:rPr>
          <w:rFonts w:ascii="Times New Roman" w:hAnsi="Times New Roman" w:cs="Times New Roman"/>
          <w:color w:val="000000"/>
          <w:sz w:val="28"/>
          <w:szCs w:val="28"/>
        </w:rPr>
        <w:t>Research on the Process of the Formation of an Optimal Investment Portfolio</w:t>
      </w:r>
      <w:r w:rsidRPr="0084235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2023. </w:t>
      </w:r>
      <w:r>
        <w:rPr>
          <w:rFonts w:ascii="Times New Roman" w:hAnsi="Times New Roman" w:cs="Times New Roman"/>
          <w:sz w:val="28"/>
          <w:szCs w:val="28"/>
          <w:lang w:val="en-US"/>
        </w:rPr>
        <w:t>URL</w:t>
      </w:r>
      <w:r w:rsidRPr="00C04144">
        <w:rPr>
          <w:rFonts w:ascii="Times New Roman" w:hAnsi="Times New Roman" w:cs="Times New Roman"/>
          <w:sz w:val="28"/>
          <w:szCs w:val="28"/>
        </w:rPr>
        <w:t xml:space="preserve">: https://doi.org/10.54254/2754-1169/8/20230338  </w:t>
      </w:r>
      <w:r w:rsidRPr="00C04144">
        <w:rPr>
          <w:rFonts w:ascii="Times New Roman" w:hAnsi="Times New Roman" w:cs="Times New Roman"/>
          <w:color w:val="000000"/>
          <w:sz w:val="28"/>
          <w:szCs w:val="28"/>
        </w:rPr>
        <w:t xml:space="preserve"> (дата звернення: </w:t>
      </w:r>
      <w:r w:rsidRPr="00C1776E">
        <w:rPr>
          <w:rFonts w:ascii="Times New Roman" w:hAnsi="Times New Roman" w:cs="Times New Roman"/>
          <w:color w:val="000000"/>
          <w:sz w:val="28"/>
          <w:szCs w:val="28"/>
          <w:lang w:val="en-US"/>
        </w:rPr>
        <w:t>10</w:t>
      </w:r>
      <w:r w:rsidRPr="00C04144">
        <w:rPr>
          <w:rFonts w:ascii="Times New Roman" w:hAnsi="Times New Roman" w:cs="Times New Roman"/>
          <w:color w:val="000000"/>
          <w:sz w:val="28"/>
          <w:szCs w:val="28"/>
        </w:rPr>
        <w:t>.0</w:t>
      </w:r>
      <w:r w:rsidRPr="00C1776E">
        <w:rPr>
          <w:rFonts w:ascii="Times New Roman" w:hAnsi="Times New Roman" w:cs="Times New Roman"/>
          <w:color w:val="000000"/>
          <w:sz w:val="28"/>
          <w:szCs w:val="28"/>
          <w:lang w:val="en-US"/>
        </w:rPr>
        <w:t>1</w:t>
      </w:r>
      <w:r w:rsidRPr="00C04144">
        <w:rPr>
          <w:rFonts w:ascii="Times New Roman" w:hAnsi="Times New Roman" w:cs="Times New Roman"/>
          <w:color w:val="000000"/>
          <w:sz w:val="28"/>
          <w:szCs w:val="28"/>
        </w:rPr>
        <w:t>.2025)</w:t>
      </w:r>
    </w:p>
    <w:p w:rsidR="00F30E41" w:rsidRPr="00C04144" w:rsidRDefault="00F30E41" w:rsidP="00C04144">
      <w:pPr>
        <w:tabs>
          <w:tab w:val="left" w:pos="6946"/>
        </w:tabs>
        <w:spacing w:after="0" w:line="360" w:lineRule="auto"/>
        <w:jc w:val="both"/>
        <w:rPr>
          <w:rFonts w:ascii="Times New Roman" w:hAnsi="Times New Roman" w:cs="Times New Roman"/>
          <w:color w:val="000000"/>
          <w:sz w:val="28"/>
          <w:szCs w:val="28"/>
        </w:rPr>
      </w:pPr>
      <w:r w:rsidRPr="00C04144">
        <w:rPr>
          <w:rFonts w:ascii="Times New Roman" w:hAnsi="Times New Roman" w:cs="Times New Roman"/>
          <w:color w:val="000000"/>
          <w:sz w:val="28"/>
          <w:szCs w:val="28"/>
        </w:rPr>
        <w:t>2.</w:t>
      </w:r>
      <w:r w:rsidRPr="00C04144">
        <w:rPr>
          <w:rFonts w:ascii="Times New Roman" w:hAnsi="Times New Roman" w:cs="Times New Roman"/>
          <w:color w:val="000000"/>
          <w:sz w:val="28"/>
          <w:szCs w:val="28"/>
          <w:lang w:val="en-US"/>
        </w:rPr>
        <w:t xml:space="preserve"> Shuyu Chen</w:t>
      </w:r>
      <w:r>
        <w:rPr>
          <w:rFonts w:ascii="Times New Roman" w:hAnsi="Times New Roman" w:cs="Times New Roman"/>
          <w:color w:val="000000"/>
          <w:sz w:val="28"/>
          <w:szCs w:val="28"/>
          <w:lang w:val="en-US"/>
        </w:rPr>
        <w:t>.</w:t>
      </w:r>
      <w:r w:rsidRPr="00C04144">
        <w:rPr>
          <w:rFonts w:ascii="Times New Roman" w:hAnsi="Times New Roman" w:cs="Times New Roman"/>
          <w:color w:val="000000"/>
          <w:sz w:val="28"/>
          <w:szCs w:val="28"/>
        </w:rPr>
        <w:t xml:space="preserve"> </w:t>
      </w:r>
      <w:r w:rsidRPr="00D84323">
        <w:rPr>
          <w:rFonts w:ascii="Times New Roman" w:hAnsi="Times New Roman" w:cs="Times New Roman"/>
          <w:i/>
          <w:iCs/>
          <w:color w:val="000000"/>
          <w:sz w:val="28"/>
          <w:szCs w:val="28"/>
        </w:rPr>
        <w:t>Journal of Education, Humanities and Social Sciences.</w:t>
      </w:r>
      <w:r w:rsidRPr="00C04144">
        <w:rPr>
          <w:rFonts w:ascii="Times New Roman" w:hAnsi="Times New Roman" w:cs="Times New Roman"/>
          <w:color w:val="000000"/>
          <w:sz w:val="28"/>
          <w:szCs w:val="28"/>
        </w:rPr>
        <w:t xml:space="preserve"> The Differences Between Systematic and Non-Systematic Risk and Alternative Approaches to Understanding Risk</w:t>
      </w:r>
      <w:r w:rsidRPr="0084235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2023</w:t>
      </w:r>
      <w:r>
        <w:rPr>
          <w:rFonts w:ascii="Times New Roman" w:hAnsi="Times New Roman" w:cs="Times New Roman"/>
          <w:sz w:val="28"/>
          <w:szCs w:val="28"/>
          <w:lang w:val="en-US"/>
        </w:rPr>
        <w:t>. URL</w:t>
      </w:r>
      <w:r w:rsidRPr="00C7123B">
        <w:rPr>
          <w:rFonts w:ascii="Times New Roman" w:hAnsi="Times New Roman" w:cs="Times New Roman"/>
          <w:sz w:val="28"/>
          <w:szCs w:val="28"/>
          <w:lang w:val="en-US"/>
        </w:rPr>
        <w:t>:</w:t>
      </w:r>
      <w:r w:rsidRPr="00C04144">
        <w:rPr>
          <w:rFonts w:ascii="Times New Roman" w:hAnsi="Times New Roman" w:cs="Times New Roman"/>
          <w:sz w:val="28"/>
          <w:szCs w:val="28"/>
        </w:rPr>
        <w:t xml:space="preserve"> </w:t>
      </w:r>
      <w:hyperlink r:id="rId55" w:history="1">
        <w:r w:rsidRPr="0052231D">
          <w:rPr>
            <w:rStyle w:val="Hyperlink"/>
            <w:rFonts w:ascii="Times New Roman" w:hAnsi="Times New Roman" w:cs="Times New Roman"/>
            <w:sz w:val="28"/>
            <w:szCs w:val="28"/>
          </w:rPr>
          <w:t>http://dx.doi.org/10.54097/ehss.v16i.9603</w:t>
        </w:r>
      </w:hyperlink>
      <w:r w:rsidRPr="00C04144">
        <w:rPr>
          <w:rFonts w:ascii="Times New Roman" w:hAnsi="Times New Roman" w:cs="Times New Roman"/>
          <w:color w:val="000000"/>
          <w:sz w:val="28"/>
          <w:szCs w:val="28"/>
        </w:rPr>
        <w:t xml:space="preserve"> (дата звернення: 10.01.2025)</w:t>
      </w:r>
    </w:p>
    <w:p w:rsidR="00F30E41" w:rsidRPr="00C04144" w:rsidRDefault="00F30E41" w:rsidP="00C04144">
      <w:pPr>
        <w:tabs>
          <w:tab w:val="left" w:pos="6946"/>
        </w:tabs>
        <w:spacing w:after="0" w:line="360" w:lineRule="auto"/>
        <w:jc w:val="both"/>
        <w:rPr>
          <w:rFonts w:ascii="Times New Roman" w:hAnsi="Times New Roman" w:cs="Times New Roman"/>
          <w:color w:val="000000"/>
          <w:sz w:val="28"/>
          <w:szCs w:val="28"/>
        </w:rPr>
      </w:pPr>
      <w:r w:rsidRPr="00C26E08">
        <w:rPr>
          <w:rFonts w:ascii="Times New Roman" w:hAnsi="Times New Roman" w:cs="Times New Roman"/>
          <w:color w:val="000000"/>
          <w:sz w:val="28"/>
          <w:szCs w:val="28"/>
        </w:rPr>
        <w:t>3</w:t>
      </w:r>
      <w:r w:rsidRPr="00C04144">
        <w:rPr>
          <w:rFonts w:ascii="Times New Roman" w:hAnsi="Times New Roman" w:cs="Times New Roman"/>
          <w:color w:val="000000"/>
          <w:sz w:val="28"/>
          <w:szCs w:val="28"/>
        </w:rPr>
        <w:t>. Erdős, P., Ormos, M., &amp; Zibriczky, D.</w:t>
      </w:r>
      <w:r w:rsidRPr="00D93152">
        <w:t xml:space="preserve"> </w:t>
      </w:r>
      <w:r w:rsidRPr="00D93152">
        <w:rPr>
          <w:rFonts w:ascii="Times New Roman" w:hAnsi="Times New Roman" w:cs="Times New Roman"/>
          <w:i/>
          <w:iCs/>
          <w:color w:val="000000"/>
          <w:sz w:val="28"/>
          <w:szCs w:val="28"/>
        </w:rPr>
        <w:t>Economic Modelling, Elsevier</w:t>
      </w:r>
      <w:r w:rsidRPr="00D93152">
        <w:rPr>
          <w:rFonts w:ascii="Times New Roman" w:hAnsi="Times New Roman" w:cs="Times New Roman"/>
          <w:color w:val="000000"/>
          <w:sz w:val="28"/>
          <w:szCs w:val="28"/>
          <w:lang w:val="en-US"/>
        </w:rPr>
        <w:t>.</w:t>
      </w:r>
      <w:r w:rsidRPr="00C04144">
        <w:rPr>
          <w:rFonts w:ascii="Times New Roman" w:hAnsi="Times New Roman" w:cs="Times New Roman"/>
          <w:color w:val="000000"/>
          <w:sz w:val="28"/>
          <w:szCs w:val="28"/>
        </w:rPr>
        <w:t xml:space="preserve"> Non-parametric and semi-parametric asset pricing</w:t>
      </w:r>
      <w:r w:rsidRPr="00691DA7">
        <w:rPr>
          <w:rFonts w:ascii="Times New Roman" w:hAnsi="Times New Roman" w:cs="Times New Roman"/>
          <w:color w:val="000000"/>
          <w:sz w:val="28"/>
          <w:szCs w:val="28"/>
          <w:lang w:val="en-US"/>
        </w:rPr>
        <w:t xml:space="preserve">, </w:t>
      </w:r>
      <w:r w:rsidRPr="00D93152">
        <w:rPr>
          <w:rFonts w:ascii="Times New Roman" w:hAnsi="Times New Roman" w:cs="Times New Roman"/>
          <w:color w:val="000000"/>
          <w:sz w:val="28"/>
          <w:szCs w:val="28"/>
          <w:lang w:val="en-US"/>
        </w:rPr>
        <w:t xml:space="preserve">2011. </w:t>
      </w:r>
      <w:r>
        <w:rPr>
          <w:rFonts w:ascii="Times New Roman" w:hAnsi="Times New Roman" w:cs="Times New Roman"/>
          <w:color w:val="000000"/>
          <w:sz w:val="28"/>
          <w:szCs w:val="28"/>
          <w:lang w:val="ru-RU"/>
        </w:rPr>
        <w:t>Вип</w:t>
      </w:r>
      <w:r w:rsidRPr="00691DA7">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 xml:space="preserve">28(3), </w:t>
      </w:r>
      <w:r>
        <w:rPr>
          <w:rFonts w:ascii="Times New Roman" w:hAnsi="Times New Roman" w:cs="Times New Roman"/>
          <w:color w:val="000000"/>
          <w:sz w:val="28"/>
          <w:szCs w:val="28"/>
          <w:lang w:val="ru-RU"/>
        </w:rPr>
        <w:t>стр</w:t>
      </w:r>
      <w:r w:rsidRPr="00691DA7">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1150</w:t>
      </w:r>
      <w:r w:rsidRPr="00691DA7">
        <w:rPr>
          <w:rFonts w:ascii="Times New Roman" w:hAnsi="Times New Roman" w:cs="Times New Roman"/>
          <w:color w:val="000000"/>
          <w:sz w:val="28"/>
          <w:szCs w:val="28"/>
          <w:lang w:val="en-US"/>
        </w:rPr>
        <w:t>-</w:t>
      </w:r>
      <w:r w:rsidRPr="00C04144">
        <w:rPr>
          <w:rFonts w:ascii="Times New Roman" w:hAnsi="Times New Roman" w:cs="Times New Roman"/>
          <w:color w:val="000000"/>
          <w:sz w:val="28"/>
          <w:szCs w:val="28"/>
        </w:rPr>
        <w:t xml:space="preserve">1162.  </w:t>
      </w:r>
      <w:r w:rsidRPr="00C04144">
        <w:rPr>
          <w:rFonts w:ascii="Times New Roman" w:hAnsi="Times New Roman" w:cs="Times New Roman"/>
          <w:sz w:val="28"/>
          <w:szCs w:val="28"/>
        </w:rPr>
        <w:t xml:space="preserve">URL:   </w:t>
      </w:r>
      <w:hyperlink r:id="rId56" w:history="1">
        <w:r w:rsidRPr="00C04144">
          <w:rPr>
            <w:rStyle w:val="Hyperlink"/>
            <w:rFonts w:ascii="Times New Roman" w:hAnsi="Times New Roman" w:cs="Times New Roman"/>
            <w:sz w:val="28"/>
            <w:szCs w:val="28"/>
          </w:rPr>
          <w:t>https://doi.org/10.48550/arXiv.1511.07101</w:t>
        </w:r>
      </w:hyperlink>
      <w:r w:rsidRPr="00C04144">
        <w:rPr>
          <w:rFonts w:ascii="Times New Roman" w:hAnsi="Times New Roman" w:cs="Times New Roman"/>
          <w:color w:val="000000"/>
          <w:sz w:val="28"/>
          <w:szCs w:val="28"/>
        </w:rPr>
        <w:t xml:space="preserve"> (дата звернення: 23.03.2025)</w:t>
      </w:r>
    </w:p>
    <w:p w:rsidR="00F30E41" w:rsidRPr="00C1776E" w:rsidRDefault="00F30E41" w:rsidP="00C04144">
      <w:pPr>
        <w:tabs>
          <w:tab w:val="left" w:pos="6946"/>
        </w:tabs>
        <w:spacing w:after="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4</w:t>
      </w:r>
      <w:r w:rsidRPr="00C04144">
        <w:rPr>
          <w:rFonts w:ascii="Times New Roman" w:hAnsi="Times New Roman" w:cs="Times New Roman"/>
          <w:color w:val="000000"/>
          <w:sz w:val="28"/>
          <w:szCs w:val="28"/>
        </w:rPr>
        <w:t>. Chan, J., Han, L., &amp; Liu, Y</w:t>
      </w:r>
      <w:r w:rsidRPr="00DD5AE6">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Graphical copula GARCH modeling with dynamic conditional dependence</w:t>
      </w:r>
      <w:r w:rsidRPr="00842358">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2024.</w:t>
      </w:r>
      <w:r w:rsidRPr="007705A8">
        <w:rPr>
          <w:rFonts w:ascii="Times New Roman" w:hAnsi="Times New Roman" w:cs="Times New Roman"/>
          <w:color w:val="000000"/>
          <w:sz w:val="28"/>
          <w:szCs w:val="28"/>
          <w:lang w:val="en-US"/>
        </w:rPr>
        <w:t xml:space="preserve"> </w:t>
      </w:r>
      <w:r w:rsidRPr="00C04144">
        <w:rPr>
          <w:rFonts w:ascii="Times New Roman" w:hAnsi="Times New Roman" w:cs="Times New Roman"/>
          <w:sz w:val="28"/>
          <w:szCs w:val="28"/>
        </w:rPr>
        <w:t xml:space="preserve">URL:   </w:t>
      </w:r>
      <w:r w:rsidRPr="00C04144">
        <w:rPr>
          <w:rFonts w:ascii="Times New Roman" w:hAnsi="Times New Roman" w:cs="Times New Roman"/>
          <w:color w:val="000000"/>
          <w:sz w:val="28"/>
          <w:szCs w:val="28"/>
        </w:rPr>
        <w:t xml:space="preserve"> </w:t>
      </w:r>
      <w:hyperlink r:id="rId57" w:tgtFrame="_new" w:history="1">
        <w:r w:rsidRPr="00C04144">
          <w:rPr>
            <w:rStyle w:val="Hyperlink"/>
            <w:rFonts w:ascii="Times New Roman" w:hAnsi="Times New Roman" w:cs="Times New Roman"/>
            <w:sz w:val="28"/>
            <w:szCs w:val="28"/>
          </w:rPr>
          <w:t>https://arxiv.org/abs/2406.15582</w:t>
        </w:r>
      </w:hyperlink>
      <w:r w:rsidRPr="00C04144">
        <w:rPr>
          <w:rFonts w:ascii="Times New Roman" w:hAnsi="Times New Roman" w:cs="Times New Roman"/>
          <w:color w:val="000000"/>
          <w:sz w:val="28"/>
          <w:szCs w:val="28"/>
        </w:rPr>
        <w:t xml:space="preserve"> (дата звернення: 23.03.2025)</w:t>
      </w:r>
      <w:r>
        <w:rPr>
          <w:rFonts w:ascii="Times New Roman" w:hAnsi="Times New Roman" w:cs="Times New Roman"/>
          <w:color w:val="000000"/>
          <w:sz w:val="28"/>
          <w:szCs w:val="28"/>
          <w:lang w:val="en-US"/>
        </w:rPr>
        <w:br/>
        <w:t xml:space="preserve">5. </w:t>
      </w:r>
      <w:r w:rsidRPr="00C26E08">
        <w:rPr>
          <w:rFonts w:ascii="Times New Roman" w:hAnsi="Times New Roman" w:cs="Times New Roman"/>
          <w:color w:val="000000"/>
          <w:sz w:val="28"/>
          <w:szCs w:val="28"/>
        </w:rPr>
        <w:t xml:space="preserve">Fama, E.F. &amp; French, K.R. </w:t>
      </w:r>
      <w:r w:rsidRPr="00C26E08">
        <w:rPr>
          <w:rFonts w:ascii="Times New Roman" w:hAnsi="Times New Roman" w:cs="Times New Roman"/>
          <w:i/>
          <w:iCs/>
          <w:color w:val="000000"/>
          <w:sz w:val="28"/>
          <w:szCs w:val="28"/>
        </w:rPr>
        <w:t>Journal of Financial Economics</w:t>
      </w:r>
      <w:r w:rsidRPr="0065715B">
        <w:rPr>
          <w:rFonts w:ascii="Times New Roman" w:hAnsi="Times New Roman" w:cs="Times New Roman"/>
          <w:color w:val="000000"/>
          <w:sz w:val="28"/>
          <w:szCs w:val="28"/>
          <w:lang w:val="en-US"/>
        </w:rPr>
        <w:t xml:space="preserve">. </w:t>
      </w:r>
      <w:r w:rsidRPr="00D875A9">
        <w:rPr>
          <w:rFonts w:ascii="Times New Roman" w:hAnsi="Times New Roman" w:cs="Times New Roman"/>
          <w:color w:val="000000"/>
          <w:sz w:val="28"/>
          <w:szCs w:val="28"/>
        </w:rPr>
        <w:t>Common risk factors in the returns on stocks and bonds</w:t>
      </w:r>
      <w:r w:rsidRPr="00D875A9">
        <w:rPr>
          <w:rFonts w:ascii="Times New Roman" w:hAnsi="Times New Roman" w:cs="Times New Roman"/>
          <w:color w:val="000000"/>
          <w:sz w:val="28"/>
          <w:szCs w:val="28"/>
          <w:lang w:val="en-US"/>
        </w:rPr>
        <w:t xml:space="preserve">, 1993. </w:t>
      </w:r>
      <w:r>
        <w:rPr>
          <w:rFonts w:ascii="Times New Roman" w:hAnsi="Times New Roman" w:cs="Times New Roman"/>
          <w:color w:val="000000"/>
          <w:sz w:val="28"/>
          <w:szCs w:val="28"/>
          <w:lang w:val="ru-RU"/>
        </w:rPr>
        <w:t>Вип</w:t>
      </w:r>
      <w:r w:rsidRPr="00C1776E">
        <w:rPr>
          <w:rFonts w:ascii="Times New Roman" w:hAnsi="Times New Roman" w:cs="Times New Roman"/>
          <w:color w:val="000000"/>
          <w:sz w:val="28"/>
          <w:szCs w:val="28"/>
          <w:lang w:val="en-US"/>
        </w:rPr>
        <w:t>.</w:t>
      </w:r>
      <w:r w:rsidRPr="00C26E08">
        <w:rPr>
          <w:rFonts w:ascii="Times New Roman" w:hAnsi="Times New Roman" w:cs="Times New Roman"/>
          <w:color w:val="000000"/>
          <w:sz w:val="28"/>
          <w:szCs w:val="28"/>
        </w:rPr>
        <w:t xml:space="preserve"> 33(1), </w:t>
      </w:r>
      <w:r w:rsidRPr="00C1776E">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ru-RU"/>
        </w:rPr>
        <w:t>стр</w:t>
      </w:r>
      <w:r w:rsidRPr="00C1776E">
        <w:rPr>
          <w:rFonts w:ascii="Times New Roman" w:hAnsi="Times New Roman" w:cs="Times New Roman"/>
          <w:color w:val="000000"/>
          <w:sz w:val="28"/>
          <w:szCs w:val="28"/>
          <w:lang w:val="en-US"/>
        </w:rPr>
        <w:t xml:space="preserve">. </w:t>
      </w:r>
      <w:r w:rsidRPr="00C26E08">
        <w:rPr>
          <w:rFonts w:ascii="Times New Roman" w:hAnsi="Times New Roman" w:cs="Times New Roman"/>
          <w:color w:val="000000"/>
          <w:sz w:val="28"/>
          <w:szCs w:val="28"/>
        </w:rPr>
        <w:t>3</w:t>
      </w:r>
      <w:r w:rsidRPr="00C1776E">
        <w:rPr>
          <w:rFonts w:ascii="Times New Roman" w:hAnsi="Times New Roman" w:cs="Times New Roman"/>
          <w:color w:val="000000"/>
          <w:sz w:val="28"/>
          <w:szCs w:val="28"/>
          <w:lang w:val="en-US"/>
        </w:rPr>
        <w:t>-</w:t>
      </w:r>
      <w:r w:rsidRPr="00C26E08">
        <w:rPr>
          <w:rFonts w:ascii="Times New Roman" w:hAnsi="Times New Roman" w:cs="Times New Roman"/>
          <w:color w:val="000000"/>
          <w:sz w:val="28"/>
          <w:szCs w:val="28"/>
        </w:rPr>
        <w:t>56.</w:t>
      </w:r>
      <w:r>
        <w:rPr>
          <w:rFonts w:ascii="Times New Roman" w:hAnsi="Times New Roman" w:cs="Times New Roman"/>
          <w:color w:val="000000"/>
          <w:sz w:val="28"/>
          <w:szCs w:val="28"/>
          <w:lang w:val="en-US"/>
        </w:rPr>
        <w:t xml:space="preserve"> URL</w:t>
      </w:r>
      <w:r w:rsidRPr="00C1776E">
        <w:rPr>
          <w:rFonts w:ascii="Times New Roman" w:hAnsi="Times New Roman" w:cs="Times New Roman"/>
          <w:color w:val="000000"/>
          <w:sz w:val="28"/>
          <w:szCs w:val="28"/>
          <w:lang w:val="en-US"/>
        </w:rPr>
        <w:t xml:space="preserve">: </w:t>
      </w:r>
      <w:hyperlink r:id="rId58" w:tgtFrame="_blank" w:tooltip="Persistent link using digital object identifier" w:history="1">
        <w:r w:rsidRPr="00691DA7">
          <w:rPr>
            <w:rStyle w:val="Hyperlink"/>
            <w:rFonts w:ascii="Times New Roman" w:hAnsi="Times New Roman" w:cs="Times New Roman"/>
            <w:sz w:val="28"/>
            <w:szCs w:val="28"/>
          </w:rPr>
          <w:t>https://doi.org/10.1016/0304-405X(93)90023-5</w:t>
        </w:r>
      </w:hyperlink>
      <w:r w:rsidRPr="00C1776E">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(дата звернення: 23.03.2025)</w:t>
      </w:r>
    </w:p>
    <w:p w:rsidR="00F30E41" w:rsidRPr="00C04144" w:rsidRDefault="00F30E41" w:rsidP="00C04144">
      <w:pPr>
        <w:tabs>
          <w:tab w:val="left" w:pos="6946"/>
        </w:tabs>
        <w:spacing w:after="0" w:line="360" w:lineRule="auto"/>
        <w:jc w:val="both"/>
        <w:rPr>
          <w:rFonts w:ascii="Times New Roman" w:hAnsi="Times New Roman" w:cs="Times New Roman"/>
          <w:color w:val="000000"/>
          <w:sz w:val="28"/>
          <w:szCs w:val="28"/>
        </w:rPr>
      </w:pPr>
      <w:r w:rsidRPr="00C04144">
        <w:rPr>
          <w:rFonts w:ascii="Times New Roman" w:hAnsi="Times New Roman" w:cs="Times New Roman"/>
          <w:color w:val="000000"/>
          <w:sz w:val="28"/>
          <w:szCs w:val="28"/>
        </w:rPr>
        <w:t>6. Markowitz, H.</w:t>
      </w:r>
      <w:r w:rsidRPr="007705A8">
        <w:rPr>
          <w:rFonts w:ascii="Times New Roman" w:hAnsi="Times New Roman" w:cs="Times New Roman"/>
          <w:color w:val="000000"/>
          <w:sz w:val="28"/>
          <w:szCs w:val="28"/>
          <w:lang w:val="en-US"/>
        </w:rPr>
        <w:t xml:space="preserve"> </w:t>
      </w:r>
      <w:r w:rsidRPr="007705A8">
        <w:rPr>
          <w:rFonts w:ascii="Times New Roman" w:hAnsi="Times New Roman" w:cs="Times New Roman"/>
          <w:i/>
          <w:iCs/>
          <w:color w:val="000000"/>
          <w:sz w:val="28"/>
          <w:szCs w:val="28"/>
        </w:rPr>
        <w:t>The Journal of Finance</w:t>
      </w:r>
      <w:r w:rsidRPr="007705A8">
        <w:rPr>
          <w:rFonts w:ascii="Times New Roman" w:hAnsi="Times New Roman" w:cs="Times New Roman"/>
          <w:color w:val="000000"/>
          <w:sz w:val="28"/>
          <w:szCs w:val="28"/>
          <w:lang w:val="en-US"/>
        </w:rPr>
        <w:t>.</w:t>
      </w:r>
      <w:r w:rsidRPr="00C04144">
        <w:rPr>
          <w:rFonts w:ascii="Times New Roman" w:hAnsi="Times New Roman" w:cs="Times New Roman"/>
          <w:color w:val="000000"/>
          <w:sz w:val="28"/>
          <w:szCs w:val="28"/>
        </w:rPr>
        <w:t xml:space="preserve"> Portfolio Selection</w:t>
      </w:r>
      <w:r w:rsidRPr="00C1776E">
        <w:rPr>
          <w:rFonts w:ascii="Times New Roman" w:hAnsi="Times New Roman" w:cs="Times New Roman"/>
          <w:color w:val="000000"/>
          <w:sz w:val="28"/>
          <w:szCs w:val="28"/>
        </w:rPr>
        <w:t>, 1952</w:t>
      </w:r>
      <w:r w:rsidRPr="00C04144">
        <w:rPr>
          <w:rFonts w:ascii="Times New Roman" w:hAnsi="Times New Roman" w:cs="Times New Roman"/>
          <w:color w:val="000000"/>
          <w:sz w:val="28"/>
          <w:szCs w:val="28"/>
        </w:rPr>
        <w:t>.</w:t>
      </w:r>
      <w:r w:rsidRPr="00C1776E">
        <w:rPr>
          <w:rFonts w:ascii="Times New Roman" w:hAnsi="Times New Roman" w:cs="Times New Roman"/>
          <w:color w:val="000000"/>
          <w:sz w:val="28"/>
          <w:szCs w:val="28"/>
        </w:rPr>
        <w:t xml:space="preserve"> Вип. </w:t>
      </w:r>
      <w:r w:rsidRPr="00C04144">
        <w:rPr>
          <w:rFonts w:ascii="Times New Roman" w:hAnsi="Times New Roman" w:cs="Times New Roman"/>
          <w:color w:val="000000"/>
          <w:sz w:val="28"/>
          <w:szCs w:val="28"/>
        </w:rPr>
        <w:t xml:space="preserve">7(1), </w:t>
      </w:r>
      <w:r w:rsidRPr="00C1776E">
        <w:rPr>
          <w:rFonts w:ascii="Times New Roman" w:hAnsi="Times New Roman" w:cs="Times New Roman"/>
          <w:color w:val="000000"/>
          <w:sz w:val="28"/>
          <w:szCs w:val="28"/>
        </w:rPr>
        <w:t xml:space="preserve">стр. </w:t>
      </w:r>
      <w:r w:rsidRPr="00C04144">
        <w:rPr>
          <w:rFonts w:ascii="Times New Roman" w:hAnsi="Times New Roman" w:cs="Times New Roman"/>
          <w:color w:val="000000"/>
          <w:sz w:val="28"/>
          <w:szCs w:val="28"/>
        </w:rPr>
        <w:t>77</w:t>
      </w:r>
      <w:r w:rsidRPr="00C1776E">
        <w:rPr>
          <w:rFonts w:ascii="Times New Roman" w:hAnsi="Times New Roman" w:cs="Times New Roman"/>
          <w:color w:val="000000"/>
          <w:sz w:val="28"/>
          <w:szCs w:val="28"/>
        </w:rPr>
        <w:t>-</w:t>
      </w:r>
      <w:r w:rsidRPr="00C04144">
        <w:rPr>
          <w:rFonts w:ascii="Times New Roman" w:hAnsi="Times New Roman" w:cs="Times New Roman"/>
          <w:color w:val="000000"/>
          <w:sz w:val="28"/>
          <w:szCs w:val="28"/>
        </w:rPr>
        <w:t xml:space="preserve">91. </w:t>
      </w:r>
      <w:r>
        <w:rPr>
          <w:rFonts w:ascii="Times New Roman" w:hAnsi="Times New Roman" w:cs="Times New Roman"/>
          <w:color w:val="000000"/>
          <w:sz w:val="28"/>
          <w:szCs w:val="28"/>
          <w:lang w:val="en-US"/>
        </w:rPr>
        <w:t>URL</w:t>
      </w:r>
      <w:r w:rsidRPr="00C04144">
        <w:rPr>
          <w:rFonts w:ascii="Times New Roman" w:hAnsi="Times New Roman" w:cs="Times New Roman"/>
          <w:color w:val="000000"/>
          <w:sz w:val="28"/>
          <w:szCs w:val="28"/>
        </w:rPr>
        <w:t xml:space="preserve">: </w:t>
      </w:r>
      <w:hyperlink r:id="rId59" w:history="1">
        <w:r w:rsidRPr="00C04144">
          <w:rPr>
            <w:rStyle w:val="Hyperlink"/>
            <w:rFonts w:ascii="Times New Roman" w:hAnsi="Times New Roman" w:cs="Times New Roman"/>
            <w:sz w:val="28"/>
            <w:szCs w:val="28"/>
          </w:rPr>
          <w:t>https://doi.org/10.1111/j.1540-6261.1952.tb01525.x</w:t>
        </w:r>
      </w:hyperlink>
      <w:r w:rsidRPr="00C04144">
        <w:rPr>
          <w:rFonts w:ascii="Times New Roman" w:hAnsi="Times New Roman" w:cs="Times New Roman"/>
          <w:color w:val="000000"/>
          <w:sz w:val="28"/>
          <w:szCs w:val="28"/>
        </w:rPr>
        <w:t xml:space="preserve"> (дата звернення: 10.01.2025)</w:t>
      </w:r>
    </w:p>
    <w:p w:rsidR="00F30E41" w:rsidRPr="00691DA7" w:rsidRDefault="00F30E41" w:rsidP="00C04144">
      <w:pPr>
        <w:tabs>
          <w:tab w:val="left" w:pos="6946"/>
        </w:tabs>
        <w:spacing w:after="0" w:line="360" w:lineRule="auto"/>
        <w:jc w:val="both"/>
        <w:rPr>
          <w:rFonts w:ascii="Times New Roman" w:hAnsi="Times New Roman" w:cs="Times New Roman"/>
          <w:color w:val="000000"/>
          <w:sz w:val="28"/>
          <w:szCs w:val="28"/>
          <w:lang w:val="en-US"/>
        </w:rPr>
      </w:pPr>
      <w:r w:rsidRPr="00C04144">
        <w:rPr>
          <w:rFonts w:ascii="Times New Roman" w:hAnsi="Times New Roman" w:cs="Times New Roman"/>
          <w:color w:val="000000"/>
          <w:sz w:val="28"/>
          <w:szCs w:val="28"/>
        </w:rPr>
        <w:t>7. Ghahtarani, S., Makui, A., Jolai, F., &amp; Aryanezhad, M.-B.</w:t>
      </w:r>
      <w:r w:rsidRPr="00933E8B">
        <w:rPr>
          <w:rFonts w:ascii="Times New Roman" w:hAnsi="Times New Roman" w:cs="Times New Roman"/>
          <w:i/>
          <w:iCs/>
          <w:color w:val="000000"/>
          <w:sz w:val="28"/>
          <w:szCs w:val="28"/>
          <w:lang w:val="en-US"/>
        </w:rPr>
        <w:t xml:space="preserve"> </w:t>
      </w:r>
      <w:r w:rsidRPr="00933E8B">
        <w:rPr>
          <w:rFonts w:ascii="Times New Roman" w:hAnsi="Times New Roman" w:cs="Times New Roman"/>
          <w:i/>
          <w:iCs/>
          <w:color w:val="000000"/>
          <w:sz w:val="28"/>
          <w:szCs w:val="28"/>
        </w:rPr>
        <w:t>International Journal of Finance &amp; Economics</w:t>
      </w:r>
      <w:r w:rsidRPr="00933E8B">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A comprehensive review of robust portfolio optimization: New trends and future directions</w:t>
      </w:r>
      <w:r w:rsidRPr="00933E8B">
        <w:rPr>
          <w:rFonts w:ascii="Times New Roman" w:hAnsi="Times New Roman" w:cs="Times New Roman"/>
          <w:color w:val="000000"/>
          <w:sz w:val="28"/>
          <w:szCs w:val="28"/>
          <w:lang w:val="en-US"/>
        </w:rPr>
        <w:t>, 2021</w:t>
      </w:r>
      <w:r w:rsidRPr="00C04144">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Вип</w:t>
      </w:r>
      <w:r w:rsidRPr="00933E8B">
        <w:rPr>
          <w:rFonts w:ascii="Times New Roman" w:hAnsi="Times New Roman" w:cs="Times New Roman"/>
          <w:color w:val="000000"/>
          <w:sz w:val="28"/>
          <w:szCs w:val="28"/>
          <w:lang w:val="en-US"/>
        </w:rPr>
        <w:t>.</w:t>
      </w:r>
      <w:r w:rsidRPr="00C04144">
        <w:rPr>
          <w:rFonts w:ascii="Times New Roman" w:hAnsi="Times New Roman" w:cs="Times New Roman"/>
          <w:color w:val="000000"/>
          <w:sz w:val="28"/>
          <w:szCs w:val="28"/>
        </w:rPr>
        <w:t xml:space="preserve"> 26(4), </w:t>
      </w:r>
      <w:r>
        <w:rPr>
          <w:rFonts w:ascii="Times New Roman" w:hAnsi="Times New Roman" w:cs="Times New Roman"/>
          <w:color w:val="000000"/>
          <w:sz w:val="28"/>
          <w:szCs w:val="28"/>
          <w:lang w:val="ru-RU"/>
        </w:rPr>
        <w:t>стр</w:t>
      </w:r>
      <w:r w:rsidRPr="00933E8B">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567</w:t>
      </w:r>
      <w:r w:rsidRPr="00933E8B">
        <w:rPr>
          <w:rFonts w:ascii="Times New Roman" w:hAnsi="Times New Roman" w:cs="Times New Roman"/>
          <w:color w:val="000000"/>
          <w:sz w:val="28"/>
          <w:szCs w:val="28"/>
          <w:lang w:val="en-US"/>
        </w:rPr>
        <w:t>-</w:t>
      </w:r>
      <w:r w:rsidRPr="00C04144">
        <w:rPr>
          <w:rFonts w:ascii="Times New Roman" w:hAnsi="Times New Roman" w:cs="Times New Roman"/>
          <w:color w:val="000000"/>
          <w:sz w:val="28"/>
          <w:szCs w:val="28"/>
        </w:rPr>
        <w:t xml:space="preserve">588. </w:t>
      </w:r>
      <w:r>
        <w:rPr>
          <w:rFonts w:ascii="Times New Roman" w:hAnsi="Times New Roman" w:cs="Times New Roman"/>
          <w:color w:val="000000"/>
          <w:sz w:val="28"/>
          <w:szCs w:val="28"/>
          <w:lang w:val="en-US"/>
        </w:rPr>
        <w:t>URL</w:t>
      </w:r>
      <w:r w:rsidRPr="00C04144">
        <w:rPr>
          <w:rFonts w:ascii="Times New Roman" w:hAnsi="Times New Roman" w:cs="Times New Roman"/>
          <w:color w:val="000000"/>
          <w:sz w:val="28"/>
          <w:szCs w:val="28"/>
        </w:rPr>
        <w:t xml:space="preserve">:  </w:t>
      </w:r>
      <w:hyperlink r:id="rId60" w:history="1">
        <w:r w:rsidRPr="0052231D">
          <w:rPr>
            <w:rStyle w:val="Hyperlink"/>
            <w:rFonts w:ascii="Times New Roman" w:hAnsi="Times New Roman" w:cs="Times New Roman"/>
            <w:sz w:val="28"/>
            <w:szCs w:val="28"/>
          </w:rPr>
          <w:t>https://doi.org/10.1002/ijfe.2217</w:t>
        </w:r>
      </w:hyperlink>
      <w:r w:rsidRPr="00691DA7">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(дата звернення: 23.03.2025)</w:t>
      </w:r>
    </w:p>
    <w:p w:rsidR="00F30E41" w:rsidRPr="00C04144" w:rsidRDefault="00F30E41" w:rsidP="00C04144">
      <w:pPr>
        <w:tabs>
          <w:tab w:val="left" w:pos="6946"/>
        </w:tabs>
        <w:spacing w:after="0" w:line="360" w:lineRule="auto"/>
        <w:jc w:val="both"/>
        <w:rPr>
          <w:rFonts w:ascii="Times New Roman" w:hAnsi="Times New Roman" w:cs="Times New Roman"/>
          <w:color w:val="000000"/>
          <w:sz w:val="28"/>
          <w:szCs w:val="28"/>
        </w:rPr>
      </w:pPr>
      <w:r w:rsidRPr="00C04144">
        <w:rPr>
          <w:rFonts w:ascii="Times New Roman" w:hAnsi="Times New Roman" w:cs="Times New Roman"/>
          <w:color w:val="000000"/>
          <w:sz w:val="28"/>
          <w:szCs w:val="28"/>
          <w:lang w:val="en-US"/>
        </w:rPr>
        <w:t>8</w:t>
      </w:r>
      <w:r w:rsidRPr="00C04144">
        <w:rPr>
          <w:rFonts w:ascii="Times New Roman" w:hAnsi="Times New Roman" w:cs="Times New Roman"/>
          <w:color w:val="000000"/>
          <w:sz w:val="28"/>
          <w:szCs w:val="28"/>
        </w:rPr>
        <w:t xml:space="preserve">. </w:t>
      </w:r>
      <w:r w:rsidRPr="00C04144">
        <w:rPr>
          <w:rFonts w:ascii="Times New Roman" w:hAnsi="Times New Roman" w:cs="Times New Roman"/>
          <w:color w:val="000000"/>
          <w:sz w:val="28"/>
          <w:szCs w:val="28"/>
          <w:lang w:val="en-US"/>
        </w:rPr>
        <w:t>Meir Statmant</w:t>
      </w:r>
      <w:r w:rsidRPr="00691DA7">
        <w:rPr>
          <w:rFonts w:ascii="Times New Roman" w:hAnsi="Times New Roman" w:cs="Times New Roman"/>
          <w:color w:val="000000"/>
          <w:sz w:val="28"/>
          <w:szCs w:val="28"/>
          <w:lang w:val="en-US"/>
        </w:rPr>
        <w:t xml:space="preserve">. </w:t>
      </w:r>
      <w:r w:rsidRPr="00691DA7">
        <w:rPr>
          <w:rFonts w:ascii="Times New Roman" w:hAnsi="Times New Roman" w:cs="Times New Roman"/>
          <w:i/>
          <w:iCs/>
          <w:color w:val="000000"/>
          <w:sz w:val="28"/>
          <w:szCs w:val="28"/>
        </w:rPr>
        <w:t>Journal of Financial and Quantitative Analysis.</w:t>
      </w:r>
      <w:r w:rsidRPr="00C04144">
        <w:rPr>
          <w:rFonts w:ascii="Times New Roman" w:hAnsi="Times New Roman" w:cs="Times New Roman"/>
          <w:color w:val="000000"/>
          <w:sz w:val="28"/>
          <w:szCs w:val="28"/>
        </w:rPr>
        <w:t xml:space="preserve"> How Many Stocks Make a Diversified Portfolio?</w:t>
      </w:r>
      <w:r w:rsidRPr="00AD31A1">
        <w:rPr>
          <w:rFonts w:ascii="Times New Roman" w:hAnsi="Times New Roman" w:cs="Times New Roman"/>
          <w:sz w:val="28"/>
          <w:szCs w:val="28"/>
          <w:lang w:val="en-US"/>
        </w:rPr>
        <w:t xml:space="preserve"> 1987</w:t>
      </w:r>
      <w:r w:rsidRPr="00C04144">
        <w:rPr>
          <w:rFonts w:ascii="Times New Roman" w:hAnsi="Times New Roman" w:cs="Times New Roman"/>
          <w:sz w:val="28"/>
          <w:szCs w:val="28"/>
        </w:rPr>
        <w:t xml:space="preserve">.  </w:t>
      </w:r>
      <w:r>
        <w:rPr>
          <w:rFonts w:ascii="Times New Roman" w:hAnsi="Times New Roman" w:cs="Times New Roman"/>
          <w:color w:val="000000"/>
          <w:sz w:val="28"/>
          <w:szCs w:val="28"/>
          <w:lang w:val="en-US"/>
        </w:rPr>
        <w:t>URL</w:t>
      </w:r>
      <w:r w:rsidRPr="00C04144">
        <w:rPr>
          <w:rFonts w:ascii="Times New Roman" w:hAnsi="Times New Roman" w:cs="Times New Roman"/>
          <w:color w:val="000000"/>
          <w:sz w:val="28"/>
          <w:szCs w:val="28"/>
        </w:rPr>
        <w:t>: 10.2307/2330969 (дата звернення: 10.01.2025)</w:t>
      </w:r>
    </w:p>
    <w:p w:rsidR="00F30E41" w:rsidRPr="00C04144" w:rsidRDefault="00F30E41" w:rsidP="00C04144">
      <w:pPr>
        <w:tabs>
          <w:tab w:val="left" w:pos="6946"/>
        </w:tabs>
        <w:spacing w:after="0" w:line="360" w:lineRule="auto"/>
        <w:jc w:val="both"/>
        <w:rPr>
          <w:rFonts w:ascii="Times New Roman" w:hAnsi="Times New Roman" w:cs="Times New Roman"/>
          <w:color w:val="000000"/>
          <w:sz w:val="28"/>
          <w:szCs w:val="28"/>
          <w:lang w:val="en-US"/>
        </w:rPr>
      </w:pPr>
      <w:r w:rsidRPr="00C04144">
        <w:rPr>
          <w:rFonts w:ascii="Times New Roman" w:hAnsi="Times New Roman" w:cs="Times New Roman"/>
          <w:color w:val="000000"/>
          <w:sz w:val="28"/>
          <w:szCs w:val="28"/>
          <w:lang w:val="en-US"/>
        </w:rPr>
        <w:t>9</w:t>
      </w:r>
      <w:r w:rsidRPr="00C04144">
        <w:rPr>
          <w:rFonts w:ascii="Times New Roman" w:hAnsi="Times New Roman" w:cs="Times New Roman"/>
          <w:color w:val="000000"/>
          <w:sz w:val="28"/>
          <w:szCs w:val="28"/>
        </w:rPr>
        <w:t>.</w:t>
      </w:r>
      <w:r w:rsidRPr="00C04144">
        <w:rPr>
          <w:rFonts w:ascii="Times New Roman" w:hAnsi="Times New Roman" w:cs="Times New Roman"/>
          <w:color w:val="000000"/>
          <w:sz w:val="28"/>
          <w:szCs w:val="28"/>
          <w:lang w:val="en-US"/>
        </w:rPr>
        <w:t xml:space="preserve"> Attila Bányai, Tibor Tatay, Gergő Thalmeiner, László Pataki</w:t>
      </w:r>
      <w:r>
        <w:rPr>
          <w:rFonts w:ascii="Times New Roman" w:hAnsi="Times New Roman" w:cs="Times New Roman"/>
          <w:color w:val="000000"/>
          <w:sz w:val="28"/>
          <w:szCs w:val="28"/>
          <w:lang w:val="en-US"/>
        </w:rPr>
        <w:t xml:space="preserve">, </w:t>
      </w:r>
      <w:r w:rsidRPr="00AD31A1">
        <w:rPr>
          <w:rFonts w:ascii="Times New Roman" w:hAnsi="Times New Roman" w:cs="Times New Roman"/>
          <w:i/>
          <w:iCs/>
          <w:color w:val="000000"/>
          <w:sz w:val="28"/>
          <w:szCs w:val="28"/>
        </w:rPr>
        <w:t>Journal of Risk and Financial Management.</w:t>
      </w:r>
      <w:r w:rsidRPr="00C04144">
        <w:rPr>
          <w:rFonts w:ascii="Times New Roman" w:hAnsi="Times New Roman" w:cs="Times New Roman"/>
          <w:color w:val="000000"/>
          <w:sz w:val="28"/>
          <w:szCs w:val="28"/>
        </w:rPr>
        <w:t xml:space="preserve"> The Impact of Rebalancing Strategies on ETF Portfolio Performance</w:t>
      </w:r>
      <w:r>
        <w:rPr>
          <w:rFonts w:ascii="Times New Roman" w:hAnsi="Times New Roman" w:cs="Times New Roman"/>
          <w:color w:val="000000"/>
          <w:sz w:val="28"/>
          <w:szCs w:val="28"/>
          <w:lang w:val="en-US"/>
        </w:rPr>
        <w:t>, 2024.</w:t>
      </w:r>
      <w:r w:rsidRPr="00C04144">
        <w:rPr>
          <w:rFonts w:ascii="Times New Roman" w:hAnsi="Times New Roman" w:cs="Times New Roman"/>
          <w:sz w:val="28"/>
          <w:szCs w:val="28"/>
        </w:rPr>
        <w:t xml:space="preserve"> </w:t>
      </w:r>
      <w:r>
        <w:rPr>
          <w:rFonts w:ascii="Times New Roman" w:hAnsi="Times New Roman" w:cs="Times New Roman"/>
          <w:sz w:val="28"/>
          <w:szCs w:val="28"/>
          <w:lang w:val="en-US"/>
        </w:rPr>
        <w:t>URL</w:t>
      </w:r>
      <w:r w:rsidRPr="00C04144">
        <w:rPr>
          <w:rFonts w:ascii="Times New Roman" w:hAnsi="Times New Roman" w:cs="Times New Roman"/>
          <w:color w:val="000000"/>
          <w:sz w:val="28"/>
          <w:szCs w:val="28"/>
        </w:rPr>
        <w:t xml:space="preserve">: </w:t>
      </w:r>
      <w:hyperlink r:id="rId61" w:history="1">
        <w:r w:rsidRPr="00C04144">
          <w:rPr>
            <w:rStyle w:val="Hyperlink"/>
            <w:rFonts w:ascii="Times New Roman" w:hAnsi="Times New Roman" w:cs="Times New Roman"/>
            <w:sz w:val="28"/>
            <w:szCs w:val="28"/>
          </w:rPr>
          <w:t>http://dx.doi.org/10.3390/jrfm1712053</w:t>
        </w:r>
      </w:hyperlink>
      <w:r w:rsidRPr="00C04144">
        <w:rPr>
          <w:rFonts w:ascii="Times New Roman" w:hAnsi="Times New Roman" w:cs="Times New Roman"/>
          <w:color w:val="000000"/>
          <w:sz w:val="28"/>
          <w:szCs w:val="28"/>
        </w:rPr>
        <w:t xml:space="preserve"> (дата звернення: 11.01.2025)</w:t>
      </w:r>
    </w:p>
    <w:p w:rsidR="00F30E41" w:rsidRDefault="00F30E41" w:rsidP="00C04144">
      <w:pPr>
        <w:tabs>
          <w:tab w:val="left" w:pos="6946"/>
        </w:tabs>
        <w:spacing w:after="0" w:line="360" w:lineRule="auto"/>
        <w:jc w:val="both"/>
        <w:rPr>
          <w:rFonts w:ascii="Times New Roman" w:hAnsi="Times New Roman" w:cs="Times New Roman"/>
          <w:color w:val="000000"/>
          <w:sz w:val="28"/>
          <w:szCs w:val="28"/>
          <w:lang w:val="ru-RU"/>
        </w:rPr>
      </w:pPr>
      <w:r w:rsidRPr="00C04144">
        <w:rPr>
          <w:rFonts w:ascii="Times New Roman" w:hAnsi="Times New Roman" w:cs="Times New Roman"/>
          <w:color w:val="000000"/>
          <w:sz w:val="28"/>
          <w:szCs w:val="28"/>
          <w:lang w:val="en-US"/>
        </w:rPr>
        <w:t>10</w:t>
      </w:r>
      <w:r w:rsidRPr="00C04144">
        <w:rPr>
          <w:rFonts w:ascii="Times New Roman" w:hAnsi="Times New Roman" w:cs="Times New Roman"/>
          <w:color w:val="000000"/>
          <w:sz w:val="28"/>
          <w:szCs w:val="28"/>
        </w:rPr>
        <w:t>. Tunmise Adewale</w:t>
      </w:r>
      <w:r w:rsidRPr="00C04144">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AI-Powered Portfolio Diversification: Beyond Modern Portfolio Theory</w:t>
      </w:r>
      <w:r>
        <w:rPr>
          <w:rFonts w:ascii="Times New Roman" w:hAnsi="Times New Roman" w:cs="Times New Roman"/>
          <w:sz w:val="28"/>
          <w:szCs w:val="28"/>
          <w:lang w:val="en-US"/>
        </w:rPr>
        <w:t xml:space="preserve">, </w:t>
      </w:r>
      <w:r w:rsidRPr="00C04144">
        <w:rPr>
          <w:rFonts w:ascii="Times New Roman" w:hAnsi="Times New Roman" w:cs="Times New Roman"/>
          <w:color w:val="000000"/>
          <w:sz w:val="28"/>
          <w:szCs w:val="28"/>
          <w:lang w:val="en-US"/>
        </w:rPr>
        <w:t>2024</w:t>
      </w:r>
      <w:r w:rsidRPr="00C04144">
        <w:rPr>
          <w:rFonts w:ascii="Times New Roman" w:hAnsi="Times New Roman" w:cs="Times New Roman"/>
          <w:sz w:val="28"/>
          <w:szCs w:val="28"/>
        </w:rPr>
        <w:t xml:space="preserve">. URL: </w:t>
      </w:r>
      <w:hyperlink r:id="rId62" w:history="1">
        <w:r w:rsidRPr="00C04144">
          <w:rPr>
            <w:rStyle w:val="Hyperlink"/>
            <w:rFonts w:ascii="Times New Roman" w:hAnsi="Times New Roman" w:cs="Times New Roman"/>
            <w:sz w:val="28"/>
            <w:szCs w:val="28"/>
          </w:rPr>
          <w:t>https://www.researchgate.net/publication/387558292_AI-Powered_Portfolio_Diversification_Beyond_Modern_Portfolio_Theory</w:t>
        </w:r>
      </w:hyperlink>
      <w:r w:rsidRPr="00C04144">
        <w:rPr>
          <w:rFonts w:ascii="Times New Roman" w:hAnsi="Times New Roman" w:cs="Times New Roman"/>
          <w:sz w:val="28"/>
          <w:szCs w:val="28"/>
        </w:rPr>
        <w:t xml:space="preserve"> </w:t>
      </w:r>
      <w:r w:rsidRPr="00C04144">
        <w:rPr>
          <w:rFonts w:ascii="Times New Roman" w:hAnsi="Times New Roman" w:cs="Times New Roman"/>
          <w:color w:val="000000"/>
          <w:sz w:val="28"/>
          <w:szCs w:val="28"/>
        </w:rPr>
        <w:t>(дата звернення: 11.01.2025)</w:t>
      </w:r>
    </w:p>
    <w:p w:rsidR="00F30E41" w:rsidRPr="007A6301" w:rsidRDefault="00F30E41" w:rsidP="00A0071C">
      <w:pPr>
        <w:tabs>
          <w:tab w:val="left" w:pos="6946"/>
        </w:tabs>
        <w:spacing w:after="0" w:line="360" w:lineRule="auto"/>
        <w:jc w:val="both"/>
        <w:rPr>
          <w:rFonts w:ascii="Times New Roman" w:hAnsi="Times New Roman" w:cs="Times New Roman"/>
          <w:color w:val="000000"/>
          <w:sz w:val="28"/>
          <w:szCs w:val="28"/>
          <w:lang w:val="ru-RU"/>
        </w:rPr>
      </w:pPr>
      <w:r w:rsidRPr="00A0071C">
        <w:rPr>
          <w:rFonts w:ascii="Times New Roman" w:hAnsi="Times New Roman" w:cs="Times New Roman"/>
          <w:color w:val="000000"/>
          <w:sz w:val="28"/>
          <w:szCs w:val="28"/>
          <w:lang w:val="en-US"/>
        </w:rPr>
        <w:t>11.</w:t>
      </w:r>
      <w:r w:rsidRPr="00A0071C">
        <w:rPr>
          <w:rFonts w:ascii="Times New Roman" w:eastAsia="Times New Roman" w:hAnsi="Symbol" w:cs="Times New Roman"/>
          <w:kern w:val="0"/>
          <w:sz w:val="24"/>
          <w:szCs w:val="24"/>
          <w:lang w:val="en-US" w:eastAsia="de-AT"/>
        </w:rPr>
        <w:t xml:space="preserve"> </w:t>
      </w:r>
      <w:r w:rsidRPr="007A6301">
        <w:rPr>
          <w:rFonts w:ascii="Times New Roman" w:hAnsi="Times New Roman" w:cs="Times New Roman"/>
          <w:color w:val="000000"/>
          <w:sz w:val="28"/>
          <w:szCs w:val="28"/>
          <w:lang w:val="en-US"/>
        </w:rPr>
        <w:t xml:space="preserve">Chevallier J. </w:t>
      </w:r>
      <w:r w:rsidRPr="007A6301">
        <w:rPr>
          <w:rFonts w:ascii="Times New Roman" w:hAnsi="Times New Roman" w:cs="Times New Roman"/>
          <w:i/>
          <w:iCs/>
          <w:color w:val="000000"/>
          <w:sz w:val="28"/>
          <w:szCs w:val="28"/>
          <w:lang w:val="en-US"/>
        </w:rPr>
        <w:t>IPAG Lab, Université Paris</w:t>
      </w:r>
      <w:r>
        <w:rPr>
          <w:rFonts w:ascii="Times New Roman" w:hAnsi="Times New Roman" w:cs="Times New Roman"/>
          <w:color w:val="000000"/>
          <w:sz w:val="28"/>
          <w:szCs w:val="28"/>
          <w:lang w:val="en-US"/>
        </w:rPr>
        <w:t xml:space="preserve">. </w:t>
      </w:r>
      <w:r w:rsidRPr="007A6301">
        <w:rPr>
          <w:rFonts w:ascii="Times New Roman" w:hAnsi="Times New Roman" w:cs="Times New Roman"/>
          <w:color w:val="000000"/>
          <w:sz w:val="28"/>
          <w:szCs w:val="28"/>
          <w:lang w:val="en-US"/>
        </w:rPr>
        <w:t>‘Safe Assets’ during COVID-19: A Portfolio Management Perspective, 2023.</w:t>
      </w:r>
      <w:r>
        <w:rPr>
          <w:rFonts w:ascii="Times New Roman" w:hAnsi="Times New Roman" w:cs="Times New Roman"/>
          <w:color w:val="000000"/>
          <w:sz w:val="28"/>
          <w:szCs w:val="28"/>
          <w:lang w:val="en-US"/>
        </w:rPr>
        <w:t xml:space="preserve"> </w:t>
      </w:r>
      <w:r w:rsidRPr="007A6301">
        <w:rPr>
          <w:rFonts w:ascii="Times New Roman" w:hAnsi="Times New Roman" w:cs="Times New Roman"/>
          <w:color w:val="000000"/>
          <w:sz w:val="28"/>
          <w:szCs w:val="28"/>
          <w:lang w:val="en-US"/>
        </w:rPr>
        <w:t>URL</w:t>
      </w:r>
      <w:r w:rsidRPr="007A6301">
        <w:rPr>
          <w:rFonts w:ascii="Times New Roman" w:hAnsi="Times New Roman" w:cs="Times New Roman"/>
          <w:color w:val="000000"/>
          <w:sz w:val="28"/>
          <w:szCs w:val="28"/>
          <w:lang w:val="ru-RU"/>
        </w:rPr>
        <w:t xml:space="preserve">: </w:t>
      </w:r>
      <w:hyperlink r:id="rId63" w:tgtFrame="_new" w:history="1">
        <w:r w:rsidRPr="007A6301">
          <w:rPr>
            <w:rStyle w:val="Hyperlink"/>
            <w:rFonts w:ascii="Times New Roman" w:hAnsi="Times New Roman" w:cs="Times New Roman"/>
            <w:sz w:val="28"/>
            <w:szCs w:val="28"/>
            <w:lang w:val="en-US"/>
          </w:rPr>
          <w:t>https</w:t>
        </w:r>
        <w:r w:rsidRPr="007A6301">
          <w:rPr>
            <w:rStyle w:val="Hyperlink"/>
            <w:rFonts w:ascii="Times New Roman" w:hAnsi="Times New Roman" w:cs="Times New Roman"/>
            <w:sz w:val="28"/>
            <w:szCs w:val="28"/>
            <w:lang w:val="ru-RU"/>
          </w:rPr>
          <w:t>://</w:t>
        </w:r>
        <w:r w:rsidRPr="007A6301">
          <w:rPr>
            <w:rStyle w:val="Hyperlink"/>
            <w:rFonts w:ascii="Times New Roman" w:hAnsi="Times New Roman" w:cs="Times New Roman"/>
            <w:sz w:val="28"/>
            <w:szCs w:val="28"/>
            <w:lang w:val="en-US"/>
          </w:rPr>
          <w:t>www</w:t>
        </w:r>
        <w:r w:rsidRPr="007A6301">
          <w:rPr>
            <w:rStyle w:val="Hyperlink"/>
            <w:rFonts w:ascii="Times New Roman" w:hAnsi="Times New Roman" w:cs="Times New Roman"/>
            <w:sz w:val="28"/>
            <w:szCs w:val="28"/>
            <w:lang w:val="ru-RU"/>
          </w:rPr>
          <w:t>.</w:t>
        </w:r>
        <w:r w:rsidRPr="007A6301">
          <w:rPr>
            <w:rStyle w:val="Hyperlink"/>
            <w:rFonts w:ascii="Times New Roman" w:hAnsi="Times New Roman" w:cs="Times New Roman"/>
            <w:sz w:val="28"/>
            <w:szCs w:val="28"/>
            <w:lang w:val="en-US"/>
          </w:rPr>
          <w:t>researchgate</w:t>
        </w:r>
        <w:r w:rsidRPr="007A6301">
          <w:rPr>
            <w:rStyle w:val="Hyperlink"/>
            <w:rFonts w:ascii="Times New Roman" w:hAnsi="Times New Roman" w:cs="Times New Roman"/>
            <w:sz w:val="28"/>
            <w:szCs w:val="28"/>
            <w:lang w:val="ru-RU"/>
          </w:rPr>
          <w:t>.</w:t>
        </w:r>
        <w:r w:rsidRPr="007A6301">
          <w:rPr>
            <w:rStyle w:val="Hyperlink"/>
            <w:rFonts w:ascii="Times New Roman" w:hAnsi="Times New Roman" w:cs="Times New Roman"/>
            <w:sz w:val="28"/>
            <w:szCs w:val="28"/>
            <w:lang w:val="en-US"/>
          </w:rPr>
          <w:t>net</w:t>
        </w:r>
        <w:r w:rsidRPr="007A6301">
          <w:rPr>
            <w:rStyle w:val="Hyperlink"/>
            <w:rFonts w:ascii="Times New Roman" w:hAnsi="Times New Roman" w:cs="Times New Roman"/>
            <w:sz w:val="28"/>
            <w:szCs w:val="28"/>
            <w:lang w:val="ru-RU"/>
          </w:rPr>
          <w:t>/</w:t>
        </w:r>
        <w:r w:rsidRPr="007A6301">
          <w:rPr>
            <w:rStyle w:val="Hyperlink"/>
            <w:rFonts w:ascii="Times New Roman" w:hAnsi="Times New Roman" w:cs="Times New Roman"/>
            <w:sz w:val="28"/>
            <w:szCs w:val="28"/>
            <w:lang w:val="en-US"/>
          </w:rPr>
          <w:t>publication</w:t>
        </w:r>
        <w:r w:rsidRPr="007A6301">
          <w:rPr>
            <w:rStyle w:val="Hyperlink"/>
            <w:rFonts w:ascii="Times New Roman" w:hAnsi="Times New Roman" w:cs="Times New Roman"/>
            <w:sz w:val="28"/>
            <w:szCs w:val="28"/>
            <w:lang w:val="ru-RU"/>
          </w:rPr>
          <w:t>/367670625_'</w:t>
        </w:r>
        <w:r w:rsidRPr="007A6301">
          <w:rPr>
            <w:rStyle w:val="Hyperlink"/>
            <w:rFonts w:ascii="Times New Roman" w:hAnsi="Times New Roman" w:cs="Times New Roman"/>
            <w:sz w:val="28"/>
            <w:szCs w:val="28"/>
            <w:lang w:val="en-US"/>
          </w:rPr>
          <w:t>Safe</w:t>
        </w:r>
        <w:r w:rsidRPr="007A6301">
          <w:rPr>
            <w:rStyle w:val="Hyperlink"/>
            <w:rFonts w:ascii="Times New Roman" w:hAnsi="Times New Roman" w:cs="Times New Roman"/>
            <w:sz w:val="28"/>
            <w:szCs w:val="28"/>
            <w:lang w:val="ru-RU"/>
          </w:rPr>
          <w:t>_</w:t>
        </w:r>
        <w:r w:rsidRPr="007A6301">
          <w:rPr>
            <w:rStyle w:val="Hyperlink"/>
            <w:rFonts w:ascii="Times New Roman" w:hAnsi="Times New Roman" w:cs="Times New Roman"/>
            <w:sz w:val="28"/>
            <w:szCs w:val="28"/>
            <w:lang w:val="en-US"/>
          </w:rPr>
          <w:t>Assets</w:t>
        </w:r>
        <w:r w:rsidRPr="007A6301">
          <w:rPr>
            <w:rStyle w:val="Hyperlink"/>
            <w:rFonts w:ascii="Times New Roman" w:hAnsi="Times New Roman" w:cs="Times New Roman"/>
            <w:sz w:val="28"/>
            <w:szCs w:val="28"/>
            <w:lang w:val="ru-RU"/>
          </w:rPr>
          <w:t>'_</w:t>
        </w:r>
        <w:r w:rsidRPr="007A6301">
          <w:rPr>
            <w:rStyle w:val="Hyperlink"/>
            <w:rFonts w:ascii="Times New Roman" w:hAnsi="Times New Roman" w:cs="Times New Roman"/>
            <w:sz w:val="28"/>
            <w:szCs w:val="28"/>
            <w:lang w:val="en-US"/>
          </w:rPr>
          <w:t>during</w:t>
        </w:r>
        <w:r w:rsidRPr="007A6301">
          <w:rPr>
            <w:rStyle w:val="Hyperlink"/>
            <w:rFonts w:ascii="Times New Roman" w:hAnsi="Times New Roman" w:cs="Times New Roman"/>
            <w:sz w:val="28"/>
            <w:szCs w:val="28"/>
            <w:lang w:val="ru-RU"/>
          </w:rPr>
          <w:t>_</w:t>
        </w:r>
        <w:r w:rsidRPr="007A6301">
          <w:rPr>
            <w:rStyle w:val="Hyperlink"/>
            <w:rFonts w:ascii="Times New Roman" w:hAnsi="Times New Roman" w:cs="Times New Roman"/>
            <w:sz w:val="28"/>
            <w:szCs w:val="28"/>
            <w:lang w:val="en-US"/>
          </w:rPr>
          <w:t>COVID</w:t>
        </w:r>
        <w:r w:rsidRPr="007A6301">
          <w:rPr>
            <w:rStyle w:val="Hyperlink"/>
            <w:rFonts w:ascii="Times New Roman" w:hAnsi="Times New Roman" w:cs="Times New Roman"/>
            <w:sz w:val="28"/>
            <w:szCs w:val="28"/>
            <w:lang w:val="ru-RU"/>
          </w:rPr>
          <w:t>-19_</w:t>
        </w:r>
        <w:r w:rsidRPr="007A6301">
          <w:rPr>
            <w:rStyle w:val="Hyperlink"/>
            <w:rFonts w:ascii="Times New Roman" w:hAnsi="Times New Roman" w:cs="Times New Roman"/>
            <w:sz w:val="28"/>
            <w:szCs w:val="28"/>
            <w:lang w:val="en-US"/>
          </w:rPr>
          <w:t>A</w:t>
        </w:r>
        <w:r w:rsidRPr="007A6301">
          <w:rPr>
            <w:rStyle w:val="Hyperlink"/>
            <w:rFonts w:ascii="Times New Roman" w:hAnsi="Times New Roman" w:cs="Times New Roman"/>
            <w:sz w:val="28"/>
            <w:szCs w:val="28"/>
            <w:lang w:val="ru-RU"/>
          </w:rPr>
          <w:t>_</w:t>
        </w:r>
        <w:r w:rsidRPr="007A6301">
          <w:rPr>
            <w:rStyle w:val="Hyperlink"/>
            <w:rFonts w:ascii="Times New Roman" w:hAnsi="Times New Roman" w:cs="Times New Roman"/>
            <w:sz w:val="28"/>
            <w:szCs w:val="28"/>
            <w:lang w:val="en-US"/>
          </w:rPr>
          <w:t>Portfolio</w:t>
        </w:r>
        <w:r w:rsidRPr="007A6301">
          <w:rPr>
            <w:rStyle w:val="Hyperlink"/>
            <w:rFonts w:ascii="Times New Roman" w:hAnsi="Times New Roman" w:cs="Times New Roman"/>
            <w:sz w:val="28"/>
            <w:szCs w:val="28"/>
            <w:lang w:val="ru-RU"/>
          </w:rPr>
          <w:t>_</w:t>
        </w:r>
        <w:r w:rsidRPr="007A6301">
          <w:rPr>
            <w:rStyle w:val="Hyperlink"/>
            <w:rFonts w:ascii="Times New Roman" w:hAnsi="Times New Roman" w:cs="Times New Roman"/>
            <w:sz w:val="28"/>
            <w:szCs w:val="28"/>
            <w:lang w:val="en-US"/>
          </w:rPr>
          <w:t>Management</w:t>
        </w:r>
        <w:r w:rsidRPr="007A6301">
          <w:rPr>
            <w:rStyle w:val="Hyperlink"/>
            <w:rFonts w:ascii="Times New Roman" w:hAnsi="Times New Roman" w:cs="Times New Roman"/>
            <w:sz w:val="28"/>
            <w:szCs w:val="28"/>
            <w:lang w:val="ru-RU"/>
          </w:rPr>
          <w:t>_</w:t>
        </w:r>
        <w:r w:rsidRPr="007A6301">
          <w:rPr>
            <w:rStyle w:val="Hyperlink"/>
            <w:rFonts w:ascii="Times New Roman" w:hAnsi="Times New Roman" w:cs="Times New Roman"/>
            <w:sz w:val="28"/>
            <w:szCs w:val="28"/>
            <w:lang w:val="en-US"/>
          </w:rPr>
          <w:t>Perspective</w:t>
        </w:r>
      </w:hyperlink>
      <w:r w:rsidRPr="007A6301">
        <w:rPr>
          <w:rFonts w:ascii="Times New Roman" w:hAnsi="Times New Roman" w:cs="Times New Roman"/>
          <w:color w:val="000000"/>
          <w:sz w:val="28"/>
          <w:szCs w:val="28"/>
          <w:lang w:val="ru-RU"/>
        </w:rPr>
        <w:t xml:space="preserve"> (дата звернення: 03.06.2025).</w:t>
      </w:r>
    </w:p>
    <w:p w:rsidR="00F30E41" w:rsidRPr="00C1776E" w:rsidRDefault="00F30E41" w:rsidP="00C04144">
      <w:pPr>
        <w:tabs>
          <w:tab w:val="left" w:pos="6946"/>
        </w:tabs>
        <w:spacing w:after="0" w:line="360" w:lineRule="auto"/>
        <w:jc w:val="both"/>
        <w:rPr>
          <w:rFonts w:ascii="Times New Roman" w:hAnsi="Times New Roman" w:cs="Times New Roman"/>
          <w:color w:val="000000"/>
          <w:sz w:val="28"/>
          <w:szCs w:val="28"/>
          <w:lang w:val="ru-RU"/>
        </w:rPr>
      </w:pPr>
      <w:r w:rsidRPr="00A0071C">
        <w:rPr>
          <w:rFonts w:ascii="Times New Roman" w:hAnsi="Times New Roman" w:cs="Times New Roman"/>
          <w:color w:val="000000"/>
          <w:sz w:val="28"/>
          <w:szCs w:val="28"/>
          <w:lang w:val="en-US"/>
        </w:rPr>
        <w:t>12.  Himanshu, Ritika, Mushir N., Suryavanshi R</w:t>
      </w:r>
      <w:r w:rsidRPr="00A0071C">
        <w:rPr>
          <w:rFonts w:ascii="Times New Roman" w:hAnsi="Times New Roman" w:cs="Times New Roman"/>
          <w:i/>
          <w:iCs/>
          <w:color w:val="000000"/>
          <w:sz w:val="28"/>
          <w:szCs w:val="28"/>
          <w:lang w:val="en-US"/>
        </w:rPr>
        <w:t>. Journal of Public Affairs.</w:t>
      </w:r>
      <w:r w:rsidRPr="00A0071C">
        <w:rPr>
          <w:rFonts w:ascii="Times New Roman" w:hAnsi="Times New Roman" w:cs="Times New Roman"/>
          <w:color w:val="000000"/>
          <w:sz w:val="28"/>
          <w:szCs w:val="28"/>
          <w:lang w:val="en-US"/>
        </w:rPr>
        <w:t xml:space="preserve"> Impact of COVID-19 on portfolio allocation decisions of individual investors, 2021. </w:t>
      </w:r>
      <w:r>
        <w:rPr>
          <w:rFonts w:ascii="Times New Roman" w:hAnsi="Times New Roman" w:cs="Times New Roman"/>
          <w:color w:val="000000"/>
          <w:sz w:val="28"/>
          <w:szCs w:val="28"/>
        </w:rPr>
        <w:t>Т.</w:t>
      </w:r>
      <w:r w:rsidRPr="00A0071C">
        <w:rPr>
          <w:rFonts w:ascii="Times New Roman" w:hAnsi="Times New Roman" w:cs="Times New Roman"/>
          <w:color w:val="000000"/>
          <w:sz w:val="28"/>
          <w:szCs w:val="28"/>
        </w:rPr>
        <w:t xml:space="preserve"> 21, № 4.</w:t>
      </w:r>
      <w:r w:rsidRPr="00C1776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en-US"/>
        </w:rPr>
        <w:t>URL</w:t>
      </w:r>
      <w:r w:rsidRPr="00A0071C">
        <w:rPr>
          <w:rFonts w:ascii="Times New Roman" w:hAnsi="Times New Roman" w:cs="Times New Roman"/>
          <w:color w:val="000000"/>
          <w:sz w:val="28"/>
          <w:szCs w:val="28"/>
        </w:rPr>
        <w:t xml:space="preserve">: </w:t>
      </w:r>
      <w:hyperlink r:id="rId64" w:tgtFrame="_new" w:history="1">
        <w:r w:rsidRPr="00A0071C">
          <w:rPr>
            <w:rStyle w:val="Hyperlink"/>
            <w:rFonts w:ascii="Times New Roman" w:hAnsi="Times New Roman" w:cs="Times New Roman"/>
            <w:sz w:val="28"/>
            <w:szCs w:val="28"/>
            <w:lang w:val="en-US"/>
          </w:rPr>
          <w:t>https</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www</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ncbi</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nlm</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nih</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gov</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pmc</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articles</w:t>
        </w:r>
        <w:r w:rsidRPr="00A0071C">
          <w:rPr>
            <w:rStyle w:val="Hyperlink"/>
            <w:rFonts w:ascii="Times New Roman" w:hAnsi="Times New Roman" w:cs="Times New Roman"/>
            <w:sz w:val="28"/>
            <w:szCs w:val="28"/>
          </w:rPr>
          <w:t>/</w:t>
        </w:r>
        <w:r w:rsidRPr="00A0071C">
          <w:rPr>
            <w:rStyle w:val="Hyperlink"/>
            <w:rFonts w:ascii="Times New Roman" w:hAnsi="Times New Roman" w:cs="Times New Roman"/>
            <w:sz w:val="28"/>
            <w:szCs w:val="28"/>
            <w:lang w:val="en-US"/>
          </w:rPr>
          <w:t>PMC</w:t>
        </w:r>
        <w:r w:rsidRPr="00A0071C">
          <w:rPr>
            <w:rStyle w:val="Hyperlink"/>
            <w:rFonts w:ascii="Times New Roman" w:hAnsi="Times New Roman" w:cs="Times New Roman"/>
            <w:sz w:val="28"/>
            <w:szCs w:val="28"/>
          </w:rPr>
          <w:t>7995012/</w:t>
        </w:r>
      </w:hyperlink>
      <w:r w:rsidRPr="00A0071C">
        <w:rPr>
          <w:rFonts w:ascii="Times New Roman" w:hAnsi="Times New Roman" w:cs="Times New Roman"/>
          <w:color w:val="000000"/>
          <w:sz w:val="28"/>
          <w:szCs w:val="28"/>
        </w:rPr>
        <w:t xml:space="preserve"> (дата звернення: 03.06.2025).</w:t>
      </w:r>
    </w:p>
    <w:p w:rsidR="00F30E41" w:rsidRPr="007A0D91" w:rsidRDefault="00F30E41" w:rsidP="00C04144">
      <w:pPr>
        <w:tabs>
          <w:tab w:val="left" w:pos="6946"/>
        </w:tabs>
        <w:spacing w:after="0" w:line="360" w:lineRule="auto"/>
        <w:jc w:val="both"/>
        <w:rPr>
          <w:rFonts w:ascii="Times New Roman" w:hAnsi="Times New Roman" w:cs="Times New Roman"/>
          <w:color w:val="000000"/>
          <w:sz w:val="28"/>
          <w:szCs w:val="28"/>
          <w:lang w:val="en-US"/>
        </w:rPr>
      </w:pPr>
      <w:r w:rsidRPr="001B62FF">
        <w:rPr>
          <w:rFonts w:ascii="Times New Roman" w:hAnsi="Times New Roman" w:cs="Times New Roman"/>
          <w:color w:val="000000"/>
          <w:sz w:val="28"/>
          <w:szCs w:val="28"/>
          <w:lang w:val="en-US"/>
        </w:rPr>
        <w:t>1</w:t>
      </w:r>
      <w:r w:rsidRPr="00CE5FFE">
        <w:rPr>
          <w:rFonts w:ascii="Times New Roman" w:hAnsi="Times New Roman" w:cs="Times New Roman"/>
          <w:color w:val="000000"/>
          <w:sz w:val="28"/>
          <w:szCs w:val="28"/>
          <w:lang w:val="en-US"/>
        </w:rPr>
        <w:t>3</w:t>
      </w:r>
      <w:r w:rsidRPr="00C04144">
        <w:rPr>
          <w:rFonts w:ascii="Times New Roman" w:hAnsi="Times New Roman" w:cs="Times New Roman"/>
          <w:color w:val="000000"/>
          <w:sz w:val="28"/>
          <w:szCs w:val="28"/>
        </w:rPr>
        <w:t xml:space="preserve">. Kevin, S. </w:t>
      </w:r>
      <w:r w:rsidRPr="009D6A03">
        <w:rPr>
          <w:rFonts w:ascii="Times New Roman" w:hAnsi="Times New Roman" w:cs="Times New Roman"/>
          <w:color w:val="000000"/>
          <w:sz w:val="28"/>
          <w:szCs w:val="28"/>
        </w:rPr>
        <w:t xml:space="preserve">Security analysis and portfolio management : </w:t>
      </w:r>
      <w:r>
        <w:rPr>
          <w:rFonts w:ascii="Times New Roman" w:hAnsi="Times New Roman" w:cs="Times New Roman"/>
          <w:color w:val="000000"/>
          <w:sz w:val="28"/>
          <w:szCs w:val="28"/>
          <w:lang w:val="ru-RU"/>
        </w:rPr>
        <w:t>п</w:t>
      </w:r>
      <w:r>
        <w:rPr>
          <w:rFonts w:ascii="Times New Roman" w:hAnsi="Times New Roman" w:cs="Times New Roman"/>
          <w:color w:val="000000"/>
          <w:sz w:val="28"/>
          <w:szCs w:val="28"/>
        </w:rPr>
        <w:t xml:space="preserve">ідручник. </w:t>
      </w:r>
      <w:r w:rsidRPr="009D6A03">
        <w:rPr>
          <w:rFonts w:ascii="Times New Roman" w:hAnsi="Times New Roman" w:cs="Times New Roman"/>
          <w:color w:val="000000"/>
          <w:sz w:val="28"/>
          <w:szCs w:val="28"/>
        </w:rPr>
        <w:t>3-тє вид</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PHI Learning Private Limited, 2022. 388 c.</w:t>
      </w:r>
    </w:p>
    <w:p w:rsidR="00F30E41" w:rsidRPr="001D0FCB" w:rsidRDefault="00F30E41" w:rsidP="00C04144">
      <w:pPr>
        <w:tabs>
          <w:tab w:val="left" w:pos="6946"/>
        </w:tabs>
        <w:spacing w:after="0" w:line="360" w:lineRule="auto"/>
        <w:jc w:val="both"/>
        <w:rPr>
          <w:rFonts w:ascii="Times New Roman" w:hAnsi="Times New Roman" w:cs="Times New Roman"/>
          <w:color w:val="000000"/>
          <w:sz w:val="28"/>
          <w:szCs w:val="28"/>
          <w:lang w:val="en-US"/>
        </w:rPr>
      </w:pPr>
      <w:r w:rsidRPr="00C04144">
        <w:rPr>
          <w:rFonts w:ascii="Times New Roman" w:hAnsi="Times New Roman" w:cs="Times New Roman"/>
          <w:color w:val="000000"/>
          <w:sz w:val="28"/>
          <w:szCs w:val="28"/>
          <w:lang w:val="en-US"/>
        </w:rPr>
        <w:t>1</w:t>
      </w:r>
      <w:r w:rsidRPr="00CE5FFE">
        <w:rPr>
          <w:rFonts w:ascii="Times New Roman" w:hAnsi="Times New Roman" w:cs="Times New Roman"/>
          <w:color w:val="000000"/>
          <w:sz w:val="28"/>
          <w:szCs w:val="28"/>
          <w:lang w:val="en-US"/>
        </w:rPr>
        <w:t>4</w:t>
      </w:r>
      <w:r w:rsidRPr="00C04144">
        <w:rPr>
          <w:rFonts w:ascii="Times New Roman" w:hAnsi="Times New Roman" w:cs="Times New Roman"/>
          <w:color w:val="000000"/>
          <w:sz w:val="28"/>
          <w:szCs w:val="28"/>
        </w:rPr>
        <w:t>. Anadu K., Kruttli M., McCabe P., Osambela E.</w:t>
      </w:r>
      <w:r w:rsidRPr="006E7677">
        <w:rPr>
          <w:rFonts w:ascii="Times New Roman" w:hAnsi="Times New Roman" w:cs="Times New Roman"/>
          <w:color w:val="000000"/>
          <w:sz w:val="28"/>
          <w:szCs w:val="28"/>
        </w:rPr>
        <w:t xml:space="preserve"> </w:t>
      </w:r>
      <w:r w:rsidRPr="006E7677">
        <w:rPr>
          <w:rFonts w:ascii="Times New Roman" w:hAnsi="Times New Roman" w:cs="Times New Roman"/>
          <w:i/>
          <w:iCs/>
          <w:color w:val="000000"/>
          <w:sz w:val="28"/>
          <w:szCs w:val="28"/>
        </w:rPr>
        <w:t>Financial Analysts Journal.</w:t>
      </w:r>
      <w:r w:rsidRPr="00C04144">
        <w:rPr>
          <w:rFonts w:ascii="Times New Roman" w:hAnsi="Times New Roman" w:cs="Times New Roman"/>
          <w:color w:val="000000"/>
          <w:sz w:val="28"/>
          <w:szCs w:val="28"/>
        </w:rPr>
        <w:t xml:space="preserve">  The shift from active to passive investing : risks to financial stability? 2020</w:t>
      </w:r>
      <w:r>
        <w:rPr>
          <w:rFonts w:ascii="Times New Roman" w:hAnsi="Times New Roman" w:cs="Times New Roman"/>
          <w:color w:val="000000"/>
          <w:sz w:val="28"/>
          <w:szCs w:val="28"/>
          <w:lang w:val="en-US"/>
        </w:rPr>
        <w:t>.</w:t>
      </w:r>
      <w:r w:rsidRPr="00C04144">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 xml:space="preserve"> </w:t>
      </w:r>
      <w:r w:rsidRPr="00357053">
        <w:rPr>
          <w:rFonts w:ascii="Times New Roman" w:hAnsi="Times New Roman" w:cs="Times New Roman"/>
          <w:color w:val="000000"/>
          <w:sz w:val="28"/>
          <w:szCs w:val="28"/>
        </w:rPr>
        <w:t xml:space="preserve">Т. 76.  № 4.  </w:t>
      </w:r>
      <w:r>
        <w:rPr>
          <w:rFonts w:ascii="Times New Roman" w:hAnsi="Times New Roman" w:cs="Times New Roman"/>
          <w:color w:val="000000"/>
          <w:sz w:val="28"/>
          <w:szCs w:val="28"/>
          <w:lang w:val="ru-RU"/>
        </w:rPr>
        <w:t>с</w:t>
      </w:r>
      <w:r w:rsidRPr="00357053">
        <w:rPr>
          <w:rFonts w:ascii="Times New Roman" w:hAnsi="Times New Roman" w:cs="Times New Roman"/>
          <w:color w:val="000000"/>
          <w:sz w:val="28"/>
          <w:szCs w:val="28"/>
        </w:rPr>
        <w:t>. 23</w:t>
      </w:r>
      <w:r w:rsidRPr="00334113">
        <w:rPr>
          <w:rFonts w:ascii="Times New Roman" w:hAnsi="Times New Roman" w:cs="Times New Roman"/>
          <w:color w:val="000000"/>
          <w:sz w:val="28"/>
          <w:szCs w:val="28"/>
          <w:lang w:val="en-US"/>
        </w:rPr>
        <w:t>-</w:t>
      </w:r>
      <w:r w:rsidRPr="00357053">
        <w:rPr>
          <w:rFonts w:ascii="Times New Roman" w:hAnsi="Times New Roman" w:cs="Times New Roman"/>
          <w:color w:val="000000"/>
          <w:sz w:val="28"/>
          <w:szCs w:val="28"/>
        </w:rPr>
        <w:t>39.</w:t>
      </w:r>
      <w:r w:rsidRPr="00334113">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URL</w:t>
      </w:r>
      <w:r w:rsidRPr="00C04144">
        <w:rPr>
          <w:rFonts w:ascii="Times New Roman" w:hAnsi="Times New Roman" w:cs="Times New Roman"/>
          <w:color w:val="000000"/>
          <w:sz w:val="28"/>
          <w:szCs w:val="28"/>
        </w:rPr>
        <w:t xml:space="preserve">: </w:t>
      </w:r>
      <w:hyperlink r:id="rId65" w:history="1">
        <w:r w:rsidRPr="00C04144">
          <w:rPr>
            <w:rStyle w:val="Hyperlink"/>
            <w:rFonts w:ascii="Times New Roman" w:hAnsi="Times New Roman" w:cs="Times New Roman"/>
            <w:sz w:val="28"/>
            <w:szCs w:val="28"/>
          </w:rPr>
          <w:t>https://doi.org/10.1080/0015198X.2020.1779498</w:t>
        </w:r>
      </w:hyperlink>
      <w:r w:rsidRPr="00C04144">
        <w:rPr>
          <w:rFonts w:ascii="Times New Roman" w:hAnsi="Times New Roman" w:cs="Times New Roman"/>
          <w:color w:val="000000"/>
          <w:sz w:val="28"/>
          <w:szCs w:val="28"/>
        </w:rPr>
        <w:t>.</w:t>
      </w:r>
      <w:r w:rsidRPr="00334113">
        <w:rPr>
          <w:rFonts w:ascii="Times New Roman" w:hAnsi="Times New Roman" w:cs="Times New Roman"/>
          <w:color w:val="000000"/>
          <w:sz w:val="28"/>
          <w:szCs w:val="28"/>
          <w:lang w:val="en-US"/>
        </w:rPr>
        <w:t xml:space="preserve"> </w:t>
      </w:r>
      <w:r w:rsidRPr="00C04144">
        <w:rPr>
          <w:rFonts w:ascii="Times New Roman" w:hAnsi="Times New Roman" w:cs="Times New Roman"/>
          <w:color w:val="000000"/>
          <w:sz w:val="28"/>
          <w:szCs w:val="28"/>
        </w:rPr>
        <w:t xml:space="preserve">(дата звернення: </w:t>
      </w:r>
      <w:r w:rsidRPr="00C1776E">
        <w:rPr>
          <w:rFonts w:ascii="Times New Roman" w:hAnsi="Times New Roman" w:cs="Times New Roman"/>
          <w:color w:val="000000"/>
          <w:sz w:val="28"/>
          <w:szCs w:val="28"/>
          <w:lang w:val="en-US"/>
        </w:rPr>
        <w:t>11</w:t>
      </w:r>
      <w:r w:rsidRPr="00C04144">
        <w:rPr>
          <w:rFonts w:ascii="Times New Roman" w:hAnsi="Times New Roman" w:cs="Times New Roman"/>
          <w:color w:val="000000"/>
          <w:sz w:val="28"/>
          <w:szCs w:val="28"/>
        </w:rPr>
        <w:t>.0</w:t>
      </w:r>
      <w:r w:rsidRPr="00C1776E">
        <w:rPr>
          <w:rFonts w:ascii="Times New Roman" w:hAnsi="Times New Roman" w:cs="Times New Roman"/>
          <w:color w:val="000000"/>
          <w:sz w:val="28"/>
          <w:szCs w:val="28"/>
          <w:lang w:val="en-US"/>
        </w:rPr>
        <w:t>1</w:t>
      </w:r>
      <w:r w:rsidRPr="00C04144">
        <w:rPr>
          <w:rFonts w:ascii="Times New Roman" w:hAnsi="Times New Roman" w:cs="Times New Roman"/>
          <w:color w:val="000000"/>
          <w:sz w:val="28"/>
          <w:szCs w:val="28"/>
        </w:rPr>
        <w:t>.2025)</w:t>
      </w:r>
    </w:p>
    <w:p w:rsidR="00F30E41" w:rsidRPr="00F061C4" w:rsidRDefault="00F30E41" w:rsidP="00C04144">
      <w:pPr>
        <w:tabs>
          <w:tab w:val="left" w:pos="6946"/>
        </w:tabs>
        <w:spacing w:after="0" w:line="360" w:lineRule="auto"/>
        <w:jc w:val="both"/>
        <w:rPr>
          <w:rFonts w:ascii="Times New Roman" w:hAnsi="Times New Roman" w:cs="Times New Roman"/>
          <w:sz w:val="28"/>
          <w:szCs w:val="28"/>
        </w:rPr>
      </w:pPr>
      <w:r w:rsidRPr="00794B8C">
        <w:rPr>
          <w:rFonts w:ascii="Times New Roman" w:hAnsi="Times New Roman" w:cs="Times New Roman"/>
          <w:sz w:val="28"/>
          <w:szCs w:val="28"/>
          <w:lang w:val="en-US"/>
        </w:rPr>
        <w:t>1</w:t>
      </w:r>
      <w:r w:rsidRPr="00CE5FFE">
        <w:rPr>
          <w:rFonts w:ascii="Times New Roman" w:hAnsi="Times New Roman" w:cs="Times New Roman"/>
          <w:sz w:val="28"/>
          <w:szCs w:val="28"/>
          <w:lang w:val="en-US"/>
        </w:rPr>
        <w:t>5</w:t>
      </w:r>
      <w:r w:rsidRPr="00794B8C">
        <w:rPr>
          <w:rFonts w:ascii="Times New Roman" w:hAnsi="Times New Roman" w:cs="Times New Roman"/>
          <w:sz w:val="28"/>
          <w:szCs w:val="28"/>
          <w:lang w:val="en-US"/>
        </w:rPr>
        <w:t xml:space="preserve">. </w:t>
      </w:r>
      <w:r w:rsidRPr="00A90187">
        <w:rPr>
          <w:rFonts w:ascii="Times New Roman" w:hAnsi="Times New Roman" w:cs="Times New Roman"/>
          <w:sz w:val="28"/>
          <w:szCs w:val="28"/>
        </w:rPr>
        <w:t>Investments: Principles of Portfolio and Equity Analysis: навч. посіб. McMillan M. G., Pinto J. E., Pirie W. L., Van de Venter G</w:t>
      </w:r>
      <w:r w:rsidRPr="00BB5460">
        <w:rPr>
          <w:rFonts w:ascii="Times New Roman" w:hAnsi="Times New Roman" w:cs="Times New Roman"/>
          <w:sz w:val="28"/>
          <w:szCs w:val="28"/>
          <w:lang w:val="en-US"/>
        </w:rPr>
        <w:t>,</w:t>
      </w:r>
      <w:r w:rsidRPr="00A90187">
        <w:rPr>
          <w:rFonts w:ascii="Times New Roman" w:hAnsi="Times New Roman" w:cs="Times New Roman"/>
          <w:sz w:val="28"/>
          <w:szCs w:val="28"/>
        </w:rPr>
        <w:t xml:space="preserve">  2011</w:t>
      </w:r>
      <w:r w:rsidRPr="00BB5460">
        <w:rPr>
          <w:rFonts w:ascii="Times New Roman" w:hAnsi="Times New Roman" w:cs="Times New Roman"/>
          <w:sz w:val="28"/>
          <w:szCs w:val="28"/>
          <w:lang w:val="en-US"/>
        </w:rPr>
        <w:t>.</w:t>
      </w:r>
    </w:p>
    <w:p w:rsidR="00F30E41" w:rsidRPr="00C1776E" w:rsidRDefault="00F30E41" w:rsidP="00C04144">
      <w:pPr>
        <w:tabs>
          <w:tab w:val="left" w:pos="6946"/>
        </w:tabs>
        <w:spacing w:after="0" w:line="360" w:lineRule="auto"/>
        <w:jc w:val="both"/>
        <w:rPr>
          <w:rFonts w:ascii="Times New Roman" w:hAnsi="Times New Roman" w:cs="Times New Roman"/>
          <w:color w:val="000000"/>
          <w:sz w:val="28"/>
          <w:szCs w:val="28"/>
          <w:lang w:val="ru-RU"/>
        </w:rPr>
      </w:pPr>
      <w:r w:rsidRPr="00473303">
        <w:rPr>
          <w:rFonts w:ascii="Times New Roman" w:hAnsi="Times New Roman" w:cs="Times New Roman"/>
          <w:color w:val="000000"/>
          <w:sz w:val="28"/>
          <w:szCs w:val="28"/>
          <w:lang w:val="en-US"/>
        </w:rPr>
        <w:t>1</w:t>
      </w:r>
      <w:r w:rsidRPr="0045426C">
        <w:rPr>
          <w:rFonts w:ascii="Times New Roman" w:hAnsi="Times New Roman" w:cs="Times New Roman"/>
          <w:color w:val="000000"/>
          <w:sz w:val="28"/>
          <w:szCs w:val="28"/>
          <w:lang w:val="en-US"/>
        </w:rPr>
        <w:t>6</w:t>
      </w:r>
      <w:r w:rsidRPr="00473303">
        <w:rPr>
          <w:rFonts w:ascii="Times New Roman" w:hAnsi="Times New Roman" w:cs="Times New Roman"/>
          <w:color w:val="000000"/>
          <w:sz w:val="28"/>
          <w:szCs w:val="28"/>
          <w:lang w:val="en-US"/>
        </w:rPr>
        <w:t>.</w:t>
      </w:r>
      <w:r w:rsidRPr="004529D9">
        <w:rPr>
          <w:rFonts w:ascii="Times New Roman" w:hAnsi="Times New Roman" w:cs="Times New Roman"/>
          <w:color w:val="000000"/>
          <w:sz w:val="28"/>
          <w:szCs w:val="28"/>
          <w:lang w:val="en-US"/>
        </w:rPr>
        <w:t xml:space="preserve">  Šindelář, J. </w:t>
      </w:r>
      <w:r w:rsidRPr="00BB5460">
        <w:rPr>
          <w:rFonts w:ascii="Times New Roman" w:hAnsi="Times New Roman" w:cs="Times New Roman"/>
          <w:i/>
          <w:iCs/>
          <w:color w:val="000000"/>
          <w:sz w:val="28"/>
          <w:szCs w:val="28"/>
          <w:lang w:val="en-US"/>
        </w:rPr>
        <w:t>Journal of Financial Markets.</w:t>
      </w:r>
      <w:r w:rsidRPr="00BB5460">
        <w:rPr>
          <w:rFonts w:ascii="Times New Roman" w:hAnsi="Times New Roman" w:cs="Times New Roman"/>
          <w:color w:val="000000"/>
          <w:sz w:val="28"/>
          <w:szCs w:val="28"/>
          <w:lang w:val="en-US"/>
        </w:rPr>
        <w:t xml:space="preserve"> </w:t>
      </w:r>
      <w:r w:rsidRPr="004529D9">
        <w:rPr>
          <w:rFonts w:ascii="Times New Roman" w:hAnsi="Times New Roman" w:cs="Times New Roman"/>
          <w:color w:val="000000"/>
          <w:sz w:val="28"/>
          <w:szCs w:val="28"/>
          <w:lang w:val="en-US"/>
        </w:rPr>
        <w:t>Performance of Active and Passive Funds in the U.S. Market: A Long-Term Analysis</w:t>
      </w:r>
      <w:r w:rsidRPr="00BB5460">
        <w:rPr>
          <w:rFonts w:ascii="Times New Roman" w:hAnsi="Times New Roman" w:cs="Times New Roman"/>
          <w:color w:val="000000"/>
          <w:sz w:val="28"/>
          <w:szCs w:val="28"/>
          <w:lang w:val="en-US"/>
        </w:rPr>
        <w:t xml:space="preserve">, 2022. </w:t>
      </w:r>
      <w:r>
        <w:rPr>
          <w:rFonts w:ascii="Times New Roman" w:hAnsi="Times New Roman" w:cs="Times New Roman"/>
          <w:color w:val="000000"/>
          <w:sz w:val="28"/>
          <w:szCs w:val="28"/>
          <w:lang w:val="ru-RU"/>
        </w:rPr>
        <w:t>Вип</w:t>
      </w:r>
      <w:r w:rsidRPr="00C1776E">
        <w:rPr>
          <w:rFonts w:ascii="Times New Roman" w:hAnsi="Times New Roman" w:cs="Times New Roman"/>
          <w:color w:val="000000"/>
          <w:sz w:val="28"/>
          <w:szCs w:val="28"/>
          <w:lang w:val="ru-RU"/>
        </w:rPr>
        <w:t xml:space="preserve">. 45(3), </w:t>
      </w:r>
      <w:r>
        <w:rPr>
          <w:rFonts w:ascii="Times New Roman" w:hAnsi="Times New Roman" w:cs="Times New Roman"/>
          <w:color w:val="000000"/>
          <w:sz w:val="28"/>
          <w:szCs w:val="28"/>
          <w:lang w:val="ru-RU"/>
        </w:rPr>
        <w:t>стр</w:t>
      </w:r>
      <w:r w:rsidRPr="00C1776E">
        <w:rPr>
          <w:rFonts w:ascii="Times New Roman" w:hAnsi="Times New Roman" w:cs="Times New Roman"/>
          <w:color w:val="000000"/>
          <w:sz w:val="28"/>
          <w:szCs w:val="28"/>
          <w:lang w:val="ru-RU"/>
        </w:rPr>
        <w:t xml:space="preserve">. 215-232.  </w:t>
      </w:r>
      <w:r>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ru-RU"/>
        </w:rPr>
        <w:t>:</w:t>
      </w:r>
      <w:r w:rsidRPr="00C1776E">
        <w:rPr>
          <w:rFonts w:ascii="Times New Roman" w:hAnsi="Times New Roman" w:cs="Times New Roman"/>
          <w:color w:val="000000"/>
          <w:sz w:val="28"/>
          <w:szCs w:val="28"/>
          <w:lang w:val="ru-RU"/>
        </w:rPr>
        <w:t xml:space="preserve"> </w:t>
      </w:r>
      <w:hyperlink r:id="rId66" w:history="1">
        <w:r w:rsidRPr="00794B8C">
          <w:rPr>
            <w:rStyle w:val="Hyperlink"/>
            <w:rFonts w:ascii="Times New Roman" w:hAnsi="Times New Roman" w:cs="Times New Roman"/>
            <w:sz w:val="28"/>
            <w:szCs w:val="28"/>
          </w:rPr>
          <w:t>https://doi.org/10.1016/j.frl.2022.103204</w:t>
        </w:r>
      </w:hyperlink>
      <w:r w:rsidRPr="00C1776E">
        <w:rPr>
          <w:rFonts w:ascii="Times New Roman" w:hAnsi="Times New Roman" w:cs="Times New Roman"/>
          <w:color w:val="000000"/>
          <w:sz w:val="28"/>
          <w:szCs w:val="28"/>
          <w:lang w:val="ru-RU"/>
        </w:rPr>
        <w:t xml:space="preserve"> </w:t>
      </w:r>
      <w:r w:rsidRPr="00794B8C">
        <w:rPr>
          <w:rFonts w:ascii="Times New Roman" w:hAnsi="Times New Roman" w:cs="Times New Roman"/>
          <w:color w:val="000000"/>
          <w:sz w:val="28"/>
          <w:szCs w:val="28"/>
        </w:rPr>
        <w:t xml:space="preserve">(дата звернення: </w:t>
      </w:r>
      <w:r w:rsidRPr="00C1776E">
        <w:rPr>
          <w:rFonts w:ascii="Times New Roman" w:hAnsi="Times New Roman" w:cs="Times New Roman"/>
          <w:color w:val="000000"/>
          <w:sz w:val="28"/>
          <w:szCs w:val="28"/>
          <w:lang w:val="ru-RU"/>
        </w:rPr>
        <w:t>24</w:t>
      </w:r>
      <w:r w:rsidRPr="00794B8C">
        <w:rPr>
          <w:rFonts w:ascii="Times New Roman" w:hAnsi="Times New Roman" w:cs="Times New Roman"/>
          <w:color w:val="000000"/>
          <w:sz w:val="28"/>
          <w:szCs w:val="28"/>
        </w:rPr>
        <w:t>.0</w:t>
      </w:r>
      <w:r w:rsidRPr="00C1776E">
        <w:rPr>
          <w:rFonts w:ascii="Times New Roman" w:hAnsi="Times New Roman" w:cs="Times New Roman"/>
          <w:color w:val="000000"/>
          <w:sz w:val="28"/>
          <w:szCs w:val="28"/>
          <w:lang w:val="ru-RU"/>
        </w:rPr>
        <w:t>3</w:t>
      </w:r>
      <w:r w:rsidRPr="00794B8C">
        <w:rPr>
          <w:rFonts w:ascii="Times New Roman" w:hAnsi="Times New Roman" w:cs="Times New Roman"/>
          <w:color w:val="000000"/>
          <w:sz w:val="28"/>
          <w:szCs w:val="28"/>
        </w:rPr>
        <w:t>.2025)</w:t>
      </w:r>
    </w:p>
    <w:p w:rsidR="00F30E41" w:rsidRDefault="00F30E41" w:rsidP="00C04144">
      <w:pPr>
        <w:tabs>
          <w:tab w:val="left" w:pos="6946"/>
        </w:tabs>
        <w:spacing w:after="0" w:line="360" w:lineRule="auto"/>
        <w:jc w:val="both"/>
        <w:rPr>
          <w:rFonts w:ascii="Times New Roman" w:hAnsi="Times New Roman" w:cs="Times New Roman"/>
          <w:color w:val="000000"/>
          <w:sz w:val="28"/>
          <w:szCs w:val="28"/>
          <w:lang w:val="ru-RU"/>
        </w:rPr>
      </w:pPr>
      <w:r w:rsidRPr="00B62767">
        <w:rPr>
          <w:rFonts w:ascii="Times New Roman" w:hAnsi="Times New Roman" w:cs="Times New Roman"/>
          <w:color w:val="000000"/>
          <w:sz w:val="28"/>
          <w:szCs w:val="28"/>
        </w:rPr>
        <w:t xml:space="preserve">17. Gopane T.J., Moyo N.T., Setaka L.F. </w:t>
      </w:r>
      <w:r w:rsidRPr="00B62767">
        <w:rPr>
          <w:rFonts w:ascii="Times New Roman" w:hAnsi="Times New Roman" w:cs="Times New Roman"/>
          <w:i/>
          <w:iCs/>
          <w:color w:val="000000"/>
          <w:sz w:val="28"/>
          <w:szCs w:val="28"/>
        </w:rPr>
        <w:t>Journal of Capital Markets Studies.</w:t>
      </w:r>
      <w:r w:rsidRPr="00B62767">
        <w:rPr>
          <w:rFonts w:ascii="Times New Roman" w:hAnsi="Times New Roman" w:cs="Times New Roman"/>
          <w:color w:val="000000"/>
          <w:sz w:val="28"/>
          <w:szCs w:val="28"/>
        </w:rPr>
        <w:t xml:space="preserve"> Emerging market analysis of passive and active investing under bear and bull market conditions, 2024. Вип. 8(1), стр. 6</w:t>
      </w:r>
      <w:r>
        <w:rPr>
          <w:rFonts w:ascii="Times New Roman" w:hAnsi="Times New Roman" w:cs="Times New Roman"/>
          <w:color w:val="000000"/>
          <w:sz w:val="28"/>
          <w:szCs w:val="28"/>
          <w:lang w:val="ru-RU"/>
        </w:rPr>
        <w:t>-</w:t>
      </w:r>
      <w:r w:rsidRPr="00B62767">
        <w:rPr>
          <w:rFonts w:ascii="Times New Roman" w:hAnsi="Times New Roman" w:cs="Times New Roman"/>
          <w:color w:val="000000"/>
          <w:sz w:val="28"/>
          <w:szCs w:val="28"/>
        </w:rPr>
        <w:t xml:space="preserve">24. URL: </w:t>
      </w:r>
      <w:hyperlink r:id="rId67" w:tgtFrame="_new" w:history="1">
        <w:r w:rsidRPr="00B62767">
          <w:rPr>
            <w:rStyle w:val="Hyperlink"/>
            <w:rFonts w:ascii="Times New Roman" w:hAnsi="Times New Roman" w:cs="Times New Roman"/>
            <w:sz w:val="28"/>
            <w:szCs w:val="28"/>
          </w:rPr>
          <w:t>https://www.emerald.com/insight/content/doi/10.1108/jcms-03-2023-0008/full/html</w:t>
        </w:r>
      </w:hyperlink>
      <w:r w:rsidRPr="00B62767">
        <w:rPr>
          <w:rFonts w:ascii="Times New Roman" w:hAnsi="Times New Roman" w:cs="Times New Roman"/>
          <w:color w:val="000000"/>
          <w:sz w:val="28"/>
          <w:szCs w:val="28"/>
        </w:rPr>
        <w:t xml:space="preserve"> (дата звернення: 24.03.2025).</w:t>
      </w:r>
    </w:p>
    <w:p w:rsidR="00F30E41" w:rsidRPr="00A80640" w:rsidRDefault="00F30E41" w:rsidP="00A80640">
      <w:pPr>
        <w:tabs>
          <w:tab w:val="left" w:pos="6946"/>
        </w:tabs>
        <w:spacing w:after="0" w:line="360" w:lineRule="auto"/>
        <w:jc w:val="both"/>
        <w:rPr>
          <w:rFonts w:ascii="Times New Roman" w:hAnsi="Times New Roman" w:cs="Times New Roman"/>
          <w:color w:val="000000"/>
          <w:sz w:val="28"/>
          <w:szCs w:val="28"/>
          <w:lang w:val="ru-RU"/>
        </w:rPr>
      </w:pPr>
      <w:r w:rsidRPr="00A80640">
        <w:rPr>
          <w:rFonts w:ascii="Times New Roman" w:hAnsi="Times New Roman" w:cs="Times New Roman"/>
          <w:color w:val="000000"/>
          <w:sz w:val="28"/>
          <w:szCs w:val="28"/>
        </w:rPr>
        <w:t xml:space="preserve">18. Bianchi R., Babiak M. </w:t>
      </w:r>
      <w:r w:rsidRPr="00A80640">
        <w:rPr>
          <w:rFonts w:ascii="Times New Roman" w:hAnsi="Times New Roman" w:cs="Times New Roman"/>
          <w:i/>
          <w:iCs/>
          <w:color w:val="000000"/>
          <w:sz w:val="28"/>
          <w:szCs w:val="28"/>
        </w:rPr>
        <w:t xml:space="preserve">Journal of Banking &amp; Finance. </w:t>
      </w:r>
      <w:r w:rsidRPr="00A80640">
        <w:rPr>
          <w:rFonts w:ascii="Times New Roman" w:hAnsi="Times New Roman" w:cs="Times New Roman"/>
          <w:color w:val="000000"/>
          <w:sz w:val="28"/>
          <w:szCs w:val="28"/>
        </w:rPr>
        <w:t>On the performance of cryptocurrency funds, 2022. Вип. 28(4), стр. 321–340. URL: https://doi.org/10.1016/j.jbankfin.2022.106467 (дата звернення: 24.03.2025).</w:t>
      </w:r>
    </w:p>
    <w:p w:rsidR="00F30E41" w:rsidRDefault="00F30E41" w:rsidP="00A80640">
      <w:pPr>
        <w:tabs>
          <w:tab w:val="left" w:pos="6946"/>
        </w:tabs>
        <w:spacing w:after="0" w:line="360" w:lineRule="auto"/>
        <w:jc w:val="both"/>
        <w:rPr>
          <w:rFonts w:ascii="Times New Roman" w:hAnsi="Times New Roman" w:cs="Times New Roman"/>
          <w:color w:val="000000"/>
          <w:sz w:val="28"/>
          <w:szCs w:val="28"/>
          <w:lang w:val="ru-RU"/>
        </w:rPr>
      </w:pPr>
      <w:r w:rsidRPr="00A80640">
        <w:rPr>
          <w:rFonts w:ascii="Times New Roman" w:hAnsi="Times New Roman" w:cs="Times New Roman"/>
          <w:color w:val="000000"/>
          <w:sz w:val="28"/>
          <w:szCs w:val="28"/>
        </w:rPr>
        <w:t xml:space="preserve">19. European Fund and Asset Management Association Report. The sectoral performance of active and passive UCITS </w:t>
      </w:r>
      <w:r w:rsidRPr="00A80640">
        <w:rPr>
          <w:rFonts w:ascii="Times New Roman" w:hAnsi="Times New Roman" w:cs="Times New Roman"/>
          <w:color w:val="000000"/>
          <w:sz w:val="28"/>
          <w:szCs w:val="28"/>
          <w:lang w:val="en-US"/>
        </w:rPr>
        <w:t>-</w:t>
      </w:r>
      <w:r w:rsidRPr="00A80640">
        <w:rPr>
          <w:rFonts w:ascii="Times New Roman" w:hAnsi="Times New Roman" w:cs="Times New Roman"/>
          <w:color w:val="000000"/>
          <w:sz w:val="28"/>
          <w:szCs w:val="28"/>
        </w:rPr>
        <w:t xml:space="preserve"> is a simple measure enough?, 2024. URL: https://www.efama.org/newsroom/news/industry-sector-matters-when-comparing-performance-active-vs-passive-equity-ucits (дата звернення: 24.03.2025).</w:t>
      </w:r>
    </w:p>
    <w:p w:rsidR="00F30E41" w:rsidRPr="00C96CA2" w:rsidRDefault="00F30E41" w:rsidP="00C96CA2">
      <w:pPr>
        <w:tabs>
          <w:tab w:val="left" w:pos="6946"/>
        </w:tabs>
        <w:spacing w:after="0" w:line="360" w:lineRule="auto"/>
        <w:jc w:val="both"/>
        <w:rPr>
          <w:rFonts w:ascii="Times New Roman" w:hAnsi="Times New Roman" w:cs="Times New Roman"/>
          <w:color w:val="000000"/>
          <w:sz w:val="28"/>
          <w:szCs w:val="28"/>
          <w:lang w:val="ru-RU"/>
        </w:rPr>
      </w:pPr>
      <w:r w:rsidRPr="00C96CA2">
        <w:rPr>
          <w:rFonts w:ascii="Times New Roman" w:hAnsi="Times New Roman" w:cs="Times New Roman"/>
          <w:color w:val="000000"/>
          <w:sz w:val="28"/>
          <w:szCs w:val="28"/>
        </w:rPr>
        <w:t xml:space="preserve">20. Jaquart P., Motz M., Köhler L., Weinhardt C. </w:t>
      </w:r>
      <w:r w:rsidRPr="00C96CA2">
        <w:rPr>
          <w:rFonts w:ascii="Times New Roman" w:hAnsi="Times New Roman" w:cs="Times New Roman"/>
          <w:i/>
          <w:iCs/>
          <w:color w:val="000000"/>
          <w:sz w:val="28"/>
          <w:szCs w:val="28"/>
        </w:rPr>
        <w:t>Journal of Applied Economics.</w:t>
      </w:r>
      <w:r w:rsidRPr="00C96CA2">
        <w:rPr>
          <w:rFonts w:ascii="Times New Roman" w:hAnsi="Times New Roman" w:cs="Times New Roman"/>
          <w:color w:val="000000"/>
          <w:sz w:val="28"/>
          <w:szCs w:val="28"/>
        </w:rPr>
        <w:t xml:space="preserve"> The impact of active and passive investment on market efficiency: a simulation study, 2023. DOI: http://dx.doi.org/10.1080/15140326.2023.2188634 (дата звернення: 17.01.2025).</w:t>
      </w:r>
    </w:p>
    <w:p w:rsidR="00F30E41" w:rsidRDefault="00F30E41" w:rsidP="00C96CA2">
      <w:pPr>
        <w:tabs>
          <w:tab w:val="left" w:pos="6946"/>
        </w:tabs>
        <w:spacing w:after="0" w:line="360" w:lineRule="auto"/>
        <w:jc w:val="both"/>
        <w:rPr>
          <w:rFonts w:ascii="Times New Roman" w:hAnsi="Times New Roman" w:cs="Times New Roman"/>
          <w:color w:val="000000"/>
          <w:sz w:val="28"/>
          <w:szCs w:val="28"/>
          <w:lang w:val="ru-RU"/>
        </w:rPr>
      </w:pPr>
      <w:r w:rsidRPr="00C96CA2">
        <w:rPr>
          <w:rFonts w:ascii="Times New Roman" w:hAnsi="Times New Roman" w:cs="Times New Roman"/>
          <w:color w:val="000000"/>
          <w:sz w:val="28"/>
          <w:szCs w:val="28"/>
        </w:rPr>
        <w:t xml:space="preserve">21. Баранова В.Г., Іванов І.О. </w:t>
      </w:r>
      <w:r w:rsidRPr="00C96CA2">
        <w:rPr>
          <w:rFonts w:ascii="Times New Roman" w:hAnsi="Times New Roman" w:cs="Times New Roman"/>
          <w:i/>
          <w:iCs/>
          <w:color w:val="000000"/>
          <w:sz w:val="28"/>
          <w:szCs w:val="28"/>
        </w:rPr>
        <w:t>Вісник соціально-економічних досліджень.</w:t>
      </w:r>
      <w:r w:rsidRPr="00C96CA2">
        <w:rPr>
          <w:rFonts w:ascii="Times New Roman" w:hAnsi="Times New Roman" w:cs="Times New Roman"/>
          <w:color w:val="000000"/>
          <w:sz w:val="28"/>
          <w:szCs w:val="28"/>
        </w:rPr>
        <w:t xml:space="preserve"> Ефективність активного та пасивного підходів до управління інвестиційним портфелем, 2023. № 3–4 (86</w:t>
      </w:r>
      <w:r>
        <w:rPr>
          <w:rFonts w:ascii="Times New Roman" w:hAnsi="Times New Roman" w:cs="Times New Roman"/>
          <w:color w:val="000000"/>
          <w:sz w:val="28"/>
          <w:szCs w:val="28"/>
          <w:lang w:val="ru-RU"/>
        </w:rPr>
        <w:t>-</w:t>
      </w:r>
      <w:r w:rsidRPr="00C96CA2">
        <w:rPr>
          <w:rFonts w:ascii="Times New Roman" w:hAnsi="Times New Roman" w:cs="Times New Roman"/>
          <w:color w:val="000000"/>
          <w:sz w:val="28"/>
          <w:szCs w:val="28"/>
        </w:rPr>
        <w:t>87). URL: https://www.academia.edu/122510750/%D0%95fficiency_of_Active_and_Passive_Approaches_to_Investment_Portfolio_Management (дата звернення: 17.01.2025).</w:t>
      </w:r>
    </w:p>
    <w:p w:rsidR="00F30E41" w:rsidRPr="0045426C" w:rsidRDefault="00F30E41" w:rsidP="00C04144">
      <w:pPr>
        <w:tabs>
          <w:tab w:val="left" w:pos="6946"/>
        </w:tabs>
        <w:spacing w:after="0" w:line="360" w:lineRule="auto"/>
        <w:jc w:val="both"/>
        <w:rPr>
          <w:rFonts w:ascii="Times New Roman" w:hAnsi="Times New Roman" w:cs="Times New Roman"/>
          <w:color w:val="000000"/>
          <w:sz w:val="28"/>
          <w:szCs w:val="28"/>
          <w:lang w:val="en-US"/>
        </w:rPr>
      </w:pPr>
      <w:r w:rsidRPr="00E546E6">
        <w:rPr>
          <w:rFonts w:ascii="Times New Roman" w:hAnsi="Times New Roman" w:cs="Times New Roman"/>
          <w:color w:val="000000"/>
          <w:sz w:val="28"/>
          <w:szCs w:val="28"/>
        </w:rPr>
        <w:t>22. Garleanu N., Pedersen L.H</w:t>
      </w:r>
      <w:r w:rsidRPr="00E546E6">
        <w:rPr>
          <w:rFonts w:ascii="Times New Roman" w:hAnsi="Times New Roman" w:cs="Times New Roman"/>
          <w:i/>
          <w:iCs/>
          <w:color w:val="000000"/>
          <w:sz w:val="28"/>
          <w:szCs w:val="28"/>
        </w:rPr>
        <w:t>. The Review of Asset Pricing Studies.</w:t>
      </w:r>
      <w:r w:rsidRPr="00E546E6">
        <w:rPr>
          <w:rFonts w:ascii="Times New Roman" w:hAnsi="Times New Roman" w:cs="Times New Roman"/>
          <w:color w:val="000000"/>
          <w:sz w:val="28"/>
          <w:szCs w:val="28"/>
        </w:rPr>
        <w:t xml:space="preserve"> Active and passive investing: understanding Samuelson’s Dictum, 2022. Т. 12, № 2, стр. 389–446. DOI: https://doi.org/10.1093/rapstu/raab020 (дата звернення: 24.03.2025).</w:t>
      </w:r>
    </w:p>
    <w:p w:rsidR="00F30E41" w:rsidRDefault="00F30E41" w:rsidP="00C04144">
      <w:pPr>
        <w:tabs>
          <w:tab w:val="left" w:pos="6946"/>
        </w:tabs>
        <w:spacing w:after="0" w:line="360" w:lineRule="auto"/>
        <w:jc w:val="both"/>
        <w:rPr>
          <w:rFonts w:ascii="Times New Roman" w:hAnsi="Times New Roman" w:cs="Times New Roman"/>
          <w:color w:val="000000"/>
          <w:sz w:val="28"/>
          <w:szCs w:val="28"/>
          <w:lang w:val="ru-RU"/>
        </w:rPr>
      </w:pPr>
      <w:r w:rsidRPr="00240890">
        <w:rPr>
          <w:rFonts w:ascii="Times New Roman" w:hAnsi="Times New Roman" w:cs="Times New Roman"/>
          <w:color w:val="000000"/>
          <w:sz w:val="28"/>
          <w:szCs w:val="28"/>
          <w:lang w:val="en-US"/>
        </w:rPr>
        <w:t>23. Harris L. Algorithmic Trading and Portfolio Optimization Using Big Data Analytics, 2024. URL</w:t>
      </w:r>
      <w:r w:rsidRPr="00240890">
        <w:rPr>
          <w:rFonts w:ascii="Times New Roman" w:hAnsi="Times New Roman" w:cs="Times New Roman"/>
          <w:color w:val="000000"/>
          <w:sz w:val="28"/>
          <w:szCs w:val="28"/>
          <w:lang w:val="ru-RU"/>
        </w:rPr>
        <w:t xml:space="preserve">: </w:t>
      </w:r>
      <w:r w:rsidRPr="00240890">
        <w:rPr>
          <w:rFonts w:ascii="Times New Roman" w:hAnsi="Times New Roman" w:cs="Times New Roman"/>
          <w:color w:val="000000"/>
          <w:sz w:val="28"/>
          <w:szCs w:val="28"/>
          <w:lang w:val="en-US"/>
        </w:rPr>
        <w:t>https</w:t>
      </w:r>
      <w:r w:rsidRPr="00240890">
        <w:rPr>
          <w:rFonts w:ascii="Times New Roman" w:hAnsi="Times New Roman" w:cs="Times New Roman"/>
          <w:color w:val="000000"/>
          <w:sz w:val="28"/>
          <w:szCs w:val="28"/>
          <w:lang w:val="ru-RU"/>
        </w:rPr>
        <w:t>://</w:t>
      </w:r>
      <w:r w:rsidRPr="00240890">
        <w:rPr>
          <w:rFonts w:ascii="Times New Roman" w:hAnsi="Times New Roman" w:cs="Times New Roman"/>
          <w:color w:val="000000"/>
          <w:sz w:val="28"/>
          <w:szCs w:val="28"/>
          <w:lang w:val="en-US"/>
        </w:rPr>
        <w:t>www</w:t>
      </w:r>
      <w:r w:rsidRPr="00240890">
        <w:rPr>
          <w:rFonts w:ascii="Times New Roman" w:hAnsi="Times New Roman" w:cs="Times New Roman"/>
          <w:color w:val="000000"/>
          <w:sz w:val="28"/>
          <w:szCs w:val="28"/>
          <w:lang w:val="ru-RU"/>
        </w:rPr>
        <w:t>.</w:t>
      </w:r>
      <w:r w:rsidRPr="00240890">
        <w:rPr>
          <w:rFonts w:ascii="Times New Roman" w:hAnsi="Times New Roman" w:cs="Times New Roman"/>
          <w:color w:val="000000"/>
          <w:sz w:val="28"/>
          <w:szCs w:val="28"/>
          <w:lang w:val="en-US"/>
        </w:rPr>
        <w:t>researchgate</w:t>
      </w:r>
      <w:r w:rsidRPr="00240890">
        <w:rPr>
          <w:rFonts w:ascii="Times New Roman" w:hAnsi="Times New Roman" w:cs="Times New Roman"/>
          <w:color w:val="000000"/>
          <w:sz w:val="28"/>
          <w:szCs w:val="28"/>
          <w:lang w:val="ru-RU"/>
        </w:rPr>
        <w:t>.</w:t>
      </w:r>
      <w:r w:rsidRPr="00240890">
        <w:rPr>
          <w:rFonts w:ascii="Times New Roman" w:hAnsi="Times New Roman" w:cs="Times New Roman"/>
          <w:color w:val="000000"/>
          <w:sz w:val="28"/>
          <w:szCs w:val="28"/>
          <w:lang w:val="en-US"/>
        </w:rPr>
        <w:t>net</w:t>
      </w:r>
      <w:r w:rsidRPr="00240890">
        <w:rPr>
          <w:rFonts w:ascii="Times New Roman" w:hAnsi="Times New Roman" w:cs="Times New Roman"/>
          <w:color w:val="000000"/>
          <w:sz w:val="28"/>
          <w:szCs w:val="28"/>
          <w:lang w:val="ru-RU"/>
        </w:rPr>
        <w:t>/</w:t>
      </w:r>
      <w:r w:rsidRPr="00240890">
        <w:rPr>
          <w:rFonts w:ascii="Times New Roman" w:hAnsi="Times New Roman" w:cs="Times New Roman"/>
          <w:color w:val="000000"/>
          <w:sz w:val="28"/>
          <w:szCs w:val="28"/>
          <w:lang w:val="en-US"/>
        </w:rPr>
        <w:t>publication</w:t>
      </w:r>
      <w:r w:rsidRPr="00240890">
        <w:rPr>
          <w:rFonts w:ascii="Times New Roman" w:hAnsi="Times New Roman" w:cs="Times New Roman"/>
          <w:color w:val="000000"/>
          <w:sz w:val="28"/>
          <w:szCs w:val="28"/>
          <w:lang w:val="ru-RU"/>
        </w:rPr>
        <w:t>/386076052_</w:t>
      </w:r>
      <w:r w:rsidRPr="00240890">
        <w:rPr>
          <w:rFonts w:ascii="Times New Roman" w:hAnsi="Times New Roman" w:cs="Times New Roman"/>
          <w:color w:val="000000"/>
          <w:sz w:val="28"/>
          <w:szCs w:val="28"/>
          <w:lang w:val="en-US"/>
        </w:rPr>
        <w:t>Algorithmic</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Trading</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and</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Portfolio</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Optimization</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Using</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Big</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Data</w:t>
      </w:r>
      <w:r w:rsidRPr="00240890">
        <w:rPr>
          <w:rFonts w:ascii="Times New Roman" w:hAnsi="Times New Roman" w:cs="Times New Roman"/>
          <w:color w:val="000000"/>
          <w:sz w:val="28"/>
          <w:szCs w:val="28"/>
          <w:lang w:val="ru-RU"/>
        </w:rPr>
        <w:t>_</w:t>
      </w:r>
      <w:r w:rsidRPr="00240890">
        <w:rPr>
          <w:rFonts w:ascii="Times New Roman" w:hAnsi="Times New Roman" w:cs="Times New Roman"/>
          <w:color w:val="000000"/>
          <w:sz w:val="28"/>
          <w:szCs w:val="28"/>
          <w:lang w:val="en-US"/>
        </w:rPr>
        <w:t>Analytics</w:t>
      </w:r>
      <w:r w:rsidRPr="00240890">
        <w:rPr>
          <w:rFonts w:ascii="Times New Roman" w:hAnsi="Times New Roman" w:cs="Times New Roman"/>
          <w:color w:val="000000"/>
          <w:sz w:val="28"/>
          <w:szCs w:val="28"/>
          <w:lang w:val="ru-RU"/>
        </w:rPr>
        <w:t xml:space="preserve"> (дата звернення: 16.01.2025).</w:t>
      </w:r>
    </w:p>
    <w:p w:rsidR="00F30E41" w:rsidRPr="00334113" w:rsidRDefault="00F30E41" w:rsidP="00A82349">
      <w:pPr>
        <w:tabs>
          <w:tab w:val="left" w:pos="6946"/>
        </w:tabs>
        <w:spacing w:after="0" w:line="360" w:lineRule="auto"/>
        <w:jc w:val="both"/>
        <w:rPr>
          <w:rFonts w:ascii="Times New Roman" w:hAnsi="Times New Roman" w:cs="Times New Roman"/>
          <w:color w:val="000000"/>
          <w:sz w:val="28"/>
          <w:szCs w:val="28"/>
          <w:lang w:val="en-US"/>
        </w:rPr>
      </w:pPr>
      <w:r w:rsidRPr="00A82349">
        <w:rPr>
          <w:rFonts w:ascii="Times New Roman" w:hAnsi="Times New Roman" w:cs="Times New Roman"/>
          <w:color w:val="000000"/>
          <w:sz w:val="28"/>
          <w:szCs w:val="28"/>
          <w:lang w:val="en-US"/>
        </w:rPr>
        <w:t xml:space="preserve">24. Odeyemi O., Mhlongo N.Z., Nwankwo E.E., Scholatica U.C., Okoye C.C. </w:t>
      </w:r>
      <w:r w:rsidRPr="00A82349">
        <w:rPr>
          <w:rFonts w:ascii="Times New Roman" w:hAnsi="Times New Roman" w:cs="Times New Roman"/>
          <w:i/>
          <w:iCs/>
          <w:color w:val="000000"/>
          <w:sz w:val="28"/>
          <w:szCs w:val="28"/>
          <w:lang w:val="en-US"/>
        </w:rPr>
        <w:t>International Journal of Science and Research Archive.</w:t>
      </w:r>
      <w:r w:rsidRPr="00A82349">
        <w:rPr>
          <w:rFonts w:ascii="Times New Roman" w:hAnsi="Times New Roman" w:cs="Times New Roman"/>
          <w:color w:val="000000"/>
          <w:sz w:val="28"/>
          <w:szCs w:val="28"/>
          <w:lang w:val="en-US"/>
        </w:rPr>
        <w:t xml:space="preserve"> Big data applications in portfolio management: A review of techniques and strategies, 2024. </w:t>
      </w:r>
      <w:r w:rsidRPr="00A82349">
        <w:rPr>
          <w:rFonts w:ascii="Times New Roman" w:hAnsi="Times New Roman" w:cs="Times New Roman"/>
          <w:color w:val="000000"/>
          <w:sz w:val="28"/>
          <w:szCs w:val="28"/>
          <w:lang w:val="ru-RU"/>
        </w:rPr>
        <w:t>Т</w:t>
      </w:r>
      <w:r w:rsidRPr="00A82349">
        <w:rPr>
          <w:rFonts w:ascii="Times New Roman" w:hAnsi="Times New Roman" w:cs="Times New Roman"/>
          <w:color w:val="000000"/>
          <w:sz w:val="28"/>
          <w:szCs w:val="28"/>
          <w:lang w:val="en-US"/>
        </w:rPr>
        <w:t>. 11, № 1. DOI: 10.30574/ijsra.2024.11.1.0268 (</w:t>
      </w:r>
      <w:r w:rsidRPr="00A82349">
        <w:rPr>
          <w:rFonts w:ascii="Times New Roman" w:hAnsi="Times New Roman" w:cs="Times New Roman"/>
          <w:color w:val="000000"/>
          <w:sz w:val="28"/>
          <w:szCs w:val="28"/>
          <w:lang w:val="ru-RU"/>
        </w:rPr>
        <w:t>дата</w:t>
      </w:r>
      <w:r w:rsidRPr="00A82349">
        <w:rPr>
          <w:rFonts w:ascii="Times New Roman" w:hAnsi="Times New Roman" w:cs="Times New Roman"/>
          <w:color w:val="000000"/>
          <w:sz w:val="28"/>
          <w:szCs w:val="28"/>
          <w:lang w:val="en-US"/>
        </w:rPr>
        <w:t xml:space="preserve"> </w:t>
      </w:r>
      <w:r w:rsidRPr="00A82349">
        <w:rPr>
          <w:rFonts w:ascii="Times New Roman" w:hAnsi="Times New Roman" w:cs="Times New Roman"/>
          <w:color w:val="000000"/>
          <w:sz w:val="28"/>
          <w:szCs w:val="28"/>
          <w:lang w:val="ru-RU"/>
        </w:rPr>
        <w:t>звернення</w:t>
      </w:r>
      <w:r w:rsidRPr="00A82349">
        <w:rPr>
          <w:rFonts w:ascii="Times New Roman" w:hAnsi="Times New Roman" w:cs="Times New Roman"/>
          <w:color w:val="000000"/>
          <w:sz w:val="28"/>
          <w:szCs w:val="28"/>
          <w:lang w:val="en-US"/>
        </w:rPr>
        <w:t>: 16.01.2025).</w:t>
      </w:r>
    </w:p>
    <w:p w:rsidR="00F30E41" w:rsidRDefault="00F30E41" w:rsidP="00A82349">
      <w:pPr>
        <w:tabs>
          <w:tab w:val="left" w:pos="6946"/>
        </w:tabs>
        <w:spacing w:after="0" w:line="360" w:lineRule="auto"/>
        <w:jc w:val="both"/>
        <w:rPr>
          <w:rFonts w:ascii="Times New Roman" w:hAnsi="Times New Roman" w:cs="Times New Roman"/>
          <w:color w:val="000000"/>
          <w:sz w:val="28"/>
          <w:szCs w:val="28"/>
          <w:lang w:val="ru-RU"/>
        </w:rPr>
      </w:pPr>
      <w:r w:rsidRPr="00A82349">
        <w:rPr>
          <w:rFonts w:ascii="Times New Roman" w:hAnsi="Times New Roman" w:cs="Times New Roman"/>
          <w:color w:val="000000"/>
          <w:sz w:val="28"/>
          <w:szCs w:val="28"/>
          <w:lang w:val="en-US"/>
        </w:rPr>
        <w:t xml:space="preserve">25. Nair V. </w:t>
      </w:r>
      <w:r w:rsidRPr="00A82349">
        <w:rPr>
          <w:rFonts w:ascii="Times New Roman" w:hAnsi="Times New Roman" w:cs="Times New Roman"/>
          <w:i/>
          <w:iCs/>
          <w:color w:val="000000"/>
          <w:sz w:val="28"/>
          <w:szCs w:val="28"/>
          <w:lang w:val="en-US"/>
        </w:rPr>
        <w:t>Journal of Recent Trends in Computer Science and Engineering (JRTCSE).</w:t>
      </w:r>
      <w:r w:rsidRPr="00A82349">
        <w:rPr>
          <w:rFonts w:ascii="Times New Roman" w:hAnsi="Times New Roman" w:cs="Times New Roman"/>
          <w:color w:val="000000"/>
          <w:sz w:val="28"/>
          <w:szCs w:val="28"/>
          <w:lang w:val="en-US"/>
        </w:rPr>
        <w:t xml:space="preserve"> AI-Powered Investment Strategies: Enhancing Portfolio Management Through Machine Learning, 2024. </w:t>
      </w:r>
      <w:r w:rsidRPr="00A82349">
        <w:rPr>
          <w:rFonts w:ascii="Times New Roman" w:hAnsi="Times New Roman" w:cs="Times New Roman"/>
          <w:color w:val="000000"/>
          <w:sz w:val="28"/>
          <w:szCs w:val="28"/>
          <w:lang w:val="ru-RU"/>
        </w:rPr>
        <w:t>URL: https://www.researchgate.net/publication/382651111_AI-Powered_Investment_Strategies_Enhancing_Portfolio_Management_Through_Machine_Learning (дата звернення: 16.01.2025).</w:t>
      </w:r>
    </w:p>
    <w:p w:rsidR="00F30E41" w:rsidRPr="00334113" w:rsidRDefault="00F30E41" w:rsidP="00D1053B">
      <w:pPr>
        <w:tabs>
          <w:tab w:val="left" w:pos="6946"/>
        </w:tabs>
        <w:spacing w:after="0" w:line="360" w:lineRule="auto"/>
        <w:jc w:val="both"/>
        <w:rPr>
          <w:rFonts w:ascii="Times New Roman" w:hAnsi="Times New Roman" w:cs="Times New Roman"/>
          <w:sz w:val="28"/>
          <w:szCs w:val="28"/>
          <w:lang w:val="en-US"/>
        </w:rPr>
      </w:pPr>
      <w:r w:rsidRPr="00172456">
        <w:rPr>
          <w:rFonts w:ascii="Times New Roman" w:hAnsi="Times New Roman" w:cs="Times New Roman"/>
          <w:sz w:val="28"/>
          <w:szCs w:val="28"/>
          <w:lang w:val="en-US"/>
        </w:rPr>
        <w:t xml:space="preserve">26. Martín J., Parра M.I., Pizarro M.M., Sanjuán E.L. </w:t>
      </w:r>
      <w:r w:rsidRPr="00172456">
        <w:rPr>
          <w:rFonts w:ascii="Times New Roman" w:hAnsi="Times New Roman" w:cs="Times New Roman"/>
          <w:i/>
          <w:iCs/>
          <w:sz w:val="28"/>
          <w:szCs w:val="28"/>
          <w:lang w:val="en-US"/>
        </w:rPr>
        <w:t>Empirical Economics.</w:t>
      </w:r>
      <w:r w:rsidRPr="00172456">
        <w:rPr>
          <w:rFonts w:ascii="Times New Roman" w:hAnsi="Times New Roman" w:cs="Times New Roman"/>
          <w:sz w:val="28"/>
          <w:szCs w:val="28"/>
          <w:lang w:val="en-US"/>
        </w:rPr>
        <w:t xml:space="preserve"> A new Bayesian method for estimation of Value at Risk and Conditional Value at Risk, 2024. </w:t>
      </w:r>
      <w:r w:rsidRPr="0045426C">
        <w:rPr>
          <w:rFonts w:ascii="Times New Roman" w:hAnsi="Times New Roman" w:cs="Times New Roman"/>
          <w:sz w:val="28"/>
          <w:szCs w:val="28"/>
          <w:lang w:val="ru-RU"/>
        </w:rPr>
        <w:t>Т</w:t>
      </w:r>
      <w:r w:rsidRPr="00334113">
        <w:rPr>
          <w:rFonts w:ascii="Times New Roman" w:hAnsi="Times New Roman" w:cs="Times New Roman"/>
          <w:sz w:val="28"/>
          <w:szCs w:val="28"/>
          <w:lang w:val="en-US"/>
        </w:rPr>
        <w:t xml:space="preserve">. 68, № 3, </w:t>
      </w:r>
      <w:r w:rsidRPr="0045426C">
        <w:rPr>
          <w:rFonts w:ascii="Times New Roman" w:hAnsi="Times New Roman" w:cs="Times New Roman"/>
          <w:sz w:val="28"/>
          <w:szCs w:val="28"/>
          <w:lang w:val="ru-RU"/>
        </w:rPr>
        <w:t>стр</w:t>
      </w:r>
      <w:r w:rsidRPr="00334113">
        <w:rPr>
          <w:rFonts w:ascii="Times New Roman" w:hAnsi="Times New Roman" w:cs="Times New Roman"/>
          <w:sz w:val="28"/>
          <w:szCs w:val="28"/>
          <w:lang w:val="en-US"/>
        </w:rPr>
        <w:t xml:space="preserve">. 1171–1189. </w:t>
      </w:r>
      <w:r>
        <w:rPr>
          <w:rFonts w:ascii="Times New Roman" w:hAnsi="Times New Roman" w:cs="Times New Roman"/>
          <w:sz w:val="28"/>
          <w:szCs w:val="28"/>
          <w:lang w:val="en-US"/>
        </w:rPr>
        <w:t>URL</w:t>
      </w:r>
      <w:r w:rsidRPr="00334113">
        <w:rPr>
          <w:rFonts w:ascii="Times New Roman" w:hAnsi="Times New Roman" w:cs="Times New Roman"/>
          <w:sz w:val="28"/>
          <w:szCs w:val="28"/>
          <w:lang w:val="en-US"/>
        </w:rPr>
        <w:t xml:space="preserve">: </w:t>
      </w:r>
      <w:r w:rsidRPr="00172456">
        <w:rPr>
          <w:rFonts w:ascii="Times New Roman" w:hAnsi="Times New Roman" w:cs="Times New Roman"/>
          <w:sz w:val="28"/>
          <w:szCs w:val="28"/>
          <w:lang w:val="en-US"/>
        </w:rPr>
        <w:t>https</w:t>
      </w:r>
      <w:r w:rsidRPr="00334113">
        <w:rPr>
          <w:rFonts w:ascii="Times New Roman" w:hAnsi="Times New Roman" w:cs="Times New Roman"/>
          <w:sz w:val="28"/>
          <w:szCs w:val="28"/>
          <w:lang w:val="en-US"/>
        </w:rPr>
        <w:t>://</w:t>
      </w:r>
      <w:r w:rsidRPr="00172456">
        <w:rPr>
          <w:rFonts w:ascii="Times New Roman" w:hAnsi="Times New Roman" w:cs="Times New Roman"/>
          <w:sz w:val="28"/>
          <w:szCs w:val="28"/>
          <w:lang w:val="en-US"/>
        </w:rPr>
        <w:t>doi</w:t>
      </w:r>
      <w:r w:rsidRPr="00334113">
        <w:rPr>
          <w:rFonts w:ascii="Times New Roman" w:hAnsi="Times New Roman" w:cs="Times New Roman"/>
          <w:sz w:val="28"/>
          <w:szCs w:val="28"/>
          <w:lang w:val="en-US"/>
        </w:rPr>
        <w:t>.</w:t>
      </w:r>
      <w:r w:rsidRPr="00172456">
        <w:rPr>
          <w:rFonts w:ascii="Times New Roman" w:hAnsi="Times New Roman" w:cs="Times New Roman"/>
          <w:sz w:val="28"/>
          <w:szCs w:val="28"/>
          <w:lang w:val="en-US"/>
        </w:rPr>
        <w:t>org</w:t>
      </w:r>
      <w:r w:rsidRPr="00334113">
        <w:rPr>
          <w:rFonts w:ascii="Times New Roman" w:hAnsi="Times New Roman" w:cs="Times New Roman"/>
          <w:sz w:val="28"/>
          <w:szCs w:val="28"/>
          <w:lang w:val="en-US"/>
        </w:rPr>
        <w:t>/10.1007/</w:t>
      </w:r>
      <w:r w:rsidRPr="00172456">
        <w:rPr>
          <w:rFonts w:ascii="Times New Roman" w:hAnsi="Times New Roman" w:cs="Times New Roman"/>
          <w:sz w:val="28"/>
          <w:szCs w:val="28"/>
          <w:lang w:val="en-US"/>
        </w:rPr>
        <w:t>s</w:t>
      </w:r>
      <w:r w:rsidRPr="00334113">
        <w:rPr>
          <w:rFonts w:ascii="Times New Roman" w:hAnsi="Times New Roman" w:cs="Times New Roman"/>
          <w:sz w:val="28"/>
          <w:szCs w:val="28"/>
          <w:lang w:val="en-US"/>
        </w:rPr>
        <w:t>00181-024-02664-2 (</w:t>
      </w:r>
      <w:r w:rsidRPr="0045426C">
        <w:rPr>
          <w:rFonts w:ascii="Times New Roman" w:hAnsi="Times New Roman" w:cs="Times New Roman"/>
          <w:sz w:val="28"/>
          <w:szCs w:val="28"/>
          <w:lang w:val="ru-RU"/>
        </w:rPr>
        <w:t>дата</w:t>
      </w:r>
      <w:r w:rsidRPr="00334113">
        <w:rPr>
          <w:rFonts w:ascii="Times New Roman" w:hAnsi="Times New Roman" w:cs="Times New Roman"/>
          <w:sz w:val="28"/>
          <w:szCs w:val="28"/>
          <w:lang w:val="en-US"/>
        </w:rPr>
        <w:t xml:space="preserve"> </w:t>
      </w:r>
      <w:r w:rsidRPr="0045426C">
        <w:rPr>
          <w:rFonts w:ascii="Times New Roman" w:hAnsi="Times New Roman" w:cs="Times New Roman"/>
          <w:sz w:val="28"/>
          <w:szCs w:val="28"/>
          <w:lang w:val="ru-RU"/>
        </w:rPr>
        <w:t>звернення</w:t>
      </w:r>
      <w:r w:rsidRPr="00334113">
        <w:rPr>
          <w:rFonts w:ascii="Times New Roman" w:hAnsi="Times New Roman" w:cs="Times New Roman"/>
          <w:sz w:val="28"/>
          <w:szCs w:val="28"/>
          <w:lang w:val="en-US"/>
        </w:rPr>
        <w:t>: 16.01.2025).</w:t>
      </w:r>
    </w:p>
    <w:p w:rsidR="00F30E41" w:rsidRDefault="00F30E41" w:rsidP="00D1053B">
      <w:pPr>
        <w:tabs>
          <w:tab w:val="left" w:pos="6946"/>
        </w:tabs>
        <w:spacing w:after="0" w:line="360" w:lineRule="auto"/>
        <w:jc w:val="both"/>
        <w:rPr>
          <w:rFonts w:ascii="Times New Roman" w:hAnsi="Times New Roman" w:cs="Times New Roman"/>
          <w:sz w:val="28"/>
          <w:szCs w:val="28"/>
          <w:lang w:val="en-US"/>
        </w:rPr>
      </w:pPr>
      <w:r w:rsidRPr="00172456">
        <w:rPr>
          <w:rFonts w:ascii="Times New Roman" w:hAnsi="Times New Roman" w:cs="Times New Roman"/>
          <w:color w:val="000000"/>
          <w:sz w:val="28"/>
          <w:szCs w:val="28"/>
          <w:lang w:val="en-US"/>
        </w:rPr>
        <w:t>27</w:t>
      </w:r>
      <w:r w:rsidRPr="007F4EAC">
        <w:rPr>
          <w:rFonts w:ascii="Times New Roman" w:hAnsi="Times New Roman" w:cs="Times New Roman"/>
          <w:color w:val="000000"/>
          <w:sz w:val="28"/>
          <w:szCs w:val="28"/>
        </w:rPr>
        <w:t xml:space="preserve">. </w:t>
      </w:r>
      <w:r w:rsidRPr="006B3CDD">
        <w:rPr>
          <w:rFonts w:ascii="Times New Roman" w:hAnsi="Times New Roman" w:cs="Times New Roman"/>
          <w:color w:val="000000"/>
          <w:sz w:val="28"/>
          <w:szCs w:val="28"/>
        </w:rPr>
        <w:t xml:space="preserve">MSCI Inc. </w:t>
      </w:r>
      <w:r w:rsidRPr="006B3CDD">
        <w:rPr>
          <w:rFonts w:ascii="Times New Roman" w:hAnsi="Times New Roman" w:cs="Times New Roman"/>
          <w:i/>
          <w:iCs/>
          <w:color w:val="000000"/>
          <w:sz w:val="28"/>
          <w:szCs w:val="28"/>
        </w:rPr>
        <w:t xml:space="preserve">MSCI </w:t>
      </w:r>
      <w:r w:rsidRPr="006F03B4">
        <w:rPr>
          <w:rFonts w:ascii="Times New Roman" w:hAnsi="Times New Roman" w:cs="Times New Roman"/>
          <w:color w:val="000000"/>
          <w:sz w:val="28"/>
          <w:szCs w:val="28"/>
        </w:rPr>
        <w:t>World Index</w:t>
      </w:r>
      <w:r w:rsidRPr="006F03B4">
        <w:rPr>
          <w:rFonts w:ascii="Times New Roman" w:hAnsi="Times New Roman" w:cs="Times New Roman"/>
          <w:color w:val="000000"/>
          <w:sz w:val="28"/>
          <w:szCs w:val="28"/>
          <w:lang w:val="en-US"/>
        </w:rPr>
        <w:t xml:space="preserve">, </w:t>
      </w:r>
      <w:r w:rsidRPr="006F03B4">
        <w:rPr>
          <w:rFonts w:ascii="Times New Roman" w:hAnsi="Times New Roman" w:cs="Times New Roman"/>
          <w:color w:val="000000"/>
          <w:sz w:val="28"/>
          <w:szCs w:val="28"/>
        </w:rPr>
        <w:t>January 31</w:t>
      </w:r>
      <w:r>
        <w:rPr>
          <w:rFonts w:ascii="Times New Roman" w:hAnsi="Times New Roman" w:cs="Times New Roman"/>
          <w:color w:val="000000"/>
          <w:sz w:val="28"/>
          <w:szCs w:val="28"/>
          <w:lang w:val="en-US"/>
        </w:rPr>
        <w:t>,</w:t>
      </w:r>
      <w:r w:rsidRPr="006F03B4">
        <w:rPr>
          <w:rFonts w:ascii="Times New Roman" w:hAnsi="Times New Roman" w:cs="Times New Roman"/>
          <w:color w:val="000000"/>
          <w:sz w:val="28"/>
          <w:szCs w:val="28"/>
        </w:rPr>
        <w:t xml:space="preserve"> 2025</w:t>
      </w:r>
      <w:r w:rsidRPr="006B3CDD">
        <w:rPr>
          <w:rFonts w:ascii="Times New Roman" w:hAnsi="Times New Roman" w:cs="Times New Roman"/>
          <w:i/>
          <w:iCs/>
          <w:color w:val="000000"/>
          <w:sz w:val="28"/>
          <w:szCs w:val="28"/>
        </w:rPr>
        <w:t>.</w:t>
      </w:r>
      <w:r w:rsidRPr="006B3CDD">
        <w:rPr>
          <w:rFonts w:ascii="Times New Roman" w:hAnsi="Times New Roman" w:cs="Times New Roman"/>
          <w:color w:val="000000"/>
          <w:sz w:val="28"/>
          <w:szCs w:val="28"/>
        </w:rPr>
        <w:t xml:space="preserve"> URL: </w:t>
      </w:r>
      <w:hyperlink r:id="rId68" w:tgtFrame="_new" w:history="1">
        <w:r w:rsidRPr="006B3CDD">
          <w:rPr>
            <w:rStyle w:val="Hyperlink"/>
            <w:rFonts w:ascii="Times New Roman" w:hAnsi="Times New Roman" w:cs="Times New Roman"/>
            <w:sz w:val="28"/>
            <w:szCs w:val="28"/>
          </w:rPr>
          <w:t>https://www.msci.com/documents/10199/a71b65b5-d0ea-4b5c-a709-24b1213bc3c5</w:t>
        </w:r>
      </w:hyperlink>
      <w:r w:rsidRPr="006B3CDD">
        <w:rPr>
          <w:rFonts w:ascii="Times New Roman" w:hAnsi="Times New Roman" w:cs="Times New Roman"/>
          <w:color w:val="000000"/>
          <w:sz w:val="28"/>
          <w:szCs w:val="28"/>
        </w:rPr>
        <w:t xml:space="preserve"> (дата звернення: 10.04.2025).</w:t>
      </w:r>
      <w:r w:rsidRPr="00334113">
        <w:rPr>
          <w:rFonts w:ascii="Times New Roman" w:hAnsi="Times New Roman" w:cs="Times New Roman"/>
          <w:color w:val="000000"/>
          <w:sz w:val="28"/>
          <w:szCs w:val="28"/>
          <w:lang w:val="en-US"/>
        </w:rPr>
        <w:br/>
      </w:r>
      <w:r w:rsidRPr="006F2499">
        <w:rPr>
          <w:rFonts w:ascii="Times New Roman" w:hAnsi="Times New Roman" w:cs="Times New Roman"/>
          <w:sz w:val="28"/>
          <w:szCs w:val="28"/>
        </w:rPr>
        <w:t>28. Gartner. Worldwide</w:t>
      </w:r>
      <w:r w:rsidRPr="00CE639B">
        <w:rPr>
          <w:rFonts w:ascii="Times New Roman" w:hAnsi="Times New Roman" w:cs="Times New Roman"/>
          <w:sz w:val="28"/>
          <w:szCs w:val="28"/>
        </w:rPr>
        <w:t xml:space="preserve"> IT Spending Forecast (Millions of U.S. Dollars), 2024. URL: </w:t>
      </w:r>
      <w:hyperlink r:id="rId69" w:tgtFrame="_new" w:history="1">
        <w:r w:rsidRPr="00CE639B">
          <w:rPr>
            <w:rStyle w:val="Hyperlink"/>
            <w:rFonts w:ascii="Times New Roman" w:hAnsi="Times New Roman" w:cs="Times New Roman"/>
            <w:sz w:val="28"/>
            <w:szCs w:val="28"/>
          </w:rPr>
          <w:t>https://www.gartner.com/en</w:t>
        </w:r>
      </w:hyperlink>
      <w:r w:rsidRPr="00CE639B">
        <w:rPr>
          <w:rFonts w:ascii="Times New Roman" w:hAnsi="Times New Roman" w:cs="Times New Roman"/>
          <w:sz w:val="28"/>
          <w:szCs w:val="28"/>
        </w:rPr>
        <w:t xml:space="preserve"> (дата звернення: 01.04.2025).</w:t>
      </w:r>
    </w:p>
    <w:p w:rsidR="00F30E41" w:rsidRDefault="00F30E41" w:rsidP="00D1053B">
      <w:pPr>
        <w:tabs>
          <w:tab w:val="left" w:pos="6946"/>
        </w:tabs>
        <w:spacing w:after="0" w:line="360" w:lineRule="auto"/>
        <w:jc w:val="both"/>
        <w:rPr>
          <w:rFonts w:ascii="Times New Roman" w:hAnsi="Times New Roman" w:cs="Times New Roman"/>
          <w:sz w:val="28"/>
          <w:szCs w:val="28"/>
          <w:lang w:val="ru-RU"/>
        </w:rPr>
      </w:pPr>
      <w:r w:rsidRPr="00D909A1">
        <w:rPr>
          <w:rFonts w:ascii="Times New Roman" w:hAnsi="Times New Roman" w:cs="Times New Roman"/>
          <w:sz w:val="28"/>
          <w:szCs w:val="28"/>
        </w:rPr>
        <w:t xml:space="preserve">29. Statista. Big data market size revenue forecast worldwide from 2011 to 2027, 2024. Статистичний портал Statista. – URL: </w:t>
      </w:r>
      <w:hyperlink r:id="rId70" w:tgtFrame="_new" w:history="1">
        <w:r w:rsidRPr="00D909A1">
          <w:rPr>
            <w:rStyle w:val="Hyperlink"/>
            <w:rFonts w:ascii="Times New Roman" w:hAnsi="Times New Roman" w:cs="Times New Roman"/>
            <w:sz w:val="28"/>
            <w:szCs w:val="28"/>
          </w:rPr>
          <w:t>https://www.statista.com/statistics/254266/global-big-data-market-forecast/</w:t>
        </w:r>
      </w:hyperlink>
      <w:r w:rsidRPr="00D909A1">
        <w:rPr>
          <w:rFonts w:ascii="Times New Roman" w:hAnsi="Times New Roman" w:cs="Times New Roman"/>
          <w:sz w:val="28"/>
          <w:szCs w:val="28"/>
        </w:rPr>
        <w:t xml:space="preserve"> (дата звернення: 01.04.2025).</w:t>
      </w:r>
    </w:p>
    <w:p w:rsidR="00F30E41" w:rsidRPr="0045426C" w:rsidRDefault="00F30E41" w:rsidP="00D1053B">
      <w:pPr>
        <w:tabs>
          <w:tab w:val="left" w:pos="6946"/>
        </w:tabs>
        <w:spacing w:after="0" w:line="360" w:lineRule="auto"/>
        <w:jc w:val="both"/>
        <w:rPr>
          <w:rFonts w:ascii="Times New Roman" w:hAnsi="Times New Roman" w:cs="Times New Roman"/>
          <w:sz w:val="28"/>
          <w:szCs w:val="28"/>
          <w:lang w:val="en-US"/>
        </w:rPr>
      </w:pPr>
      <w:r w:rsidRPr="00D909A1">
        <w:rPr>
          <w:rFonts w:ascii="Times New Roman" w:hAnsi="Times New Roman" w:cs="Times New Roman"/>
          <w:sz w:val="28"/>
          <w:szCs w:val="28"/>
          <w:lang w:val="de-AT"/>
        </w:rPr>
        <w:t xml:space="preserve">30. </w:t>
      </w:r>
      <w:r w:rsidRPr="006F2499">
        <w:rPr>
          <w:rFonts w:ascii="Times New Roman" w:hAnsi="Times New Roman" w:cs="Times New Roman"/>
          <w:sz w:val="28"/>
          <w:szCs w:val="28"/>
          <w:lang w:val="de-AT"/>
        </w:rPr>
        <w:t xml:space="preserve">Tang Jinxuan, Ma Tianjun, Luo Qianwen. </w:t>
      </w:r>
      <w:r w:rsidRPr="006F2499">
        <w:rPr>
          <w:rFonts w:ascii="Times New Roman" w:hAnsi="Times New Roman" w:cs="Times New Roman"/>
          <w:i/>
          <w:iCs/>
          <w:sz w:val="28"/>
          <w:szCs w:val="28"/>
          <w:lang w:val="en-US"/>
        </w:rPr>
        <w:t>Procedia Computer Science.</w:t>
      </w:r>
      <w:r w:rsidRPr="006F2499">
        <w:rPr>
          <w:rFonts w:ascii="Times New Roman" w:hAnsi="Times New Roman" w:cs="Times New Roman"/>
          <w:sz w:val="28"/>
          <w:szCs w:val="28"/>
          <w:lang w:val="en-US"/>
        </w:rPr>
        <w:t xml:space="preserve"> Trends Prediction of Big Data: A Case Study based on Fusion Data, 2020. </w:t>
      </w:r>
      <w:r w:rsidRPr="006F2499">
        <w:rPr>
          <w:rFonts w:ascii="Times New Roman" w:hAnsi="Times New Roman" w:cs="Times New Roman"/>
          <w:sz w:val="28"/>
          <w:szCs w:val="28"/>
          <w:lang w:val="ru-RU"/>
        </w:rPr>
        <w:t>Т</w:t>
      </w:r>
      <w:r w:rsidRPr="006F2499">
        <w:rPr>
          <w:rFonts w:ascii="Times New Roman" w:hAnsi="Times New Roman" w:cs="Times New Roman"/>
          <w:sz w:val="28"/>
          <w:szCs w:val="28"/>
          <w:lang w:val="en-US"/>
        </w:rPr>
        <w:t xml:space="preserve">. 174, </w:t>
      </w:r>
      <w:r w:rsidRPr="006F2499">
        <w:rPr>
          <w:rFonts w:ascii="Times New Roman" w:hAnsi="Times New Roman" w:cs="Times New Roman"/>
          <w:sz w:val="28"/>
          <w:szCs w:val="28"/>
          <w:lang w:val="ru-RU"/>
        </w:rPr>
        <w:t>стр</w:t>
      </w:r>
      <w:r w:rsidRPr="006F2499">
        <w:rPr>
          <w:rFonts w:ascii="Times New Roman" w:hAnsi="Times New Roman" w:cs="Times New Roman"/>
          <w:sz w:val="28"/>
          <w:szCs w:val="28"/>
          <w:lang w:val="en-US"/>
        </w:rPr>
        <w:t>. 181–190. DOI: 10.1016/j.procs.2020.06.073 (</w:t>
      </w:r>
      <w:r w:rsidRPr="006F2499">
        <w:rPr>
          <w:rFonts w:ascii="Times New Roman" w:hAnsi="Times New Roman" w:cs="Times New Roman"/>
          <w:sz w:val="28"/>
          <w:szCs w:val="28"/>
          <w:lang w:val="ru-RU"/>
        </w:rPr>
        <w:t>дата</w:t>
      </w:r>
      <w:r w:rsidRPr="006F2499">
        <w:rPr>
          <w:rFonts w:ascii="Times New Roman" w:hAnsi="Times New Roman" w:cs="Times New Roman"/>
          <w:sz w:val="28"/>
          <w:szCs w:val="28"/>
          <w:lang w:val="en-US"/>
        </w:rPr>
        <w:t xml:space="preserve"> </w:t>
      </w:r>
      <w:r w:rsidRPr="006F2499">
        <w:rPr>
          <w:rFonts w:ascii="Times New Roman" w:hAnsi="Times New Roman" w:cs="Times New Roman"/>
          <w:sz w:val="28"/>
          <w:szCs w:val="28"/>
          <w:lang w:val="ru-RU"/>
        </w:rPr>
        <w:t>звернення</w:t>
      </w:r>
      <w:r w:rsidRPr="006F2499">
        <w:rPr>
          <w:rFonts w:ascii="Times New Roman" w:hAnsi="Times New Roman" w:cs="Times New Roman"/>
          <w:sz w:val="28"/>
          <w:szCs w:val="28"/>
          <w:lang w:val="en-US"/>
        </w:rPr>
        <w:t>: 01.04.2025).</w:t>
      </w:r>
    </w:p>
    <w:p w:rsidR="00F30E41" w:rsidRPr="00EF287D" w:rsidRDefault="00F30E41" w:rsidP="00EF287D">
      <w:pPr>
        <w:tabs>
          <w:tab w:val="left" w:pos="6946"/>
        </w:tabs>
        <w:spacing w:after="0" w:line="360" w:lineRule="auto"/>
        <w:jc w:val="both"/>
        <w:rPr>
          <w:rFonts w:ascii="Times New Roman" w:hAnsi="Times New Roman" w:cs="Times New Roman"/>
          <w:sz w:val="28"/>
          <w:szCs w:val="28"/>
          <w:lang w:val="ru-RU"/>
        </w:rPr>
      </w:pPr>
      <w:r w:rsidRPr="00EF287D">
        <w:rPr>
          <w:rFonts w:ascii="Times New Roman" w:hAnsi="Times New Roman" w:cs="Times New Roman"/>
          <w:sz w:val="28"/>
          <w:szCs w:val="28"/>
          <w:lang w:val="en-US"/>
        </w:rPr>
        <w:t xml:space="preserve">31. Curvo. NASDAQ-100 Annual Returns, 2025. </w:t>
      </w:r>
      <w:r w:rsidRPr="00334113">
        <w:rPr>
          <w:rFonts w:ascii="Times New Roman" w:hAnsi="Times New Roman" w:cs="Times New Roman"/>
          <w:sz w:val="28"/>
          <w:szCs w:val="28"/>
          <w:lang w:val="ru-RU"/>
        </w:rPr>
        <w:t xml:space="preserve">Веб-сайт. </w:t>
      </w:r>
      <w:r w:rsidRPr="00EF287D">
        <w:rPr>
          <w:rFonts w:ascii="Times New Roman" w:hAnsi="Times New Roman" w:cs="Times New Roman"/>
          <w:sz w:val="28"/>
          <w:szCs w:val="28"/>
          <w:lang w:val="en-US"/>
        </w:rPr>
        <w:t>URL</w:t>
      </w:r>
      <w:r w:rsidRPr="00EF287D">
        <w:rPr>
          <w:rFonts w:ascii="Times New Roman" w:hAnsi="Times New Roman" w:cs="Times New Roman"/>
          <w:sz w:val="28"/>
          <w:szCs w:val="28"/>
          <w:lang w:val="ru-RU"/>
        </w:rPr>
        <w:t xml:space="preserve">: </w:t>
      </w:r>
      <w:r w:rsidRPr="00EF287D">
        <w:rPr>
          <w:rFonts w:ascii="Times New Roman" w:hAnsi="Times New Roman" w:cs="Times New Roman"/>
          <w:sz w:val="28"/>
          <w:szCs w:val="28"/>
          <w:lang w:val="en-US"/>
        </w:rPr>
        <w:t>https</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curvo</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eu</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backtest</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en</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market</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index</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nasdaq</w:t>
      </w:r>
      <w:r w:rsidRPr="00EF287D">
        <w:rPr>
          <w:rFonts w:ascii="Times New Roman" w:hAnsi="Times New Roman" w:cs="Times New Roman"/>
          <w:sz w:val="28"/>
          <w:szCs w:val="28"/>
          <w:lang w:val="ru-RU"/>
        </w:rPr>
        <w:t>-100?</w:t>
      </w:r>
      <w:r w:rsidRPr="00EF287D">
        <w:rPr>
          <w:rFonts w:ascii="Times New Roman" w:hAnsi="Times New Roman" w:cs="Times New Roman"/>
          <w:sz w:val="28"/>
          <w:szCs w:val="28"/>
          <w:lang w:val="en-US"/>
        </w:rPr>
        <w:t>currency</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eur</w:t>
      </w:r>
      <w:r w:rsidRPr="00EF287D">
        <w:rPr>
          <w:rFonts w:ascii="Times New Roman" w:hAnsi="Times New Roman" w:cs="Times New Roman"/>
          <w:sz w:val="28"/>
          <w:szCs w:val="28"/>
          <w:lang w:val="ru-RU"/>
        </w:rPr>
        <w:t xml:space="preserve"> (дата звернення: 01.04.2025).</w:t>
      </w:r>
    </w:p>
    <w:p w:rsidR="00F30E41" w:rsidRPr="00EF287D" w:rsidRDefault="00F30E41" w:rsidP="00EF287D">
      <w:pPr>
        <w:tabs>
          <w:tab w:val="left" w:pos="6946"/>
        </w:tabs>
        <w:spacing w:after="0" w:line="360" w:lineRule="auto"/>
        <w:jc w:val="both"/>
        <w:rPr>
          <w:rFonts w:ascii="Times New Roman" w:hAnsi="Times New Roman" w:cs="Times New Roman"/>
          <w:sz w:val="28"/>
          <w:szCs w:val="28"/>
          <w:lang w:val="ru-RU"/>
        </w:rPr>
      </w:pPr>
      <w:r w:rsidRPr="00EF287D">
        <w:rPr>
          <w:rFonts w:ascii="Times New Roman" w:hAnsi="Times New Roman" w:cs="Times New Roman"/>
          <w:sz w:val="28"/>
          <w:szCs w:val="28"/>
          <w:lang w:val="en-US"/>
        </w:rPr>
        <w:t xml:space="preserve">32. Investing.com. CBOE NASDAQ 100 Volatility (VXN), 2025. </w:t>
      </w:r>
      <w:r w:rsidRPr="00EF287D">
        <w:rPr>
          <w:rFonts w:ascii="Times New Roman" w:hAnsi="Times New Roman" w:cs="Times New Roman"/>
          <w:sz w:val="28"/>
          <w:szCs w:val="28"/>
          <w:lang w:val="ru-RU"/>
        </w:rPr>
        <w:t xml:space="preserve">Веб-сайт. </w:t>
      </w:r>
      <w:r w:rsidRPr="00EF287D">
        <w:rPr>
          <w:rFonts w:ascii="Times New Roman" w:hAnsi="Times New Roman" w:cs="Times New Roman"/>
          <w:sz w:val="28"/>
          <w:szCs w:val="28"/>
          <w:lang w:val="en-US"/>
        </w:rPr>
        <w:t>URL</w:t>
      </w:r>
      <w:r w:rsidRPr="00EF287D">
        <w:rPr>
          <w:rFonts w:ascii="Times New Roman" w:hAnsi="Times New Roman" w:cs="Times New Roman"/>
          <w:sz w:val="28"/>
          <w:szCs w:val="28"/>
          <w:lang w:val="ru-RU"/>
        </w:rPr>
        <w:t xml:space="preserve">: </w:t>
      </w:r>
      <w:r w:rsidRPr="00EF287D">
        <w:rPr>
          <w:rFonts w:ascii="Times New Roman" w:hAnsi="Times New Roman" w:cs="Times New Roman"/>
          <w:sz w:val="28"/>
          <w:szCs w:val="28"/>
          <w:lang w:val="en-US"/>
        </w:rPr>
        <w:t>https</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www</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investing</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com</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indices</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cboe</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nasdaq</w:t>
      </w:r>
      <w:r w:rsidRPr="00EF287D">
        <w:rPr>
          <w:rFonts w:ascii="Times New Roman" w:hAnsi="Times New Roman" w:cs="Times New Roman"/>
          <w:sz w:val="28"/>
          <w:szCs w:val="28"/>
          <w:lang w:val="ru-RU"/>
        </w:rPr>
        <w:t>-100-</w:t>
      </w:r>
      <w:r w:rsidRPr="00EF287D">
        <w:rPr>
          <w:rFonts w:ascii="Times New Roman" w:hAnsi="Times New Roman" w:cs="Times New Roman"/>
          <w:sz w:val="28"/>
          <w:szCs w:val="28"/>
          <w:lang w:val="en-US"/>
        </w:rPr>
        <w:t>voltility</w:t>
      </w:r>
      <w:r w:rsidRPr="00EF287D">
        <w:rPr>
          <w:rFonts w:ascii="Times New Roman" w:hAnsi="Times New Roman" w:cs="Times New Roman"/>
          <w:sz w:val="28"/>
          <w:szCs w:val="28"/>
          <w:lang w:val="ru-RU"/>
        </w:rPr>
        <w:t xml:space="preserve"> (дата звернення: 01.04.2025).</w:t>
      </w:r>
    </w:p>
    <w:p w:rsidR="00F30E41" w:rsidRPr="00EF287D" w:rsidRDefault="00F30E41" w:rsidP="00EF287D">
      <w:pPr>
        <w:tabs>
          <w:tab w:val="left" w:pos="6946"/>
        </w:tabs>
        <w:spacing w:after="0" w:line="360" w:lineRule="auto"/>
        <w:jc w:val="both"/>
        <w:rPr>
          <w:rFonts w:ascii="Times New Roman" w:hAnsi="Times New Roman" w:cs="Times New Roman"/>
          <w:sz w:val="28"/>
          <w:szCs w:val="28"/>
          <w:lang w:val="ru-RU"/>
        </w:rPr>
      </w:pPr>
      <w:r w:rsidRPr="00EF287D">
        <w:rPr>
          <w:rFonts w:ascii="Times New Roman" w:hAnsi="Times New Roman" w:cs="Times New Roman"/>
          <w:sz w:val="28"/>
          <w:szCs w:val="28"/>
          <w:lang w:val="en-US"/>
        </w:rPr>
        <w:t xml:space="preserve">33. World Health Organization (WHO). Global Health Expenditure Database. </w:t>
      </w:r>
      <w:r w:rsidRPr="00EF287D">
        <w:rPr>
          <w:rFonts w:ascii="Times New Roman" w:hAnsi="Times New Roman" w:cs="Times New Roman"/>
          <w:sz w:val="28"/>
          <w:szCs w:val="28"/>
          <w:lang w:val="ru-RU"/>
        </w:rPr>
        <w:t xml:space="preserve">Веб-сайт. </w:t>
      </w:r>
      <w:r w:rsidRPr="00EF287D">
        <w:rPr>
          <w:rFonts w:ascii="Times New Roman" w:hAnsi="Times New Roman" w:cs="Times New Roman"/>
          <w:sz w:val="28"/>
          <w:szCs w:val="28"/>
          <w:lang w:val="en-US"/>
        </w:rPr>
        <w:t>URL</w:t>
      </w:r>
      <w:r w:rsidRPr="00EF287D">
        <w:rPr>
          <w:rFonts w:ascii="Times New Roman" w:hAnsi="Times New Roman" w:cs="Times New Roman"/>
          <w:sz w:val="28"/>
          <w:szCs w:val="28"/>
          <w:lang w:val="ru-RU"/>
        </w:rPr>
        <w:t xml:space="preserve">: </w:t>
      </w:r>
      <w:r w:rsidRPr="00EF287D">
        <w:rPr>
          <w:rFonts w:ascii="Times New Roman" w:hAnsi="Times New Roman" w:cs="Times New Roman"/>
          <w:sz w:val="28"/>
          <w:szCs w:val="28"/>
          <w:lang w:val="en-US"/>
        </w:rPr>
        <w:t>https</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apps</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who</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int</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nha</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database</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Select</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Indicators</w:t>
      </w:r>
      <w:r w:rsidRPr="00EF287D">
        <w:rPr>
          <w:rFonts w:ascii="Times New Roman" w:hAnsi="Times New Roman" w:cs="Times New Roman"/>
          <w:sz w:val="28"/>
          <w:szCs w:val="28"/>
          <w:lang w:val="ru-RU"/>
        </w:rPr>
        <w:t>/</w:t>
      </w:r>
      <w:r w:rsidRPr="00EF287D">
        <w:rPr>
          <w:rFonts w:ascii="Times New Roman" w:hAnsi="Times New Roman" w:cs="Times New Roman"/>
          <w:sz w:val="28"/>
          <w:szCs w:val="28"/>
          <w:lang w:val="en-US"/>
        </w:rPr>
        <w:t>en</w:t>
      </w:r>
      <w:r w:rsidRPr="00EF287D">
        <w:rPr>
          <w:rFonts w:ascii="Times New Roman" w:hAnsi="Times New Roman" w:cs="Times New Roman"/>
          <w:sz w:val="28"/>
          <w:szCs w:val="28"/>
          <w:lang w:val="ru-RU"/>
        </w:rPr>
        <w:t xml:space="preserve"> (дата звернення: 04.04.2025).</w:t>
      </w:r>
    </w:p>
    <w:p w:rsidR="00F30E41" w:rsidRPr="00EF287D" w:rsidRDefault="00F30E41" w:rsidP="00EF287D">
      <w:pPr>
        <w:tabs>
          <w:tab w:val="left" w:pos="6946"/>
        </w:tabs>
        <w:spacing w:after="0" w:line="360" w:lineRule="auto"/>
        <w:jc w:val="both"/>
        <w:rPr>
          <w:rFonts w:ascii="Times New Roman" w:hAnsi="Times New Roman" w:cs="Times New Roman"/>
          <w:sz w:val="28"/>
          <w:szCs w:val="28"/>
          <w:lang w:val="ru-RU"/>
        </w:rPr>
      </w:pPr>
    </w:p>
    <w:p w:rsidR="00F30E41" w:rsidRDefault="00F30E41" w:rsidP="00EF287D">
      <w:pPr>
        <w:tabs>
          <w:tab w:val="left" w:pos="6946"/>
        </w:tabs>
        <w:spacing w:after="0" w:line="360" w:lineRule="auto"/>
        <w:jc w:val="both"/>
        <w:rPr>
          <w:rFonts w:ascii="Times New Roman" w:hAnsi="Times New Roman" w:cs="Times New Roman"/>
          <w:sz w:val="28"/>
          <w:szCs w:val="28"/>
          <w:lang w:val="ru-RU"/>
        </w:rPr>
      </w:pPr>
      <w:r w:rsidRPr="00EF287D">
        <w:rPr>
          <w:rFonts w:ascii="Times New Roman" w:hAnsi="Times New Roman" w:cs="Times New Roman"/>
          <w:sz w:val="28"/>
          <w:szCs w:val="28"/>
          <w:lang w:val="en-US"/>
        </w:rPr>
        <w:t xml:space="preserve">34. The World Bank. Population ages 65 and above (% of total population). </w:t>
      </w:r>
      <w:r w:rsidRPr="0045426C">
        <w:rPr>
          <w:rFonts w:ascii="Times New Roman" w:hAnsi="Times New Roman" w:cs="Times New Roman"/>
          <w:sz w:val="28"/>
          <w:szCs w:val="28"/>
          <w:lang w:val="ru-RU"/>
        </w:rPr>
        <w:t xml:space="preserve">Веб-сайт. </w:t>
      </w:r>
      <w:r w:rsidRPr="00EF287D">
        <w:rPr>
          <w:rFonts w:ascii="Times New Roman" w:hAnsi="Times New Roman" w:cs="Times New Roman"/>
          <w:sz w:val="28"/>
          <w:szCs w:val="28"/>
          <w:lang w:val="en-US"/>
        </w:rPr>
        <w:t>URL</w:t>
      </w:r>
      <w:r w:rsidRPr="0045426C">
        <w:rPr>
          <w:rFonts w:ascii="Times New Roman" w:hAnsi="Times New Roman" w:cs="Times New Roman"/>
          <w:sz w:val="28"/>
          <w:szCs w:val="28"/>
          <w:lang w:val="ru-RU"/>
        </w:rPr>
        <w:t xml:space="preserve">: </w:t>
      </w:r>
      <w:r w:rsidRPr="00EF287D">
        <w:rPr>
          <w:rFonts w:ascii="Times New Roman" w:hAnsi="Times New Roman" w:cs="Times New Roman"/>
          <w:sz w:val="28"/>
          <w:szCs w:val="28"/>
          <w:lang w:val="en-US"/>
        </w:rPr>
        <w:t>https</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data</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worldbank</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org</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indicator</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SP</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POP</w:t>
      </w:r>
      <w:r w:rsidRPr="0045426C">
        <w:rPr>
          <w:rFonts w:ascii="Times New Roman" w:hAnsi="Times New Roman" w:cs="Times New Roman"/>
          <w:sz w:val="28"/>
          <w:szCs w:val="28"/>
          <w:lang w:val="ru-RU"/>
        </w:rPr>
        <w:t>.65</w:t>
      </w:r>
      <w:r w:rsidRPr="00EF287D">
        <w:rPr>
          <w:rFonts w:ascii="Times New Roman" w:hAnsi="Times New Roman" w:cs="Times New Roman"/>
          <w:sz w:val="28"/>
          <w:szCs w:val="28"/>
          <w:lang w:val="en-US"/>
        </w:rPr>
        <w:t>UP</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TO</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ZS</w:t>
      </w:r>
      <w:r w:rsidRPr="0045426C">
        <w:rPr>
          <w:rFonts w:ascii="Times New Roman" w:hAnsi="Times New Roman" w:cs="Times New Roman"/>
          <w:sz w:val="28"/>
          <w:szCs w:val="28"/>
          <w:lang w:val="ru-RU"/>
        </w:rPr>
        <w:t>?</w:t>
      </w:r>
      <w:r w:rsidRPr="00EF287D">
        <w:rPr>
          <w:rFonts w:ascii="Times New Roman" w:hAnsi="Times New Roman" w:cs="Times New Roman"/>
          <w:sz w:val="28"/>
          <w:szCs w:val="28"/>
          <w:lang w:val="en-US"/>
        </w:rPr>
        <w:t>end</w:t>
      </w:r>
      <w:r w:rsidRPr="0045426C">
        <w:rPr>
          <w:rFonts w:ascii="Times New Roman" w:hAnsi="Times New Roman" w:cs="Times New Roman"/>
          <w:sz w:val="28"/>
          <w:szCs w:val="28"/>
          <w:lang w:val="ru-RU"/>
        </w:rPr>
        <w:t>=2023&amp;</w:t>
      </w:r>
      <w:r w:rsidRPr="00EF287D">
        <w:rPr>
          <w:rFonts w:ascii="Times New Roman" w:hAnsi="Times New Roman" w:cs="Times New Roman"/>
          <w:sz w:val="28"/>
          <w:szCs w:val="28"/>
          <w:lang w:val="en-US"/>
        </w:rPr>
        <w:t>start</w:t>
      </w:r>
      <w:r w:rsidRPr="0045426C">
        <w:rPr>
          <w:rFonts w:ascii="Times New Roman" w:hAnsi="Times New Roman" w:cs="Times New Roman"/>
          <w:sz w:val="28"/>
          <w:szCs w:val="28"/>
          <w:lang w:val="ru-RU"/>
        </w:rPr>
        <w:t>=2013 (дата звернення: 04.04.2025).</w:t>
      </w:r>
    </w:p>
    <w:p w:rsidR="00F30E41" w:rsidRPr="00951C52" w:rsidRDefault="00F30E41" w:rsidP="00951C52">
      <w:pPr>
        <w:tabs>
          <w:tab w:val="left" w:pos="6946"/>
        </w:tabs>
        <w:spacing w:after="0" w:line="360" w:lineRule="auto"/>
        <w:jc w:val="both"/>
        <w:rPr>
          <w:rFonts w:ascii="Times New Roman" w:hAnsi="Times New Roman" w:cs="Times New Roman"/>
          <w:sz w:val="28"/>
          <w:szCs w:val="28"/>
          <w:lang w:val="ru-RU"/>
        </w:rPr>
      </w:pPr>
      <w:r w:rsidRPr="00951C52">
        <w:rPr>
          <w:rFonts w:ascii="Times New Roman" w:hAnsi="Times New Roman" w:cs="Times New Roman"/>
          <w:sz w:val="28"/>
          <w:szCs w:val="28"/>
          <w:lang w:val="en-US"/>
        </w:rPr>
        <w:t xml:space="preserve">35. Statista. Global pharmaceutical market revenue from 2001 to 2023 (in billion U.S. dollars), 2024. </w:t>
      </w:r>
      <w:r w:rsidRPr="00951C52">
        <w:rPr>
          <w:rFonts w:ascii="Times New Roman" w:hAnsi="Times New Roman" w:cs="Times New Roman"/>
          <w:sz w:val="28"/>
          <w:szCs w:val="28"/>
          <w:lang w:val="ru-RU"/>
        </w:rPr>
        <w:t xml:space="preserve">Веб-сайт. </w:t>
      </w:r>
      <w:r w:rsidRPr="00951C52">
        <w:rPr>
          <w:rFonts w:ascii="Times New Roman" w:hAnsi="Times New Roman" w:cs="Times New Roman"/>
          <w:sz w:val="28"/>
          <w:szCs w:val="28"/>
          <w:lang w:val="en-US"/>
        </w:rPr>
        <w:t>URL</w:t>
      </w:r>
      <w:r w:rsidRPr="00951C52">
        <w:rPr>
          <w:rFonts w:ascii="Times New Roman" w:hAnsi="Times New Roman" w:cs="Times New Roman"/>
          <w:sz w:val="28"/>
          <w:szCs w:val="28"/>
          <w:lang w:val="ru-RU"/>
        </w:rPr>
        <w:t xml:space="preserve">: </w:t>
      </w:r>
      <w:r w:rsidRPr="00951C52">
        <w:rPr>
          <w:rFonts w:ascii="Times New Roman" w:hAnsi="Times New Roman" w:cs="Times New Roman"/>
          <w:sz w:val="28"/>
          <w:szCs w:val="28"/>
          <w:lang w:val="en-US"/>
        </w:rPr>
        <w:t>https</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www</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statista</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com</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statistics</w:t>
      </w:r>
      <w:r w:rsidRPr="00951C52">
        <w:rPr>
          <w:rFonts w:ascii="Times New Roman" w:hAnsi="Times New Roman" w:cs="Times New Roman"/>
          <w:sz w:val="28"/>
          <w:szCs w:val="28"/>
          <w:lang w:val="ru-RU"/>
        </w:rPr>
        <w:t>/263102/</w:t>
      </w:r>
      <w:r w:rsidRPr="00951C52">
        <w:rPr>
          <w:rFonts w:ascii="Times New Roman" w:hAnsi="Times New Roman" w:cs="Times New Roman"/>
          <w:sz w:val="28"/>
          <w:szCs w:val="28"/>
          <w:lang w:val="en-US"/>
        </w:rPr>
        <w:t>pharmaceutical</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market</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worldwide</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revenue</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since</w:t>
      </w:r>
      <w:r w:rsidRPr="00951C52">
        <w:rPr>
          <w:rFonts w:ascii="Times New Roman" w:hAnsi="Times New Roman" w:cs="Times New Roman"/>
          <w:sz w:val="28"/>
          <w:szCs w:val="28"/>
          <w:lang w:val="ru-RU"/>
        </w:rPr>
        <w:t>-2001/ (дата звернення: 10.04.2025).</w:t>
      </w:r>
    </w:p>
    <w:p w:rsidR="00F30E41" w:rsidRPr="00951C52" w:rsidRDefault="00F30E41" w:rsidP="00951C52">
      <w:pPr>
        <w:tabs>
          <w:tab w:val="left" w:pos="6946"/>
        </w:tabs>
        <w:spacing w:after="0" w:line="360" w:lineRule="auto"/>
        <w:jc w:val="both"/>
        <w:rPr>
          <w:rFonts w:ascii="Times New Roman" w:hAnsi="Times New Roman" w:cs="Times New Roman"/>
          <w:sz w:val="28"/>
          <w:szCs w:val="28"/>
          <w:lang w:val="ru-RU"/>
        </w:rPr>
      </w:pPr>
      <w:r w:rsidRPr="00951C52">
        <w:rPr>
          <w:rFonts w:ascii="Times New Roman" w:hAnsi="Times New Roman" w:cs="Times New Roman"/>
          <w:sz w:val="28"/>
          <w:szCs w:val="28"/>
          <w:lang w:val="en-US"/>
        </w:rPr>
        <w:t xml:space="preserve">36. Statista. Investments in clean energy and fossil fuels worldwide from 2015 to 2024 (in billion U.S. dollars), 2024. </w:t>
      </w:r>
      <w:r w:rsidRPr="00951C52">
        <w:rPr>
          <w:rFonts w:ascii="Times New Roman" w:hAnsi="Times New Roman" w:cs="Times New Roman"/>
          <w:sz w:val="28"/>
          <w:szCs w:val="28"/>
          <w:lang w:val="ru-RU"/>
        </w:rPr>
        <w:t xml:space="preserve">Веб-сайт. </w:t>
      </w:r>
      <w:r w:rsidRPr="00951C52">
        <w:rPr>
          <w:rFonts w:ascii="Times New Roman" w:hAnsi="Times New Roman" w:cs="Times New Roman"/>
          <w:sz w:val="28"/>
          <w:szCs w:val="28"/>
          <w:lang w:val="en-US"/>
        </w:rPr>
        <w:t>URL</w:t>
      </w:r>
      <w:r w:rsidRPr="00951C52">
        <w:rPr>
          <w:rFonts w:ascii="Times New Roman" w:hAnsi="Times New Roman" w:cs="Times New Roman"/>
          <w:sz w:val="28"/>
          <w:szCs w:val="28"/>
          <w:lang w:val="ru-RU"/>
        </w:rPr>
        <w:t xml:space="preserve">: </w:t>
      </w:r>
      <w:r w:rsidRPr="00951C52">
        <w:rPr>
          <w:rFonts w:ascii="Times New Roman" w:hAnsi="Times New Roman" w:cs="Times New Roman"/>
          <w:sz w:val="28"/>
          <w:szCs w:val="28"/>
          <w:lang w:val="en-US"/>
        </w:rPr>
        <w:t>https</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www</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statista</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com</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statistics</w:t>
      </w:r>
      <w:r w:rsidRPr="00951C52">
        <w:rPr>
          <w:rFonts w:ascii="Times New Roman" w:hAnsi="Times New Roman" w:cs="Times New Roman"/>
          <w:sz w:val="28"/>
          <w:szCs w:val="28"/>
          <w:lang w:val="ru-RU"/>
        </w:rPr>
        <w:t>/1424236/</w:t>
      </w:r>
      <w:r w:rsidRPr="00951C52">
        <w:rPr>
          <w:rFonts w:ascii="Times New Roman" w:hAnsi="Times New Roman" w:cs="Times New Roman"/>
          <w:sz w:val="28"/>
          <w:szCs w:val="28"/>
          <w:lang w:val="en-US"/>
        </w:rPr>
        <w:t>clean</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energy</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and</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fossil</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fuels</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investments</w:t>
      </w:r>
      <w:r w:rsidRPr="00951C52">
        <w:rPr>
          <w:rFonts w:ascii="Times New Roman" w:hAnsi="Times New Roman" w:cs="Times New Roman"/>
          <w:sz w:val="28"/>
          <w:szCs w:val="28"/>
          <w:lang w:val="ru-RU"/>
        </w:rPr>
        <w:t>-</w:t>
      </w:r>
      <w:r w:rsidRPr="00951C52">
        <w:rPr>
          <w:rFonts w:ascii="Times New Roman" w:hAnsi="Times New Roman" w:cs="Times New Roman"/>
          <w:sz w:val="28"/>
          <w:szCs w:val="28"/>
          <w:lang w:val="en-US"/>
        </w:rPr>
        <w:t>worldwide</w:t>
      </w:r>
      <w:r w:rsidRPr="00951C52">
        <w:rPr>
          <w:rFonts w:ascii="Times New Roman" w:hAnsi="Times New Roman" w:cs="Times New Roman"/>
          <w:sz w:val="28"/>
          <w:szCs w:val="28"/>
          <w:lang w:val="ru-RU"/>
        </w:rPr>
        <w:t>/ (дата звернення: 10.04.2025).</w:t>
      </w:r>
    </w:p>
    <w:p w:rsidR="00F30E41" w:rsidRDefault="00F30E41" w:rsidP="00951C52">
      <w:pPr>
        <w:tabs>
          <w:tab w:val="left" w:pos="6946"/>
        </w:tabs>
        <w:spacing w:after="0" w:line="360" w:lineRule="auto"/>
        <w:jc w:val="both"/>
        <w:rPr>
          <w:rFonts w:ascii="Times New Roman" w:hAnsi="Times New Roman" w:cs="Times New Roman"/>
          <w:sz w:val="28"/>
          <w:szCs w:val="28"/>
          <w:lang w:val="ru-RU"/>
        </w:rPr>
      </w:pPr>
      <w:r w:rsidRPr="00951C52">
        <w:rPr>
          <w:rFonts w:ascii="Times New Roman" w:hAnsi="Times New Roman" w:cs="Times New Roman"/>
          <w:sz w:val="28"/>
          <w:szCs w:val="28"/>
          <w:lang w:val="en-US"/>
        </w:rPr>
        <w:t xml:space="preserve">37. Statista. Estimated investment in fossil fuels and clean energy infrastructure worldwide in 2024, by selected region or country, 2024. </w:t>
      </w:r>
      <w:r w:rsidRPr="0045426C">
        <w:rPr>
          <w:rFonts w:ascii="Times New Roman" w:hAnsi="Times New Roman" w:cs="Times New Roman"/>
          <w:sz w:val="28"/>
          <w:szCs w:val="28"/>
          <w:lang w:val="ru-RU"/>
        </w:rPr>
        <w:t xml:space="preserve">Веб-сайт. </w:t>
      </w:r>
      <w:r w:rsidRPr="00951C52">
        <w:rPr>
          <w:rFonts w:ascii="Times New Roman" w:hAnsi="Times New Roman" w:cs="Times New Roman"/>
          <w:sz w:val="28"/>
          <w:szCs w:val="28"/>
          <w:lang w:val="en-US"/>
        </w:rPr>
        <w:t>URL</w:t>
      </w:r>
      <w:r w:rsidRPr="0045426C">
        <w:rPr>
          <w:rFonts w:ascii="Times New Roman" w:hAnsi="Times New Roman" w:cs="Times New Roman"/>
          <w:sz w:val="28"/>
          <w:szCs w:val="28"/>
          <w:lang w:val="ru-RU"/>
        </w:rPr>
        <w:t xml:space="preserve">: </w:t>
      </w:r>
      <w:r w:rsidRPr="00951C52">
        <w:rPr>
          <w:rFonts w:ascii="Times New Roman" w:hAnsi="Times New Roman" w:cs="Times New Roman"/>
          <w:sz w:val="28"/>
          <w:szCs w:val="28"/>
          <w:lang w:val="en-US"/>
        </w:rPr>
        <w:t>https</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www</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statista</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com</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statistics</w:t>
      </w:r>
      <w:r w:rsidRPr="0045426C">
        <w:rPr>
          <w:rFonts w:ascii="Times New Roman" w:hAnsi="Times New Roman" w:cs="Times New Roman"/>
          <w:sz w:val="28"/>
          <w:szCs w:val="28"/>
          <w:lang w:val="ru-RU"/>
        </w:rPr>
        <w:t>/1479213/</w:t>
      </w:r>
      <w:r w:rsidRPr="00951C52">
        <w:rPr>
          <w:rFonts w:ascii="Times New Roman" w:hAnsi="Times New Roman" w:cs="Times New Roman"/>
          <w:sz w:val="28"/>
          <w:szCs w:val="28"/>
          <w:lang w:val="en-US"/>
        </w:rPr>
        <w:t>clean</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and</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fossil</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energy</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investment</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by</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region</w:t>
      </w:r>
      <w:r w:rsidRPr="0045426C">
        <w:rPr>
          <w:rFonts w:ascii="Times New Roman" w:hAnsi="Times New Roman" w:cs="Times New Roman"/>
          <w:sz w:val="28"/>
          <w:szCs w:val="28"/>
          <w:lang w:val="ru-RU"/>
        </w:rPr>
        <w:t>-</w:t>
      </w:r>
      <w:r w:rsidRPr="00951C52">
        <w:rPr>
          <w:rFonts w:ascii="Times New Roman" w:hAnsi="Times New Roman" w:cs="Times New Roman"/>
          <w:sz w:val="28"/>
          <w:szCs w:val="28"/>
          <w:lang w:val="en-US"/>
        </w:rPr>
        <w:t>worldwide</w:t>
      </w:r>
      <w:r w:rsidRPr="0045426C">
        <w:rPr>
          <w:rFonts w:ascii="Times New Roman" w:hAnsi="Times New Roman" w:cs="Times New Roman"/>
          <w:sz w:val="28"/>
          <w:szCs w:val="28"/>
          <w:lang w:val="ru-RU"/>
        </w:rPr>
        <w:t>/ (дата звернення: 10.04.2025).</w:t>
      </w:r>
    </w:p>
    <w:p w:rsidR="00F30E41" w:rsidRPr="00D824FD" w:rsidRDefault="00F30E41" w:rsidP="00D824FD">
      <w:pPr>
        <w:tabs>
          <w:tab w:val="left" w:pos="6946"/>
        </w:tabs>
        <w:spacing w:after="0" w:line="360" w:lineRule="auto"/>
        <w:jc w:val="both"/>
        <w:rPr>
          <w:rFonts w:ascii="Times New Roman" w:hAnsi="Times New Roman" w:cs="Times New Roman"/>
          <w:sz w:val="28"/>
          <w:szCs w:val="28"/>
          <w:lang w:val="ru-RU"/>
        </w:rPr>
      </w:pPr>
      <w:r w:rsidRPr="00D824FD">
        <w:rPr>
          <w:rFonts w:ascii="Times New Roman" w:hAnsi="Times New Roman" w:cs="Times New Roman"/>
          <w:sz w:val="28"/>
          <w:szCs w:val="28"/>
          <w:lang w:val="en-US"/>
        </w:rPr>
        <w:t xml:space="preserve">38. REN21. Renewables 2024 Global Status Report, 2024. </w:t>
      </w:r>
      <w:r w:rsidRPr="00D824FD">
        <w:rPr>
          <w:rFonts w:ascii="Times New Roman" w:hAnsi="Times New Roman" w:cs="Times New Roman"/>
          <w:sz w:val="28"/>
          <w:szCs w:val="28"/>
          <w:lang w:val="ru-RU"/>
        </w:rPr>
        <w:t xml:space="preserve">Веб-сайт. </w:t>
      </w:r>
      <w:r w:rsidRPr="00D824FD">
        <w:rPr>
          <w:rFonts w:ascii="Times New Roman" w:hAnsi="Times New Roman" w:cs="Times New Roman"/>
          <w:sz w:val="28"/>
          <w:szCs w:val="28"/>
          <w:lang w:val="en-US"/>
        </w:rPr>
        <w:t>URL</w:t>
      </w:r>
      <w:r w:rsidRPr="00D824FD">
        <w:rPr>
          <w:rFonts w:ascii="Times New Roman" w:hAnsi="Times New Roman" w:cs="Times New Roman"/>
          <w:sz w:val="28"/>
          <w:szCs w:val="28"/>
          <w:lang w:val="ru-RU"/>
        </w:rPr>
        <w:t xml:space="preserve">: </w:t>
      </w:r>
      <w:r w:rsidRPr="00D824FD">
        <w:rPr>
          <w:rFonts w:ascii="Times New Roman" w:hAnsi="Times New Roman" w:cs="Times New Roman"/>
          <w:sz w:val="28"/>
          <w:szCs w:val="28"/>
          <w:lang w:val="en-US"/>
        </w:rPr>
        <w:t>https</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www</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ren</w:t>
      </w:r>
      <w:r w:rsidRPr="00D824FD">
        <w:rPr>
          <w:rFonts w:ascii="Times New Roman" w:hAnsi="Times New Roman" w:cs="Times New Roman"/>
          <w:sz w:val="28"/>
          <w:szCs w:val="28"/>
          <w:lang w:val="ru-RU"/>
        </w:rPr>
        <w:t>21.</w:t>
      </w:r>
      <w:r w:rsidRPr="00D824FD">
        <w:rPr>
          <w:rFonts w:ascii="Times New Roman" w:hAnsi="Times New Roman" w:cs="Times New Roman"/>
          <w:sz w:val="28"/>
          <w:szCs w:val="28"/>
          <w:lang w:val="en-US"/>
        </w:rPr>
        <w:t>net</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wp</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content</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uploads</w:t>
      </w:r>
      <w:r w:rsidRPr="00D824FD">
        <w:rPr>
          <w:rFonts w:ascii="Times New Roman" w:hAnsi="Times New Roman" w:cs="Times New Roman"/>
          <w:sz w:val="28"/>
          <w:szCs w:val="28"/>
          <w:lang w:val="ru-RU"/>
        </w:rPr>
        <w:t>/2019/05/</w:t>
      </w:r>
      <w:r w:rsidRPr="00D824FD">
        <w:rPr>
          <w:rFonts w:ascii="Times New Roman" w:hAnsi="Times New Roman" w:cs="Times New Roman"/>
          <w:sz w:val="28"/>
          <w:szCs w:val="28"/>
          <w:lang w:val="en-US"/>
        </w:rPr>
        <w:t>GSR</w:t>
      </w:r>
      <w:r w:rsidRPr="00D824FD">
        <w:rPr>
          <w:rFonts w:ascii="Times New Roman" w:hAnsi="Times New Roman" w:cs="Times New Roman"/>
          <w:sz w:val="28"/>
          <w:szCs w:val="28"/>
          <w:lang w:val="ru-RU"/>
        </w:rPr>
        <w:t>2024_</w:t>
      </w:r>
      <w:r w:rsidRPr="00D824FD">
        <w:rPr>
          <w:rFonts w:ascii="Times New Roman" w:hAnsi="Times New Roman" w:cs="Times New Roman"/>
          <w:sz w:val="28"/>
          <w:szCs w:val="28"/>
          <w:lang w:val="en-US"/>
        </w:rPr>
        <w:t>GlobalOverview</w:t>
      </w:r>
      <w:r w:rsidRPr="00D824FD">
        <w:rPr>
          <w:rFonts w:ascii="Times New Roman" w:hAnsi="Times New Roman" w:cs="Times New Roman"/>
          <w:sz w:val="28"/>
          <w:szCs w:val="28"/>
          <w:lang w:val="ru-RU"/>
        </w:rPr>
        <w:t>_</w:t>
      </w:r>
      <w:r w:rsidRPr="00D824FD">
        <w:rPr>
          <w:rFonts w:ascii="Times New Roman" w:hAnsi="Times New Roman" w:cs="Times New Roman"/>
          <w:sz w:val="28"/>
          <w:szCs w:val="28"/>
          <w:lang w:val="en-US"/>
        </w:rPr>
        <w:t>Full</w:t>
      </w:r>
      <w:r w:rsidRPr="00D824FD">
        <w:rPr>
          <w:rFonts w:ascii="Times New Roman" w:hAnsi="Times New Roman" w:cs="Times New Roman"/>
          <w:sz w:val="28"/>
          <w:szCs w:val="28"/>
          <w:lang w:val="ru-RU"/>
        </w:rPr>
        <w:t>_</w:t>
      </w:r>
      <w:r w:rsidRPr="00D824FD">
        <w:rPr>
          <w:rFonts w:ascii="Times New Roman" w:hAnsi="Times New Roman" w:cs="Times New Roman"/>
          <w:sz w:val="28"/>
          <w:szCs w:val="28"/>
          <w:lang w:val="en-US"/>
        </w:rPr>
        <w:t>Report</w:t>
      </w:r>
      <w:r w:rsidRPr="00D824FD">
        <w:rPr>
          <w:rFonts w:ascii="Times New Roman" w:hAnsi="Times New Roman" w:cs="Times New Roman"/>
          <w:sz w:val="28"/>
          <w:szCs w:val="28"/>
          <w:lang w:val="ru-RU"/>
        </w:rPr>
        <w:t>_</w:t>
      </w:r>
      <w:r w:rsidRPr="00D824FD">
        <w:rPr>
          <w:rFonts w:ascii="Times New Roman" w:hAnsi="Times New Roman" w:cs="Times New Roman"/>
          <w:sz w:val="28"/>
          <w:szCs w:val="28"/>
          <w:lang w:val="en-US"/>
        </w:rPr>
        <w:t>with</w:t>
      </w:r>
      <w:r w:rsidRPr="00D824FD">
        <w:rPr>
          <w:rFonts w:ascii="Times New Roman" w:hAnsi="Times New Roman" w:cs="Times New Roman"/>
          <w:sz w:val="28"/>
          <w:szCs w:val="28"/>
          <w:lang w:val="ru-RU"/>
        </w:rPr>
        <w:t>_</w:t>
      </w:r>
      <w:r w:rsidRPr="00D824FD">
        <w:rPr>
          <w:rFonts w:ascii="Times New Roman" w:hAnsi="Times New Roman" w:cs="Times New Roman"/>
          <w:sz w:val="28"/>
          <w:szCs w:val="28"/>
          <w:lang w:val="en-US"/>
        </w:rPr>
        <w:t>endnotes</w:t>
      </w:r>
      <w:r w:rsidRPr="00D824FD">
        <w:rPr>
          <w:rFonts w:ascii="Times New Roman" w:hAnsi="Times New Roman" w:cs="Times New Roman"/>
          <w:sz w:val="28"/>
          <w:szCs w:val="28"/>
          <w:lang w:val="ru-RU"/>
        </w:rPr>
        <w:t>_</w:t>
      </w:r>
      <w:r w:rsidRPr="00D824FD">
        <w:rPr>
          <w:rFonts w:ascii="Times New Roman" w:hAnsi="Times New Roman" w:cs="Times New Roman"/>
          <w:sz w:val="28"/>
          <w:szCs w:val="28"/>
          <w:lang w:val="en-US"/>
        </w:rPr>
        <w:t>web</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pdf</w:t>
      </w:r>
      <w:r w:rsidRPr="00D824FD">
        <w:rPr>
          <w:rFonts w:ascii="Times New Roman" w:hAnsi="Times New Roman" w:cs="Times New Roman"/>
          <w:sz w:val="28"/>
          <w:szCs w:val="28"/>
          <w:lang w:val="ru-RU"/>
        </w:rPr>
        <w:t xml:space="preserve"> (дата звернення: 10.04.2025).</w:t>
      </w:r>
    </w:p>
    <w:p w:rsidR="00F30E41" w:rsidRPr="00D824FD" w:rsidRDefault="00F30E41" w:rsidP="00D824FD">
      <w:pPr>
        <w:tabs>
          <w:tab w:val="left" w:pos="6946"/>
        </w:tabs>
        <w:spacing w:after="0" w:line="360" w:lineRule="auto"/>
        <w:jc w:val="both"/>
        <w:rPr>
          <w:rFonts w:ascii="Times New Roman" w:hAnsi="Times New Roman" w:cs="Times New Roman"/>
          <w:sz w:val="28"/>
          <w:szCs w:val="28"/>
          <w:lang w:val="ru-RU"/>
        </w:rPr>
      </w:pPr>
      <w:r w:rsidRPr="00D824FD">
        <w:rPr>
          <w:rFonts w:ascii="Times New Roman" w:hAnsi="Times New Roman" w:cs="Times New Roman"/>
          <w:sz w:val="28"/>
          <w:szCs w:val="28"/>
          <w:lang w:val="en-US"/>
        </w:rPr>
        <w:t xml:space="preserve">39. Ernst &amp; Young (EY). Renewable Energy Country Attractiveness Index (RECAI) - Top 40 ranking, June 2024. </w:t>
      </w:r>
      <w:r w:rsidRPr="00D824FD">
        <w:rPr>
          <w:rFonts w:ascii="Times New Roman" w:hAnsi="Times New Roman" w:cs="Times New Roman"/>
          <w:sz w:val="28"/>
          <w:szCs w:val="28"/>
          <w:lang w:val="ru-RU"/>
        </w:rPr>
        <w:t xml:space="preserve">Веб-сайт. </w:t>
      </w:r>
      <w:r w:rsidRPr="00D824FD">
        <w:rPr>
          <w:rFonts w:ascii="Times New Roman" w:hAnsi="Times New Roman" w:cs="Times New Roman"/>
          <w:sz w:val="28"/>
          <w:szCs w:val="28"/>
          <w:lang w:val="en-US"/>
        </w:rPr>
        <w:t>URL</w:t>
      </w:r>
      <w:r w:rsidRPr="00D824FD">
        <w:rPr>
          <w:rFonts w:ascii="Times New Roman" w:hAnsi="Times New Roman" w:cs="Times New Roman"/>
          <w:sz w:val="28"/>
          <w:szCs w:val="28"/>
          <w:lang w:val="ru-RU"/>
        </w:rPr>
        <w:t xml:space="preserve">: </w:t>
      </w:r>
      <w:r w:rsidRPr="00D824FD">
        <w:rPr>
          <w:rFonts w:ascii="Times New Roman" w:hAnsi="Times New Roman" w:cs="Times New Roman"/>
          <w:sz w:val="28"/>
          <w:szCs w:val="28"/>
          <w:lang w:val="en-US"/>
        </w:rPr>
        <w:t>https</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www</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ey</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com</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content</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dam</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ey</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unified</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site</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ey</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com</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en</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gl</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insights</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energy</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resources</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documents</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ey</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gl</w:t>
      </w:r>
      <w:r w:rsidRPr="00D824FD">
        <w:rPr>
          <w:rFonts w:ascii="Times New Roman" w:hAnsi="Times New Roman" w:cs="Times New Roman"/>
          <w:sz w:val="28"/>
          <w:szCs w:val="28"/>
          <w:lang w:val="ru-RU"/>
        </w:rPr>
        <w:t>-</w:t>
      </w:r>
      <w:r w:rsidRPr="00D824FD">
        <w:rPr>
          <w:rFonts w:ascii="Times New Roman" w:hAnsi="Times New Roman" w:cs="Times New Roman"/>
          <w:sz w:val="28"/>
          <w:szCs w:val="28"/>
          <w:lang w:val="en-US"/>
        </w:rPr>
        <w:t>recai</w:t>
      </w:r>
      <w:r w:rsidRPr="00D824FD">
        <w:rPr>
          <w:rFonts w:ascii="Times New Roman" w:hAnsi="Times New Roman" w:cs="Times New Roman"/>
          <w:sz w:val="28"/>
          <w:szCs w:val="28"/>
          <w:lang w:val="ru-RU"/>
        </w:rPr>
        <w:t>-63-</w:t>
      </w:r>
      <w:r w:rsidRPr="00D824FD">
        <w:rPr>
          <w:rFonts w:ascii="Times New Roman" w:hAnsi="Times New Roman" w:cs="Times New Roman"/>
          <w:sz w:val="28"/>
          <w:szCs w:val="28"/>
          <w:lang w:val="en-US"/>
        </w:rPr>
        <w:t>top</w:t>
      </w:r>
      <w:r w:rsidRPr="00D824FD">
        <w:rPr>
          <w:rFonts w:ascii="Times New Roman" w:hAnsi="Times New Roman" w:cs="Times New Roman"/>
          <w:sz w:val="28"/>
          <w:szCs w:val="28"/>
          <w:lang w:val="ru-RU"/>
        </w:rPr>
        <w:t>-40-</w:t>
      </w:r>
      <w:r w:rsidRPr="00D824FD">
        <w:rPr>
          <w:rFonts w:ascii="Times New Roman" w:hAnsi="Times New Roman" w:cs="Times New Roman"/>
          <w:sz w:val="28"/>
          <w:szCs w:val="28"/>
          <w:lang w:val="en-US"/>
        </w:rPr>
        <w:t>ranking</w:t>
      </w:r>
      <w:r w:rsidRPr="00D824FD">
        <w:rPr>
          <w:rFonts w:ascii="Times New Roman" w:hAnsi="Times New Roman" w:cs="Times New Roman"/>
          <w:sz w:val="28"/>
          <w:szCs w:val="28"/>
          <w:lang w:val="ru-RU"/>
        </w:rPr>
        <w:t>-06-2024.</w:t>
      </w:r>
      <w:r w:rsidRPr="00D824FD">
        <w:rPr>
          <w:rFonts w:ascii="Times New Roman" w:hAnsi="Times New Roman" w:cs="Times New Roman"/>
          <w:sz w:val="28"/>
          <w:szCs w:val="28"/>
          <w:lang w:val="en-US"/>
        </w:rPr>
        <w:t>pdf</w:t>
      </w:r>
      <w:r w:rsidRPr="00D824FD">
        <w:rPr>
          <w:rFonts w:ascii="Times New Roman" w:hAnsi="Times New Roman" w:cs="Times New Roman"/>
          <w:sz w:val="28"/>
          <w:szCs w:val="28"/>
          <w:lang w:val="ru-RU"/>
        </w:rPr>
        <w:t xml:space="preserve"> (дата звернення: 10.04.2025).</w:t>
      </w:r>
    </w:p>
    <w:p w:rsidR="00F30E41" w:rsidRPr="00D824FD" w:rsidRDefault="00F30E41" w:rsidP="00D824FD">
      <w:pPr>
        <w:tabs>
          <w:tab w:val="left" w:pos="6946"/>
        </w:tabs>
        <w:spacing w:after="0" w:line="360" w:lineRule="auto"/>
        <w:jc w:val="both"/>
        <w:rPr>
          <w:rFonts w:ascii="Times New Roman" w:hAnsi="Times New Roman" w:cs="Times New Roman"/>
          <w:sz w:val="28"/>
          <w:szCs w:val="28"/>
          <w:lang w:val="en-US"/>
        </w:rPr>
      </w:pPr>
      <w:r w:rsidRPr="00D824FD">
        <w:rPr>
          <w:rFonts w:ascii="Times New Roman" w:hAnsi="Times New Roman" w:cs="Times New Roman"/>
          <w:sz w:val="28"/>
          <w:szCs w:val="28"/>
          <w:lang w:val="en-US"/>
        </w:rPr>
        <w:t>40. Petrova D. European and Global Experience in Managing Sustainable Development of Economic-Ecological Systems. Proceedings of the International Scientific Conference. Odesa: ONU Mechnikov, 2024. (дата звернення: 15.04.2025).</w:t>
      </w:r>
    </w:p>
    <w:p w:rsidR="00F30E41" w:rsidRPr="00D824FD" w:rsidRDefault="00F30E41" w:rsidP="00D824FD">
      <w:pPr>
        <w:tabs>
          <w:tab w:val="left" w:pos="6946"/>
        </w:tabs>
        <w:spacing w:after="0" w:line="360" w:lineRule="auto"/>
        <w:jc w:val="both"/>
        <w:rPr>
          <w:rFonts w:ascii="Times New Roman" w:hAnsi="Times New Roman" w:cs="Times New Roman"/>
          <w:sz w:val="28"/>
          <w:szCs w:val="28"/>
          <w:lang w:val="en-US"/>
        </w:rPr>
      </w:pPr>
    </w:p>
    <w:p w:rsidR="00F30E41" w:rsidRDefault="00F30E41" w:rsidP="00D824FD">
      <w:pPr>
        <w:tabs>
          <w:tab w:val="left" w:pos="6946"/>
        </w:tabs>
        <w:spacing w:after="0" w:line="360" w:lineRule="auto"/>
        <w:jc w:val="both"/>
        <w:rPr>
          <w:rFonts w:ascii="Times New Roman" w:hAnsi="Times New Roman" w:cs="Times New Roman"/>
          <w:sz w:val="28"/>
          <w:szCs w:val="28"/>
        </w:rPr>
      </w:pPr>
      <w:r w:rsidRPr="00D824FD">
        <w:rPr>
          <w:rFonts w:ascii="Times New Roman" w:hAnsi="Times New Roman" w:cs="Times New Roman"/>
          <w:sz w:val="28"/>
          <w:szCs w:val="28"/>
          <w:lang w:val="en-US"/>
        </w:rPr>
        <w:t>41. FinanceCharts. Аналітика фінансових ринків, 2025. Веб-сайт. URL</w:t>
      </w:r>
      <w:r w:rsidRPr="0045426C">
        <w:rPr>
          <w:rFonts w:ascii="Times New Roman" w:hAnsi="Times New Roman" w:cs="Times New Roman"/>
          <w:sz w:val="28"/>
          <w:szCs w:val="28"/>
          <w:lang w:val="ru-RU"/>
        </w:rPr>
        <w:t xml:space="preserve">: </w:t>
      </w:r>
      <w:r w:rsidRPr="00D824FD">
        <w:rPr>
          <w:rFonts w:ascii="Times New Roman" w:hAnsi="Times New Roman" w:cs="Times New Roman"/>
          <w:sz w:val="28"/>
          <w:szCs w:val="28"/>
          <w:lang w:val="en-US"/>
        </w:rPr>
        <w:t>https</w:t>
      </w:r>
      <w:r w:rsidRPr="0045426C">
        <w:rPr>
          <w:rFonts w:ascii="Times New Roman" w:hAnsi="Times New Roman" w:cs="Times New Roman"/>
          <w:sz w:val="28"/>
          <w:szCs w:val="28"/>
          <w:lang w:val="ru-RU"/>
        </w:rPr>
        <w:t>://</w:t>
      </w:r>
      <w:r w:rsidRPr="00D824FD">
        <w:rPr>
          <w:rFonts w:ascii="Times New Roman" w:hAnsi="Times New Roman" w:cs="Times New Roman"/>
          <w:sz w:val="28"/>
          <w:szCs w:val="28"/>
          <w:lang w:val="en-US"/>
        </w:rPr>
        <w:t>www</w:t>
      </w:r>
      <w:r w:rsidRPr="0045426C">
        <w:rPr>
          <w:rFonts w:ascii="Times New Roman" w:hAnsi="Times New Roman" w:cs="Times New Roman"/>
          <w:sz w:val="28"/>
          <w:szCs w:val="28"/>
          <w:lang w:val="ru-RU"/>
        </w:rPr>
        <w:t>.</w:t>
      </w:r>
      <w:r w:rsidRPr="00D824FD">
        <w:rPr>
          <w:rFonts w:ascii="Times New Roman" w:hAnsi="Times New Roman" w:cs="Times New Roman"/>
          <w:sz w:val="28"/>
          <w:szCs w:val="28"/>
          <w:lang w:val="en-US"/>
        </w:rPr>
        <w:t>financecharts</w:t>
      </w:r>
      <w:r w:rsidRPr="0045426C">
        <w:rPr>
          <w:rFonts w:ascii="Times New Roman" w:hAnsi="Times New Roman" w:cs="Times New Roman"/>
          <w:sz w:val="28"/>
          <w:szCs w:val="28"/>
          <w:lang w:val="ru-RU"/>
        </w:rPr>
        <w:t>.</w:t>
      </w:r>
      <w:r w:rsidRPr="00D824FD">
        <w:rPr>
          <w:rFonts w:ascii="Times New Roman" w:hAnsi="Times New Roman" w:cs="Times New Roman"/>
          <w:sz w:val="28"/>
          <w:szCs w:val="28"/>
          <w:lang w:val="en-US"/>
        </w:rPr>
        <w:t>com</w:t>
      </w:r>
      <w:r w:rsidRPr="0045426C">
        <w:rPr>
          <w:rFonts w:ascii="Times New Roman" w:hAnsi="Times New Roman" w:cs="Times New Roman"/>
          <w:sz w:val="28"/>
          <w:szCs w:val="28"/>
          <w:lang w:val="ru-RU"/>
        </w:rPr>
        <w:t xml:space="preserve">/ (дата звернення: 24.03.2025).42. </w:t>
      </w:r>
      <w:r w:rsidRPr="00CB17F4">
        <w:rPr>
          <w:rFonts w:ascii="Times New Roman" w:hAnsi="Times New Roman" w:cs="Times New Roman"/>
          <w:sz w:val="28"/>
          <w:szCs w:val="28"/>
          <w:lang w:val="en-US"/>
        </w:rPr>
        <w:t xml:space="preserve">MSCI Inc. Sector Indices and Methodology. – </w:t>
      </w:r>
      <w:hyperlink r:id="rId71" w:tgtFrame="_new" w:history="1">
        <w:r w:rsidRPr="00CB17F4">
          <w:rPr>
            <w:rStyle w:val="Hyperlink"/>
            <w:rFonts w:ascii="Times New Roman" w:hAnsi="Times New Roman" w:cs="Times New Roman"/>
            <w:sz w:val="28"/>
            <w:szCs w:val="28"/>
            <w:lang w:val="en-US"/>
          </w:rPr>
          <w:t>https://www.msci.com/</w:t>
        </w:r>
      </w:hyperlink>
      <w:r w:rsidRPr="00CB17F4">
        <w:rPr>
          <w:rFonts w:ascii="Times New Roman" w:hAnsi="Times New Roman" w:cs="Times New Roman"/>
          <w:sz w:val="28"/>
          <w:szCs w:val="28"/>
          <w:lang w:val="en-US"/>
        </w:rPr>
        <w:t xml:space="preserve"> (</w:t>
      </w:r>
      <w:r w:rsidRPr="00CB17F4">
        <w:rPr>
          <w:rFonts w:ascii="Times New Roman" w:hAnsi="Times New Roman" w:cs="Times New Roman"/>
          <w:sz w:val="28"/>
          <w:szCs w:val="28"/>
          <w:lang w:val="de-AT"/>
        </w:rPr>
        <w:t>дата</w:t>
      </w:r>
      <w:r w:rsidRPr="00CB17F4">
        <w:rPr>
          <w:rFonts w:ascii="Times New Roman" w:hAnsi="Times New Roman" w:cs="Times New Roman"/>
          <w:sz w:val="28"/>
          <w:szCs w:val="28"/>
          <w:lang w:val="en-US"/>
        </w:rPr>
        <w:t xml:space="preserve"> </w:t>
      </w:r>
      <w:r w:rsidRPr="00CB17F4">
        <w:rPr>
          <w:rFonts w:ascii="Times New Roman" w:hAnsi="Times New Roman" w:cs="Times New Roman"/>
          <w:sz w:val="28"/>
          <w:szCs w:val="28"/>
          <w:lang w:val="de-AT"/>
        </w:rPr>
        <w:t>звернення</w:t>
      </w:r>
      <w:r w:rsidRPr="00CB17F4">
        <w:rPr>
          <w:rFonts w:ascii="Times New Roman" w:hAnsi="Times New Roman" w:cs="Times New Roman"/>
          <w:sz w:val="28"/>
          <w:szCs w:val="28"/>
          <w:lang w:val="en-US"/>
        </w:rPr>
        <w:t>: 24.0</w:t>
      </w:r>
      <w:r>
        <w:rPr>
          <w:rFonts w:ascii="Times New Roman" w:hAnsi="Times New Roman" w:cs="Times New Roman"/>
          <w:sz w:val="28"/>
          <w:szCs w:val="28"/>
          <w:lang w:val="en-US"/>
        </w:rPr>
        <w:t>4</w:t>
      </w:r>
      <w:r w:rsidRPr="00CB17F4">
        <w:rPr>
          <w:rFonts w:ascii="Times New Roman" w:hAnsi="Times New Roman" w:cs="Times New Roman"/>
          <w:sz w:val="28"/>
          <w:szCs w:val="28"/>
          <w:lang w:val="en-US"/>
        </w:rPr>
        <w:t>.2025).</w:t>
      </w:r>
    </w:p>
    <w:p w:rsidR="00F30E41" w:rsidRPr="00DE6487" w:rsidRDefault="00F30E41" w:rsidP="00DE6487">
      <w:pPr>
        <w:tabs>
          <w:tab w:val="left" w:pos="6946"/>
        </w:tabs>
        <w:spacing w:after="0" w:line="360" w:lineRule="auto"/>
        <w:jc w:val="both"/>
        <w:rPr>
          <w:rFonts w:ascii="Times New Roman" w:hAnsi="Times New Roman" w:cs="Times New Roman"/>
          <w:sz w:val="28"/>
          <w:szCs w:val="28"/>
          <w:lang w:val="ru-RU"/>
        </w:rPr>
      </w:pPr>
      <w:r w:rsidRPr="00DE6487">
        <w:rPr>
          <w:rFonts w:ascii="Times New Roman" w:hAnsi="Times New Roman" w:cs="Times New Roman"/>
          <w:sz w:val="28"/>
          <w:szCs w:val="28"/>
        </w:rPr>
        <w:t xml:space="preserve">43. Šindelář J. </w:t>
      </w:r>
      <w:r w:rsidRPr="00DE6487">
        <w:rPr>
          <w:rFonts w:ascii="Times New Roman" w:hAnsi="Times New Roman" w:cs="Times New Roman"/>
          <w:i/>
          <w:iCs/>
          <w:sz w:val="28"/>
          <w:szCs w:val="28"/>
        </w:rPr>
        <w:t>Journal of Financial Markets.</w:t>
      </w:r>
      <w:r w:rsidRPr="00DE6487">
        <w:rPr>
          <w:rFonts w:ascii="Times New Roman" w:hAnsi="Times New Roman" w:cs="Times New Roman"/>
          <w:sz w:val="28"/>
          <w:szCs w:val="28"/>
        </w:rPr>
        <w:t xml:space="preserve"> Performance of Active and Passive Funds in the U.S. Market: A Long-Term Analysis, 2022. Т. 45, № 3, стр. 215–232. URL: https://www.apolloacademy.com/wp-content/uploads/2024/11/Passive-Investing-Paper-vF-112224_STAMPED.pdf (дата звернення: 16.05.2025).</w:t>
      </w:r>
    </w:p>
    <w:p w:rsidR="00F30E41" w:rsidRPr="0045426C" w:rsidRDefault="00F30E41" w:rsidP="00DE6487">
      <w:pPr>
        <w:tabs>
          <w:tab w:val="left" w:pos="6946"/>
        </w:tabs>
        <w:spacing w:after="0" w:line="360" w:lineRule="auto"/>
        <w:jc w:val="both"/>
        <w:rPr>
          <w:rFonts w:ascii="Times New Roman" w:hAnsi="Times New Roman" w:cs="Times New Roman"/>
          <w:sz w:val="28"/>
          <w:szCs w:val="28"/>
          <w:lang w:val="en-US"/>
        </w:rPr>
      </w:pPr>
      <w:r w:rsidRPr="00DE6487">
        <w:rPr>
          <w:rFonts w:ascii="Times New Roman" w:hAnsi="Times New Roman" w:cs="Times New Roman"/>
          <w:sz w:val="28"/>
          <w:szCs w:val="28"/>
        </w:rPr>
        <w:t>44. EFAMA. The sectoral performance of active and passive UCITS. European Fund and Asset Management Association Report, 2024. URL: https://www.efama.org/sites/default/files/files/asset-management-report-2024_0.pdf (дата звернення: 16.05.2025).</w:t>
      </w:r>
    </w:p>
    <w:p w:rsidR="00F30E41" w:rsidRPr="00CB17F4" w:rsidRDefault="00F30E41" w:rsidP="00DE6487">
      <w:pPr>
        <w:tabs>
          <w:tab w:val="left" w:pos="6946"/>
        </w:tabs>
        <w:spacing w:after="0" w:line="360" w:lineRule="auto"/>
        <w:jc w:val="both"/>
        <w:rPr>
          <w:rFonts w:ascii="Times New Roman" w:hAnsi="Times New Roman" w:cs="Times New Roman"/>
          <w:sz w:val="28"/>
          <w:szCs w:val="28"/>
          <w:lang w:val="en-US"/>
        </w:rPr>
      </w:pPr>
      <w:r w:rsidRPr="00DE6487">
        <w:rPr>
          <w:rFonts w:ascii="Times New Roman" w:hAnsi="Times New Roman" w:cs="Times New Roman"/>
          <w:sz w:val="28"/>
          <w:szCs w:val="28"/>
        </w:rPr>
        <w:t xml:space="preserve">45. Jaquart P., Motz M., Köhler L., Weinhardt C. </w:t>
      </w:r>
      <w:r w:rsidRPr="00DE6487">
        <w:rPr>
          <w:rFonts w:ascii="Times New Roman" w:hAnsi="Times New Roman" w:cs="Times New Roman"/>
          <w:i/>
          <w:iCs/>
          <w:sz w:val="28"/>
          <w:szCs w:val="28"/>
        </w:rPr>
        <w:t>Journal of Applied Economics.</w:t>
      </w:r>
      <w:r w:rsidRPr="00DE6487">
        <w:rPr>
          <w:rFonts w:ascii="Times New Roman" w:hAnsi="Times New Roman" w:cs="Times New Roman"/>
          <w:sz w:val="28"/>
          <w:szCs w:val="28"/>
        </w:rPr>
        <w:t xml:space="preserve"> The impact of active and passive investment on market efficiency: a simulation study, 2023. DOI: https://doi.org/10.1080/15140326.2023.2188634 (дата звернення: 16.05.2025).</w:t>
      </w:r>
      <w:r>
        <w:rPr>
          <w:rFonts w:ascii="Times New Roman" w:hAnsi="Times New Roman" w:cs="Times New Roman"/>
          <w:sz w:val="28"/>
          <w:szCs w:val="28"/>
        </w:rPr>
        <w:t>4</w:t>
      </w:r>
      <w:r w:rsidRPr="0045426C">
        <w:rPr>
          <w:rFonts w:ascii="Times New Roman" w:hAnsi="Times New Roman" w:cs="Times New Roman"/>
          <w:sz w:val="28"/>
          <w:szCs w:val="28"/>
          <w:lang w:val="en-US"/>
        </w:rPr>
        <w:t>6</w:t>
      </w:r>
      <w:r w:rsidRPr="00963732">
        <w:rPr>
          <w:rFonts w:ascii="Times New Roman" w:hAnsi="Times New Roman" w:cs="Times New Roman"/>
          <w:sz w:val="28"/>
          <w:szCs w:val="28"/>
          <w:lang w:val="en-US"/>
        </w:rPr>
        <w:t>.</w:t>
      </w:r>
      <w:r w:rsidRPr="00CB17F4">
        <w:rPr>
          <w:rFonts w:ascii="Times New Roman" w:hAnsi="Times New Roman" w:cs="Times New Roman"/>
          <w:sz w:val="28"/>
          <w:szCs w:val="28"/>
          <w:lang w:val="en-US"/>
        </w:rPr>
        <w:t xml:space="preserve">  Statista. Global inflation rate compared to previous year from 2018 to 2029. – </w:t>
      </w:r>
      <w:hyperlink r:id="rId72" w:tgtFrame="_new" w:history="1">
        <w:r w:rsidRPr="00CB17F4">
          <w:rPr>
            <w:rStyle w:val="Hyperlink"/>
            <w:rFonts w:ascii="Times New Roman" w:hAnsi="Times New Roman" w:cs="Times New Roman"/>
            <w:sz w:val="28"/>
            <w:szCs w:val="28"/>
            <w:lang w:val="en-US"/>
          </w:rPr>
          <w:t>https://www.statista.com/statistics/256598/global-inflation-rate-compared-to-previous-year/</w:t>
        </w:r>
      </w:hyperlink>
      <w:r w:rsidRPr="00CB17F4">
        <w:rPr>
          <w:rFonts w:ascii="Times New Roman" w:hAnsi="Times New Roman" w:cs="Times New Roman"/>
          <w:sz w:val="28"/>
          <w:szCs w:val="28"/>
          <w:lang w:val="en-US"/>
        </w:rPr>
        <w:t xml:space="preserve"> (</w:t>
      </w:r>
      <w:r w:rsidRPr="00CB17F4">
        <w:rPr>
          <w:rFonts w:ascii="Times New Roman" w:hAnsi="Times New Roman" w:cs="Times New Roman"/>
          <w:sz w:val="28"/>
          <w:szCs w:val="28"/>
          <w:lang w:val="de-AT"/>
        </w:rPr>
        <w:t>дата</w:t>
      </w:r>
      <w:r w:rsidRPr="00CB17F4">
        <w:rPr>
          <w:rFonts w:ascii="Times New Roman" w:hAnsi="Times New Roman" w:cs="Times New Roman"/>
          <w:sz w:val="28"/>
          <w:szCs w:val="28"/>
          <w:lang w:val="en-US"/>
        </w:rPr>
        <w:t xml:space="preserve"> </w:t>
      </w:r>
      <w:r w:rsidRPr="00CB17F4">
        <w:rPr>
          <w:rFonts w:ascii="Times New Roman" w:hAnsi="Times New Roman" w:cs="Times New Roman"/>
          <w:sz w:val="28"/>
          <w:szCs w:val="28"/>
          <w:lang w:val="de-AT"/>
        </w:rPr>
        <w:t>звернення</w:t>
      </w:r>
      <w:r w:rsidRPr="00CB17F4">
        <w:rPr>
          <w:rFonts w:ascii="Times New Roman" w:hAnsi="Times New Roman" w:cs="Times New Roman"/>
          <w:sz w:val="28"/>
          <w:szCs w:val="28"/>
          <w:lang w:val="en-US"/>
        </w:rPr>
        <w:t xml:space="preserve">: </w:t>
      </w:r>
      <w:r>
        <w:rPr>
          <w:rFonts w:ascii="Times New Roman" w:hAnsi="Times New Roman" w:cs="Times New Roman"/>
          <w:sz w:val="28"/>
          <w:szCs w:val="28"/>
          <w:lang w:val="en-US"/>
        </w:rPr>
        <w:t>17</w:t>
      </w:r>
      <w:r w:rsidRPr="00CB17F4">
        <w:rPr>
          <w:rFonts w:ascii="Times New Roman" w:hAnsi="Times New Roman" w:cs="Times New Roman"/>
          <w:sz w:val="28"/>
          <w:szCs w:val="28"/>
          <w:lang w:val="en-US"/>
        </w:rPr>
        <w:t>.0</w:t>
      </w:r>
      <w:r>
        <w:rPr>
          <w:rFonts w:ascii="Times New Roman" w:hAnsi="Times New Roman" w:cs="Times New Roman"/>
          <w:sz w:val="28"/>
          <w:szCs w:val="28"/>
          <w:lang w:val="en-US"/>
        </w:rPr>
        <w:t>5</w:t>
      </w:r>
      <w:r w:rsidRPr="00CB17F4">
        <w:rPr>
          <w:rFonts w:ascii="Times New Roman" w:hAnsi="Times New Roman" w:cs="Times New Roman"/>
          <w:sz w:val="28"/>
          <w:szCs w:val="28"/>
          <w:lang w:val="en-US"/>
        </w:rPr>
        <w:t>.2025).</w:t>
      </w:r>
    </w:p>
    <w:p w:rsidR="00F30E41" w:rsidRPr="003F27C3" w:rsidRDefault="00F30E41" w:rsidP="00113797">
      <w:pPr>
        <w:tabs>
          <w:tab w:val="left" w:pos="6946"/>
        </w:tabs>
        <w:spacing w:after="0" w:line="360" w:lineRule="auto"/>
        <w:jc w:val="both"/>
        <w:rPr>
          <w:rFonts w:ascii="Times New Roman" w:hAnsi="Times New Roman" w:cs="Times New Roman"/>
          <w:sz w:val="28"/>
          <w:szCs w:val="28"/>
          <w:lang w:val="ru-RU"/>
        </w:rPr>
      </w:pPr>
      <w:r w:rsidRPr="00113797">
        <w:rPr>
          <w:rFonts w:ascii="Times New Roman" w:hAnsi="Times New Roman" w:cs="Times New Roman"/>
          <w:sz w:val="28"/>
          <w:szCs w:val="28"/>
        </w:rPr>
        <w:t xml:space="preserve">47. Галасюк А., Вишневський І. Ризики та можливості енергетичного сектору у період глобальних шоків // Галицький економічний вісник, 2023. </w:t>
      </w:r>
      <w:r w:rsidRPr="007148B1">
        <w:rPr>
          <w:rFonts w:ascii="Times New Roman" w:hAnsi="Times New Roman" w:cs="Times New Roman"/>
          <w:sz w:val="28"/>
          <w:szCs w:val="28"/>
          <w:lang w:val="ru-RU"/>
        </w:rPr>
        <w:t>-</w:t>
      </w:r>
      <w:r w:rsidRPr="00113797">
        <w:rPr>
          <w:rFonts w:ascii="Times New Roman" w:hAnsi="Times New Roman" w:cs="Times New Roman"/>
          <w:sz w:val="28"/>
          <w:szCs w:val="28"/>
        </w:rPr>
        <w:t xml:space="preserve"> № 80. </w:t>
      </w:r>
      <w:r w:rsidRPr="007148B1">
        <w:rPr>
          <w:rFonts w:ascii="Times New Roman" w:hAnsi="Times New Roman" w:cs="Times New Roman"/>
          <w:sz w:val="28"/>
          <w:szCs w:val="28"/>
          <w:lang w:val="ru-RU"/>
        </w:rPr>
        <w:t>-</w:t>
      </w:r>
      <w:r w:rsidRPr="00113797">
        <w:rPr>
          <w:rFonts w:ascii="Times New Roman" w:hAnsi="Times New Roman" w:cs="Times New Roman"/>
          <w:sz w:val="28"/>
          <w:szCs w:val="28"/>
        </w:rPr>
        <w:t xml:space="preserve"> С. 51</w:t>
      </w:r>
      <w:r w:rsidRPr="00AD10B9">
        <w:rPr>
          <w:rFonts w:ascii="Times New Roman" w:hAnsi="Times New Roman" w:cs="Times New Roman"/>
          <w:sz w:val="28"/>
          <w:szCs w:val="28"/>
          <w:lang w:val="ru-RU"/>
        </w:rPr>
        <w:t>-5</w:t>
      </w:r>
      <w:r w:rsidRPr="00113797">
        <w:rPr>
          <w:rFonts w:ascii="Times New Roman" w:hAnsi="Times New Roman" w:cs="Times New Roman"/>
          <w:sz w:val="28"/>
          <w:szCs w:val="28"/>
        </w:rPr>
        <w:t xml:space="preserve">8. URL: https://galicianvisnyk.tntu.edu.ua/pdf/80/1127.pdf (дата звернення: </w:t>
      </w:r>
      <w:r w:rsidRPr="003F27C3">
        <w:rPr>
          <w:rFonts w:ascii="Times New Roman" w:hAnsi="Times New Roman" w:cs="Times New Roman"/>
          <w:sz w:val="28"/>
          <w:szCs w:val="28"/>
          <w:lang w:val="ru-RU"/>
        </w:rPr>
        <w:t>17</w:t>
      </w:r>
      <w:r w:rsidRPr="00113797">
        <w:rPr>
          <w:rFonts w:ascii="Times New Roman" w:hAnsi="Times New Roman" w:cs="Times New Roman"/>
          <w:sz w:val="28"/>
          <w:szCs w:val="28"/>
        </w:rPr>
        <w:t>.0</w:t>
      </w:r>
      <w:r w:rsidRPr="003F27C3">
        <w:rPr>
          <w:rFonts w:ascii="Times New Roman" w:hAnsi="Times New Roman" w:cs="Times New Roman"/>
          <w:sz w:val="28"/>
          <w:szCs w:val="28"/>
          <w:lang w:val="ru-RU"/>
        </w:rPr>
        <w:t>5</w:t>
      </w:r>
      <w:r w:rsidRPr="00113797">
        <w:rPr>
          <w:rFonts w:ascii="Times New Roman" w:hAnsi="Times New Roman" w:cs="Times New Roman"/>
          <w:sz w:val="28"/>
          <w:szCs w:val="28"/>
        </w:rPr>
        <w:t>.2025).</w:t>
      </w:r>
    </w:p>
    <w:p w:rsidR="00F30E41" w:rsidRPr="003F27C3" w:rsidRDefault="00F30E41" w:rsidP="00113797">
      <w:pPr>
        <w:tabs>
          <w:tab w:val="left" w:pos="6946"/>
        </w:tabs>
        <w:spacing w:after="0" w:line="360" w:lineRule="auto"/>
        <w:jc w:val="both"/>
        <w:rPr>
          <w:rFonts w:ascii="Times New Roman" w:hAnsi="Times New Roman" w:cs="Times New Roman"/>
          <w:sz w:val="28"/>
          <w:szCs w:val="28"/>
          <w:lang w:val="ru-RU"/>
        </w:rPr>
      </w:pPr>
      <w:r w:rsidRPr="00113797">
        <w:rPr>
          <w:rFonts w:ascii="Times New Roman" w:hAnsi="Times New Roman" w:cs="Times New Roman"/>
          <w:sz w:val="28"/>
          <w:szCs w:val="28"/>
        </w:rPr>
        <w:t>48. Reuters. Semiconductor stocks under pressure as Taiwan tensions mount, 02.08.2022. URL: https://www.reuters.com/technology/semiconductor-stocks-under-pressure-taiwan-tensions-mount-2022-08-02/ (дата звернення: 2</w:t>
      </w:r>
      <w:r w:rsidRPr="003F27C3">
        <w:rPr>
          <w:rFonts w:ascii="Times New Roman" w:hAnsi="Times New Roman" w:cs="Times New Roman"/>
          <w:sz w:val="28"/>
          <w:szCs w:val="28"/>
          <w:lang w:val="ru-RU"/>
        </w:rPr>
        <w:t>5</w:t>
      </w:r>
      <w:r w:rsidRPr="00113797">
        <w:rPr>
          <w:rFonts w:ascii="Times New Roman" w:hAnsi="Times New Roman" w:cs="Times New Roman"/>
          <w:sz w:val="28"/>
          <w:szCs w:val="28"/>
        </w:rPr>
        <w:t>.0</w:t>
      </w:r>
      <w:r w:rsidRPr="003F27C3">
        <w:rPr>
          <w:rFonts w:ascii="Times New Roman" w:hAnsi="Times New Roman" w:cs="Times New Roman"/>
          <w:sz w:val="28"/>
          <w:szCs w:val="28"/>
          <w:lang w:val="ru-RU"/>
        </w:rPr>
        <w:t>5</w:t>
      </w:r>
      <w:r w:rsidRPr="00113797">
        <w:rPr>
          <w:rFonts w:ascii="Times New Roman" w:hAnsi="Times New Roman" w:cs="Times New Roman"/>
          <w:sz w:val="28"/>
          <w:szCs w:val="28"/>
        </w:rPr>
        <w:t>.2025).</w:t>
      </w:r>
    </w:p>
    <w:p w:rsidR="00F30E41" w:rsidRPr="003F27C3" w:rsidRDefault="00F30E41" w:rsidP="00113797">
      <w:pPr>
        <w:tabs>
          <w:tab w:val="left" w:pos="6946"/>
        </w:tabs>
        <w:spacing w:after="0" w:line="360" w:lineRule="auto"/>
        <w:jc w:val="both"/>
        <w:rPr>
          <w:rFonts w:ascii="Times New Roman" w:hAnsi="Times New Roman" w:cs="Times New Roman"/>
          <w:sz w:val="28"/>
          <w:szCs w:val="28"/>
          <w:lang w:val="ru-RU"/>
        </w:rPr>
      </w:pPr>
      <w:r w:rsidRPr="003F27C3">
        <w:rPr>
          <w:rFonts w:ascii="Times New Roman" w:hAnsi="Times New Roman" w:cs="Times New Roman"/>
          <w:sz w:val="28"/>
          <w:szCs w:val="28"/>
          <w:lang w:val="ru-RU"/>
        </w:rPr>
        <w:t xml:space="preserve">49. </w:t>
      </w:r>
      <w:r w:rsidRPr="007148B1">
        <w:rPr>
          <w:rFonts w:ascii="Times New Roman" w:hAnsi="Times New Roman" w:cs="Times New Roman"/>
          <w:sz w:val="28"/>
          <w:szCs w:val="28"/>
          <w:lang w:val="en-US"/>
        </w:rPr>
        <w:t>Portfolio</w:t>
      </w:r>
      <w:r w:rsidRPr="003F27C3">
        <w:rPr>
          <w:rFonts w:ascii="Times New Roman" w:hAnsi="Times New Roman" w:cs="Times New Roman"/>
          <w:sz w:val="28"/>
          <w:szCs w:val="28"/>
          <w:lang w:val="ru-RU"/>
        </w:rPr>
        <w:t xml:space="preserve"> </w:t>
      </w:r>
      <w:r w:rsidRPr="007148B1">
        <w:rPr>
          <w:rFonts w:ascii="Times New Roman" w:hAnsi="Times New Roman" w:cs="Times New Roman"/>
          <w:sz w:val="28"/>
          <w:szCs w:val="28"/>
          <w:lang w:val="en-US"/>
        </w:rPr>
        <w:t>Visualizer</w:t>
      </w:r>
      <w:r w:rsidRPr="003F27C3">
        <w:rPr>
          <w:rFonts w:ascii="Times New Roman" w:hAnsi="Times New Roman" w:cs="Times New Roman"/>
          <w:sz w:val="28"/>
          <w:szCs w:val="28"/>
          <w:lang w:val="ru-RU"/>
        </w:rPr>
        <w:t xml:space="preserve">. Інструменти моделювання інвестиційних портфелів. – </w:t>
      </w:r>
      <w:r w:rsidRPr="007148B1">
        <w:rPr>
          <w:rFonts w:ascii="Times New Roman" w:hAnsi="Times New Roman" w:cs="Times New Roman"/>
          <w:sz w:val="28"/>
          <w:szCs w:val="28"/>
          <w:lang w:val="en-US"/>
        </w:rPr>
        <w:t>URL</w:t>
      </w:r>
      <w:r w:rsidRPr="003F27C3">
        <w:rPr>
          <w:rFonts w:ascii="Times New Roman" w:hAnsi="Times New Roman" w:cs="Times New Roman"/>
          <w:sz w:val="28"/>
          <w:szCs w:val="28"/>
          <w:lang w:val="ru-RU"/>
        </w:rPr>
        <w:t xml:space="preserve">: </w:t>
      </w:r>
      <w:r w:rsidRPr="007148B1">
        <w:rPr>
          <w:rFonts w:ascii="Times New Roman" w:hAnsi="Times New Roman" w:cs="Times New Roman"/>
          <w:sz w:val="28"/>
          <w:szCs w:val="28"/>
          <w:lang w:val="en-US"/>
        </w:rPr>
        <w:t>https</w:t>
      </w:r>
      <w:r w:rsidRPr="003F27C3">
        <w:rPr>
          <w:rFonts w:ascii="Times New Roman" w:hAnsi="Times New Roman" w:cs="Times New Roman"/>
          <w:sz w:val="28"/>
          <w:szCs w:val="28"/>
          <w:lang w:val="ru-RU"/>
        </w:rPr>
        <w:t>://</w:t>
      </w:r>
      <w:r w:rsidRPr="007148B1">
        <w:rPr>
          <w:rFonts w:ascii="Times New Roman" w:hAnsi="Times New Roman" w:cs="Times New Roman"/>
          <w:sz w:val="28"/>
          <w:szCs w:val="28"/>
          <w:lang w:val="en-US"/>
        </w:rPr>
        <w:t>www</w:t>
      </w:r>
      <w:r w:rsidRPr="003F27C3">
        <w:rPr>
          <w:rFonts w:ascii="Times New Roman" w:hAnsi="Times New Roman" w:cs="Times New Roman"/>
          <w:sz w:val="28"/>
          <w:szCs w:val="28"/>
          <w:lang w:val="ru-RU"/>
        </w:rPr>
        <w:t>.</w:t>
      </w:r>
      <w:r w:rsidRPr="007148B1">
        <w:rPr>
          <w:rFonts w:ascii="Times New Roman" w:hAnsi="Times New Roman" w:cs="Times New Roman"/>
          <w:sz w:val="28"/>
          <w:szCs w:val="28"/>
          <w:lang w:val="en-US"/>
        </w:rPr>
        <w:t>portfoliovisualizer</w:t>
      </w:r>
      <w:r w:rsidRPr="003F27C3">
        <w:rPr>
          <w:rFonts w:ascii="Times New Roman" w:hAnsi="Times New Roman" w:cs="Times New Roman"/>
          <w:sz w:val="28"/>
          <w:szCs w:val="28"/>
          <w:lang w:val="ru-RU"/>
        </w:rPr>
        <w:t>.</w:t>
      </w:r>
      <w:r w:rsidRPr="007148B1">
        <w:rPr>
          <w:rFonts w:ascii="Times New Roman" w:hAnsi="Times New Roman" w:cs="Times New Roman"/>
          <w:sz w:val="28"/>
          <w:szCs w:val="28"/>
          <w:lang w:val="en-US"/>
        </w:rPr>
        <w:t>com</w:t>
      </w:r>
      <w:r w:rsidRPr="003F27C3">
        <w:rPr>
          <w:rFonts w:ascii="Times New Roman" w:hAnsi="Times New Roman" w:cs="Times New Roman"/>
          <w:sz w:val="28"/>
          <w:szCs w:val="28"/>
          <w:lang w:val="ru-RU"/>
        </w:rPr>
        <w:t>/ (дата звернення: 25.05.2025).</w:t>
      </w:r>
    </w:p>
    <w:p w:rsidR="00F30E41" w:rsidRPr="0045426C" w:rsidRDefault="00F30E41" w:rsidP="00113797">
      <w:pPr>
        <w:tabs>
          <w:tab w:val="left" w:pos="6946"/>
        </w:tabs>
        <w:spacing w:after="0" w:line="360" w:lineRule="auto"/>
        <w:jc w:val="both"/>
        <w:rPr>
          <w:rFonts w:ascii="Times New Roman" w:hAnsi="Times New Roman" w:cs="Times New Roman"/>
          <w:sz w:val="28"/>
          <w:szCs w:val="28"/>
          <w:lang w:val="ru-RU"/>
        </w:rPr>
      </w:pPr>
      <w:r w:rsidRPr="007148B1">
        <w:rPr>
          <w:rFonts w:ascii="Times New Roman" w:hAnsi="Times New Roman" w:cs="Times New Roman"/>
          <w:sz w:val="28"/>
          <w:szCs w:val="28"/>
          <w:lang w:val="ru-RU"/>
        </w:rPr>
        <w:t>50</w:t>
      </w:r>
      <w:r w:rsidRPr="00113797">
        <w:rPr>
          <w:rFonts w:ascii="Times New Roman" w:hAnsi="Times New Roman" w:cs="Times New Roman"/>
          <w:sz w:val="28"/>
          <w:szCs w:val="28"/>
        </w:rPr>
        <w:t>. Петрова Д.О. Порівняння інвестиційної привабливості різних галузей економіки України в умовах нестабільності. Тези доповіді на науковій конференції студентів. – Одеський національний університет імені І.І. Мечникова, 2025.</w:t>
      </w:r>
    </w:p>
    <w:p w:rsidR="00F30E41" w:rsidRPr="00113797" w:rsidRDefault="00F30E41" w:rsidP="00113797">
      <w:pPr>
        <w:tabs>
          <w:tab w:val="left" w:pos="6946"/>
        </w:tabs>
        <w:spacing w:after="0" w:line="360" w:lineRule="auto"/>
        <w:jc w:val="both"/>
        <w:rPr>
          <w:rFonts w:ascii="Times New Roman" w:hAnsi="Times New Roman" w:cs="Times New Roman"/>
          <w:sz w:val="28"/>
          <w:szCs w:val="28"/>
          <w:lang w:val="en-US"/>
        </w:rPr>
      </w:pPr>
      <w:r w:rsidRPr="00113797">
        <w:rPr>
          <w:rFonts w:ascii="Times New Roman" w:hAnsi="Times New Roman" w:cs="Times New Roman"/>
          <w:sz w:val="28"/>
          <w:szCs w:val="28"/>
        </w:rPr>
        <w:t>51. Kenneth R. French Data Library. – URL: https://mba.tuck.dartmouth.edu/pages/faculty/ken.french/data_library.html (дата звернення: 2</w:t>
      </w:r>
      <w:r>
        <w:rPr>
          <w:rFonts w:ascii="Times New Roman" w:hAnsi="Times New Roman" w:cs="Times New Roman"/>
          <w:sz w:val="28"/>
          <w:szCs w:val="28"/>
          <w:lang w:val="en-US"/>
        </w:rPr>
        <w:t>5</w:t>
      </w:r>
      <w:r w:rsidRPr="00113797">
        <w:rPr>
          <w:rFonts w:ascii="Times New Roman" w:hAnsi="Times New Roman" w:cs="Times New Roman"/>
          <w:sz w:val="28"/>
          <w:szCs w:val="28"/>
        </w:rPr>
        <w:t>.0</w:t>
      </w:r>
      <w:r w:rsidRPr="003F27C3">
        <w:rPr>
          <w:rFonts w:ascii="Times New Roman" w:hAnsi="Times New Roman" w:cs="Times New Roman"/>
          <w:sz w:val="28"/>
          <w:szCs w:val="28"/>
          <w:lang w:val="en-US"/>
        </w:rPr>
        <w:t>5</w:t>
      </w:r>
      <w:r w:rsidRPr="00113797">
        <w:rPr>
          <w:rFonts w:ascii="Times New Roman" w:hAnsi="Times New Roman" w:cs="Times New Roman"/>
          <w:sz w:val="28"/>
          <w:szCs w:val="28"/>
        </w:rPr>
        <w:t>.2025).</w:t>
      </w:r>
    </w:p>
    <w:p w:rsidR="00F30E41" w:rsidRPr="00113797" w:rsidRDefault="00F30E41" w:rsidP="0030125A">
      <w:pPr>
        <w:tabs>
          <w:tab w:val="left" w:pos="6946"/>
        </w:tabs>
        <w:spacing w:after="0" w:line="360" w:lineRule="auto"/>
        <w:jc w:val="both"/>
        <w:rPr>
          <w:rFonts w:ascii="Times New Roman" w:hAnsi="Times New Roman" w:cs="Times New Roman"/>
          <w:i/>
          <w:iCs/>
          <w:sz w:val="28"/>
          <w:szCs w:val="28"/>
          <w:lang w:val="en-US"/>
        </w:rPr>
      </w:pPr>
    </w:p>
    <w:p w:rsidR="00F30E41" w:rsidRPr="00113797" w:rsidRDefault="00F30E41" w:rsidP="00C04144">
      <w:pPr>
        <w:tabs>
          <w:tab w:val="left" w:pos="6946"/>
        </w:tabs>
        <w:spacing w:after="0" w:line="360" w:lineRule="auto"/>
        <w:jc w:val="both"/>
        <w:rPr>
          <w:rFonts w:ascii="Times New Roman" w:hAnsi="Times New Roman" w:cs="Times New Roman"/>
          <w:sz w:val="28"/>
          <w:szCs w:val="28"/>
          <w:lang w:val="en-US"/>
        </w:rPr>
      </w:pPr>
    </w:p>
    <w:p w:rsidR="00F30E41" w:rsidRPr="00794B8C" w:rsidRDefault="00F30E41" w:rsidP="0081360B">
      <w:pPr>
        <w:tabs>
          <w:tab w:val="left" w:pos="6946"/>
        </w:tabs>
        <w:spacing w:after="0" w:line="360" w:lineRule="auto"/>
        <w:jc w:val="both"/>
        <w:rPr>
          <w:rFonts w:ascii="Times New Roman" w:hAnsi="Times New Roman" w:cs="Times New Roman"/>
          <w:color w:val="000000"/>
          <w:sz w:val="28"/>
          <w:szCs w:val="28"/>
        </w:rPr>
      </w:pPr>
    </w:p>
    <w:p w:rsidR="00F30E41" w:rsidRPr="00794B8C" w:rsidRDefault="00F30E41" w:rsidP="0081360B">
      <w:pPr>
        <w:tabs>
          <w:tab w:val="left" w:pos="6946"/>
        </w:tabs>
        <w:spacing w:after="0" w:line="360" w:lineRule="auto"/>
        <w:jc w:val="both"/>
        <w:rPr>
          <w:rFonts w:ascii="Times New Roman" w:hAnsi="Times New Roman" w:cs="Times New Roman"/>
          <w:color w:val="000000"/>
          <w:sz w:val="28"/>
          <w:szCs w:val="28"/>
        </w:rPr>
      </w:pPr>
    </w:p>
    <w:p w:rsidR="00F30E41" w:rsidRPr="00794B8C" w:rsidRDefault="00F30E41" w:rsidP="0081360B">
      <w:pPr>
        <w:tabs>
          <w:tab w:val="left" w:pos="6946"/>
        </w:tabs>
        <w:spacing w:after="0" w:line="360" w:lineRule="auto"/>
        <w:jc w:val="both"/>
        <w:rPr>
          <w:rFonts w:ascii="Times New Roman" w:hAnsi="Times New Roman" w:cs="Times New Roman"/>
          <w:color w:val="000000"/>
          <w:sz w:val="28"/>
          <w:szCs w:val="28"/>
        </w:rPr>
      </w:pPr>
    </w:p>
    <w:p w:rsidR="00F30E41" w:rsidRDefault="00F30E41" w:rsidP="0081360B">
      <w:pPr>
        <w:tabs>
          <w:tab w:val="left" w:pos="6946"/>
        </w:tabs>
        <w:spacing w:after="0" w:line="360" w:lineRule="auto"/>
        <w:jc w:val="both"/>
        <w:rPr>
          <w:rFonts w:ascii="Times New Roman" w:hAnsi="Times New Roman" w:cs="Times New Roman"/>
          <w:color w:val="000000"/>
          <w:sz w:val="28"/>
          <w:szCs w:val="28"/>
        </w:rPr>
      </w:pPr>
    </w:p>
    <w:p w:rsidR="00F30E41" w:rsidRDefault="00F30E41">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F30E41" w:rsidRPr="00B34927" w:rsidRDefault="00F30E41" w:rsidP="00164F8B">
      <w:pPr>
        <w:jc w:val="center"/>
        <w:rPr>
          <w:rFonts w:ascii="Times New Roman" w:hAnsi="Times New Roman" w:cs="Times New Roman"/>
          <w:b/>
          <w:bCs/>
          <w:color w:val="000000"/>
          <w:sz w:val="28"/>
          <w:szCs w:val="28"/>
          <w:lang w:val="ru-RU"/>
        </w:rPr>
      </w:pPr>
      <w:r w:rsidRPr="00E13A70">
        <w:rPr>
          <w:rFonts w:ascii="Times New Roman" w:hAnsi="Times New Roman" w:cs="Times New Roman"/>
          <w:b/>
          <w:bCs/>
          <w:color w:val="000000"/>
          <w:sz w:val="28"/>
          <w:szCs w:val="28"/>
        </w:rPr>
        <w:t>ДОДАТКИ</w:t>
      </w:r>
    </w:p>
    <w:p w:rsidR="00F30E41" w:rsidRDefault="00F30E41" w:rsidP="00164F8B">
      <w:pPr>
        <w:jc w:val="right"/>
        <w:rPr>
          <w:rFonts w:ascii="Times New Roman" w:hAnsi="Times New Roman" w:cs="Times New Roman"/>
          <w:b/>
          <w:bCs/>
          <w:color w:val="000000"/>
          <w:sz w:val="28"/>
          <w:szCs w:val="28"/>
          <w:lang w:val="ru-RU"/>
        </w:rPr>
      </w:pPr>
      <w:r w:rsidRPr="00B27644">
        <w:rPr>
          <w:rFonts w:ascii="Times New Roman" w:hAnsi="Times New Roman" w:cs="Times New Roman"/>
          <w:b/>
          <w:bCs/>
          <w:color w:val="000000"/>
          <w:sz w:val="28"/>
          <w:szCs w:val="28"/>
        </w:rPr>
        <w:t>Додаток А</w:t>
      </w:r>
      <w:r>
        <w:rPr>
          <w:rFonts w:ascii="Times New Roman" w:hAnsi="Times New Roman" w:cs="Times New Roman"/>
          <w:b/>
          <w:bCs/>
          <w:color w:val="000000"/>
          <w:sz w:val="28"/>
          <w:szCs w:val="28"/>
          <w:lang w:val="ru-RU"/>
        </w:rPr>
        <w:t>.1</w:t>
      </w:r>
      <w:r w:rsidRPr="00B27644">
        <w:rPr>
          <w:rFonts w:ascii="Times New Roman" w:hAnsi="Times New Roman" w:cs="Times New Roman"/>
          <w:b/>
          <w:bCs/>
          <w:color w:val="000000"/>
          <w:sz w:val="28"/>
          <w:szCs w:val="28"/>
        </w:rPr>
        <w:t xml:space="preserve"> </w:t>
      </w:r>
    </w:p>
    <w:p w:rsidR="00F30E41" w:rsidRPr="00242F67" w:rsidRDefault="00F30E41" w:rsidP="00164F8B">
      <w:pPr>
        <w:tabs>
          <w:tab w:val="left" w:pos="6946"/>
        </w:tabs>
        <w:spacing w:after="0" w:line="360" w:lineRule="auto"/>
        <w:ind w:firstLine="709"/>
        <w:jc w:val="center"/>
        <w:rPr>
          <w:rFonts w:ascii="Times New Roman" w:hAnsi="Times New Roman" w:cs="Times New Roman"/>
          <w:b/>
          <w:bCs/>
          <w:color w:val="000000"/>
          <w:sz w:val="28"/>
          <w:szCs w:val="28"/>
        </w:rPr>
      </w:pPr>
      <w:r w:rsidRPr="00242F67">
        <w:rPr>
          <w:rFonts w:ascii="Times New Roman" w:hAnsi="Times New Roman" w:cs="Times New Roman"/>
          <w:b/>
          <w:bCs/>
          <w:color w:val="000000"/>
          <w:sz w:val="28"/>
          <w:szCs w:val="28"/>
        </w:rPr>
        <w:t>Матриця кореляції дохідності акцій обраних компаній за 2020</w:t>
      </w:r>
      <w:r>
        <w:rPr>
          <w:rFonts w:ascii="Times New Roman" w:hAnsi="Times New Roman" w:cs="Times New Roman"/>
          <w:b/>
          <w:bCs/>
          <w:color w:val="000000"/>
          <w:sz w:val="28"/>
          <w:szCs w:val="28"/>
          <w:lang w:val="ru-RU"/>
        </w:rPr>
        <w:t>-</w:t>
      </w:r>
      <w:r w:rsidRPr="00242F67">
        <w:rPr>
          <w:rFonts w:ascii="Times New Roman" w:hAnsi="Times New Roman" w:cs="Times New Roman"/>
          <w:b/>
          <w:bCs/>
          <w:color w:val="000000"/>
          <w:sz w:val="28"/>
          <w:szCs w:val="28"/>
        </w:rPr>
        <w:t>2025 рр.</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3"/>
        <w:gridCol w:w="1134"/>
        <w:gridCol w:w="992"/>
        <w:gridCol w:w="992"/>
        <w:gridCol w:w="851"/>
        <w:gridCol w:w="839"/>
        <w:gridCol w:w="691"/>
        <w:gridCol w:w="777"/>
        <w:gridCol w:w="811"/>
        <w:gridCol w:w="528"/>
        <w:gridCol w:w="883"/>
      </w:tblGrid>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Назва компанії</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Тікер</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NVDA</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SONY</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PFE</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RHHBY</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TAK</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XOM</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TTE</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NEE</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ASML</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NVIDIA Corporation</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NVDA</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0.37</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0.22</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0.17</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0.05</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color w:val="000000"/>
                <w:sz w:val="26"/>
                <w:szCs w:val="26"/>
              </w:rPr>
            </w:pPr>
            <w:r w:rsidRPr="00596352">
              <w:rPr>
                <w:rFonts w:ascii="Times New Roman" w:hAnsi="Times New Roman" w:cs="Times New Roman"/>
                <w:color w:val="000000"/>
                <w:sz w:val="26"/>
                <w:szCs w:val="26"/>
              </w:rPr>
              <w:t>0.03</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color w:val="000000"/>
                <w:sz w:val="26"/>
                <w:szCs w:val="26"/>
              </w:rPr>
            </w:pPr>
            <w:r w:rsidRPr="00596352">
              <w:rPr>
                <w:rFonts w:ascii="Times New Roman" w:hAnsi="Times New Roman" w:cs="Times New Roman"/>
                <w:color w:val="000000"/>
                <w:sz w:val="26"/>
                <w:szCs w:val="26"/>
              </w:rPr>
              <w:t>-0.02</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color w:val="000000"/>
                <w:sz w:val="26"/>
                <w:szCs w:val="26"/>
              </w:rPr>
            </w:pPr>
            <w:r w:rsidRPr="00596352">
              <w:rPr>
                <w:rFonts w:ascii="Times New Roman" w:hAnsi="Times New Roman" w:cs="Times New Roman"/>
                <w:color w:val="000000"/>
                <w:sz w:val="26"/>
                <w:szCs w:val="26"/>
              </w:rPr>
              <w:t>0.26</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color w:val="000000"/>
                <w:sz w:val="26"/>
                <w:szCs w:val="26"/>
              </w:rPr>
            </w:pPr>
            <w:r w:rsidRPr="00596352">
              <w:rPr>
                <w:rFonts w:ascii="Times New Roman" w:hAnsi="Times New Roman" w:cs="Times New Roman"/>
                <w:color w:val="000000"/>
                <w:sz w:val="26"/>
                <w:szCs w:val="26"/>
              </w:rPr>
              <w:t>0.65</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Sony Group Corp</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SONY</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0.37</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0.28</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0.24</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0.23</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0.19</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0.28</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0.34</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0.63</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Pfizer Inc</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PFE</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0.22</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0.28</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0.39</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0.34</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0.12</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0.20</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0.50</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0.24</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Roche Holding Ltd ADR</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RHHBY</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0.17</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0.24</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0.39</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0.21</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-0.00</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0.02</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0.34</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0.29</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Takeda Pharmaceutical Co Ltd ADR</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TAK</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0.05</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0.23</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0.34</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0.21</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0.43</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0.40</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0.06</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0.29</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Exxon Mobil Corp</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XOM</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0.03</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0.19</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0.12</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-0.00</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0.43</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0.66</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-0.08</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0.22</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TotalEnergies SE ADR</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TTE</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-0.02</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0.28</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0.20</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0.02</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0.40</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0.66</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0.05</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0.26</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Nextera Energy Inc</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NEE</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0.26</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0.34</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0.50</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0.34</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0.06</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-0.08</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0.05</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0.28</w:t>
            </w:r>
          </w:p>
        </w:tc>
      </w:tr>
      <w:tr w:rsidR="00F30E41" w:rsidRPr="00596352">
        <w:tc>
          <w:tcPr>
            <w:tcW w:w="141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ASML Holding NV ADR</w:t>
            </w:r>
          </w:p>
        </w:tc>
        <w:tc>
          <w:tcPr>
            <w:tcW w:w="1134"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ASML</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0.65</w:t>
            </w:r>
          </w:p>
        </w:tc>
        <w:tc>
          <w:tcPr>
            <w:tcW w:w="99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0.63</w:t>
            </w:r>
          </w:p>
        </w:tc>
        <w:tc>
          <w:tcPr>
            <w:tcW w:w="85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0.24</w:t>
            </w:r>
          </w:p>
        </w:tc>
        <w:tc>
          <w:tcPr>
            <w:tcW w:w="839"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0.29</w:t>
            </w:r>
          </w:p>
        </w:tc>
        <w:tc>
          <w:tcPr>
            <w:tcW w:w="69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0.29</w:t>
            </w:r>
          </w:p>
        </w:tc>
        <w:tc>
          <w:tcPr>
            <w:tcW w:w="777"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0.22</w:t>
            </w:r>
          </w:p>
        </w:tc>
        <w:tc>
          <w:tcPr>
            <w:tcW w:w="8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0.26</w:t>
            </w:r>
          </w:p>
        </w:tc>
        <w:tc>
          <w:tcPr>
            <w:tcW w:w="528"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0.28</w:t>
            </w:r>
          </w:p>
        </w:tc>
        <w:tc>
          <w:tcPr>
            <w:tcW w:w="88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1.00</w:t>
            </w:r>
          </w:p>
        </w:tc>
      </w:tr>
    </w:tbl>
    <w:p w:rsidR="00F30E41" w:rsidRDefault="00F30E41" w:rsidP="00164F8B">
      <w:pPr>
        <w:tabs>
          <w:tab w:val="left" w:pos="6946"/>
        </w:tabs>
        <w:spacing w:after="0" w:line="360" w:lineRule="auto"/>
        <w:jc w:val="both"/>
        <w:rPr>
          <w:rFonts w:ascii="Times New Roman" w:hAnsi="Times New Roman" w:cs="Times New Roman"/>
          <w:color w:val="000000"/>
          <w:sz w:val="28"/>
          <w:szCs w:val="28"/>
          <w:lang w:val="ru-RU"/>
        </w:rPr>
      </w:pPr>
      <w:r w:rsidRPr="005A1441">
        <w:rPr>
          <w:rFonts w:ascii="Times New Roman" w:hAnsi="Times New Roman" w:cs="Times New Roman"/>
          <w:color w:val="000000"/>
          <w:sz w:val="28"/>
          <w:szCs w:val="28"/>
        </w:rPr>
        <w:t>Джерело: розраховано автором на основі</w:t>
      </w:r>
      <w:r>
        <w:rPr>
          <w:rFonts w:ascii="Times New Roman" w:hAnsi="Times New Roman" w:cs="Times New Roman"/>
          <w:color w:val="000000"/>
          <w:sz w:val="28"/>
          <w:szCs w:val="28"/>
        </w:rPr>
        <w:t xml:space="preserve"> </w:t>
      </w:r>
      <w:r w:rsidRPr="00301084">
        <w:rPr>
          <w:rFonts w:ascii="Times New Roman" w:hAnsi="Times New Roman" w:cs="Times New Roman"/>
          <w:color w:val="000000"/>
          <w:sz w:val="28"/>
          <w:szCs w:val="28"/>
        </w:rPr>
        <w:t>[</w:t>
      </w:r>
      <w:r w:rsidRPr="0003741D">
        <w:rPr>
          <w:rFonts w:ascii="Times New Roman" w:hAnsi="Times New Roman" w:cs="Times New Roman"/>
          <w:color w:val="000000"/>
          <w:sz w:val="28"/>
          <w:szCs w:val="28"/>
          <w:lang w:val="ru-RU"/>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301084">
        <w:rPr>
          <w:rFonts w:ascii="Times New Roman" w:hAnsi="Times New Roman" w:cs="Times New Roman"/>
          <w:color w:val="000000"/>
          <w:sz w:val="28"/>
          <w:szCs w:val="28"/>
          <w:lang w:val="ru-RU"/>
        </w:rPr>
        <w:t>.</w:t>
      </w:r>
    </w:p>
    <w:p w:rsidR="00F30E41" w:rsidRDefault="00F30E41" w:rsidP="0081360B">
      <w:pPr>
        <w:tabs>
          <w:tab w:val="left" w:pos="6946"/>
        </w:tabs>
        <w:spacing w:after="0" w:line="360" w:lineRule="auto"/>
        <w:jc w:val="both"/>
        <w:rPr>
          <w:rFonts w:ascii="Times New Roman" w:hAnsi="Times New Roman" w:cs="Times New Roman"/>
          <w:color w:val="000000"/>
          <w:sz w:val="28"/>
          <w:szCs w:val="28"/>
          <w:lang w:val="ru-RU"/>
        </w:rPr>
      </w:pPr>
    </w:p>
    <w:p w:rsidR="00F30E41" w:rsidRDefault="00F30E41" w:rsidP="00893718">
      <w:pPr>
        <w:tabs>
          <w:tab w:val="left" w:pos="6946"/>
        </w:tabs>
        <w:spacing w:after="0" w:line="360" w:lineRule="auto"/>
        <w:jc w:val="right"/>
        <w:rPr>
          <w:rFonts w:ascii="Times New Roman" w:hAnsi="Times New Roman" w:cs="Times New Roman"/>
          <w:b/>
          <w:bCs/>
          <w:color w:val="000000"/>
          <w:sz w:val="28"/>
          <w:szCs w:val="28"/>
          <w:lang w:val="ru-RU"/>
        </w:rPr>
      </w:pPr>
      <w:r w:rsidRPr="008B2AEB">
        <w:rPr>
          <w:rFonts w:ascii="Times New Roman" w:hAnsi="Times New Roman" w:cs="Times New Roman"/>
          <w:b/>
          <w:bCs/>
          <w:color w:val="000000"/>
          <w:sz w:val="28"/>
          <w:szCs w:val="28"/>
          <w:lang w:val="ru-RU"/>
        </w:rPr>
        <w:t xml:space="preserve">Додаток </w:t>
      </w:r>
      <w:r>
        <w:rPr>
          <w:rFonts w:ascii="Times New Roman" w:hAnsi="Times New Roman" w:cs="Times New Roman"/>
          <w:b/>
          <w:bCs/>
          <w:color w:val="000000"/>
          <w:sz w:val="28"/>
          <w:szCs w:val="28"/>
          <w:lang w:val="ru-RU"/>
        </w:rPr>
        <w:t>А.2</w:t>
      </w:r>
    </w:p>
    <w:p w:rsidR="00F30E41" w:rsidRPr="00893718" w:rsidRDefault="00F30E41" w:rsidP="00893718">
      <w:pPr>
        <w:tabs>
          <w:tab w:val="left" w:pos="6946"/>
        </w:tabs>
        <w:spacing w:after="0" w:line="360" w:lineRule="auto"/>
        <w:jc w:val="right"/>
        <w:rPr>
          <w:rFonts w:ascii="Times New Roman" w:hAnsi="Times New Roman" w:cs="Times New Roman"/>
          <w:b/>
          <w:bCs/>
          <w:color w:val="000000"/>
          <w:sz w:val="28"/>
          <w:szCs w:val="28"/>
        </w:rPr>
      </w:pPr>
      <w:r w:rsidRPr="00FD75A2">
        <w:rPr>
          <w:rFonts w:ascii="Times New Roman" w:hAnsi="Times New Roman" w:cs="Times New Roman"/>
          <w:b/>
          <w:bCs/>
          <w:color w:val="000000"/>
          <w:sz w:val="28"/>
          <w:szCs w:val="28"/>
        </w:rPr>
        <w:t>Дохідність та показники ризику обраних компаній за 2020</w:t>
      </w:r>
      <w:r>
        <w:rPr>
          <w:rFonts w:ascii="Times New Roman" w:hAnsi="Times New Roman" w:cs="Times New Roman"/>
          <w:b/>
          <w:bCs/>
          <w:color w:val="000000"/>
          <w:sz w:val="28"/>
          <w:szCs w:val="28"/>
          <w:lang w:val="ru-RU"/>
        </w:rPr>
        <w:t>-</w:t>
      </w:r>
      <w:r w:rsidRPr="00FD75A2">
        <w:rPr>
          <w:rFonts w:ascii="Times New Roman" w:hAnsi="Times New Roman" w:cs="Times New Roman"/>
          <w:b/>
          <w:bCs/>
          <w:color w:val="000000"/>
          <w:sz w:val="28"/>
          <w:szCs w:val="28"/>
        </w:rPr>
        <w:t>2025 рр.</w:t>
      </w:r>
    </w:p>
    <w:tbl>
      <w:tblPr>
        <w:tblW w:w="99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11"/>
        <w:gridCol w:w="2096"/>
        <w:gridCol w:w="1833"/>
        <w:gridCol w:w="1833"/>
        <w:gridCol w:w="1572"/>
      </w:tblGrid>
      <w:tr w:rsidR="00F30E41" w:rsidRPr="00596352">
        <w:trPr>
          <w:trHeight w:val="674"/>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Назва компанії</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color w:val="000000"/>
                <w:sz w:val="26"/>
                <w:szCs w:val="26"/>
              </w:rPr>
            </w:pPr>
            <w:r w:rsidRPr="00596352">
              <w:rPr>
                <w:rFonts w:ascii="Times New Roman" w:hAnsi="Times New Roman" w:cs="Times New Roman"/>
                <w:color w:val="000000"/>
                <w:sz w:val="26"/>
                <w:szCs w:val="26"/>
              </w:rPr>
              <w:t>Середньорічна дохідність</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Середньоденне стандартне відхилення</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Середньомісячне стандартне відхилення</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Річне стандартне відхилення (волатильність)</w:t>
            </w:r>
          </w:p>
        </w:tc>
      </w:tr>
      <w:tr w:rsidR="00F30E41" w:rsidRPr="00596352">
        <w:trPr>
          <w:trHeight w:val="1006"/>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NVIDIA Corporation</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81.13%</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3.43%</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14.44%</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50.02%</w:t>
            </w:r>
          </w:p>
        </w:tc>
      </w:tr>
      <w:tr w:rsidR="00F30E41" w:rsidRPr="00596352">
        <w:trPr>
          <w:trHeight w:val="997"/>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Sony Group Corp</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10.62%</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1.87%</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8.28%</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28.67%</w:t>
            </w:r>
          </w:p>
        </w:tc>
      </w:tr>
      <w:tr w:rsidR="00F30E41" w:rsidRPr="00596352">
        <w:trPr>
          <w:trHeight w:val="341"/>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Pfizer Inc</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-2.04%</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1.72%</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8.03%</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27.83%</w:t>
            </w:r>
          </w:p>
        </w:tc>
      </w:tr>
      <w:tr w:rsidR="00F30E41" w:rsidRPr="00596352">
        <w:trPr>
          <w:trHeight w:val="1006"/>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Roche Holding Ltd ADR</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2.56%</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1.54%</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5.63%</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19.49%</w:t>
            </w:r>
          </w:p>
        </w:tc>
      </w:tr>
      <w:tr w:rsidR="00F30E41" w:rsidRPr="00596352">
        <w:trPr>
          <w:trHeight w:val="1339"/>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Takeda Pharmaceutical Co Ltd ADR</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-3.41%</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1.44%</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6.38%</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22.12%</w:t>
            </w:r>
          </w:p>
        </w:tc>
      </w:tr>
      <w:tr w:rsidR="00F30E41" w:rsidRPr="00596352">
        <w:trPr>
          <w:trHeight w:val="1006"/>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Exxon Mobil Corp</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14.06%</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2.15%</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9.80%</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33.94%</w:t>
            </w:r>
          </w:p>
        </w:tc>
      </w:tr>
      <w:tr w:rsidR="00F30E41" w:rsidRPr="00596352">
        <w:trPr>
          <w:trHeight w:val="1006"/>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TotalEnergies SE ADR</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7.84%</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2.17%</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8.93%</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30.93%</w:t>
            </w:r>
          </w:p>
        </w:tc>
      </w:tr>
      <w:tr w:rsidR="00F30E41" w:rsidRPr="00596352">
        <w:trPr>
          <w:trHeight w:val="665"/>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Nextera Energy Inc</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5.76%</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1.92%</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7.66%</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26.53%</w:t>
            </w:r>
          </w:p>
        </w:tc>
      </w:tr>
      <w:tr w:rsidR="00F30E41" w:rsidRPr="00596352">
        <w:trPr>
          <w:trHeight w:val="1006"/>
        </w:trPr>
        <w:tc>
          <w:tcPr>
            <w:tcW w:w="2611"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ASML Holding NV ADR</w:t>
            </w:r>
          </w:p>
        </w:tc>
        <w:tc>
          <w:tcPr>
            <w:tcW w:w="2096"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20.79%</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2.74%</w:t>
            </w:r>
          </w:p>
        </w:tc>
        <w:tc>
          <w:tcPr>
            <w:tcW w:w="1833"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10.62%</w:t>
            </w:r>
          </w:p>
        </w:tc>
        <w:tc>
          <w:tcPr>
            <w:tcW w:w="1572" w:type="dxa"/>
            <w:vAlign w:val="center"/>
          </w:tcPr>
          <w:p w:rsidR="00F30E41" w:rsidRPr="00596352" w:rsidRDefault="00F30E41" w:rsidP="00596352">
            <w:pPr>
              <w:tabs>
                <w:tab w:val="left" w:pos="6946"/>
              </w:tabs>
              <w:spacing w:after="0" w:line="360" w:lineRule="auto"/>
              <w:jc w:val="center"/>
              <w:rPr>
                <w:rFonts w:ascii="Times New Roman" w:hAnsi="Times New Roman" w:cs="Times New Roman"/>
                <w:b/>
                <w:bCs/>
                <w:color w:val="000000"/>
                <w:sz w:val="26"/>
                <w:szCs w:val="26"/>
              </w:rPr>
            </w:pPr>
            <w:r w:rsidRPr="00596352">
              <w:rPr>
                <w:rFonts w:ascii="Times New Roman" w:hAnsi="Times New Roman" w:cs="Times New Roman"/>
                <w:color w:val="000000"/>
                <w:sz w:val="26"/>
                <w:szCs w:val="26"/>
              </w:rPr>
              <w:t>36.80%</w:t>
            </w:r>
          </w:p>
        </w:tc>
      </w:tr>
    </w:tbl>
    <w:p w:rsidR="00F30E41" w:rsidRDefault="00F30E41" w:rsidP="00FD75A2">
      <w:pPr>
        <w:tabs>
          <w:tab w:val="left" w:pos="6946"/>
        </w:tabs>
        <w:spacing w:after="0" w:line="360" w:lineRule="auto"/>
        <w:jc w:val="both"/>
        <w:rPr>
          <w:rFonts w:ascii="Times New Roman" w:hAnsi="Times New Roman" w:cs="Times New Roman"/>
          <w:color w:val="000000"/>
          <w:sz w:val="28"/>
          <w:szCs w:val="28"/>
          <w:lang w:val="ru-RU"/>
        </w:rPr>
      </w:pPr>
      <w:r w:rsidRPr="005A1441">
        <w:rPr>
          <w:rFonts w:ascii="Times New Roman" w:hAnsi="Times New Roman" w:cs="Times New Roman"/>
          <w:color w:val="000000"/>
          <w:sz w:val="28"/>
          <w:szCs w:val="28"/>
        </w:rPr>
        <w:t>Джерело: розраховано автором на основі</w:t>
      </w:r>
      <w:r>
        <w:rPr>
          <w:rFonts w:ascii="Times New Roman" w:hAnsi="Times New Roman" w:cs="Times New Roman"/>
          <w:color w:val="000000"/>
          <w:sz w:val="28"/>
          <w:szCs w:val="28"/>
        </w:rPr>
        <w:t xml:space="preserve"> </w:t>
      </w:r>
      <w:r w:rsidRPr="00301084">
        <w:rPr>
          <w:rFonts w:ascii="Times New Roman" w:hAnsi="Times New Roman" w:cs="Times New Roman"/>
          <w:color w:val="000000"/>
          <w:sz w:val="28"/>
          <w:szCs w:val="28"/>
        </w:rPr>
        <w:t>[</w:t>
      </w:r>
      <w:r w:rsidRPr="0003741D">
        <w:rPr>
          <w:rFonts w:ascii="Times New Roman" w:hAnsi="Times New Roman" w:cs="Times New Roman"/>
          <w:color w:val="000000"/>
          <w:sz w:val="28"/>
          <w:szCs w:val="28"/>
          <w:lang w:val="ru-RU"/>
        </w:rPr>
        <w:t>4</w:t>
      </w:r>
      <w:r>
        <w:rPr>
          <w:rFonts w:ascii="Times New Roman" w:hAnsi="Times New Roman" w:cs="Times New Roman"/>
          <w:color w:val="000000"/>
          <w:sz w:val="28"/>
          <w:szCs w:val="28"/>
          <w:lang w:val="ru-RU"/>
        </w:rPr>
        <w:t>1</w:t>
      </w:r>
      <w:r w:rsidRPr="00301084">
        <w:rPr>
          <w:rFonts w:ascii="Times New Roman" w:hAnsi="Times New Roman" w:cs="Times New Roman"/>
          <w:color w:val="000000"/>
          <w:sz w:val="28"/>
          <w:szCs w:val="28"/>
        </w:rPr>
        <w:t>]</w:t>
      </w:r>
      <w:r w:rsidRPr="00301084">
        <w:rPr>
          <w:rFonts w:ascii="Times New Roman" w:hAnsi="Times New Roman" w:cs="Times New Roman"/>
          <w:color w:val="000000"/>
          <w:sz w:val="28"/>
          <w:szCs w:val="28"/>
          <w:lang w:val="ru-RU"/>
        </w:rPr>
        <w:t>.</w:t>
      </w:r>
    </w:p>
    <w:p w:rsidR="00F30E41" w:rsidRDefault="00F30E41" w:rsidP="00FD75A2">
      <w:pPr>
        <w:tabs>
          <w:tab w:val="left" w:pos="6946"/>
        </w:tabs>
        <w:spacing w:after="0" w:line="360" w:lineRule="auto"/>
        <w:jc w:val="both"/>
        <w:rPr>
          <w:rFonts w:ascii="Times New Roman" w:hAnsi="Times New Roman" w:cs="Times New Roman"/>
          <w:color w:val="000000"/>
          <w:sz w:val="28"/>
          <w:szCs w:val="28"/>
          <w:lang w:val="ru-RU"/>
        </w:rPr>
      </w:pPr>
    </w:p>
    <w:p w:rsidR="00F30E41" w:rsidRDefault="00F30E41" w:rsidP="00812546">
      <w:pPr>
        <w:tabs>
          <w:tab w:val="left" w:pos="6946"/>
        </w:tabs>
        <w:spacing w:after="0" w:line="360" w:lineRule="auto"/>
        <w:jc w:val="right"/>
        <w:rPr>
          <w:rFonts w:ascii="Times New Roman" w:hAnsi="Times New Roman" w:cs="Times New Roman"/>
          <w:b/>
          <w:bCs/>
          <w:color w:val="000000"/>
          <w:sz w:val="28"/>
          <w:szCs w:val="28"/>
          <w:lang w:val="ru-RU"/>
        </w:rPr>
      </w:pPr>
      <w:r w:rsidRPr="005A0460">
        <w:rPr>
          <w:rFonts w:ascii="Times New Roman" w:hAnsi="Times New Roman" w:cs="Times New Roman"/>
          <w:b/>
          <w:bCs/>
          <w:color w:val="000000"/>
          <w:sz w:val="28"/>
          <w:szCs w:val="28"/>
          <w:lang w:val="ru-RU"/>
        </w:rPr>
        <w:t xml:space="preserve">Додаток </w:t>
      </w:r>
      <w:r>
        <w:rPr>
          <w:rFonts w:ascii="Times New Roman" w:hAnsi="Times New Roman" w:cs="Times New Roman"/>
          <w:b/>
          <w:bCs/>
          <w:color w:val="000000"/>
          <w:sz w:val="28"/>
          <w:szCs w:val="28"/>
          <w:lang w:val="ru-RU"/>
        </w:rPr>
        <w:t>Б</w:t>
      </w:r>
    </w:p>
    <w:p w:rsidR="00F30E41" w:rsidRDefault="00F30E41" w:rsidP="002F7D77">
      <w:pPr>
        <w:tabs>
          <w:tab w:val="left" w:pos="6946"/>
        </w:tabs>
        <w:spacing w:after="0" w:line="360" w:lineRule="auto"/>
        <w:jc w:val="center"/>
        <w:rPr>
          <w:rFonts w:ascii="Times New Roman" w:hAnsi="Times New Roman" w:cs="Times New Roman"/>
          <w:b/>
          <w:bCs/>
          <w:color w:val="000000"/>
          <w:sz w:val="28"/>
          <w:szCs w:val="28"/>
          <w:lang w:val="ru-RU"/>
        </w:rPr>
      </w:pPr>
      <w:r w:rsidRPr="00E21D60">
        <w:rPr>
          <w:rFonts w:ascii="Times New Roman" w:hAnsi="Times New Roman" w:cs="Times New Roman"/>
          <w:b/>
          <w:bCs/>
          <w:color w:val="000000"/>
          <w:sz w:val="28"/>
          <w:szCs w:val="28"/>
        </w:rPr>
        <w:t>Вихідні дані для побудови трифакторної моделі Фама</w:t>
      </w:r>
      <w:r>
        <w:rPr>
          <w:rFonts w:ascii="Times New Roman" w:hAnsi="Times New Roman" w:cs="Times New Roman"/>
          <w:b/>
          <w:bCs/>
          <w:color w:val="000000"/>
          <w:sz w:val="28"/>
          <w:szCs w:val="28"/>
          <w:lang w:val="ru-RU"/>
        </w:rPr>
        <w:t>-</w:t>
      </w:r>
      <w:r w:rsidRPr="00E21D60">
        <w:rPr>
          <w:rFonts w:ascii="Times New Roman" w:hAnsi="Times New Roman" w:cs="Times New Roman"/>
          <w:b/>
          <w:bCs/>
          <w:color w:val="000000"/>
          <w:sz w:val="28"/>
          <w:szCs w:val="28"/>
        </w:rPr>
        <w:t>Френча (дохідності компаній та факторні змінні)</w:t>
      </w:r>
    </w:p>
    <w:p w:rsidR="00F30E41" w:rsidRDefault="00F30E41" w:rsidP="005A0460">
      <w:pPr>
        <w:tabs>
          <w:tab w:val="left" w:pos="6946"/>
        </w:tabs>
        <w:spacing w:after="0" w:line="360" w:lineRule="auto"/>
        <w:jc w:val="right"/>
        <w:rPr>
          <w:rFonts w:ascii="Times New Roman" w:hAnsi="Times New Roman" w:cs="Times New Roman"/>
          <w:b/>
          <w:bCs/>
          <w:color w:val="000000"/>
          <w:sz w:val="28"/>
          <w:szCs w:val="28"/>
          <w:lang w:val="ru-RU"/>
        </w:rPr>
      </w:pPr>
      <w:r w:rsidRPr="00596352">
        <w:rPr>
          <w:noProof/>
          <w:lang w:val="ru-RU" w:eastAsia="ru-RU"/>
        </w:rPr>
        <w:pict>
          <v:shape id="Рисунок 2" o:spid="_x0000_i1076" type="#_x0000_t75" style="width:486pt;height:255.75pt;visibility:visible">
            <v:imagedata r:id="rId73" o:title=""/>
          </v:shape>
        </w:pict>
      </w:r>
    </w:p>
    <w:p w:rsidR="00F30E41" w:rsidRPr="005A0460" w:rsidRDefault="00F30E41" w:rsidP="005A0460">
      <w:pPr>
        <w:tabs>
          <w:tab w:val="left" w:pos="6946"/>
        </w:tabs>
        <w:spacing w:after="0" w:line="360" w:lineRule="auto"/>
        <w:jc w:val="right"/>
        <w:rPr>
          <w:rFonts w:ascii="Times New Roman" w:hAnsi="Times New Roman" w:cs="Times New Roman"/>
          <w:b/>
          <w:bCs/>
          <w:color w:val="000000"/>
          <w:sz w:val="28"/>
          <w:szCs w:val="28"/>
          <w:lang w:val="ru-RU"/>
        </w:rPr>
      </w:pPr>
    </w:p>
    <w:sectPr w:rsidR="00F30E41" w:rsidRPr="005A0460" w:rsidSect="00144A97">
      <w:headerReference w:type="default" r:id="rId74"/>
      <w:pgSz w:w="11906" w:h="16838" w:code="9"/>
      <w:pgMar w:top="1134" w:right="567" w:bottom="1134" w:left="1701"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E41" w:rsidRPr="008E3BC5" w:rsidRDefault="00F30E41" w:rsidP="00855B3E">
      <w:pPr>
        <w:spacing w:after="0" w:line="240" w:lineRule="auto"/>
      </w:pPr>
      <w:r w:rsidRPr="008E3BC5">
        <w:separator/>
      </w:r>
    </w:p>
  </w:endnote>
  <w:endnote w:type="continuationSeparator" w:id="0">
    <w:p w:rsidR="00F30E41" w:rsidRPr="008E3BC5" w:rsidRDefault="00F30E41" w:rsidP="00855B3E">
      <w:pPr>
        <w:spacing w:after="0" w:line="240" w:lineRule="auto"/>
      </w:pPr>
      <w:r w:rsidRPr="008E3BC5">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panose1 w:val="00000000000000000000"/>
    <w:charset w:val="00"/>
    <w:family w:val="swiss"/>
    <w:notTrueType/>
    <w:pitch w:val="variable"/>
    <w:sig w:usb0="00000003" w:usb1="00000000" w:usb2="00000000" w:usb3="00000000" w:csb0="00000001" w:csb1="00000000"/>
  </w:font>
  <w:font w:name="Aptos Display">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E41" w:rsidRPr="008E3BC5" w:rsidRDefault="00F30E41" w:rsidP="00855B3E">
      <w:pPr>
        <w:spacing w:after="0" w:line="240" w:lineRule="auto"/>
      </w:pPr>
      <w:r w:rsidRPr="008E3BC5">
        <w:separator/>
      </w:r>
    </w:p>
  </w:footnote>
  <w:footnote w:type="continuationSeparator" w:id="0">
    <w:p w:rsidR="00F30E41" w:rsidRPr="008E3BC5" w:rsidRDefault="00F30E41" w:rsidP="00855B3E">
      <w:pPr>
        <w:spacing w:after="0" w:line="240" w:lineRule="auto"/>
      </w:pPr>
      <w:r w:rsidRPr="008E3BC5">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41" w:rsidRPr="008E3BC5" w:rsidRDefault="00F30E41">
    <w:pPr>
      <w:pStyle w:val="Header"/>
      <w:jc w:val="right"/>
    </w:pPr>
    <w:fldSimple w:instr=" PAGE   \* MERGEFORMAT ">
      <w:r>
        <w:rPr>
          <w:noProof/>
        </w:rPr>
        <w:t>2</w:t>
      </w:r>
    </w:fldSimple>
  </w:p>
  <w:p w:rsidR="00F30E41" w:rsidRPr="008E3BC5" w:rsidRDefault="00F30E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6436A"/>
    <w:multiLevelType w:val="hybridMultilevel"/>
    <w:tmpl w:val="F0E07936"/>
    <w:lvl w:ilvl="0" w:tplc="0C070001">
      <w:start w:val="1"/>
      <w:numFmt w:val="bullet"/>
      <w:lvlText w:val=""/>
      <w:lvlJc w:val="left"/>
      <w:pPr>
        <w:ind w:left="1080" w:hanging="360"/>
      </w:pPr>
      <w:rPr>
        <w:rFonts w:ascii="Symbol" w:hAnsi="Symbol" w:cs="Symbol" w:hint="default"/>
      </w:rPr>
    </w:lvl>
    <w:lvl w:ilvl="1" w:tplc="0C070003">
      <w:start w:val="1"/>
      <w:numFmt w:val="bullet"/>
      <w:lvlText w:val="o"/>
      <w:lvlJc w:val="left"/>
      <w:pPr>
        <w:ind w:left="1800" w:hanging="360"/>
      </w:pPr>
      <w:rPr>
        <w:rFonts w:ascii="Courier New" w:hAnsi="Courier New" w:cs="Courier New" w:hint="default"/>
      </w:rPr>
    </w:lvl>
    <w:lvl w:ilvl="2" w:tplc="0C070005">
      <w:start w:val="1"/>
      <w:numFmt w:val="bullet"/>
      <w:lvlText w:val=""/>
      <w:lvlJc w:val="left"/>
      <w:pPr>
        <w:ind w:left="2520" w:hanging="360"/>
      </w:pPr>
      <w:rPr>
        <w:rFonts w:ascii="Wingdings" w:hAnsi="Wingdings" w:cs="Wingdings" w:hint="default"/>
      </w:rPr>
    </w:lvl>
    <w:lvl w:ilvl="3" w:tplc="0C070001">
      <w:start w:val="1"/>
      <w:numFmt w:val="bullet"/>
      <w:lvlText w:val=""/>
      <w:lvlJc w:val="left"/>
      <w:pPr>
        <w:ind w:left="3240" w:hanging="360"/>
      </w:pPr>
      <w:rPr>
        <w:rFonts w:ascii="Symbol" w:hAnsi="Symbol" w:cs="Symbol" w:hint="default"/>
      </w:rPr>
    </w:lvl>
    <w:lvl w:ilvl="4" w:tplc="0C070003">
      <w:start w:val="1"/>
      <w:numFmt w:val="bullet"/>
      <w:lvlText w:val="o"/>
      <w:lvlJc w:val="left"/>
      <w:pPr>
        <w:ind w:left="3960" w:hanging="360"/>
      </w:pPr>
      <w:rPr>
        <w:rFonts w:ascii="Courier New" w:hAnsi="Courier New" w:cs="Courier New" w:hint="default"/>
      </w:rPr>
    </w:lvl>
    <w:lvl w:ilvl="5" w:tplc="0C070005">
      <w:start w:val="1"/>
      <w:numFmt w:val="bullet"/>
      <w:lvlText w:val=""/>
      <w:lvlJc w:val="left"/>
      <w:pPr>
        <w:ind w:left="4680" w:hanging="360"/>
      </w:pPr>
      <w:rPr>
        <w:rFonts w:ascii="Wingdings" w:hAnsi="Wingdings" w:cs="Wingdings" w:hint="default"/>
      </w:rPr>
    </w:lvl>
    <w:lvl w:ilvl="6" w:tplc="0C070001">
      <w:start w:val="1"/>
      <w:numFmt w:val="bullet"/>
      <w:lvlText w:val=""/>
      <w:lvlJc w:val="left"/>
      <w:pPr>
        <w:ind w:left="5400" w:hanging="360"/>
      </w:pPr>
      <w:rPr>
        <w:rFonts w:ascii="Symbol" w:hAnsi="Symbol" w:cs="Symbol" w:hint="default"/>
      </w:rPr>
    </w:lvl>
    <w:lvl w:ilvl="7" w:tplc="0C070003">
      <w:start w:val="1"/>
      <w:numFmt w:val="bullet"/>
      <w:lvlText w:val="o"/>
      <w:lvlJc w:val="left"/>
      <w:pPr>
        <w:ind w:left="6120" w:hanging="360"/>
      </w:pPr>
      <w:rPr>
        <w:rFonts w:ascii="Courier New" w:hAnsi="Courier New" w:cs="Courier New" w:hint="default"/>
      </w:rPr>
    </w:lvl>
    <w:lvl w:ilvl="8" w:tplc="0C070005">
      <w:start w:val="1"/>
      <w:numFmt w:val="bullet"/>
      <w:lvlText w:val=""/>
      <w:lvlJc w:val="left"/>
      <w:pPr>
        <w:ind w:left="6840" w:hanging="360"/>
      </w:pPr>
      <w:rPr>
        <w:rFonts w:ascii="Wingdings" w:hAnsi="Wingdings" w:cs="Wingdings" w:hint="default"/>
      </w:rPr>
    </w:lvl>
  </w:abstractNum>
  <w:abstractNum w:abstractNumId="1">
    <w:nsid w:val="1075064B"/>
    <w:multiLevelType w:val="hybridMultilevel"/>
    <w:tmpl w:val="1820FD24"/>
    <w:lvl w:ilvl="0" w:tplc="0C070001">
      <w:start w:val="1"/>
      <w:numFmt w:val="bullet"/>
      <w:lvlText w:val=""/>
      <w:lvlJc w:val="left"/>
      <w:pPr>
        <w:ind w:left="720" w:hanging="360"/>
      </w:pPr>
      <w:rPr>
        <w:rFonts w:ascii="Symbol" w:hAnsi="Symbol" w:cs="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cs="Wingdings" w:hint="default"/>
      </w:rPr>
    </w:lvl>
    <w:lvl w:ilvl="3" w:tplc="0C070001">
      <w:start w:val="1"/>
      <w:numFmt w:val="bullet"/>
      <w:lvlText w:val=""/>
      <w:lvlJc w:val="left"/>
      <w:pPr>
        <w:ind w:left="2880" w:hanging="360"/>
      </w:pPr>
      <w:rPr>
        <w:rFonts w:ascii="Symbol" w:hAnsi="Symbol" w:cs="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cs="Wingdings" w:hint="default"/>
      </w:rPr>
    </w:lvl>
    <w:lvl w:ilvl="6" w:tplc="0C070001">
      <w:start w:val="1"/>
      <w:numFmt w:val="bullet"/>
      <w:lvlText w:val=""/>
      <w:lvlJc w:val="left"/>
      <w:pPr>
        <w:ind w:left="5040" w:hanging="360"/>
      </w:pPr>
      <w:rPr>
        <w:rFonts w:ascii="Symbol" w:hAnsi="Symbol" w:cs="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cs="Wingdings" w:hint="default"/>
      </w:rPr>
    </w:lvl>
  </w:abstractNum>
  <w:abstractNum w:abstractNumId="2">
    <w:nsid w:val="17AB3395"/>
    <w:multiLevelType w:val="hybridMultilevel"/>
    <w:tmpl w:val="24B0FCA6"/>
    <w:lvl w:ilvl="0" w:tplc="0C070001">
      <w:start w:val="1"/>
      <w:numFmt w:val="bullet"/>
      <w:lvlText w:val=""/>
      <w:lvlJc w:val="left"/>
      <w:pPr>
        <w:ind w:left="720" w:hanging="360"/>
      </w:pPr>
      <w:rPr>
        <w:rFonts w:ascii="Symbol" w:hAnsi="Symbol" w:cs="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cs="Wingdings" w:hint="default"/>
      </w:rPr>
    </w:lvl>
    <w:lvl w:ilvl="3" w:tplc="0C070001">
      <w:start w:val="1"/>
      <w:numFmt w:val="bullet"/>
      <w:lvlText w:val=""/>
      <w:lvlJc w:val="left"/>
      <w:pPr>
        <w:ind w:left="2880" w:hanging="360"/>
      </w:pPr>
      <w:rPr>
        <w:rFonts w:ascii="Symbol" w:hAnsi="Symbol" w:cs="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cs="Wingdings" w:hint="default"/>
      </w:rPr>
    </w:lvl>
    <w:lvl w:ilvl="6" w:tplc="0C070001">
      <w:start w:val="1"/>
      <w:numFmt w:val="bullet"/>
      <w:lvlText w:val=""/>
      <w:lvlJc w:val="left"/>
      <w:pPr>
        <w:ind w:left="5040" w:hanging="360"/>
      </w:pPr>
      <w:rPr>
        <w:rFonts w:ascii="Symbol" w:hAnsi="Symbol" w:cs="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cs="Wingdings" w:hint="default"/>
      </w:rPr>
    </w:lvl>
  </w:abstractNum>
  <w:abstractNum w:abstractNumId="3">
    <w:nsid w:val="1DA9105D"/>
    <w:multiLevelType w:val="multilevel"/>
    <w:tmpl w:val="EC6A2B7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3A23019"/>
    <w:multiLevelType w:val="hybridMultilevel"/>
    <w:tmpl w:val="C3A2CDB2"/>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5">
    <w:nsid w:val="280C1E8F"/>
    <w:multiLevelType w:val="multilevel"/>
    <w:tmpl w:val="054811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42255451"/>
    <w:multiLevelType w:val="multilevel"/>
    <w:tmpl w:val="B7B882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44BB6EE7"/>
    <w:multiLevelType w:val="multilevel"/>
    <w:tmpl w:val="C2CECC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E2B1531"/>
    <w:multiLevelType w:val="multilevel"/>
    <w:tmpl w:val="7E8652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71010F86"/>
    <w:multiLevelType w:val="multilevel"/>
    <w:tmpl w:val="7B04C3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3"/>
  </w:num>
  <w:num w:numId="3">
    <w:abstractNumId w:val="8"/>
  </w:num>
  <w:num w:numId="4">
    <w:abstractNumId w:val="2"/>
  </w:num>
  <w:num w:numId="5">
    <w:abstractNumId w:val="4"/>
  </w:num>
  <w:num w:numId="6">
    <w:abstractNumId w:val="7"/>
  </w:num>
  <w:num w:numId="7">
    <w:abstractNumId w:val="5"/>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5A25"/>
    <w:rsid w:val="00000A11"/>
    <w:rsid w:val="000012A2"/>
    <w:rsid w:val="00001652"/>
    <w:rsid w:val="00002D5B"/>
    <w:rsid w:val="00003032"/>
    <w:rsid w:val="000079EE"/>
    <w:rsid w:val="00011236"/>
    <w:rsid w:val="000113FB"/>
    <w:rsid w:val="00013B07"/>
    <w:rsid w:val="00013E6B"/>
    <w:rsid w:val="00016C48"/>
    <w:rsid w:val="0001716A"/>
    <w:rsid w:val="00017EBD"/>
    <w:rsid w:val="000213E2"/>
    <w:rsid w:val="0002273C"/>
    <w:rsid w:val="00024EA4"/>
    <w:rsid w:val="00024F6E"/>
    <w:rsid w:val="000259A7"/>
    <w:rsid w:val="0002642C"/>
    <w:rsid w:val="00026ECC"/>
    <w:rsid w:val="00027567"/>
    <w:rsid w:val="00027F57"/>
    <w:rsid w:val="00031843"/>
    <w:rsid w:val="0003203B"/>
    <w:rsid w:val="000325DE"/>
    <w:rsid w:val="000340A3"/>
    <w:rsid w:val="000349AF"/>
    <w:rsid w:val="0003579B"/>
    <w:rsid w:val="00035E7B"/>
    <w:rsid w:val="0003741D"/>
    <w:rsid w:val="00041DF0"/>
    <w:rsid w:val="00043219"/>
    <w:rsid w:val="00044B05"/>
    <w:rsid w:val="0004583B"/>
    <w:rsid w:val="00056AC1"/>
    <w:rsid w:val="00056E49"/>
    <w:rsid w:val="00070025"/>
    <w:rsid w:val="00070D2B"/>
    <w:rsid w:val="00073304"/>
    <w:rsid w:val="00073345"/>
    <w:rsid w:val="00077D5B"/>
    <w:rsid w:val="000875CA"/>
    <w:rsid w:val="000879D5"/>
    <w:rsid w:val="000918E9"/>
    <w:rsid w:val="0009217C"/>
    <w:rsid w:val="000955C7"/>
    <w:rsid w:val="000A10B5"/>
    <w:rsid w:val="000A2DD3"/>
    <w:rsid w:val="000A5FA5"/>
    <w:rsid w:val="000A71A0"/>
    <w:rsid w:val="000B0288"/>
    <w:rsid w:val="000B05C4"/>
    <w:rsid w:val="000B0E7A"/>
    <w:rsid w:val="000B39C6"/>
    <w:rsid w:val="000B49D7"/>
    <w:rsid w:val="000B52D7"/>
    <w:rsid w:val="000B5EB5"/>
    <w:rsid w:val="000B6817"/>
    <w:rsid w:val="000B6D50"/>
    <w:rsid w:val="000C203E"/>
    <w:rsid w:val="000C2BF2"/>
    <w:rsid w:val="000C48B3"/>
    <w:rsid w:val="000D0E42"/>
    <w:rsid w:val="000D1D3D"/>
    <w:rsid w:val="000D33BD"/>
    <w:rsid w:val="000D364F"/>
    <w:rsid w:val="000D50DB"/>
    <w:rsid w:val="000D5B18"/>
    <w:rsid w:val="000D7E66"/>
    <w:rsid w:val="000E2517"/>
    <w:rsid w:val="000E3A55"/>
    <w:rsid w:val="000E47D0"/>
    <w:rsid w:val="000F0522"/>
    <w:rsid w:val="000F15ED"/>
    <w:rsid w:val="000F1A8E"/>
    <w:rsid w:val="000F40E3"/>
    <w:rsid w:val="000F6D46"/>
    <w:rsid w:val="000F704B"/>
    <w:rsid w:val="000F7D1D"/>
    <w:rsid w:val="001000FD"/>
    <w:rsid w:val="00100902"/>
    <w:rsid w:val="00103EA0"/>
    <w:rsid w:val="001070C6"/>
    <w:rsid w:val="00111EF9"/>
    <w:rsid w:val="00113797"/>
    <w:rsid w:val="00113822"/>
    <w:rsid w:val="0011693F"/>
    <w:rsid w:val="00120507"/>
    <w:rsid w:val="00120986"/>
    <w:rsid w:val="00121A86"/>
    <w:rsid w:val="001228C6"/>
    <w:rsid w:val="00122F49"/>
    <w:rsid w:val="00123256"/>
    <w:rsid w:val="0012362C"/>
    <w:rsid w:val="00124336"/>
    <w:rsid w:val="00124CF9"/>
    <w:rsid w:val="00124F99"/>
    <w:rsid w:val="00125E24"/>
    <w:rsid w:val="001301EE"/>
    <w:rsid w:val="001326AF"/>
    <w:rsid w:val="00133BB5"/>
    <w:rsid w:val="00133C1E"/>
    <w:rsid w:val="00134CC1"/>
    <w:rsid w:val="00135A25"/>
    <w:rsid w:val="00143AE0"/>
    <w:rsid w:val="00144A97"/>
    <w:rsid w:val="001475E4"/>
    <w:rsid w:val="001478AE"/>
    <w:rsid w:val="00147E1B"/>
    <w:rsid w:val="001518B2"/>
    <w:rsid w:val="0015193F"/>
    <w:rsid w:val="00151CF4"/>
    <w:rsid w:val="001532C6"/>
    <w:rsid w:val="001537B5"/>
    <w:rsid w:val="00153AF3"/>
    <w:rsid w:val="00155102"/>
    <w:rsid w:val="00155F20"/>
    <w:rsid w:val="00156E61"/>
    <w:rsid w:val="001614B0"/>
    <w:rsid w:val="00162FF5"/>
    <w:rsid w:val="00164F8B"/>
    <w:rsid w:val="0016520F"/>
    <w:rsid w:val="00165E38"/>
    <w:rsid w:val="0016635A"/>
    <w:rsid w:val="00167DFA"/>
    <w:rsid w:val="00171949"/>
    <w:rsid w:val="00172456"/>
    <w:rsid w:val="00172BCC"/>
    <w:rsid w:val="00172C8B"/>
    <w:rsid w:val="0017381C"/>
    <w:rsid w:val="00174C28"/>
    <w:rsid w:val="00176DF5"/>
    <w:rsid w:val="00176E99"/>
    <w:rsid w:val="00180150"/>
    <w:rsid w:val="00180C7E"/>
    <w:rsid w:val="00181FF6"/>
    <w:rsid w:val="0018265E"/>
    <w:rsid w:val="001872AB"/>
    <w:rsid w:val="00192219"/>
    <w:rsid w:val="001963D9"/>
    <w:rsid w:val="001A0C70"/>
    <w:rsid w:val="001A0CC2"/>
    <w:rsid w:val="001A1A01"/>
    <w:rsid w:val="001A2270"/>
    <w:rsid w:val="001A2E67"/>
    <w:rsid w:val="001A49BD"/>
    <w:rsid w:val="001A49C8"/>
    <w:rsid w:val="001A4C23"/>
    <w:rsid w:val="001A6058"/>
    <w:rsid w:val="001A7805"/>
    <w:rsid w:val="001B1367"/>
    <w:rsid w:val="001B4DCB"/>
    <w:rsid w:val="001B534B"/>
    <w:rsid w:val="001B62FF"/>
    <w:rsid w:val="001B672B"/>
    <w:rsid w:val="001C1247"/>
    <w:rsid w:val="001C2B54"/>
    <w:rsid w:val="001C63F0"/>
    <w:rsid w:val="001C7BD9"/>
    <w:rsid w:val="001D0183"/>
    <w:rsid w:val="001D037F"/>
    <w:rsid w:val="001D0FCB"/>
    <w:rsid w:val="001D2FAA"/>
    <w:rsid w:val="001D7A4D"/>
    <w:rsid w:val="001E2769"/>
    <w:rsid w:val="001E671F"/>
    <w:rsid w:val="001E7B23"/>
    <w:rsid w:val="001E7BF8"/>
    <w:rsid w:val="001F1BF1"/>
    <w:rsid w:val="001F2CA3"/>
    <w:rsid w:val="001F380C"/>
    <w:rsid w:val="001F3EA5"/>
    <w:rsid w:val="001F4E28"/>
    <w:rsid w:val="001F4F58"/>
    <w:rsid w:val="001F657D"/>
    <w:rsid w:val="001F67FA"/>
    <w:rsid w:val="001F6C75"/>
    <w:rsid w:val="00200CA4"/>
    <w:rsid w:val="00201FA5"/>
    <w:rsid w:val="00210588"/>
    <w:rsid w:val="00210699"/>
    <w:rsid w:val="0021184B"/>
    <w:rsid w:val="002213A2"/>
    <w:rsid w:val="0022256C"/>
    <w:rsid w:val="00222E14"/>
    <w:rsid w:val="00223577"/>
    <w:rsid w:val="0022765C"/>
    <w:rsid w:val="00230427"/>
    <w:rsid w:val="00231317"/>
    <w:rsid w:val="0023161D"/>
    <w:rsid w:val="00234C54"/>
    <w:rsid w:val="00237274"/>
    <w:rsid w:val="00237AA2"/>
    <w:rsid w:val="00240890"/>
    <w:rsid w:val="0024247B"/>
    <w:rsid w:val="00242DAF"/>
    <w:rsid w:val="00242F67"/>
    <w:rsid w:val="002435BA"/>
    <w:rsid w:val="002463CB"/>
    <w:rsid w:val="00247289"/>
    <w:rsid w:val="00247B01"/>
    <w:rsid w:val="00247B3C"/>
    <w:rsid w:val="00250A8F"/>
    <w:rsid w:val="002514A6"/>
    <w:rsid w:val="00251923"/>
    <w:rsid w:val="0025626F"/>
    <w:rsid w:val="0025696F"/>
    <w:rsid w:val="00257227"/>
    <w:rsid w:val="00257EF5"/>
    <w:rsid w:val="00262F7C"/>
    <w:rsid w:val="00263A19"/>
    <w:rsid w:val="002648CE"/>
    <w:rsid w:val="00265FFA"/>
    <w:rsid w:val="0027028B"/>
    <w:rsid w:val="0027100F"/>
    <w:rsid w:val="00271013"/>
    <w:rsid w:val="0027122B"/>
    <w:rsid w:val="002734E3"/>
    <w:rsid w:val="0027423B"/>
    <w:rsid w:val="0027470B"/>
    <w:rsid w:val="00280CEA"/>
    <w:rsid w:val="00282EFA"/>
    <w:rsid w:val="00286A0F"/>
    <w:rsid w:val="00290F61"/>
    <w:rsid w:val="00291B9E"/>
    <w:rsid w:val="002945D1"/>
    <w:rsid w:val="002955E3"/>
    <w:rsid w:val="002956A7"/>
    <w:rsid w:val="00295BCE"/>
    <w:rsid w:val="00295FCB"/>
    <w:rsid w:val="002A135D"/>
    <w:rsid w:val="002A3904"/>
    <w:rsid w:val="002A4824"/>
    <w:rsid w:val="002B16D0"/>
    <w:rsid w:val="002B2054"/>
    <w:rsid w:val="002B5546"/>
    <w:rsid w:val="002B5AC1"/>
    <w:rsid w:val="002C00ED"/>
    <w:rsid w:val="002C0314"/>
    <w:rsid w:val="002C04D2"/>
    <w:rsid w:val="002C0CD3"/>
    <w:rsid w:val="002C1D30"/>
    <w:rsid w:val="002C52DA"/>
    <w:rsid w:val="002D013D"/>
    <w:rsid w:val="002D0872"/>
    <w:rsid w:val="002D49C2"/>
    <w:rsid w:val="002E4655"/>
    <w:rsid w:val="002F0341"/>
    <w:rsid w:val="002F1ED8"/>
    <w:rsid w:val="002F357D"/>
    <w:rsid w:val="002F393F"/>
    <w:rsid w:val="002F777D"/>
    <w:rsid w:val="002F7D77"/>
    <w:rsid w:val="00301084"/>
    <w:rsid w:val="0030125A"/>
    <w:rsid w:val="00301F3C"/>
    <w:rsid w:val="00305200"/>
    <w:rsid w:val="00306F59"/>
    <w:rsid w:val="003111F5"/>
    <w:rsid w:val="003127CA"/>
    <w:rsid w:val="00312FD4"/>
    <w:rsid w:val="00315989"/>
    <w:rsid w:val="00316D88"/>
    <w:rsid w:val="00317F6A"/>
    <w:rsid w:val="003208AD"/>
    <w:rsid w:val="00324E8E"/>
    <w:rsid w:val="00325371"/>
    <w:rsid w:val="0032539D"/>
    <w:rsid w:val="0033002B"/>
    <w:rsid w:val="00330E72"/>
    <w:rsid w:val="00331646"/>
    <w:rsid w:val="00332051"/>
    <w:rsid w:val="003333D8"/>
    <w:rsid w:val="003339F0"/>
    <w:rsid w:val="00334113"/>
    <w:rsid w:val="0033515E"/>
    <w:rsid w:val="00335F19"/>
    <w:rsid w:val="003366F1"/>
    <w:rsid w:val="003378BF"/>
    <w:rsid w:val="00344164"/>
    <w:rsid w:val="003454CB"/>
    <w:rsid w:val="00347AD7"/>
    <w:rsid w:val="00347E27"/>
    <w:rsid w:val="0035057D"/>
    <w:rsid w:val="00351520"/>
    <w:rsid w:val="00352358"/>
    <w:rsid w:val="00352764"/>
    <w:rsid w:val="00354E95"/>
    <w:rsid w:val="003557B0"/>
    <w:rsid w:val="00356DF5"/>
    <w:rsid w:val="00356F75"/>
    <w:rsid w:val="00357053"/>
    <w:rsid w:val="00357CBA"/>
    <w:rsid w:val="00361964"/>
    <w:rsid w:val="003659E2"/>
    <w:rsid w:val="003662F7"/>
    <w:rsid w:val="003663F6"/>
    <w:rsid w:val="003714BA"/>
    <w:rsid w:val="0037534C"/>
    <w:rsid w:val="00375B03"/>
    <w:rsid w:val="003809AC"/>
    <w:rsid w:val="00380F3F"/>
    <w:rsid w:val="003817CD"/>
    <w:rsid w:val="00382874"/>
    <w:rsid w:val="00383143"/>
    <w:rsid w:val="00385808"/>
    <w:rsid w:val="0039019C"/>
    <w:rsid w:val="00392253"/>
    <w:rsid w:val="0039413D"/>
    <w:rsid w:val="00395A7F"/>
    <w:rsid w:val="003A0BB9"/>
    <w:rsid w:val="003A0E20"/>
    <w:rsid w:val="003A2708"/>
    <w:rsid w:val="003A47A4"/>
    <w:rsid w:val="003A5314"/>
    <w:rsid w:val="003A6517"/>
    <w:rsid w:val="003B0DDC"/>
    <w:rsid w:val="003B1516"/>
    <w:rsid w:val="003B3A84"/>
    <w:rsid w:val="003B3B5B"/>
    <w:rsid w:val="003B48A5"/>
    <w:rsid w:val="003B77FC"/>
    <w:rsid w:val="003B78DD"/>
    <w:rsid w:val="003C1B29"/>
    <w:rsid w:val="003C2DF3"/>
    <w:rsid w:val="003C6FC7"/>
    <w:rsid w:val="003D69A0"/>
    <w:rsid w:val="003D7EC5"/>
    <w:rsid w:val="003E0006"/>
    <w:rsid w:val="003E0E4B"/>
    <w:rsid w:val="003E693A"/>
    <w:rsid w:val="003F0913"/>
    <w:rsid w:val="003F2602"/>
    <w:rsid w:val="003F27C3"/>
    <w:rsid w:val="003F2BA0"/>
    <w:rsid w:val="003F67D1"/>
    <w:rsid w:val="003F6BF6"/>
    <w:rsid w:val="00400151"/>
    <w:rsid w:val="00400D61"/>
    <w:rsid w:val="00402BBB"/>
    <w:rsid w:val="00405670"/>
    <w:rsid w:val="00406CDE"/>
    <w:rsid w:val="00406FBB"/>
    <w:rsid w:val="004078D9"/>
    <w:rsid w:val="00407C8C"/>
    <w:rsid w:val="00410666"/>
    <w:rsid w:val="00410686"/>
    <w:rsid w:val="00410796"/>
    <w:rsid w:val="00411FEF"/>
    <w:rsid w:val="00413AC4"/>
    <w:rsid w:val="00415B42"/>
    <w:rsid w:val="004163C4"/>
    <w:rsid w:val="004168F6"/>
    <w:rsid w:val="0042172D"/>
    <w:rsid w:val="00424F80"/>
    <w:rsid w:val="004273F6"/>
    <w:rsid w:val="00427C68"/>
    <w:rsid w:val="00427DC5"/>
    <w:rsid w:val="00430B80"/>
    <w:rsid w:val="00430BB2"/>
    <w:rsid w:val="00434455"/>
    <w:rsid w:val="00434AE2"/>
    <w:rsid w:val="0043585C"/>
    <w:rsid w:val="00437EF4"/>
    <w:rsid w:val="00445568"/>
    <w:rsid w:val="00446C86"/>
    <w:rsid w:val="004500D0"/>
    <w:rsid w:val="004529D9"/>
    <w:rsid w:val="0045426C"/>
    <w:rsid w:val="00455A0F"/>
    <w:rsid w:val="004564B7"/>
    <w:rsid w:val="00460238"/>
    <w:rsid w:val="004613F7"/>
    <w:rsid w:val="00461EAA"/>
    <w:rsid w:val="0046318D"/>
    <w:rsid w:val="00463C4B"/>
    <w:rsid w:val="00466FB6"/>
    <w:rsid w:val="00467D06"/>
    <w:rsid w:val="00470D99"/>
    <w:rsid w:val="00472421"/>
    <w:rsid w:val="00473303"/>
    <w:rsid w:val="00473489"/>
    <w:rsid w:val="004737DC"/>
    <w:rsid w:val="004751DE"/>
    <w:rsid w:val="004832FC"/>
    <w:rsid w:val="0048532A"/>
    <w:rsid w:val="00487A97"/>
    <w:rsid w:val="004905D7"/>
    <w:rsid w:val="0049229E"/>
    <w:rsid w:val="0049327C"/>
    <w:rsid w:val="004963C3"/>
    <w:rsid w:val="004A77AC"/>
    <w:rsid w:val="004A78CF"/>
    <w:rsid w:val="004B34C2"/>
    <w:rsid w:val="004B4695"/>
    <w:rsid w:val="004B565F"/>
    <w:rsid w:val="004C05A6"/>
    <w:rsid w:val="004C2A9A"/>
    <w:rsid w:val="004C2AC7"/>
    <w:rsid w:val="004C3614"/>
    <w:rsid w:val="004C6DDA"/>
    <w:rsid w:val="004C7B84"/>
    <w:rsid w:val="004D00E5"/>
    <w:rsid w:val="004D32DE"/>
    <w:rsid w:val="004D3FFE"/>
    <w:rsid w:val="004D4908"/>
    <w:rsid w:val="004E01B5"/>
    <w:rsid w:val="004E04A6"/>
    <w:rsid w:val="004E0536"/>
    <w:rsid w:val="004E11B5"/>
    <w:rsid w:val="004E1334"/>
    <w:rsid w:val="004E15C4"/>
    <w:rsid w:val="004E5401"/>
    <w:rsid w:val="004E588E"/>
    <w:rsid w:val="004F01A6"/>
    <w:rsid w:val="004F1ABD"/>
    <w:rsid w:val="004F6D0A"/>
    <w:rsid w:val="0050064B"/>
    <w:rsid w:val="00500FA2"/>
    <w:rsid w:val="005020EC"/>
    <w:rsid w:val="00503365"/>
    <w:rsid w:val="00506FD1"/>
    <w:rsid w:val="00511F89"/>
    <w:rsid w:val="0051208F"/>
    <w:rsid w:val="005139A9"/>
    <w:rsid w:val="00515148"/>
    <w:rsid w:val="0052090C"/>
    <w:rsid w:val="005219A8"/>
    <w:rsid w:val="00521CA6"/>
    <w:rsid w:val="0052231D"/>
    <w:rsid w:val="00522A0D"/>
    <w:rsid w:val="00522D5A"/>
    <w:rsid w:val="00527E86"/>
    <w:rsid w:val="00530B3D"/>
    <w:rsid w:val="005316C3"/>
    <w:rsid w:val="00534CDC"/>
    <w:rsid w:val="005377B3"/>
    <w:rsid w:val="005410E6"/>
    <w:rsid w:val="005420D7"/>
    <w:rsid w:val="005458D0"/>
    <w:rsid w:val="005503DA"/>
    <w:rsid w:val="0055370E"/>
    <w:rsid w:val="005579DE"/>
    <w:rsid w:val="0056031E"/>
    <w:rsid w:val="0056169D"/>
    <w:rsid w:val="00561E23"/>
    <w:rsid w:val="00562440"/>
    <w:rsid w:val="00566952"/>
    <w:rsid w:val="005674F0"/>
    <w:rsid w:val="005730AB"/>
    <w:rsid w:val="0057326D"/>
    <w:rsid w:val="0057442E"/>
    <w:rsid w:val="0057474B"/>
    <w:rsid w:val="005817CA"/>
    <w:rsid w:val="005865C7"/>
    <w:rsid w:val="00591BD4"/>
    <w:rsid w:val="00596352"/>
    <w:rsid w:val="00596434"/>
    <w:rsid w:val="005971B3"/>
    <w:rsid w:val="005A0460"/>
    <w:rsid w:val="005A1441"/>
    <w:rsid w:val="005A1479"/>
    <w:rsid w:val="005A293F"/>
    <w:rsid w:val="005A6226"/>
    <w:rsid w:val="005A7305"/>
    <w:rsid w:val="005B0948"/>
    <w:rsid w:val="005B2C2D"/>
    <w:rsid w:val="005B2EF0"/>
    <w:rsid w:val="005B3864"/>
    <w:rsid w:val="005B53C6"/>
    <w:rsid w:val="005C6F03"/>
    <w:rsid w:val="005C6FEB"/>
    <w:rsid w:val="005D05DC"/>
    <w:rsid w:val="005D065F"/>
    <w:rsid w:val="005D0C61"/>
    <w:rsid w:val="005D21F3"/>
    <w:rsid w:val="005D22BF"/>
    <w:rsid w:val="005D2A2F"/>
    <w:rsid w:val="005D2F9C"/>
    <w:rsid w:val="005D3F4A"/>
    <w:rsid w:val="005D499F"/>
    <w:rsid w:val="005D501F"/>
    <w:rsid w:val="005D667C"/>
    <w:rsid w:val="005D689E"/>
    <w:rsid w:val="005D7897"/>
    <w:rsid w:val="005D7A3F"/>
    <w:rsid w:val="005D7E2B"/>
    <w:rsid w:val="005E200A"/>
    <w:rsid w:val="005E2EB7"/>
    <w:rsid w:val="005E517D"/>
    <w:rsid w:val="005E7D25"/>
    <w:rsid w:val="005F3488"/>
    <w:rsid w:val="005F5546"/>
    <w:rsid w:val="0060128D"/>
    <w:rsid w:val="00602372"/>
    <w:rsid w:val="00603C46"/>
    <w:rsid w:val="0060468A"/>
    <w:rsid w:val="00607458"/>
    <w:rsid w:val="00610C40"/>
    <w:rsid w:val="006115BB"/>
    <w:rsid w:val="00614DAB"/>
    <w:rsid w:val="00614F79"/>
    <w:rsid w:val="006154BE"/>
    <w:rsid w:val="006160FF"/>
    <w:rsid w:val="00616E0A"/>
    <w:rsid w:val="00622260"/>
    <w:rsid w:val="00623296"/>
    <w:rsid w:val="006243D9"/>
    <w:rsid w:val="00624FB0"/>
    <w:rsid w:val="006327E3"/>
    <w:rsid w:val="00632E95"/>
    <w:rsid w:val="00634AD1"/>
    <w:rsid w:val="006352CC"/>
    <w:rsid w:val="00635BCE"/>
    <w:rsid w:val="0064026E"/>
    <w:rsid w:val="0064071A"/>
    <w:rsid w:val="00640994"/>
    <w:rsid w:val="00641558"/>
    <w:rsid w:val="00641BA4"/>
    <w:rsid w:val="00642614"/>
    <w:rsid w:val="006458B9"/>
    <w:rsid w:val="00645E6A"/>
    <w:rsid w:val="00646337"/>
    <w:rsid w:val="0064664C"/>
    <w:rsid w:val="00646F80"/>
    <w:rsid w:val="00650FF3"/>
    <w:rsid w:val="00652A76"/>
    <w:rsid w:val="0065532A"/>
    <w:rsid w:val="006568D1"/>
    <w:rsid w:val="0065715B"/>
    <w:rsid w:val="00657831"/>
    <w:rsid w:val="00660059"/>
    <w:rsid w:val="006614A5"/>
    <w:rsid w:val="00662E66"/>
    <w:rsid w:val="00665CDE"/>
    <w:rsid w:val="00666177"/>
    <w:rsid w:val="006661C0"/>
    <w:rsid w:val="0066742E"/>
    <w:rsid w:val="0066754E"/>
    <w:rsid w:val="00670466"/>
    <w:rsid w:val="006704FD"/>
    <w:rsid w:val="00670586"/>
    <w:rsid w:val="00671997"/>
    <w:rsid w:val="00673BD5"/>
    <w:rsid w:val="00676CB3"/>
    <w:rsid w:val="006828C9"/>
    <w:rsid w:val="00685732"/>
    <w:rsid w:val="00685A9F"/>
    <w:rsid w:val="006867F3"/>
    <w:rsid w:val="00687BD3"/>
    <w:rsid w:val="006909D9"/>
    <w:rsid w:val="00690F26"/>
    <w:rsid w:val="00691DA7"/>
    <w:rsid w:val="00692741"/>
    <w:rsid w:val="0069406B"/>
    <w:rsid w:val="00694743"/>
    <w:rsid w:val="00695022"/>
    <w:rsid w:val="006963FC"/>
    <w:rsid w:val="00696553"/>
    <w:rsid w:val="006A3C68"/>
    <w:rsid w:val="006A6210"/>
    <w:rsid w:val="006B239C"/>
    <w:rsid w:val="006B370E"/>
    <w:rsid w:val="006B3CDD"/>
    <w:rsid w:val="006B563F"/>
    <w:rsid w:val="006C2A18"/>
    <w:rsid w:val="006C54DB"/>
    <w:rsid w:val="006C781E"/>
    <w:rsid w:val="006D1B40"/>
    <w:rsid w:val="006D1BA2"/>
    <w:rsid w:val="006D5F06"/>
    <w:rsid w:val="006D799C"/>
    <w:rsid w:val="006E09E1"/>
    <w:rsid w:val="006E62BF"/>
    <w:rsid w:val="006E703C"/>
    <w:rsid w:val="006E746C"/>
    <w:rsid w:val="006E7677"/>
    <w:rsid w:val="006F03B4"/>
    <w:rsid w:val="006F1D17"/>
    <w:rsid w:val="006F2499"/>
    <w:rsid w:val="006F2DBA"/>
    <w:rsid w:val="006F42C8"/>
    <w:rsid w:val="006F7163"/>
    <w:rsid w:val="006F7E97"/>
    <w:rsid w:val="0070164D"/>
    <w:rsid w:val="00702ED2"/>
    <w:rsid w:val="00703291"/>
    <w:rsid w:val="00703C1A"/>
    <w:rsid w:val="007041FC"/>
    <w:rsid w:val="00704BD0"/>
    <w:rsid w:val="00705FAB"/>
    <w:rsid w:val="0070685D"/>
    <w:rsid w:val="00707457"/>
    <w:rsid w:val="00707CF2"/>
    <w:rsid w:val="007148B1"/>
    <w:rsid w:val="00722F5A"/>
    <w:rsid w:val="007231CE"/>
    <w:rsid w:val="00723F26"/>
    <w:rsid w:val="00731CAE"/>
    <w:rsid w:val="00733382"/>
    <w:rsid w:val="00736C21"/>
    <w:rsid w:val="007401A5"/>
    <w:rsid w:val="0074099B"/>
    <w:rsid w:val="007410B6"/>
    <w:rsid w:val="007427B9"/>
    <w:rsid w:val="0074569B"/>
    <w:rsid w:val="00751F06"/>
    <w:rsid w:val="00753086"/>
    <w:rsid w:val="007541C6"/>
    <w:rsid w:val="00755236"/>
    <w:rsid w:val="0076168C"/>
    <w:rsid w:val="00763E9D"/>
    <w:rsid w:val="007641EA"/>
    <w:rsid w:val="00765EE9"/>
    <w:rsid w:val="00766A91"/>
    <w:rsid w:val="00766EC6"/>
    <w:rsid w:val="00770029"/>
    <w:rsid w:val="007705A8"/>
    <w:rsid w:val="007705BA"/>
    <w:rsid w:val="0077133F"/>
    <w:rsid w:val="00771F09"/>
    <w:rsid w:val="007740D1"/>
    <w:rsid w:val="00775545"/>
    <w:rsid w:val="00780824"/>
    <w:rsid w:val="0078085F"/>
    <w:rsid w:val="007905CD"/>
    <w:rsid w:val="00791ED8"/>
    <w:rsid w:val="00794B8C"/>
    <w:rsid w:val="00797724"/>
    <w:rsid w:val="007A03E7"/>
    <w:rsid w:val="007A0D91"/>
    <w:rsid w:val="007A1014"/>
    <w:rsid w:val="007A5DA3"/>
    <w:rsid w:val="007A6301"/>
    <w:rsid w:val="007B02DD"/>
    <w:rsid w:val="007B16A9"/>
    <w:rsid w:val="007B2A5B"/>
    <w:rsid w:val="007B2E41"/>
    <w:rsid w:val="007B3FE5"/>
    <w:rsid w:val="007B4421"/>
    <w:rsid w:val="007B598D"/>
    <w:rsid w:val="007B60CD"/>
    <w:rsid w:val="007B73F6"/>
    <w:rsid w:val="007B7902"/>
    <w:rsid w:val="007C0DF2"/>
    <w:rsid w:val="007C2ABB"/>
    <w:rsid w:val="007C5EC3"/>
    <w:rsid w:val="007C6EA4"/>
    <w:rsid w:val="007C7A59"/>
    <w:rsid w:val="007D22D4"/>
    <w:rsid w:val="007D2D9B"/>
    <w:rsid w:val="007D562D"/>
    <w:rsid w:val="007D569A"/>
    <w:rsid w:val="007D7389"/>
    <w:rsid w:val="007E1273"/>
    <w:rsid w:val="007E186E"/>
    <w:rsid w:val="007E2AA8"/>
    <w:rsid w:val="007E4703"/>
    <w:rsid w:val="007E4BE9"/>
    <w:rsid w:val="007E5B1B"/>
    <w:rsid w:val="007E5EB6"/>
    <w:rsid w:val="007E6535"/>
    <w:rsid w:val="007E7D71"/>
    <w:rsid w:val="007F27F8"/>
    <w:rsid w:val="007F445C"/>
    <w:rsid w:val="007F4EAC"/>
    <w:rsid w:val="007F747F"/>
    <w:rsid w:val="00800004"/>
    <w:rsid w:val="00800823"/>
    <w:rsid w:val="00803A32"/>
    <w:rsid w:val="00806491"/>
    <w:rsid w:val="00807D7B"/>
    <w:rsid w:val="00810322"/>
    <w:rsid w:val="00810C27"/>
    <w:rsid w:val="00812546"/>
    <w:rsid w:val="00812C11"/>
    <w:rsid w:val="00812F9B"/>
    <w:rsid w:val="0081360B"/>
    <w:rsid w:val="008153D2"/>
    <w:rsid w:val="00820718"/>
    <w:rsid w:val="008209B0"/>
    <w:rsid w:val="008247BC"/>
    <w:rsid w:val="00826111"/>
    <w:rsid w:val="00826BF7"/>
    <w:rsid w:val="0083349B"/>
    <w:rsid w:val="008343CE"/>
    <w:rsid w:val="008417D7"/>
    <w:rsid w:val="00842358"/>
    <w:rsid w:val="00846C22"/>
    <w:rsid w:val="008509B8"/>
    <w:rsid w:val="00850BCB"/>
    <w:rsid w:val="008532FB"/>
    <w:rsid w:val="00854466"/>
    <w:rsid w:val="00855B3E"/>
    <w:rsid w:val="00855B7C"/>
    <w:rsid w:val="00857A4F"/>
    <w:rsid w:val="0086001D"/>
    <w:rsid w:val="00861A16"/>
    <w:rsid w:val="00861D0C"/>
    <w:rsid w:val="00862AB5"/>
    <w:rsid w:val="00863084"/>
    <w:rsid w:val="00864814"/>
    <w:rsid w:val="00866179"/>
    <w:rsid w:val="00866346"/>
    <w:rsid w:val="00867171"/>
    <w:rsid w:val="00870F3D"/>
    <w:rsid w:val="008714E7"/>
    <w:rsid w:val="008715E3"/>
    <w:rsid w:val="00872A57"/>
    <w:rsid w:val="008753CD"/>
    <w:rsid w:val="00877FE9"/>
    <w:rsid w:val="00882349"/>
    <w:rsid w:val="008832ED"/>
    <w:rsid w:val="00885278"/>
    <w:rsid w:val="00893718"/>
    <w:rsid w:val="00894287"/>
    <w:rsid w:val="008954F5"/>
    <w:rsid w:val="00896C52"/>
    <w:rsid w:val="008A2414"/>
    <w:rsid w:val="008A2E8D"/>
    <w:rsid w:val="008A3B9D"/>
    <w:rsid w:val="008A409D"/>
    <w:rsid w:val="008A4412"/>
    <w:rsid w:val="008A64C5"/>
    <w:rsid w:val="008A7D07"/>
    <w:rsid w:val="008A7FD3"/>
    <w:rsid w:val="008B2AEB"/>
    <w:rsid w:val="008B34B0"/>
    <w:rsid w:val="008B35DE"/>
    <w:rsid w:val="008B3AB3"/>
    <w:rsid w:val="008B4439"/>
    <w:rsid w:val="008B6E90"/>
    <w:rsid w:val="008C03FA"/>
    <w:rsid w:val="008C34B0"/>
    <w:rsid w:val="008C479C"/>
    <w:rsid w:val="008C6414"/>
    <w:rsid w:val="008C7F74"/>
    <w:rsid w:val="008D021E"/>
    <w:rsid w:val="008D0FAA"/>
    <w:rsid w:val="008D22BF"/>
    <w:rsid w:val="008D3D8A"/>
    <w:rsid w:val="008D436B"/>
    <w:rsid w:val="008D4FB9"/>
    <w:rsid w:val="008D5395"/>
    <w:rsid w:val="008D5A51"/>
    <w:rsid w:val="008E0508"/>
    <w:rsid w:val="008E1105"/>
    <w:rsid w:val="008E3BC5"/>
    <w:rsid w:val="008E3C00"/>
    <w:rsid w:val="008E53F8"/>
    <w:rsid w:val="008F07D6"/>
    <w:rsid w:val="008F7A9E"/>
    <w:rsid w:val="00901615"/>
    <w:rsid w:val="00902E0B"/>
    <w:rsid w:val="009041F3"/>
    <w:rsid w:val="009051C2"/>
    <w:rsid w:val="00905402"/>
    <w:rsid w:val="0090558A"/>
    <w:rsid w:val="00905FCC"/>
    <w:rsid w:val="00906BEF"/>
    <w:rsid w:val="009078B1"/>
    <w:rsid w:val="009138A0"/>
    <w:rsid w:val="00913A23"/>
    <w:rsid w:val="009144F9"/>
    <w:rsid w:val="00917A3C"/>
    <w:rsid w:val="00920029"/>
    <w:rsid w:val="00925AD6"/>
    <w:rsid w:val="00925AE8"/>
    <w:rsid w:val="0092781B"/>
    <w:rsid w:val="00930FBC"/>
    <w:rsid w:val="00931BB7"/>
    <w:rsid w:val="00932FB8"/>
    <w:rsid w:val="00933CDF"/>
    <w:rsid w:val="00933E8B"/>
    <w:rsid w:val="009349F6"/>
    <w:rsid w:val="00940158"/>
    <w:rsid w:val="009408BB"/>
    <w:rsid w:val="009442A4"/>
    <w:rsid w:val="0095009B"/>
    <w:rsid w:val="009506AF"/>
    <w:rsid w:val="00951C52"/>
    <w:rsid w:val="0095342F"/>
    <w:rsid w:val="0095565E"/>
    <w:rsid w:val="009567FF"/>
    <w:rsid w:val="00960091"/>
    <w:rsid w:val="009607C9"/>
    <w:rsid w:val="00963732"/>
    <w:rsid w:val="009644EF"/>
    <w:rsid w:val="00965DE9"/>
    <w:rsid w:val="00966DFD"/>
    <w:rsid w:val="009673FE"/>
    <w:rsid w:val="009726FB"/>
    <w:rsid w:val="00974823"/>
    <w:rsid w:val="009809D8"/>
    <w:rsid w:val="009819AB"/>
    <w:rsid w:val="0098373B"/>
    <w:rsid w:val="00983B5D"/>
    <w:rsid w:val="00986A69"/>
    <w:rsid w:val="00991049"/>
    <w:rsid w:val="00991066"/>
    <w:rsid w:val="00993B26"/>
    <w:rsid w:val="00993F3F"/>
    <w:rsid w:val="009950CE"/>
    <w:rsid w:val="009A1D61"/>
    <w:rsid w:val="009A34A1"/>
    <w:rsid w:val="009A5FBA"/>
    <w:rsid w:val="009A6810"/>
    <w:rsid w:val="009A7015"/>
    <w:rsid w:val="009B2620"/>
    <w:rsid w:val="009B26D8"/>
    <w:rsid w:val="009B2D10"/>
    <w:rsid w:val="009B354B"/>
    <w:rsid w:val="009B4180"/>
    <w:rsid w:val="009B42AC"/>
    <w:rsid w:val="009B43A7"/>
    <w:rsid w:val="009B6B19"/>
    <w:rsid w:val="009B6E32"/>
    <w:rsid w:val="009B7379"/>
    <w:rsid w:val="009C297C"/>
    <w:rsid w:val="009C306A"/>
    <w:rsid w:val="009C41EB"/>
    <w:rsid w:val="009C4A08"/>
    <w:rsid w:val="009C5646"/>
    <w:rsid w:val="009C5D7B"/>
    <w:rsid w:val="009D1A86"/>
    <w:rsid w:val="009D21E0"/>
    <w:rsid w:val="009D367F"/>
    <w:rsid w:val="009D5730"/>
    <w:rsid w:val="009D5FEB"/>
    <w:rsid w:val="009D66AE"/>
    <w:rsid w:val="009D6A03"/>
    <w:rsid w:val="009E334D"/>
    <w:rsid w:val="009E3AE8"/>
    <w:rsid w:val="009E52B8"/>
    <w:rsid w:val="009F0B2F"/>
    <w:rsid w:val="009F154A"/>
    <w:rsid w:val="009F2F17"/>
    <w:rsid w:val="009F3F73"/>
    <w:rsid w:val="009F4928"/>
    <w:rsid w:val="009F4D89"/>
    <w:rsid w:val="009F567B"/>
    <w:rsid w:val="009F7B35"/>
    <w:rsid w:val="00A0059A"/>
    <w:rsid w:val="00A0071C"/>
    <w:rsid w:val="00A03D88"/>
    <w:rsid w:val="00A04A69"/>
    <w:rsid w:val="00A07C4F"/>
    <w:rsid w:val="00A12CCE"/>
    <w:rsid w:val="00A26580"/>
    <w:rsid w:val="00A30D14"/>
    <w:rsid w:val="00A337D5"/>
    <w:rsid w:val="00A34109"/>
    <w:rsid w:val="00A360DC"/>
    <w:rsid w:val="00A40828"/>
    <w:rsid w:val="00A43611"/>
    <w:rsid w:val="00A43E53"/>
    <w:rsid w:val="00A44B6E"/>
    <w:rsid w:val="00A479AE"/>
    <w:rsid w:val="00A5350D"/>
    <w:rsid w:val="00A53587"/>
    <w:rsid w:val="00A54D57"/>
    <w:rsid w:val="00A56604"/>
    <w:rsid w:val="00A57286"/>
    <w:rsid w:val="00A624E5"/>
    <w:rsid w:val="00A633A9"/>
    <w:rsid w:val="00A64F85"/>
    <w:rsid w:val="00A657AB"/>
    <w:rsid w:val="00A660FA"/>
    <w:rsid w:val="00A66A43"/>
    <w:rsid w:val="00A66AAD"/>
    <w:rsid w:val="00A72210"/>
    <w:rsid w:val="00A76AF8"/>
    <w:rsid w:val="00A80640"/>
    <w:rsid w:val="00A815E1"/>
    <w:rsid w:val="00A82349"/>
    <w:rsid w:val="00A82C82"/>
    <w:rsid w:val="00A84B05"/>
    <w:rsid w:val="00A8512D"/>
    <w:rsid w:val="00A86E3D"/>
    <w:rsid w:val="00A87636"/>
    <w:rsid w:val="00A90187"/>
    <w:rsid w:val="00A904AA"/>
    <w:rsid w:val="00A90EBC"/>
    <w:rsid w:val="00A913AB"/>
    <w:rsid w:val="00A9237B"/>
    <w:rsid w:val="00A95786"/>
    <w:rsid w:val="00AA114F"/>
    <w:rsid w:val="00AA4923"/>
    <w:rsid w:val="00AA5142"/>
    <w:rsid w:val="00AB2447"/>
    <w:rsid w:val="00AB283B"/>
    <w:rsid w:val="00AB3B5B"/>
    <w:rsid w:val="00AB47E2"/>
    <w:rsid w:val="00AC127E"/>
    <w:rsid w:val="00AC1C14"/>
    <w:rsid w:val="00AC329E"/>
    <w:rsid w:val="00AC3802"/>
    <w:rsid w:val="00AC45C9"/>
    <w:rsid w:val="00AC5FB2"/>
    <w:rsid w:val="00AC7ED0"/>
    <w:rsid w:val="00AD10B9"/>
    <w:rsid w:val="00AD2066"/>
    <w:rsid w:val="00AD31A1"/>
    <w:rsid w:val="00AE0483"/>
    <w:rsid w:val="00AE0DB7"/>
    <w:rsid w:val="00AE1E47"/>
    <w:rsid w:val="00AE37CC"/>
    <w:rsid w:val="00AE5E77"/>
    <w:rsid w:val="00AE77BA"/>
    <w:rsid w:val="00AF1C39"/>
    <w:rsid w:val="00AF2B4C"/>
    <w:rsid w:val="00AF4B20"/>
    <w:rsid w:val="00AF780F"/>
    <w:rsid w:val="00B03644"/>
    <w:rsid w:val="00B04140"/>
    <w:rsid w:val="00B04F5C"/>
    <w:rsid w:val="00B056C6"/>
    <w:rsid w:val="00B062B2"/>
    <w:rsid w:val="00B0793D"/>
    <w:rsid w:val="00B13E69"/>
    <w:rsid w:val="00B14361"/>
    <w:rsid w:val="00B209D6"/>
    <w:rsid w:val="00B22389"/>
    <w:rsid w:val="00B2456C"/>
    <w:rsid w:val="00B2526B"/>
    <w:rsid w:val="00B255AD"/>
    <w:rsid w:val="00B26C30"/>
    <w:rsid w:val="00B27644"/>
    <w:rsid w:val="00B31832"/>
    <w:rsid w:val="00B33380"/>
    <w:rsid w:val="00B3434F"/>
    <w:rsid w:val="00B343C7"/>
    <w:rsid w:val="00B34927"/>
    <w:rsid w:val="00B359B5"/>
    <w:rsid w:val="00B36F6D"/>
    <w:rsid w:val="00B41F86"/>
    <w:rsid w:val="00B441B1"/>
    <w:rsid w:val="00B45E69"/>
    <w:rsid w:val="00B464C1"/>
    <w:rsid w:val="00B46FD9"/>
    <w:rsid w:val="00B528C6"/>
    <w:rsid w:val="00B52C14"/>
    <w:rsid w:val="00B53293"/>
    <w:rsid w:val="00B53879"/>
    <w:rsid w:val="00B54554"/>
    <w:rsid w:val="00B54C87"/>
    <w:rsid w:val="00B54FBC"/>
    <w:rsid w:val="00B55585"/>
    <w:rsid w:val="00B55D9E"/>
    <w:rsid w:val="00B5654E"/>
    <w:rsid w:val="00B6143D"/>
    <w:rsid w:val="00B6172B"/>
    <w:rsid w:val="00B62767"/>
    <w:rsid w:val="00B6598C"/>
    <w:rsid w:val="00B66D67"/>
    <w:rsid w:val="00B70F42"/>
    <w:rsid w:val="00B7175C"/>
    <w:rsid w:val="00B73E12"/>
    <w:rsid w:val="00B76B74"/>
    <w:rsid w:val="00B845A0"/>
    <w:rsid w:val="00B846D3"/>
    <w:rsid w:val="00B85F9F"/>
    <w:rsid w:val="00B901D2"/>
    <w:rsid w:val="00B90747"/>
    <w:rsid w:val="00B93A38"/>
    <w:rsid w:val="00B963C4"/>
    <w:rsid w:val="00B96F20"/>
    <w:rsid w:val="00BA2FD3"/>
    <w:rsid w:val="00BA4509"/>
    <w:rsid w:val="00BA4957"/>
    <w:rsid w:val="00BA553B"/>
    <w:rsid w:val="00BA600D"/>
    <w:rsid w:val="00BA61F3"/>
    <w:rsid w:val="00BA7C41"/>
    <w:rsid w:val="00BB2346"/>
    <w:rsid w:val="00BB2F7A"/>
    <w:rsid w:val="00BB35A5"/>
    <w:rsid w:val="00BB3F3A"/>
    <w:rsid w:val="00BB49BD"/>
    <w:rsid w:val="00BB5460"/>
    <w:rsid w:val="00BB65C8"/>
    <w:rsid w:val="00BC0152"/>
    <w:rsid w:val="00BC55A1"/>
    <w:rsid w:val="00BC5A97"/>
    <w:rsid w:val="00BD133E"/>
    <w:rsid w:val="00BD1477"/>
    <w:rsid w:val="00BD2220"/>
    <w:rsid w:val="00BD3D45"/>
    <w:rsid w:val="00BD5726"/>
    <w:rsid w:val="00BD61FD"/>
    <w:rsid w:val="00BD64CE"/>
    <w:rsid w:val="00BD7122"/>
    <w:rsid w:val="00BE0144"/>
    <w:rsid w:val="00BE22E2"/>
    <w:rsid w:val="00BE2F28"/>
    <w:rsid w:val="00BE56D1"/>
    <w:rsid w:val="00BE768A"/>
    <w:rsid w:val="00BE784C"/>
    <w:rsid w:val="00BE7B81"/>
    <w:rsid w:val="00BF0B4C"/>
    <w:rsid w:val="00BF0CF0"/>
    <w:rsid w:val="00BF0DC3"/>
    <w:rsid w:val="00BF163D"/>
    <w:rsid w:val="00BF1EA7"/>
    <w:rsid w:val="00BF2A82"/>
    <w:rsid w:val="00BF30B7"/>
    <w:rsid w:val="00BF5B53"/>
    <w:rsid w:val="00BF62E3"/>
    <w:rsid w:val="00C00B08"/>
    <w:rsid w:val="00C0134E"/>
    <w:rsid w:val="00C01A9E"/>
    <w:rsid w:val="00C033EA"/>
    <w:rsid w:val="00C04144"/>
    <w:rsid w:val="00C05EAE"/>
    <w:rsid w:val="00C06303"/>
    <w:rsid w:val="00C069C1"/>
    <w:rsid w:val="00C072A1"/>
    <w:rsid w:val="00C1300B"/>
    <w:rsid w:val="00C14E76"/>
    <w:rsid w:val="00C15203"/>
    <w:rsid w:val="00C15CCF"/>
    <w:rsid w:val="00C1776E"/>
    <w:rsid w:val="00C20BA0"/>
    <w:rsid w:val="00C246D1"/>
    <w:rsid w:val="00C25751"/>
    <w:rsid w:val="00C25BD5"/>
    <w:rsid w:val="00C2659F"/>
    <w:rsid w:val="00C26E08"/>
    <w:rsid w:val="00C26FD4"/>
    <w:rsid w:val="00C27970"/>
    <w:rsid w:val="00C30B5A"/>
    <w:rsid w:val="00C3356A"/>
    <w:rsid w:val="00C370E2"/>
    <w:rsid w:val="00C4169C"/>
    <w:rsid w:val="00C41D9D"/>
    <w:rsid w:val="00C424FC"/>
    <w:rsid w:val="00C42FDC"/>
    <w:rsid w:val="00C469CD"/>
    <w:rsid w:val="00C507AA"/>
    <w:rsid w:val="00C5112A"/>
    <w:rsid w:val="00C5531C"/>
    <w:rsid w:val="00C55915"/>
    <w:rsid w:val="00C56D6F"/>
    <w:rsid w:val="00C5725D"/>
    <w:rsid w:val="00C66881"/>
    <w:rsid w:val="00C67F2F"/>
    <w:rsid w:val="00C7123B"/>
    <w:rsid w:val="00C712A4"/>
    <w:rsid w:val="00C71F76"/>
    <w:rsid w:val="00C72528"/>
    <w:rsid w:val="00C72EBB"/>
    <w:rsid w:val="00C730DE"/>
    <w:rsid w:val="00C7487D"/>
    <w:rsid w:val="00C74955"/>
    <w:rsid w:val="00C7628C"/>
    <w:rsid w:val="00C77E7E"/>
    <w:rsid w:val="00C82091"/>
    <w:rsid w:val="00C834D0"/>
    <w:rsid w:val="00C8538D"/>
    <w:rsid w:val="00C86317"/>
    <w:rsid w:val="00C86B6C"/>
    <w:rsid w:val="00C92CE1"/>
    <w:rsid w:val="00C93BA7"/>
    <w:rsid w:val="00C95DEF"/>
    <w:rsid w:val="00C96CA2"/>
    <w:rsid w:val="00C9711C"/>
    <w:rsid w:val="00CA03F0"/>
    <w:rsid w:val="00CA3A0D"/>
    <w:rsid w:val="00CA6280"/>
    <w:rsid w:val="00CA68F9"/>
    <w:rsid w:val="00CA69C7"/>
    <w:rsid w:val="00CA7B98"/>
    <w:rsid w:val="00CB17F4"/>
    <w:rsid w:val="00CB2120"/>
    <w:rsid w:val="00CB265C"/>
    <w:rsid w:val="00CB314F"/>
    <w:rsid w:val="00CB46A8"/>
    <w:rsid w:val="00CB49AA"/>
    <w:rsid w:val="00CB4DAA"/>
    <w:rsid w:val="00CB57D9"/>
    <w:rsid w:val="00CB596A"/>
    <w:rsid w:val="00CB6204"/>
    <w:rsid w:val="00CB6CF5"/>
    <w:rsid w:val="00CC0C2F"/>
    <w:rsid w:val="00CC3090"/>
    <w:rsid w:val="00CC34C7"/>
    <w:rsid w:val="00CC684D"/>
    <w:rsid w:val="00CC776D"/>
    <w:rsid w:val="00CD251B"/>
    <w:rsid w:val="00CD7282"/>
    <w:rsid w:val="00CE037A"/>
    <w:rsid w:val="00CE199D"/>
    <w:rsid w:val="00CE2A80"/>
    <w:rsid w:val="00CE2EB4"/>
    <w:rsid w:val="00CE4524"/>
    <w:rsid w:val="00CE5182"/>
    <w:rsid w:val="00CE5A26"/>
    <w:rsid w:val="00CE5DA7"/>
    <w:rsid w:val="00CE5FFE"/>
    <w:rsid w:val="00CE639B"/>
    <w:rsid w:val="00CF31E7"/>
    <w:rsid w:val="00CF335F"/>
    <w:rsid w:val="00CF511E"/>
    <w:rsid w:val="00CF5FE8"/>
    <w:rsid w:val="00D01C4D"/>
    <w:rsid w:val="00D04360"/>
    <w:rsid w:val="00D05DE8"/>
    <w:rsid w:val="00D05DEC"/>
    <w:rsid w:val="00D05E5B"/>
    <w:rsid w:val="00D067EC"/>
    <w:rsid w:val="00D0693B"/>
    <w:rsid w:val="00D104F0"/>
    <w:rsid w:val="00D1053B"/>
    <w:rsid w:val="00D10D67"/>
    <w:rsid w:val="00D10FCC"/>
    <w:rsid w:val="00D12D45"/>
    <w:rsid w:val="00D13361"/>
    <w:rsid w:val="00D138CE"/>
    <w:rsid w:val="00D143A1"/>
    <w:rsid w:val="00D14F1D"/>
    <w:rsid w:val="00D17280"/>
    <w:rsid w:val="00D22486"/>
    <w:rsid w:val="00D23A2C"/>
    <w:rsid w:val="00D24FC5"/>
    <w:rsid w:val="00D259FC"/>
    <w:rsid w:val="00D27D64"/>
    <w:rsid w:val="00D31B86"/>
    <w:rsid w:val="00D33E2B"/>
    <w:rsid w:val="00D33FFF"/>
    <w:rsid w:val="00D34E1F"/>
    <w:rsid w:val="00D3692D"/>
    <w:rsid w:val="00D375D6"/>
    <w:rsid w:val="00D40AD2"/>
    <w:rsid w:val="00D46CAF"/>
    <w:rsid w:val="00D47731"/>
    <w:rsid w:val="00D5023B"/>
    <w:rsid w:val="00D50865"/>
    <w:rsid w:val="00D528FA"/>
    <w:rsid w:val="00D53994"/>
    <w:rsid w:val="00D5527A"/>
    <w:rsid w:val="00D56A60"/>
    <w:rsid w:val="00D600AF"/>
    <w:rsid w:val="00D600E3"/>
    <w:rsid w:val="00D603CA"/>
    <w:rsid w:val="00D60D0E"/>
    <w:rsid w:val="00D623C7"/>
    <w:rsid w:val="00D64DCB"/>
    <w:rsid w:val="00D64F0F"/>
    <w:rsid w:val="00D666AC"/>
    <w:rsid w:val="00D66D17"/>
    <w:rsid w:val="00D67BC6"/>
    <w:rsid w:val="00D72835"/>
    <w:rsid w:val="00D73059"/>
    <w:rsid w:val="00D74A7B"/>
    <w:rsid w:val="00D74C8A"/>
    <w:rsid w:val="00D7621E"/>
    <w:rsid w:val="00D776F6"/>
    <w:rsid w:val="00D802FC"/>
    <w:rsid w:val="00D80530"/>
    <w:rsid w:val="00D8093F"/>
    <w:rsid w:val="00D8217E"/>
    <w:rsid w:val="00D8249F"/>
    <w:rsid w:val="00D824FD"/>
    <w:rsid w:val="00D84323"/>
    <w:rsid w:val="00D84F22"/>
    <w:rsid w:val="00D85248"/>
    <w:rsid w:val="00D86CD9"/>
    <w:rsid w:val="00D875A9"/>
    <w:rsid w:val="00D87B96"/>
    <w:rsid w:val="00D90733"/>
    <w:rsid w:val="00D909A1"/>
    <w:rsid w:val="00D90D8A"/>
    <w:rsid w:val="00D921F6"/>
    <w:rsid w:val="00D93152"/>
    <w:rsid w:val="00D9363D"/>
    <w:rsid w:val="00D93B76"/>
    <w:rsid w:val="00D955E1"/>
    <w:rsid w:val="00D96686"/>
    <w:rsid w:val="00D96DA7"/>
    <w:rsid w:val="00DA03B9"/>
    <w:rsid w:val="00DA2E08"/>
    <w:rsid w:val="00DA4C3B"/>
    <w:rsid w:val="00DA6C5C"/>
    <w:rsid w:val="00DA6FC3"/>
    <w:rsid w:val="00DA7A8E"/>
    <w:rsid w:val="00DB0830"/>
    <w:rsid w:val="00DB1AC6"/>
    <w:rsid w:val="00DB2FAC"/>
    <w:rsid w:val="00DB3B0B"/>
    <w:rsid w:val="00DB3C49"/>
    <w:rsid w:val="00DB4F50"/>
    <w:rsid w:val="00DB5560"/>
    <w:rsid w:val="00DB7C33"/>
    <w:rsid w:val="00DC20D4"/>
    <w:rsid w:val="00DC2B64"/>
    <w:rsid w:val="00DC4810"/>
    <w:rsid w:val="00DC6D38"/>
    <w:rsid w:val="00DD00A9"/>
    <w:rsid w:val="00DD02DB"/>
    <w:rsid w:val="00DD142A"/>
    <w:rsid w:val="00DD1980"/>
    <w:rsid w:val="00DD22DF"/>
    <w:rsid w:val="00DD28C5"/>
    <w:rsid w:val="00DD42C4"/>
    <w:rsid w:val="00DD5AE6"/>
    <w:rsid w:val="00DE0EB0"/>
    <w:rsid w:val="00DE173C"/>
    <w:rsid w:val="00DE22EB"/>
    <w:rsid w:val="00DE45AF"/>
    <w:rsid w:val="00DE4EC0"/>
    <w:rsid w:val="00DE6487"/>
    <w:rsid w:val="00DE77BD"/>
    <w:rsid w:val="00DE7FB6"/>
    <w:rsid w:val="00DF0BDD"/>
    <w:rsid w:val="00DF0EAA"/>
    <w:rsid w:val="00E030BB"/>
    <w:rsid w:val="00E03C45"/>
    <w:rsid w:val="00E04B46"/>
    <w:rsid w:val="00E05A7C"/>
    <w:rsid w:val="00E10082"/>
    <w:rsid w:val="00E104B3"/>
    <w:rsid w:val="00E120FE"/>
    <w:rsid w:val="00E13853"/>
    <w:rsid w:val="00E13A70"/>
    <w:rsid w:val="00E15666"/>
    <w:rsid w:val="00E15E5A"/>
    <w:rsid w:val="00E16B87"/>
    <w:rsid w:val="00E1728B"/>
    <w:rsid w:val="00E17E95"/>
    <w:rsid w:val="00E20D3C"/>
    <w:rsid w:val="00E21D60"/>
    <w:rsid w:val="00E22EBF"/>
    <w:rsid w:val="00E24C6C"/>
    <w:rsid w:val="00E25C40"/>
    <w:rsid w:val="00E26047"/>
    <w:rsid w:val="00E26113"/>
    <w:rsid w:val="00E262F1"/>
    <w:rsid w:val="00E26B32"/>
    <w:rsid w:val="00E30C82"/>
    <w:rsid w:val="00E35005"/>
    <w:rsid w:val="00E36774"/>
    <w:rsid w:val="00E44115"/>
    <w:rsid w:val="00E4790E"/>
    <w:rsid w:val="00E52EB0"/>
    <w:rsid w:val="00E546E6"/>
    <w:rsid w:val="00E55AB5"/>
    <w:rsid w:val="00E57397"/>
    <w:rsid w:val="00E60EBA"/>
    <w:rsid w:val="00E64DBF"/>
    <w:rsid w:val="00E676C2"/>
    <w:rsid w:val="00E67E56"/>
    <w:rsid w:val="00E67EE1"/>
    <w:rsid w:val="00E70C71"/>
    <w:rsid w:val="00E74EB9"/>
    <w:rsid w:val="00E75011"/>
    <w:rsid w:val="00E83F6E"/>
    <w:rsid w:val="00E873E4"/>
    <w:rsid w:val="00E92502"/>
    <w:rsid w:val="00E92E35"/>
    <w:rsid w:val="00E93C54"/>
    <w:rsid w:val="00E9411E"/>
    <w:rsid w:val="00E9642D"/>
    <w:rsid w:val="00E9764C"/>
    <w:rsid w:val="00EA0C32"/>
    <w:rsid w:val="00EA23C9"/>
    <w:rsid w:val="00EA27B1"/>
    <w:rsid w:val="00EA3FCD"/>
    <w:rsid w:val="00EA40F5"/>
    <w:rsid w:val="00EA656A"/>
    <w:rsid w:val="00EB4BA4"/>
    <w:rsid w:val="00EB4C28"/>
    <w:rsid w:val="00EB5F0D"/>
    <w:rsid w:val="00EC079C"/>
    <w:rsid w:val="00EC3270"/>
    <w:rsid w:val="00EC335C"/>
    <w:rsid w:val="00EC5160"/>
    <w:rsid w:val="00EC5D54"/>
    <w:rsid w:val="00EC659D"/>
    <w:rsid w:val="00ED3096"/>
    <w:rsid w:val="00ED4C00"/>
    <w:rsid w:val="00ED5DDF"/>
    <w:rsid w:val="00ED6FB4"/>
    <w:rsid w:val="00ED7127"/>
    <w:rsid w:val="00EE1BE2"/>
    <w:rsid w:val="00EE5251"/>
    <w:rsid w:val="00EE5AAC"/>
    <w:rsid w:val="00EE7459"/>
    <w:rsid w:val="00EF1276"/>
    <w:rsid w:val="00EF1C73"/>
    <w:rsid w:val="00EF287D"/>
    <w:rsid w:val="00EF292A"/>
    <w:rsid w:val="00EF50AC"/>
    <w:rsid w:val="00F00720"/>
    <w:rsid w:val="00F01B67"/>
    <w:rsid w:val="00F01E27"/>
    <w:rsid w:val="00F02F09"/>
    <w:rsid w:val="00F042AF"/>
    <w:rsid w:val="00F04682"/>
    <w:rsid w:val="00F061C4"/>
    <w:rsid w:val="00F10C8A"/>
    <w:rsid w:val="00F10D3B"/>
    <w:rsid w:val="00F114A7"/>
    <w:rsid w:val="00F11D07"/>
    <w:rsid w:val="00F16976"/>
    <w:rsid w:val="00F17CB4"/>
    <w:rsid w:val="00F17E6B"/>
    <w:rsid w:val="00F208B3"/>
    <w:rsid w:val="00F2169A"/>
    <w:rsid w:val="00F2245F"/>
    <w:rsid w:val="00F2350F"/>
    <w:rsid w:val="00F26076"/>
    <w:rsid w:val="00F260E1"/>
    <w:rsid w:val="00F27F1F"/>
    <w:rsid w:val="00F30689"/>
    <w:rsid w:val="00F30E41"/>
    <w:rsid w:val="00F32513"/>
    <w:rsid w:val="00F33E6A"/>
    <w:rsid w:val="00F3760C"/>
    <w:rsid w:val="00F40CFD"/>
    <w:rsid w:val="00F42A72"/>
    <w:rsid w:val="00F4416C"/>
    <w:rsid w:val="00F475E6"/>
    <w:rsid w:val="00F505F9"/>
    <w:rsid w:val="00F51BBB"/>
    <w:rsid w:val="00F53F53"/>
    <w:rsid w:val="00F54AB6"/>
    <w:rsid w:val="00F6047E"/>
    <w:rsid w:val="00F60F37"/>
    <w:rsid w:val="00F61B1F"/>
    <w:rsid w:val="00F64272"/>
    <w:rsid w:val="00F653E6"/>
    <w:rsid w:val="00F67206"/>
    <w:rsid w:val="00F67B7B"/>
    <w:rsid w:val="00F711A2"/>
    <w:rsid w:val="00F72300"/>
    <w:rsid w:val="00F75D26"/>
    <w:rsid w:val="00F76842"/>
    <w:rsid w:val="00F8055E"/>
    <w:rsid w:val="00F80D30"/>
    <w:rsid w:val="00F81480"/>
    <w:rsid w:val="00F831E0"/>
    <w:rsid w:val="00F832CC"/>
    <w:rsid w:val="00F832F0"/>
    <w:rsid w:val="00F84AC4"/>
    <w:rsid w:val="00F86DA1"/>
    <w:rsid w:val="00F8720C"/>
    <w:rsid w:val="00F877AB"/>
    <w:rsid w:val="00F90F86"/>
    <w:rsid w:val="00F92566"/>
    <w:rsid w:val="00F94088"/>
    <w:rsid w:val="00F96C08"/>
    <w:rsid w:val="00FA0A5F"/>
    <w:rsid w:val="00FA70B6"/>
    <w:rsid w:val="00FB20B0"/>
    <w:rsid w:val="00FB2438"/>
    <w:rsid w:val="00FB2A83"/>
    <w:rsid w:val="00FB46CE"/>
    <w:rsid w:val="00FB65FF"/>
    <w:rsid w:val="00FB6F78"/>
    <w:rsid w:val="00FB7BC7"/>
    <w:rsid w:val="00FC0930"/>
    <w:rsid w:val="00FC0B27"/>
    <w:rsid w:val="00FC22E2"/>
    <w:rsid w:val="00FC2CDA"/>
    <w:rsid w:val="00FC4129"/>
    <w:rsid w:val="00FC5011"/>
    <w:rsid w:val="00FC6068"/>
    <w:rsid w:val="00FC6D37"/>
    <w:rsid w:val="00FC7993"/>
    <w:rsid w:val="00FD0691"/>
    <w:rsid w:val="00FD1EED"/>
    <w:rsid w:val="00FD67C4"/>
    <w:rsid w:val="00FD6BD3"/>
    <w:rsid w:val="00FD71FF"/>
    <w:rsid w:val="00FD75A2"/>
    <w:rsid w:val="00FE0478"/>
    <w:rsid w:val="00FE345B"/>
    <w:rsid w:val="00FE6E07"/>
    <w:rsid w:val="00FE6E84"/>
    <w:rsid w:val="00FF0E49"/>
    <w:rsid w:val="00FF1326"/>
    <w:rsid w:val="00FF3252"/>
    <w:rsid w:val="00FF4A9D"/>
    <w:rsid w:val="00FF4DBA"/>
    <w:rsid w:val="00FF5612"/>
    <w:rsid w:val="00FF5A21"/>
    <w:rsid w:val="00FF62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14E76"/>
    <w:pPr>
      <w:spacing w:after="160" w:line="259" w:lineRule="auto"/>
    </w:pPr>
    <w:rPr>
      <w:rFonts w:cs="Aptos"/>
      <w:kern w:val="2"/>
      <w:lang w:val="uk-UA" w:eastAsia="en-US"/>
    </w:rPr>
  </w:style>
  <w:style w:type="paragraph" w:styleId="Heading1">
    <w:name w:val="heading 1"/>
    <w:basedOn w:val="Normal"/>
    <w:next w:val="Normal"/>
    <w:link w:val="Heading1Char"/>
    <w:uiPriority w:val="99"/>
    <w:qFormat/>
    <w:rsid w:val="00135A25"/>
    <w:pPr>
      <w:keepNext/>
      <w:keepLines/>
      <w:spacing w:before="360" w:after="80"/>
      <w:outlineLvl w:val="0"/>
    </w:pPr>
    <w:rPr>
      <w:rFonts w:ascii="Aptos Display" w:eastAsia="Times New Roman" w:hAnsi="Aptos Display" w:cs="Aptos Display"/>
      <w:color w:val="0F4761"/>
      <w:sz w:val="40"/>
      <w:szCs w:val="40"/>
    </w:rPr>
  </w:style>
  <w:style w:type="paragraph" w:styleId="Heading2">
    <w:name w:val="heading 2"/>
    <w:basedOn w:val="Normal"/>
    <w:next w:val="Normal"/>
    <w:link w:val="Heading2Char"/>
    <w:uiPriority w:val="99"/>
    <w:qFormat/>
    <w:rsid w:val="00135A25"/>
    <w:pPr>
      <w:keepNext/>
      <w:keepLines/>
      <w:spacing w:before="160" w:after="80"/>
      <w:outlineLvl w:val="1"/>
    </w:pPr>
    <w:rPr>
      <w:rFonts w:ascii="Aptos Display" w:eastAsia="Times New Roman" w:hAnsi="Aptos Display" w:cs="Aptos Display"/>
      <w:color w:val="0F4761"/>
      <w:sz w:val="32"/>
      <w:szCs w:val="32"/>
    </w:rPr>
  </w:style>
  <w:style w:type="paragraph" w:styleId="Heading3">
    <w:name w:val="heading 3"/>
    <w:basedOn w:val="Normal"/>
    <w:next w:val="Normal"/>
    <w:link w:val="Heading3Char"/>
    <w:uiPriority w:val="99"/>
    <w:qFormat/>
    <w:rsid w:val="00135A25"/>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135A25"/>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135A25"/>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135A25"/>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135A25"/>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135A25"/>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135A25"/>
    <w:pPr>
      <w:keepNext/>
      <w:keepLines/>
      <w:spacing w:after="0"/>
      <w:outlineLvl w:val="8"/>
    </w:pPr>
    <w:rPr>
      <w:rFonts w:eastAsia="Times New Roman"/>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5A25"/>
    <w:rPr>
      <w:rFonts w:ascii="Aptos Display" w:hAnsi="Aptos Display" w:cs="Aptos Display"/>
      <w:color w:val="0F4761"/>
      <w:sz w:val="40"/>
      <w:szCs w:val="40"/>
    </w:rPr>
  </w:style>
  <w:style w:type="character" w:customStyle="1" w:styleId="Heading2Char">
    <w:name w:val="Heading 2 Char"/>
    <w:basedOn w:val="DefaultParagraphFont"/>
    <w:link w:val="Heading2"/>
    <w:uiPriority w:val="99"/>
    <w:semiHidden/>
    <w:locked/>
    <w:rsid w:val="00135A25"/>
    <w:rPr>
      <w:rFonts w:ascii="Aptos Display" w:hAnsi="Aptos Display" w:cs="Aptos Display"/>
      <w:color w:val="0F4761"/>
      <w:sz w:val="32"/>
      <w:szCs w:val="32"/>
    </w:rPr>
  </w:style>
  <w:style w:type="character" w:customStyle="1" w:styleId="Heading3Char">
    <w:name w:val="Heading 3 Char"/>
    <w:basedOn w:val="DefaultParagraphFont"/>
    <w:link w:val="Heading3"/>
    <w:uiPriority w:val="99"/>
    <w:semiHidden/>
    <w:locked/>
    <w:rsid w:val="00135A25"/>
    <w:rPr>
      <w:rFonts w:eastAsia="Times New Roman"/>
      <w:color w:val="0F4761"/>
      <w:sz w:val="28"/>
      <w:szCs w:val="28"/>
    </w:rPr>
  </w:style>
  <w:style w:type="character" w:customStyle="1" w:styleId="Heading4Char">
    <w:name w:val="Heading 4 Char"/>
    <w:basedOn w:val="DefaultParagraphFont"/>
    <w:link w:val="Heading4"/>
    <w:uiPriority w:val="99"/>
    <w:semiHidden/>
    <w:locked/>
    <w:rsid w:val="00135A25"/>
    <w:rPr>
      <w:rFonts w:eastAsia="Times New Roman"/>
      <w:i/>
      <w:iCs/>
      <w:color w:val="0F4761"/>
    </w:rPr>
  </w:style>
  <w:style w:type="character" w:customStyle="1" w:styleId="Heading5Char">
    <w:name w:val="Heading 5 Char"/>
    <w:basedOn w:val="DefaultParagraphFont"/>
    <w:link w:val="Heading5"/>
    <w:uiPriority w:val="99"/>
    <w:semiHidden/>
    <w:locked/>
    <w:rsid w:val="00135A25"/>
    <w:rPr>
      <w:rFonts w:eastAsia="Times New Roman"/>
      <w:color w:val="0F4761"/>
    </w:rPr>
  </w:style>
  <w:style w:type="character" w:customStyle="1" w:styleId="Heading6Char">
    <w:name w:val="Heading 6 Char"/>
    <w:basedOn w:val="DefaultParagraphFont"/>
    <w:link w:val="Heading6"/>
    <w:uiPriority w:val="99"/>
    <w:semiHidden/>
    <w:locked/>
    <w:rsid w:val="00135A25"/>
    <w:rPr>
      <w:rFonts w:eastAsia="Times New Roman"/>
      <w:i/>
      <w:iCs/>
      <w:color w:val="595959"/>
    </w:rPr>
  </w:style>
  <w:style w:type="character" w:customStyle="1" w:styleId="Heading7Char">
    <w:name w:val="Heading 7 Char"/>
    <w:basedOn w:val="DefaultParagraphFont"/>
    <w:link w:val="Heading7"/>
    <w:uiPriority w:val="99"/>
    <w:semiHidden/>
    <w:locked/>
    <w:rsid w:val="00135A25"/>
    <w:rPr>
      <w:rFonts w:eastAsia="Times New Roman"/>
      <w:color w:val="595959"/>
    </w:rPr>
  </w:style>
  <w:style w:type="character" w:customStyle="1" w:styleId="Heading8Char">
    <w:name w:val="Heading 8 Char"/>
    <w:basedOn w:val="DefaultParagraphFont"/>
    <w:link w:val="Heading8"/>
    <w:uiPriority w:val="99"/>
    <w:semiHidden/>
    <w:locked/>
    <w:rsid w:val="00135A25"/>
    <w:rPr>
      <w:rFonts w:eastAsia="Times New Roman"/>
      <w:i/>
      <w:iCs/>
      <w:color w:val="272727"/>
    </w:rPr>
  </w:style>
  <w:style w:type="character" w:customStyle="1" w:styleId="Heading9Char">
    <w:name w:val="Heading 9 Char"/>
    <w:basedOn w:val="DefaultParagraphFont"/>
    <w:link w:val="Heading9"/>
    <w:uiPriority w:val="99"/>
    <w:semiHidden/>
    <w:locked/>
    <w:rsid w:val="00135A25"/>
    <w:rPr>
      <w:rFonts w:eastAsia="Times New Roman"/>
      <w:color w:val="272727"/>
    </w:rPr>
  </w:style>
  <w:style w:type="paragraph" w:styleId="Title">
    <w:name w:val="Title"/>
    <w:basedOn w:val="Normal"/>
    <w:next w:val="Normal"/>
    <w:link w:val="TitleChar"/>
    <w:uiPriority w:val="99"/>
    <w:qFormat/>
    <w:rsid w:val="00135A25"/>
    <w:pPr>
      <w:spacing w:after="80" w:line="240" w:lineRule="auto"/>
    </w:pPr>
    <w:rPr>
      <w:rFonts w:ascii="Aptos Display" w:eastAsia="Times New Roman" w:hAnsi="Aptos Display" w:cs="Aptos Display"/>
      <w:spacing w:val="-10"/>
      <w:kern w:val="28"/>
      <w:sz w:val="56"/>
      <w:szCs w:val="56"/>
    </w:rPr>
  </w:style>
  <w:style w:type="character" w:customStyle="1" w:styleId="TitleChar">
    <w:name w:val="Title Char"/>
    <w:basedOn w:val="DefaultParagraphFont"/>
    <w:link w:val="Title"/>
    <w:uiPriority w:val="99"/>
    <w:locked/>
    <w:rsid w:val="00135A25"/>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135A25"/>
    <w:pPr>
      <w:numPr>
        <w:ilvl w:val="1"/>
      </w:numPr>
    </w:pPr>
    <w:rPr>
      <w:rFonts w:eastAsia="Times New Roman"/>
      <w:color w:val="595959"/>
      <w:spacing w:val="15"/>
      <w:sz w:val="28"/>
      <w:szCs w:val="28"/>
    </w:rPr>
  </w:style>
  <w:style w:type="character" w:customStyle="1" w:styleId="SubtitleChar">
    <w:name w:val="Subtitle Char"/>
    <w:basedOn w:val="DefaultParagraphFont"/>
    <w:link w:val="Subtitle"/>
    <w:uiPriority w:val="99"/>
    <w:locked/>
    <w:rsid w:val="00135A25"/>
    <w:rPr>
      <w:rFonts w:eastAsia="Times New Roman"/>
      <w:color w:val="595959"/>
      <w:spacing w:val="15"/>
      <w:sz w:val="28"/>
      <w:szCs w:val="28"/>
    </w:rPr>
  </w:style>
  <w:style w:type="paragraph" w:styleId="Quote">
    <w:name w:val="Quote"/>
    <w:basedOn w:val="Normal"/>
    <w:next w:val="Normal"/>
    <w:link w:val="QuoteChar"/>
    <w:uiPriority w:val="99"/>
    <w:qFormat/>
    <w:rsid w:val="00135A25"/>
    <w:pPr>
      <w:spacing w:before="160"/>
      <w:jc w:val="center"/>
    </w:pPr>
    <w:rPr>
      <w:i/>
      <w:iCs/>
      <w:color w:val="404040"/>
    </w:rPr>
  </w:style>
  <w:style w:type="character" w:customStyle="1" w:styleId="QuoteChar">
    <w:name w:val="Quote Char"/>
    <w:basedOn w:val="DefaultParagraphFont"/>
    <w:link w:val="Quote"/>
    <w:uiPriority w:val="99"/>
    <w:locked/>
    <w:rsid w:val="00135A25"/>
    <w:rPr>
      <w:i/>
      <w:iCs/>
      <w:color w:val="404040"/>
    </w:rPr>
  </w:style>
  <w:style w:type="paragraph" w:styleId="ListParagraph">
    <w:name w:val="List Paragraph"/>
    <w:basedOn w:val="Normal"/>
    <w:uiPriority w:val="99"/>
    <w:qFormat/>
    <w:rsid w:val="00135A25"/>
    <w:pPr>
      <w:ind w:left="720"/>
    </w:pPr>
  </w:style>
  <w:style w:type="character" w:styleId="IntenseEmphasis">
    <w:name w:val="Intense Emphasis"/>
    <w:basedOn w:val="DefaultParagraphFont"/>
    <w:uiPriority w:val="99"/>
    <w:qFormat/>
    <w:rsid w:val="00135A25"/>
    <w:rPr>
      <w:i/>
      <w:iCs/>
      <w:color w:val="0F4761"/>
    </w:rPr>
  </w:style>
  <w:style w:type="paragraph" w:styleId="IntenseQuote">
    <w:name w:val="Intense Quote"/>
    <w:basedOn w:val="Normal"/>
    <w:next w:val="Normal"/>
    <w:link w:val="IntenseQuoteChar"/>
    <w:uiPriority w:val="99"/>
    <w:qFormat/>
    <w:rsid w:val="00135A25"/>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99"/>
    <w:locked/>
    <w:rsid w:val="00135A25"/>
    <w:rPr>
      <w:i/>
      <w:iCs/>
      <w:color w:val="0F4761"/>
    </w:rPr>
  </w:style>
  <w:style w:type="character" w:styleId="IntenseReference">
    <w:name w:val="Intense Reference"/>
    <w:basedOn w:val="DefaultParagraphFont"/>
    <w:uiPriority w:val="99"/>
    <w:qFormat/>
    <w:rsid w:val="00135A25"/>
    <w:rPr>
      <w:b/>
      <w:bCs/>
      <w:smallCaps/>
      <w:color w:val="0F4761"/>
      <w:spacing w:val="5"/>
    </w:rPr>
  </w:style>
  <w:style w:type="paragraph" w:styleId="Header">
    <w:name w:val="header"/>
    <w:basedOn w:val="Normal"/>
    <w:link w:val="HeaderChar"/>
    <w:uiPriority w:val="99"/>
    <w:rsid w:val="00855B3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55B3E"/>
  </w:style>
  <w:style w:type="paragraph" w:styleId="Footer">
    <w:name w:val="footer"/>
    <w:basedOn w:val="Normal"/>
    <w:link w:val="FooterChar"/>
    <w:uiPriority w:val="99"/>
    <w:rsid w:val="00855B3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55B3E"/>
  </w:style>
  <w:style w:type="paragraph" w:styleId="NormalWeb">
    <w:name w:val="Normal (Web)"/>
    <w:basedOn w:val="Normal"/>
    <w:uiPriority w:val="99"/>
    <w:semiHidden/>
    <w:rsid w:val="0021184B"/>
    <w:rPr>
      <w:rFonts w:cs="Times New Roman"/>
      <w:sz w:val="24"/>
      <w:szCs w:val="24"/>
    </w:rPr>
  </w:style>
  <w:style w:type="character" w:styleId="PlaceholderText">
    <w:name w:val="Placeholder Text"/>
    <w:basedOn w:val="DefaultParagraphFont"/>
    <w:uiPriority w:val="99"/>
    <w:semiHidden/>
    <w:rsid w:val="00AF780F"/>
    <w:rPr>
      <w:color w:val="auto"/>
    </w:rPr>
  </w:style>
  <w:style w:type="character" w:styleId="Hyperlink">
    <w:name w:val="Hyperlink"/>
    <w:basedOn w:val="DefaultParagraphFont"/>
    <w:uiPriority w:val="99"/>
    <w:rsid w:val="000113FB"/>
    <w:rPr>
      <w:color w:val="467886"/>
      <w:u w:val="single"/>
    </w:rPr>
  </w:style>
  <w:style w:type="character" w:customStyle="1" w:styleId="UnresolvedMention">
    <w:name w:val="Unresolved Mention"/>
    <w:basedOn w:val="DefaultParagraphFont"/>
    <w:uiPriority w:val="99"/>
    <w:semiHidden/>
    <w:rsid w:val="000113FB"/>
    <w:rPr>
      <w:color w:val="auto"/>
      <w:shd w:val="clear" w:color="auto" w:fill="auto"/>
    </w:rPr>
  </w:style>
  <w:style w:type="character" w:styleId="FollowedHyperlink">
    <w:name w:val="FollowedHyperlink"/>
    <w:basedOn w:val="DefaultParagraphFont"/>
    <w:uiPriority w:val="99"/>
    <w:semiHidden/>
    <w:rsid w:val="00F16976"/>
    <w:rPr>
      <w:color w:val="auto"/>
      <w:u w:val="single"/>
    </w:rPr>
  </w:style>
  <w:style w:type="table" w:styleId="TableGrid">
    <w:name w:val="Table Grid"/>
    <w:basedOn w:val="TableNormal"/>
    <w:uiPriority w:val="99"/>
    <w:rsid w:val="003333D8"/>
    <w:rPr>
      <w:rFonts w:cs="Apto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0959437">
      <w:marLeft w:val="0"/>
      <w:marRight w:val="0"/>
      <w:marTop w:val="0"/>
      <w:marBottom w:val="0"/>
      <w:divBdr>
        <w:top w:val="none" w:sz="0" w:space="0" w:color="auto"/>
        <w:left w:val="none" w:sz="0" w:space="0" w:color="auto"/>
        <w:bottom w:val="none" w:sz="0" w:space="0" w:color="auto"/>
        <w:right w:val="none" w:sz="0" w:space="0" w:color="auto"/>
      </w:divBdr>
    </w:div>
    <w:div w:id="1370959439">
      <w:marLeft w:val="0"/>
      <w:marRight w:val="0"/>
      <w:marTop w:val="0"/>
      <w:marBottom w:val="0"/>
      <w:divBdr>
        <w:top w:val="none" w:sz="0" w:space="0" w:color="auto"/>
        <w:left w:val="none" w:sz="0" w:space="0" w:color="auto"/>
        <w:bottom w:val="none" w:sz="0" w:space="0" w:color="auto"/>
        <w:right w:val="none" w:sz="0" w:space="0" w:color="auto"/>
      </w:divBdr>
    </w:div>
    <w:div w:id="1370959442">
      <w:marLeft w:val="0"/>
      <w:marRight w:val="0"/>
      <w:marTop w:val="0"/>
      <w:marBottom w:val="0"/>
      <w:divBdr>
        <w:top w:val="none" w:sz="0" w:space="0" w:color="auto"/>
        <w:left w:val="none" w:sz="0" w:space="0" w:color="auto"/>
        <w:bottom w:val="none" w:sz="0" w:space="0" w:color="auto"/>
        <w:right w:val="none" w:sz="0" w:space="0" w:color="auto"/>
      </w:divBdr>
    </w:div>
    <w:div w:id="1370959450">
      <w:marLeft w:val="0"/>
      <w:marRight w:val="0"/>
      <w:marTop w:val="0"/>
      <w:marBottom w:val="0"/>
      <w:divBdr>
        <w:top w:val="none" w:sz="0" w:space="0" w:color="auto"/>
        <w:left w:val="none" w:sz="0" w:space="0" w:color="auto"/>
        <w:bottom w:val="none" w:sz="0" w:space="0" w:color="auto"/>
        <w:right w:val="none" w:sz="0" w:space="0" w:color="auto"/>
      </w:divBdr>
    </w:div>
    <w:div w:id="1370959451">
      <w:marLeft w:val="0"/>
      <w:marRight w:val="0"/>
      <w:marTop w:val="0"/>
      <w:marBottom w:val="0"/>
      <w:divBdr>
        <w:top w:val="none" w:sz="0" w:space="0" w:color="auto"/>
        <w:left w:val="none" w:sz="0" w:space="0" w:color="auto"/>
        <w:bottom w:val="none" w:sz="0" w:space="0" w:color="auto"/>
        <w:right w:val="none" w:sz="0" w:space="0" w:color="auto"/>
      </w:divBdr>
    </w:div>
    <w:div w:id="1370959453">
      <w:marLeft w:val="0"/>
      <w:marRight w:val="0"/>
      <w:marTop w:val="0"/>
      <w:marBottom w:val="0"/>
      <w:divBdr>
        <w:top w:val="none" w:sz="0" w:space="0" w:color="auto"/>
        <w:left w:val="none" w:sz="0" w:space="0" w:color="auto"/>
        <w:bottom w:val="none" w:sz="0" w:space="0" w:color="auto"/>
        <w:right w:val="none" w:sz="0" w:space="0" w:color="auto"/>
      </w:divBdr>
    </w:div>
    <w:div w:id="1370959455">
      <w:marLeft w:val="0"/>
      <w:marRight w:val="0"/>
      <w:marTop w:val="0"/>
      <w:marBottom w:val="0"/>
      <w:divBdr>
        <w:top w:val="none" w:sz="0" w:space="0" w:color="auto"/>
        <w:left w:val="none" w:sz="0" w:space="0" w:color="auto"/>
        <w:bottom w:val="none" w:sz="0" w:space="0" w:color="auto"/>
        <w:right w:val="none" w:sz="0" w:space="0" w:color="auto"/>
      </w:divBdr>
    </w:div>
    <w:div w:id="1370959457">
      <w:marLeft w:val="0"/>
      <w:marRight w:val="0"/>
      <w:marTop w:val="0"/>
      <w:marBottom w:val="0"/>
      <w:divBdr>
        <w:top w:val="none" w:sz="0" w:space="0" w:color="auto"/>
        <w:left w:val="none" w:sz="0" w:space="0" w:color="auto"/>
        <w:bottom w:val="none" w:sz="0" w:space="0" w:color="auto"/>
        <w:right w:val="none" w:sz="0" w:space="0" w:color="auto"/>
      </w:divBdr>
    </w:div>
    <w:div w:id="1370959458">
      <w:marLeft w:val="0"/>
      <w:marRight w:val="0"/>
      <w:marTop w:val="0"/>
      <w:marBottom w:val="0"/>
      <w:divBdr>
        <w:top w:val="none" w:sz="0" w:space="0" w:color="auto"/>
        <w:left w:val="none" w:sz="0" w:space="0" w:color="auto"/>
        <w:bottom w:val="none" w:sz="0" w:space="0" w:color="auto"/>
        <w:right w:val="none" w:sz="0" w:space="0" w:color="auto"/>
      </w:divBdr>
    </w:div>
    <w:div w:id="1370959461">
      <w:marLeft w:val="0"/>
      <w:marRight w:val="0"/>
      <w:marTop w:val="0"/>
      <w:marBottom w:val="0"/>
      <w:divBdr>
        <w:top w:val="none" w:sz="0" w:space="0" w:color="auto"/>
        <w:left w:val="none" w:sz="0" w:space="0" w:color="auto"/>
        <w:bottom w:val="none" w:sz="0" w:space="0" w:color="auto"/>
        <w:right w:val="none" w:sz="0" w:space="0" w:color="auto"/>
      </w:divBdr>
    </w:div>
    <w:div w:id="1370959463">
      <w:marLeft w:val="0"/>
      <w:marRight w:val="0"/>
      <w:marTop w:val="0"/>
      <w:marBottom w:val="0"/>
      <w:divBdr>
        <w:top w:val="none" w:sz="0" w:space="0" w:color="auto"/>
        <w:left w:val="none" w:sz="0" w:space="0" w:color="auto"/>
        <w:bottom w:val="none" w:sz="0" w:space="0" w:color="auto"/>
        <w:right w:val="none" w:sz="0" w:space="0" w:color="auto"/>
      </w:divBdr>
    </w:div>
    <w:div w:id="1370959464">
      <w:marLeft w:val="0"/>
      <w:marRight w:val="0"/>
      <w:marTop w:val="0"/>
      <w:marBottom w:val="0"/>
      <w:divBdr>
        <w:top w:val="none" w:sz="0" w:space="0" w:color="auto"/>
        <w:left w:val="none" w:sz="0" w:space="0" w:color="auto"/>
        <w:bottom w:val="none" w:sz="0" w:space="0" w:color="auto"/>
        <w:right w:val="none" w:sz="0" w:space="0" w:color="auto"/>
      </w:divBdr>
    </w:div>
    <w:div w:id="1370959467">
      <w:marLeft w:val="0"/>
      <w:marRight w:val="0"/>
      <w:marTop w:val="0"/>
      <w:marBottom w:val="0"/>
      <w:divBdr>
        <w:top w:val="none" w:sz="0" w:space="0" w:color="auto"/>
        <w:left w:val="none" w:sz="0" w:space="0" w:color="auto"/>
        <w:bottom w:val="none" w:sz="0" w:space="0" w:color="auto"/>
        <w:right w:val="none" w:sz="0" w:space="0" w:color="auto"/>
      </w:divBdr>
    </w:div>
    <w:div w:id="1370959468">
      <w:marLeft w:val="0"/>
      <w:marRight w:val="0"/>
      <w:marTop w:val="0"/>
      <w:marBottom w:val="0"/>
      <w:divBdr>
        <w:top w:val="none" w:sz="0" w:space="0" w:color="auto"/>
        <w:left w:val="none" w:sz="0" w:space="0" w:color="auto"/>
        <w:bottom w:val="none" w:sz="0" w:space="0" w:color="auto"/>
        <w:right w:val="none" w:sz="0" w:space="0" w:color="auto"/>
      </w:divBdr>
    </w:div>
    <w:div w:id="1370959471">
      <w:marLeft w:val="0"/>
      <w:marRight w:val="0"/>
      <w:marTop w:val="0"/>
      <w:marBottom w:val="0"/>
      <w:divBdr>
        <w:top w:val="none" w:sz="0" w:space="0" w:color="auto"/>
        <w:left w:val="none" w:sz="0" w:space="0" w:color="auto"/>
        <w:bottom w:val="none" w:sz="0" w:space="0" w:color="auto"/>
        <w:right w:val="none" w:sz="0" w:space="0" w:color="auto"/>
      </w:divBdr>
      <w:divsChild>
        <w:div w:id="1370959634">
          <w:marLeft w:val="0"/>
          <w:marRight w:val="0"/>
          <w:marTop w:val="0"/>
          <w:marBottom w:val="0"/>
          <w:divBdr>
            <w:top w:val="none" w:sz="0" w:space="0" w:color="auto"/>
            <w:left w:val="none" w:sz="0" w:space="0" w:color="auto"/>
            <w:bottom w:val="none" w:sz="0" w:space="0" w:color="auto"/>
            <w:right w:val="none" w:sz="0" w:space="0" w:color="auto"/>
          </w:divBdr>
          <w:divsChild>
            <w:div w:id="1370959767">
              <w:marLeft w:val="0"/>
              <w:marRight w:val="0"/>
              <w:marTop w:val="0"/>
              <w:marBottom w:val="0"/>
              <w:divBdr>
                <w:top w:val="none" w:sz="0" w:space="0" w:color="auto"/>
                <w:left w:val="none" w:sz="0" w:space="0" w:color="auto"/>
                <w:bottom w:val="none" w:sz="0" w:space="0" w:color="auto"/>
                <w:right w:val="none" w:sz="0" w:space="0" w:color="auto"/>
              </w:divBdr>
              <w:divsChild>
                <w:div w:id="1370959714">
                  <w:marLeft w:val="0"/>
                  <w:marRight w:val="0"/>
                  <w:marTop w:val="0"/>
                  <w:marBottom w:val="0"/>
                  <w:divBdr>
                    <w:top w:val="none" w:sz="0" w:space="0" w:color="auto"/>
                    <w:left w:val="none" w:sz="0" w:space="0" w:color="auto"/>
                    <w:bottom w:val="none" w:sz="0" w:space="0" w:color="auto"/>
                    <w:right w:val="none" w:sz="0" w:space="0" w:color="auto"/>
                  </w:divBdr>
                  <w:divsChild>
                    <w:div w:id="1370959460">
                      <w:marLeft w:val="0"/>
                      <w:marRight w:val="0"/>
                      <w:marTop w:val="0"/>
                      <w:marBottom w:val="0"/>
                      <w:divBdr>
                        <w:top w:val="none" w:sz="0" w:space="0" w:color="auto"/>
                        <w:left w:val="none" w:sz="0" w:space="0" w:color="auto"/>
                        <w:bottom w:val="none" w:sz="0" w:space="0" w:color="auto"/>
                        <w:right w:val="none" w:sz="0" w:space="0" w:color="auto"/>
                      </w:divBdr>
                      <w:divsChild>
                        <w:div w:id="1370959798">
                          <w:marLeft w:val="0"/>
                          <w:marRight w:val="0"/>
                          <w:marTop w:val="0"/>
                          <w:marBottom w:val="0"/>
                          <w:divBdr>
                            <w:top w:val="none" w:sz="0" w:space="0" w:color="auto"/>
                            <w:left w:val="none" w:sz="0" w:space="0" w:color="auto"/>
                            <w:bottom w:val="none" w:sz="0" w:space="0" w:color="auto"/>
                            <w:right w:val="none" w:sz="0" w:space="0" w:color="auto"/>
                          </w:divBdr>
                          <w:divsChild>
                            <w:div w:id="1370959766">
                              <w:marLeft w:val="0"/>
                              <w:marRight w:val="0"/>
                              <w:marTop w:val="0"/>
                              <w:marBottom w:val="0"/>
                              <w:divBdr>
                                <w:top w:val="none" w:sz="0" w:space="0" w:color="auto"/>
                                <w:left w:val="none" w:sz="0" w:space="0" w:color="auto"/>
                                <w:bottom w:val="none" w:sz="0" w:space="0" w:color="auto"/>
                                <w:right w:val="none" w:sz="0" w:space="0" w:color="auto"/>
                              </w:divBdr>
                              <w:divsChild>
                                <w:div w:id="1370959616">
                                  <w:marLeft w:val="0"/>
                                  <w:marRight w:val="0"/>
                                  <w:marTop w:val="0"/>
                                  <w:marBottom w:val="0"/>
                                  <w:divBdr>
                                    <w:top w:val="none" w:sz="0" w:space="0" w:color="auto"/>
                                    <w:left w:val="none" w:sz="0" w:space="0" w:color="auto"/>
                                    <w:bottom w:val="none" w:sz="0" w:space="0" w:color="auto"/>
                                    <w:right w:val="none" w:sz="0" w:space="0" w:color="auto"/>
                                  </w:divBdr>
                                  <w:divsChild>
                                    <w:div w:id="13709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959472">
      <w:marLeft w:val="0"/>
      <w:marRight w:val="0"/>
      <w:marTop w:val="0"/>
      <w:marBottom w:val="0"/>
      <w:divBdr>
        <w:top w:val="none" w:sz="0" w:space="0" w:color="auto"/>
        <w:left w:val="none" w:sz="0" w:space="0" w:color="auto"/>
        <w:bottom w:val="none" w:sz="0" w:space="0" w:color="auto"/>
        <w:right w:val="none" w:sz="0" w:space="0" w:color="auto"/>
      </w:divBdr>
    </w:div>
    <w:div w:id="1370959473">
      <w:marLeft w:val="0"/>
      <w:marRight w:val="0"/>
      <w:marTop w:val="0"/>
      <w:marBottom w:val="0"/>
      <w:divBdr>
        <w:top w:val="none" w:sz="0" w:space="0" w:color="auto"/>
        <w:left w:val="none" w:sz="0" w:space="0" w:color="auto"/>
        <w:bottom w:val="none" w:sz="0" w:space="0" w:color="auto"/>
        <w:right w:val="none" w:sz="0" w:space="0" w:color="auto"/>
      </w:divBdr>
      <w:divsChild>
        <w:div w:id="1370959660">
          <w:marLeft w:val="720"/>
          <w:marRight w:val="720"/>
          <w:marTop w:val="100"/>
          <w:marBottom w:val="100"/>
          <w:divBdr>
            <w:top w:val="none" w:sz="0" w:space="0" w:color="auto"/>
            <w:left w:val="none" w:sz="0" w:space="0" w:color="auto"/>
            <w:bottom w:val="none" w:sz="0" w:space="0" w:color="auto"/>
            <w:right w:val="none" w:sz="0" w:space="0" w:color="auto"/>
          </w:divBdr>
        </w:div>
      </w:divsChild>
    </w:div>
    <w:div w:id="1370959475">
      <w:marLeft w:val="0"/>
      <w:marRight w:val="0"/>
      <w:marTop w:val="0"/>
      <w:marBottom w:val="0"/>
      <w:divBdr>
        <w:top w:val="none" w:sz="0" w:space="0" w:color="auto"/>
        <w:left w:val="none" w:sz="0" w:space="0" w:color="auto"/>
        <w:bottom w:val="none" w:sz="0" w:space="0" w:color="auto"/>
        <w:right w:val="none" w:sz="0" w:space="0" w:color="auto"/>
      </w:divBdr>
    </w:div>
    <w:div w:id="1370959476">
      <w:marLeft w:val="0"/>
      <w:marRight w:val="0"/>
      <w:marTop w:val="0"/>
      <w:marBottom w:val="0"/>
      <w:divBdr>
        <w:top w:val="none" w:sz="0" w:space="0" w:color="auto"/>
        <w:left w:val="none" w:sz="0" w:space="0" w:color="auto"/>
        <w:bottom w:val="none" w:sz="0" w:space="0" w:color="auto"/>
        <w:right w:val="none" w:sz="0" w:space="0" w:color="auto"/>
      </w:divBdr>
    </w:div>
    <w:div w:id="1370959477">
      <w:marLeft w:val="0"/>
      <w:marRight w:val="0"/>
      <w:marTop w:val="0"/>
      <w:marBottom w:val="0"/>
      <w:divBdr>
        <w:top w:val="none" w:sz="0" w:space="0" w:color="auto"/>
        <w:left w:val="none" w:sz="0" w:space="0" w:color="auto"/>
        <w:bottom w:val="none" w:sz="0" w:space="0" w:color="auto"/>
        <w:right w:val="none" w:sz="0" w:space="0" w:color="auto"/>
      </w:divBdr>
    </w:div>
    <w:div w:id="1370959478">
      <w:marLeft w:val="0"/>
      <w:marRight w:val="0"/>
      <w:marTop w:val="0"/>
      <w:marBottom w:val="0"/>
      <w:divBdr>
        <w:top w:val="none" w:sz="0" w:space="0" w:color="auto"/>
        <w:left w:val="none" w:sz="0" w:space="0" w:color="auto"/>
        <w:bottom w:val="none" w:sz="0" w:space="0" w:color="auto"/>
        <w:right w:val="none" w:sz="0" w:space="0" w:color="auto"/>
      </w:divBdr>
    </w:div>
    <w:div w:id="1370959480">
      <w:marLeft w:val="0"/>
      <w:marRight w:val="0"/>
      <w:marTop w:val="0"/>
      <w:marBottom w:val="0"/>
      <w:divBdr>
        <w:top w:val="none" w:sz="0" w:space="0" w:color="auto"/>
        <w:left w:val="none" w:sz="0" w:space="0" w:color="auto"/>
        <w:bottom w:val="none" w:sz="0" w:space="0" w:color="auto"/>
        <w:right w:val="none" w:sz="0" w:space="0" w:color="auto"/>
      </w:divBdr>
    </w:div>
    <w:div w:id="1370959482">
      <w:marLeft w:val="0"/>
      <w:marRight w:val="0"/>
      <w:marTop w:val="0"/>
      <w:marBottom w:val="0"/>
      <w:divBdr>
        <w:top w:val="none" w:sz="0" w:space="0" w:color="auto"/>
        <w:left w:val="none" w:sz="0" w:space="0" w:color="auto"/>
        <w:bottom w:val="none" w:sz="0" w:space="0" w:color="auto"/>
        <w:right w:val="none" w:sz="0" w:space="0" w:color="auto"/>
      </w:divBdr>
    </w:div>
    <w:div w:id="1370959484">
      <w:marLeft w:val="0"/>
      <w:marRight w:val="0"/>
      <w:marTop w:val="0"/>
      <w:marBottom w:val="0"/>
      <w:divBdr>
        <w:top w:val="none" w:sz="0" w:space="0" w:color="auto"/>
        <w:left w:val="none" w:sz="0" w:space="0" w:color="auto"/>
        <w:bottom w:val="none" w:sz="0" w:space="0" w:color="auto"/>
        <w:right w:val="none" w:sz="0" w:space="0" w:color="auto"/>
      </w:divBdr>
    </w:div>
    <w:div w:id="1370959485">
      <w:marLeft w:val="0"/>
      <w:marRight w:val="0"/>
      <w:marTop w:val="0"/>
      <w:marBottom w:val="0"/>
      <w:divBdr>
        <w:top w:val="none" w:sz="0" w:space="0" w:color="auto"/>
        <w:left w:val="none" w:sz="0" w:space="0" w:color="auto"/>
        <w:bottom w:val="none" w:sz="0" w:space="0" w:color="auto"/>
        <w:right w:val="none" w:sz="0" w:space="0" w:color="auto"/>
      </w:divBdr>
    </w:div>
    <w:div w:id="1370959487">
      <w:marLeft w:val="0"/>
      <w:marRight w:val="0"/>
      <w:marTop w:val="0"/>
      <w:marBottom w:val="0"/>
      <w:divBdr>
        <w:top w:val="none" w:sz="0" w:space="0" w:color="auto"/>
        <w:left w:val="none" w:sz="0" w:space="0" w:color="auto"/>
        <w:bottom w:val="none" w:sz="0" w:space="0" w:color="auto"/>
        <w:right w:val="none" w:sz="0" w:space="0" w:color="auto"/>
      </w:divBdr>
    </w:div>
    <w:div w:id="1370959488">
      <w:marLeft w:val="0"/>
      <w:marRight w:val="0"/>
      <w:marTop w:val="0"/>
      <w:marBottom w:val="0"/>
      <w:divBdr>
        <w:top w:val="none" w:sz="0" w:space="0" w:color="auto"/>
        <w:left w:val="none" w:sz="0" w:space="0" w:color="auto"/>
        <w:bottom w:val="none" w:sz="0" w:space="0" w:color="auto"/>
        <w:right w:val="none" w:sz="0" w:space="0" w:color="auto"/>
      </w:divBdr>
    </w:div>
    <w:div w:id="1370959491">
      <w:marLeft w:val="0"/>
      <w:marRight w:val="0"/>
      <w:marTop w:val="0"/>
      <w:marBottom w:val="0"/>
      <w:divBdr>
        <w:top w:val="none" w:sz="0" w:space="0" w:color="auto"/>
        <w:left w:val="none" w:sz="0" w:space="0" w:color="auto"/>
        <w:bottom w:val="none" w:sz="0" w:space="0" w:color="auto"/>
        <w:right w:val="none" w:sz="0" w:space="0" w:color="auto"/>
      </w:divBdr>
    </w:div>
    <w:div w:id="1370959494">
      <w:marLeft w:val="0"/>
      <w:marRight w:val="0"/>
      <w:marTop w:val="0"/>
      <w:marBottom w:val="0"/>
      <w:divBdr>
        <w:top w:val="none" w:sz="0" w:space="0" w:color="auto"/>
        <w:left w:val="none" w:sz="0" w:space="0" w:color="auto"/>
        <w:bottom w:val="none" w:sz="0" w:space="0" w:color="auto"/>
        <w:right w:val="none" w:sz="0" w:space="0" w:color="auto"/>
      </w:divBdr>
      <w:divsChild>
        <w:div w:id="1370959512">
          <w:marLeft w:val="0"/>
          <w:marRight w:val="0"/>
          <w:marTop w:val="0"/>
          <w:marBottom w:val="0"/>
          <w:divBdr>
            <w:top w:val="none" w:sz="0" w:space="0" w:color="auto"/>
            <w:left w:val="none" w:sz="0" w:space="0" w:color="auto"/>
            <w:bottom w:val="none" w:sz="0" w:space="0" w:color="auto"/>
            <w:right w:val="none" w:sz="0" w:space="0" w:color="auto"/>
          </w:divBdr>
          <w:divsChild>
            <w:div w:id="1370959540">
              <w:marLeft w:val="0"/>
              <w:marRight w:val="0"/>
              <w:marTop w:val="0"/>
              <w:marBottom w:val="0"/>
              <w:divBdr>
                <w:top w:val="none" w:sz="0" w:space="0" w:color="auto"/>
                <w:left w:val="none" w:sz="0" w:space="0" w:color="auto"/>
                <w:bottom w:val="none" w:sz="0" w:space="0" w:color="auto"/>
                <w:right w:val="none" w:sz="0" w:space="0" w:color="auto"/>
              </w:divBdr>
              <w:divsChild>
                <w:div w:id="1370959809">
                  <w:marLeft w:val="0"/>
                  <w:marRight w:val="0"/>
                  <w:marTop w:val="0"/>
                  <w:marBottom w:val="0"/>
                  <w:divBdr>
                    <w:top w:val="none" w:sz="0" w:space="0" w:color="auto"/>
                    <w:left w:val="none" w:sz="0" w:space="0" w:color="auto"/>
                    <w:bottom w:val="none" w:sz="0" w:space="0" w:color="auto"/>
                    <w:right w:val="none" w:sz="0" w:space="0" w:color="auto"/>
                  </w:divBdr>
                  <w:divsChild>
                    <w:div w:id="1370959707">
                      <w:marLeft w:val="0"/>
                      <w:marRight w:val="0"/>
                      <w:marTop w:val="0"/>
                      <w:marBottom w:val="0"/>
                      <w:divBdr>
                        <w:top w:val="none" w:sz="0" w:space="0" w:color="auto"/>
                        <w:left w:val="none" w:sz="0" w:space="0" w:color="auto"/>
                        <w:bottom w:val="none" w:sz="0" w:space="0" w:color="auto"/>
                        <w:right w:val="none" w:sz="0" w:space="0" w:color="auto"/>
                      </w:divBdr>
                      <w:divsChild>
                        <w:div w:id="1370959570">
                          <w:marLeft w:val="0"/>
                          <w:marRight w:val="0"/>
                          <w:marTop w:val="0"/>
                          <w:marBottom w:val="0"/>
                          <w:divBdr>
                            <w:top w:val="none" w:sz="0" w:space="0" w:color="auto"/>
                            <w:left w:val="none" w:sz="0" w:space="0" w:color="auto"/>
                            <w:bottom w:val="none" w:sz="0" w:space="0" w:color="auto"/>
                            <w:right w:val="none" w:sz="0" w:space="0" w:color="auto"/>
                          </w:divBdr>
                          <w:divsChild>
                            <w:div w:id="1370959656">
                              <w:marLeft w:val="0"/>
                              <w:marRight w:val="0"/>
                              <w:marTop w:val="0"/>
                              <w:marBottom w:val="0"/>
                              <w:divBdr>
                                <w:top w:val="none" w:sz="0" w:space="0" w:color="auto"/>
                                <w:left w:val="none" w:sz="0" w:space="0" w:color="auto"/>
                                <w:bottom w:val="none" w:sz="0" w:space="0" w:color="auto"/>
                                <w:right w:val="none" w:sz="0" w:space="0" w:color="auto"/>
                              </w:divBdr>
                              <w:divsChild>
                                <w:div w:id="1370959469">
                                  <w:marLeft w:val="0"/>
                                  <w:marRight w:val="0"/>
                                  <w:marTop w:val="0"/>
                                  <w:marBottom w:val="0"/>
                                  <w:divBdr>
                                    <w:top w:val="none" w:sz="0" w:space="0" w:color="auto"/>
                                    <w:left w:val="none" w:sz="0" w:space="0" w:color="auto"/>
                                    <w:bottom w:val="none" w:sz="0" w:space="0" w:color="auto"/>
                                    <w:right w:val="none" w:sz="0" w:space="0" w:color="auto"/>
                                  </w:divBdr>
                                  <w:divsChild>
                                    <w:div w:id="137095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959497">
      <w:marLeft w:val="0"/>
      <w:marRight w:val="0"/>
      <w:marTop w:val="0"/>
      <w:marBottom w:val="0"/>
      <w:divBdr>
        <w:top w:val="none" w:sz="0" w:space="0" w:color="auto"/>
        <w:left w:val="none" w:sz="0" w:space="0" w:color="auto"/>
        <w:bottom w:val="none" w:sz="0" w:space="0" w:color="auto"/>
        <w:right w:val="none" w:sz="0" w:space="0" w:color="auto"/>
      </w:divBdr>
    </w:div>
    <w:div w:id="1370959498">
      <w:marLeft w:val="0"/>
      <w:marRight w:val="0"/>
      <w:marTop w:val="0"/>
      <w:marBottom w:val="0"/>
      <w:divBdr>
        <w:top w:val="none" w:sz="0" w:space="0" w:color="auto"/>
        <w:left w:val="none" w:sz="0" w:space="0" w:color="auto"/>
        <w:bottom w:val="none" w:sz="0" w:space="0" w:color="auto"/>
        <w:right w:val="none" w:sz="0" w:space="0" w:color="auto"/>
      </w:divBdr>
    </w:div>
    <w:div w:id="1370959499">
      <w:marLeft w:val="0"/>
      <w:marRight w:val="0"/>
      <w:marTop w:val="0"/>
      <w:marBottom w:val="0"/>
      <w:divBdr>
        <w:top w:val="none" w:sz="0" w:space="0" w:color="auto"/>
        <w:left w:val="none" w:sz="0" w:space="0" w:color="auto"/>
        <w:bottom w:val="none" w:sz="0" w:space="0" w:color="auto"/>
        <w:right w:val="none" w:sz="0" w:space="0" w:color="auto"/>
      </w:divBdr>
    </w:div>
    <w:div w:id="1370959500">
      <w:marLeft w:val="0"/>
      <w:marRight w:val="0"/>
      <w:marTop w:val="0"/>
      <w:marBottom w:val="0"/>
      <w:divBdr>
        <w:top w:val="none" w:sz="0" w:space="0" w:color="auto"/>
        <w:left w:val="none" w:sz="0" w:space="0" w:color="auto"/>
        <w:bottom w:val="none" w:sz="0" w:space="0" w:color="auto"/>
        <w:right w:val="none" w:sz="0" w:space="0" w:color="auto"/>
      </w:divBdr>
    </w:div>
    <w:div w:id="1370959501">
      <w:marLeft w:val="0"/>
      <w:marRight w:val="0"/>
      <w:marTop w:val="0"/>
      <w:marBottom w:val="0"/>
      <w:divBdr>
        <w:top w:val="none" w:sz="0" w:space="0" w:color="auto"/>
        <w:left w:val="none" w:sz="0" w:space="0" w:color="auto"/>
        <w:bottom w:val="none" w:sz="0" w:space="0" w:color="auto"/>
        <w:right w:val="none" w:sz="0" w:space="0" w:color="auto"/>
      </w:divBdr>
    </w:div>
    <w:div w:id="1370959503">
      <w:marLeft w:val="0"/>
      <w:marRight w:val="0"/>
      <w:marTop w:val="0"/>
      <w:marBottom w:val="0"/>
      <w:divBdr>
        <w:top w:val="none" w:sz="0" w:space="0" w:color="auto"/>
        <w:left w:val="none" w:sz="0" w:space="0" w:color="auto"/>
        <w:bottom w:val="none" w:sz="0" w:space="0" w:color="auto"/>
        <w:right w:val="none" w:sz="0" w:space="0" w:color="auto"/>
      </w:divBdr>
    </w:div>
    <w:div w:id="1370959508">
      <w:marLeft w:val="0"/>
      <w:marRight w:val="0"/>
      <w:marTop w:val="0"/>
      <w:marBottom w:val="0"/>
      <w:divBdr>
        <w:top w:val="none" w:sz="0" w:space="0" w:color="auto"/>
        <w:left w:val="none" w:sz="0" w:space="0" w:color="auto"/>
        <w:bottom w:val="none" w:sz="0" w:space="0" w:color="auto"/>
        <w:right w:val="none" w:sz="0" w:space="0" w:color="auto"/>
      </w:divBdr>
    </w:div>
    <w:div w:id="1370959515">
      <w:marLeft w:val="0"/>
      <w:marRight w:val="0"/>
      <w:marTop w:val="0"/>
      <w:marBottom w:val="0"/>
      <w:divBdr>
        <w:top w:val="none" w:sz="0" w:space="0" w:color="auto"/>
        <w:left w:val="none" w:sz="0" w:space="0" w:color="auto"/>
        <w:bottom w:val="none" w:sz="0" w:space="0" w:color="auto"/>
        <w:right w:val="none" w:sz="0" w:space="0" w:color="auto"/>
      </w:divBdr>
    </w:div>
    <w:div w:id="1370959517">
      <w:marLeft w:val="0"/>
      <w:marRight w:val="0"/>
      <w:marTop w:val="0"/>
      <w:marBottom w:val="0"/>
      <w:divBdr>
        <w:top w:val="none" w:sz="0" w:space="0" w:color="auto"/>
        <w:left w:val="none" w:sz="0" w:space="0" w:color="auto"/>
        <w:bottom w:val="none" w:sz="0" w:space="0" w:color="auto"/>
        <w:right w:val="none" w:sz="0" w:space="0" w:color="auto"/>
      </w:divBdr>
    </w:div>
    <w:div w:id="1370959518">
      <w:marLeft w:val="0"/>
      <w:marRight w:val="0"/>
      <w:marTop w:val="0"/>
      <w:marBottom w:val="0"/>
      <w:divBdr>
        <w:top w:val="none" w:sz="0" w:space="0" w:color="auto"/>
        <w:left w:val="none" w:sz="0" w:space="0" w:color="auto"/>
        <w:bottom w:val="none" w:sz="0" w:space="0" w:color="auto"/>
        <w:right w:val="none" w:sz="0" w:space="0" w:color="auto"/>
      </w:divBdr>
    </w:div>
    <w:div w:id="1370959519">
      <w:marLeft w:val="0"/>
      <w:marRight w:val="0"/>
      <w:marTop w:val="0"/>
      <w:marBottom w:val="0"/>
      <w:divBdr>
        <w:top w:val="none" w:sz="0" w:space="0" w:color="auto"/>
        <w:left w:val="none" w:sz="0" w:space="0" w:color="auto"/>
        <w:bottom w:val="none" w:sz="0" w:space="0" w:color="auto"/>
        <w:right w:val="none" w:sz="0" w:space="0" w:color="auto"/>
      </w:divBdr>
    </w:div>
    <w:div w:id="1370959520">
      <w:marLeft w:val="0"/>
      <w:marRight w:val="0"/>
      <w:marTop w:val="0"/>
      <w:marBottom w:val="0"/>
      <w:divBdr>
        <w:top w:val="none" w:sz="0" w:space="0" w:color="auto"/>
        <w:left w:val="none" w:sz="0" w:space="0" w:color="auto"/>
        <w:bottom w:val="none" w:sz="0" w:space="0" w:color="auto"/>
        <w:right w:val="none" w:sz="0" w:space="0" w:color="auto"/>
      </w:divBdr>
      <w:divsChild>
        <w:div w:id="1370959504">
          <w:marLeft w:val="0"/>
          <w:marRight w:val="0"/>
          <w:marTop w:val="0"/>
          <w:marBottom w:val="0"/>
          <w:divBdr>
            <w:top w:val="none" w:sz="0" w:space="0" w:color="auto"/>
            <w:left w:val="none" w:sz="0" w:space="0" w:color="auto"/>
            <w:bottom w:val="none" w:sz="0" w:space="0" w:color="auto"/>
            <w:right w:val="none" w:sz="0" w:space="0" w:color="auto"/>
          </w:divBdr>
          <w:divsChild>
            <w:div w:id="1370959755">
              <w:marLeft w:val="0"/>
              <w:marRight w:val="0"/>
              <w:marTop w:val="0"/>
              <w:marBottom w:val="0"/>
              <w:divBdr>
                <w:top w:val="none" w:sz="0" w:space="0" w:color="auto"/>
                <w:left w:val="none" w:sz="0" w:space="0" w:color="auto"/>
                <w:bottom w:val="none" w:sz="0" w:space="0" w:color="auto"/>
                <w:right w:val="none" w:sz="0" w:space="0" w:color="auto"/>
              </w:divBdr>
              <w:divsChild>
                <w:div w:id="1370959694">
                  <w:marLeft w:val="0"/>
                  <w:marRight w:val="0"/>
                  <w:marTop w:val="0"/>
                  <w:marBottom w:val="0"/>
                  <w:divBdr>
                    <w:top w:val="none" w:sz="0" w:space="0" w:color="auto"/>
                    <w:left w:val="none" w:sz="0" w:space="0" w:color="auto"/>
                    <w:bottom w:val="none" w:sz="0" w:space="0" w:color="auto"/>
                    <w:right w:val="none" w:sz="0" w:space="0" w:color="auto"/>
                  </w:divBdr>
                  <w:divsChild>
                    <w:div w:id="1370959529">
                      <w:marLeft w:val="0"/>
                      <w:marRight w:val="0"/>
                      <w:marTop w:val="0"/>
                      <w:marBottom w:val="0"/>
                      <w:divBdr>
                        <w:top w:val="none" w:sz="0" w:space="0" w:color="auto"/>
                        <w:left w:val="none" w:sz="0" w:space="0" w:color="auto"/>
                        <w:bottom w:val="none" w:sz="0" w:space="0" w:color="auto"/>
                        <w:right w:val="none" w:sz="0" w:space="0" w:color="auto"/>
                      </w:divBdr>
                      <w:divsChild>
                        <w:div w:id="1370959811">
                          <w:marLeft w:val="0"/>
                          <w:marRight w:val="0"/>
                          <w:marTop w:val="0"/>
                          <w:marBottom w:val="0"/>
                          <w:divBdr>
                            <w:top w:val="none" w:sz="0" w:space="0" w:color="auto"/>
                            <w:left w:val="none" w:sz="0" w:space="0" w:color="auto"/>
                            <w:bottom w:val="none" w:sz="0" w:space="0" w:color="auto"/>
                            <w:right w:val="none" w:sz="0" w:space="0" w:color="auto"/>
                          </w:divBdr>
                          <w:divsChild>
                            <w:div w:id="1370959446">
                              <w:marLeft w:val="0"/>
                              <w:marRight w:val="0"/>
                              <w:marTop w:val="0"/>
                              <w:marBottom w:val="0"/>
                              <w:divBdr>
                                <w:top w:val="none" w:sz="0" w:space="0" w:color="auto"/>
                                <w:left w:val="none" w:sz="0" w:space="0" w:color="auto"/>
                                <w:bottom w:val="none" w:sz="0" w:space="0" w:color="auto"/>
                                <w:right w:val="none" w:sz="0" w:space="0" w:color="auto"/>
                              </w:divBdr>
                              <w:divsChild>
                                <w:div w:id="1370959602">
                                  <w:marLeft w:val="0"/>
                                  <w:marRight w:val="0"/>
                                  <w:marTop w:val="0"/>
                                  <w:marBottom w:val="0"/>
                                  <w:divBdr>
                                    <w:top w:val="none" w:sz="0" w:space="0" w:color="auto"/>
                                    <w:left w:val="none" w:sz="0" w:space="0" w:color="auto"/>
                                    <w:bottom w:val="none" w:sz="0" w:space="0" w:color="auto"/>
                                    <w:right w:val="none" w:sz="0" w:space="0" w:color="auto"/>
                                  </w:divBdr>
                                  <w:divsChild>
                                    <w:div w:id="1370959604">
                                      <w:marLeft w:val="0"/>
                                      <w:marRight w:val="0"/>
                                      <w:marTop w:val="0"/>
                                      <w:marBottom w:val="0"/>
                                      <w:divBdr>
                                        <w:top w:val="none" w:sz="0" w:space="0" w:color="auto"/>
                                        <w:left w:val="none" w:sz="0" w:space="0" w:color="auto"/>
                                        <w:bottom w:val="none" w:sz="0" w:space="0" w:color="auto"/>
                                        <w:right w:val="none" w:sz="0" w:space="0" w:color="auto"/>
                                      </w:divBdr>
                                      <w:divsChild>
                                        <w:div w:id="1370959786">
                                          <w:marLeft w:val="0"/>
                                          <w:marRight w:val="0"/>
                                          <w:marTop w:val="0"/>
                                          <w:marBottom w:val="0"/>
                                          <w:divBdr>
                                            <w:top w:val="none" w:sz="0" w:space="0" w:color="auto"/>
                                            <w:left w:val="none" w:sz="0" w:space="0" w:color="auto"/>
                                            <w:bottom w:val="none" w:sz="0" w:space="0" w:color="auto"/>
                                            <w:right w:val="none" w:sz="0" w:space="0" w:color="auto"/>
                                          </w:divBdr>
                                          <w:divsChild>
                                            <w:div w:id="1370959466">
                                              <w:marLeft w:val="0"/>
                                              <w:marRight w:val="0"/>
                                              <w:marTop w:val="0"/>
                                              <w:marBottom w:val="0"/>
                                              <w:divBdr>
                                                <w:top w:val="none" w:sz="0" w:space="0" w:color="auto"/>
                                                <w:left w:val="none" w:sz="0" w:space="0" w:color="auto"/>
                                                <w:bottom w:val="none" w:sz="0" w:space="0" w:color="auto"/>
                                                <w:right w:val="none" w:sz="0" w:space="0" w:color="auto"/>
                                              </w:divBdr>
                                              <w:divsChild>
                                                <w:div w:id="1370959691">
                                                  <w:marLeft w:val="0"/>
                                                  <w:marRight w:val="0"/>
                                                  <w:marTop w:val="0"/>
                                                  <w:marBottom w:val="0"/>
                                                  <w:divBdr>
                                                    <w:top w:val="none" w:sz="0" w:space="0" w:color="auto"/>
                                                    <w:left w:val="none" w:sz="0" w:space="0" w:color="auto"/>
                                                    <w:bottom w:val="none" w:sz="0" w:space="0" w:color="auto"/>
                                                    <w:right w:val="none" w:sz="0" w:space="0" w:color="auto"/>
                                                  </w:divBdr>
                                                  <w:divsChild>
                                                    <w:div w:id="1370959545">
                                                      <w:marLeft w:val="0"/>
                                                      <w:marRight w:val="0"/>
                                                      <w:marTop w:val="0"/>
                                                      <w:marBottom w:val="0"/>
                                                      <w:divBdr>
                                                        <w:top w:val="none" w:sz="0" w:space="0" w:color="auto"/>
                                                        <w:left w:val="none" w:sz="0" w:space="0" w:color="auto"/>
                                                        <w:bottom w:val="none" w:sz="0" w:space="0" w:color="auto"/>
                                                        <w:right w:val="none" w:sz="0" w:space="0" w:color="auto"/>
                                                      </w:divBdr>
                                                      <w:divsChild>
                                                        <w:div w:id="137095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59521">
      <w:marLeft w:val="0"/>
      <w:marRight w:val="0"/>
      <w:marTop w:val="0"/>
      <w:marBottom w:val="0"/>
      <w:divBdr>
        <w:top w:val="none" w:sz="0" w:space="0" w:color="auto"/>
        <w:left w:val="none" w:sz="0" w:space="0" w:color="auto"/>
        <w:bottom w:val="none" w:sz="0" w:space="0" w:color="auto"/>
        <w:right w:val="none" w:sz="0" w:space="0" w:color="auto"/>
      </w:divBdr>
    </w:div>
    <w:div w:id="1370959523">
      <w:marLeft w:val="0"/>
      <w:marRight w:val="0"/>
      <w:marTop w:val="0"/>
      <w:marBottom w:val="0"/>
      <w:divBdr>
        <w:top w:val="none" w:sz="0" w:space="0" w:color="auto"/>
        <w:left w:val="none" w:sz="0" w:space="0" w:color="auto"/>
        <w:bottom w:val="none" w:sz="0" w:space="0" w:color="auto"/>
        <w:right w:val="none" w:sz="0" w:space="0" w:color="auto"/>
      </w:divBdr>
    </w:div>
    <w:div w:id="1370959524">
      <w:marLeft w:val="0"/>
      <w:marRight w:val="0"/>
      <w:marTop w:val="0"/>
      <w:marBottom w:val="0"/>
      <w:divBdr>
        <w:top w:val="none" w:sz="0" w:space="0" w:color="auto"/>
        <w:left w:val="none" w:sz="0" w:space="0" w:color="auto"/>
        <w:bottom w:val="none" w:sz="0" w:space="0" w:color="auto"/>
        <w:right w:val="none" w:sz="0" w:space="0" w:color="auto"/>
      </w:divBdr>
    </w:div>
    <w:div w:id="1370959525">
      <w:marLeft w:val="0"/>
      <w:marRight w:val="0"/>
      <w:marTop w:val="0"/>
      <w:marBottom w:val="0"/>
      <w:divBdr>
        <w:top w:val="none" w:sz="0" w:space="0" w:color="auto"/>
        <w:left w:val="none" w:sz="0" w:space="0" w:color="auto"/>
        <w:bottom w:val="none" w:sz="0" w:space="0" w:color="auto"/>
        <w:right w:val="none" w:sz="0" w:space="0" w:color="auto"/>
      </w:divBdr>
    </w:div>
    <w:div w:id="1370959526">
      <w:marLeft w:val="0"/>
      <w:marRight w:val="0"/>
      <w:marTop w:val="0"/>
      <w:marBottom w:val="0"/>
      <w:divBdr>
        <w:top w:val="none" w:sz="0" w:space="0" w:color="auto"/>
        <w:left w:val="none" w:sz="0" w:space="0" w:color="auto"/>
        <w:bottom w:val="none" w:sz="0" w:space="0" w:color="auto"/>
        <w:right w:val="none" w:sz="0" w:space="0" w:color="auto"/>
      </w:divBdr>
    </w:div>
    <w:div w:id="1370959527">
      <w:marLeft w:val="0"/>
      <w:marRight w:val="0"/>
      <w:marTop w:val="0"/>
      <w:marBottom w:val="0"/>
      <w:divBdr>
        <w:top w:val="none" w:sz="0" w:space="0" w:color="auto"/>
        <w:left w:val="none" w:sz="0" w:space="0" w:color="auto"/>
        <w:bottom w:val="none" w:sz="0" w:space="0" w:color="auto"/>
        <w:right w:val="none" w:sz="0" w:space="0" w:color="auto"/>
      </w:divBdr>
    </w:div>
    <w:div w:id="1370959530">
      <w:marLeft w:val="0"/>
      <w:marRight w:val="0"/>
      <w:marTop w:val="0"/>
      <w:marBottom w:val="0"/>
      <w:divBdr>
        <w:top w:val="none" w:sz="0" w:space="0" w:color="auto"/>
        <w:left w:val="none" w:sz="0" w:space="0" w:color="auto"/>
        <w:bottom w:val="none" w:sz="0" w:space="0" w:color="auto"/>
        <w:right w:val="none" w:sz="0" w:space="0" w:color="auto"/>
      </w:divBdr>
    </w:div>
    <w:div w:id="1370959531">
      <w:marLeft w:val="0"/>
      <w:marRight w:val="0"/>
      <w:marTop w:val="0"/>
      <w:marBottom w:val="0"/>
      <w:divBdr>
        <w:top w:val="none" w:sz="0" w:space="0" w:color="auto"/>
        <w:left w:val="none" w:sz="0" w:space="0" w:color="auto"/>
        <w:bottom w:val="none" w:sz="0" w:space="0" w:color="auto"/>
        <w:right w:val="none" w:sz="0" w:space="0" w:color="auto"/>
      </w:divBdr>
    </w:div>
    <w:div w:id="1370959532">
      <w:marLeft w:val="0"/>
      <w:marRight w:val="0"/>
      <w:marTop w:val="0"/>
      <w:marBottom w:val="0"/>
      <w:divBdr>
        <w:top w:val="none" w:sz="0" w:space="0" w:color="auto"/>
        <w:left w:val="none" w:sz="0" w:space="0" w:color="auto"/>
        <w:bottom w:val="none" w:sz="0" w:space="0" w:color="auto"/>
        <w:right w:val="none" w:sz="0" w:space="0" w:color="auto"/>
      </w:divBdr>
    </w:div>
    <w:div w:id="1370959533">
      <w:marLeft w:val="0"/>
      <w:marRight w:val="0"/>
      <w:marTop w:val="0"/>
      <w:marBottom w:val="0"/>
      <w:divBdr>
        <w:top w:val="none" w:sz="0" w:space="0" w:color="auto"/>
        <w:left w:val="none" w:sz="0" w:space="0" w:color="auto"/>
        <w:bottom w:val="none" w:sz="0" w:space="0" w:color="auto"/>
        <w:right w:val="none" w:sz="0" w:space="0" w:color="auto"/>
      </w:divBdr>
    </w:div>
    <w:div w:id="1370959534">
      <w:marLeft w:val="0"/>
      <w:marRight w:val="0"/>
      <w:marTop w:val="0"/>
      <w:marBottom w:val="0"/>
      <w:divBdr>
        <w:top w:val="none" w:sz="0" w:space="0" w:color="auto"/>
        <w:left w:val="none" w:sz="0" w:space="0" w:color="auto"/>
        <w:bottom w:val="none" w:sz="0" w:space="0" w:color="auto"/>
        <w:right w:val="none" w:sz="0" w:space="0" w:color="auto"/>
      </w:divBdr>
    </w:div>
    <w:div w:id="1370959536">
      <w:marLeft w:val="0"/>
      <w:marRight w:val="0"/>
      <w:marTop w:val="0"/>
      <w:marBottom w:val="0"/>
      <w:divBdr>
        <w:top w:val="none" w:sz="0" w:space="0" w:color="auto"/>
        <w:left w:val="none" w:sz="0" w:space="0" w:color="auto"/>
        <w:bottom w:val="none" w:sz="0" w:space="0" w:color="auto"/>
        <w:right w:val="none" w:sz="0" w:space="0" w:color="auto"/>
      </w:divBdr>
      <w:divsChild>
        <w:div w:id="1370959812">
          <w:marLeft w:val="0"/>
          <w:marRight w:val="0"/>
          <w:marTop w:val="0"/>
          <w:marBottom w:val="0"/>
          <w:divBdr>
            <w:top w:val="none" w:sz="0" w:space="0" w:color="auto"/>
            <w:left w:val="none" w:sz="0" w:space="0" w:color="auto"/>
            <w:bottom w:val="none" w:sz="0" w:space="0" w:color="auto"/>
            <w:right w:val="none" w:sz="0" w:space="0" w:color="auto"/>
          </w:divBdr>
          <w:divsChild>
            <w:div w:id="1370959788">
              <w:marLeft w:val="0"/>
              <w:marRight w:val="0"/>
              <w:marTop w:val="0"/>
              <w:marBottom w:val="0"/>
              <w:divBdr>
                <w:top w:val="none" w:sz="0" w:space="0" w:color="auto"/>
                <w:left w:val="none" w:sz="0" w:space="0" w:color="auto"/>
                <w:bottom w:val="none" w:sz="0" w:space="0" w:color="auto"/>
                <w:right w:val="none" w:sz="0" w:space="0" w:color="auto"/>
              </w:divBdr>
              <w:divsChild>
                <w:div w:id="1370959562">
                  <w:marLeft w:val="0"/>
                  <w:marRight w:val="0"/>
                  <w:marTop w:val="0"/>
                  <w:marBottom w:val="0"/>
                  <w:divBdr>
                    <w:top w:val="none" w:sz="0" w:space="0" w:color="auto"/>
                    <w:left w:val="none" w:sz="0" w:space="0" w:color="auto"/>
                    <w:bottom w:val="none" w:sz="0" w:space="0" w:color="auto"/>
                    <w:right w:val="none" w:sz="0" w:space="0" w:color="auto"/>
                  </w:divBdr>
                  <w:divsChild>
                    <w:div w:id="13709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9831">
          <w:marLeft w:val="0"/>
          <w:marRight w:val="0"/>
          <w:marTop w:val="0"/>
          <w:marBottom w:val="0"/>
          <w:divBdr>
            <w:top w:val="none" w:sz="0" w:space="0" w:color="auto"/>
            <w:left w:val="none" w:sz="0" w:space="0" w:color="auto"/>
            <w:bottom w:val="none" w:sz="0" w:space="0" w:color="auto"/>
            <w:right w:val="none" w:sz="0" w:space="0" w:color="auto"/>
          </w:divBdr>
          <w:divsChild>
            <w:div w:id="1370959697">
              <w:marLeft w:val="0"/>
              <w:marRight w:val="0"/>
              <w:marTop w:val="0"/>
              <w:marBottom w:val="0"/>
              <w:divBdr>
                <w:top w:val="none" w:sz="0" w:space="0" w:color="auto"/>
                <w:left w:val="none" w:sz="0" w:space="0" w:color="auto"/>
                <w:bottom w:val="none" w:sz="0" w:space="0" w:color="auto"/>
                <w:right w:val="none" w:sz="0" w:space="0" w:color="auto"/>
              </w:divBdr>
              <w:divsChild>
                <w:div w:id="1370959773">
                  <w:marLeft w:val="0"/>
                  <w:marRight w:val="0"/>
                  <w:marTop w:val="0"/>
                  <w:marBottom w:val="0"/>
                  <w:divBdr>
                    <w:top w:val="none" w:sz="0" w:space="0" w:color="auto"/>
                    <w:left w:val="none" w:sz="0" w:space="0" w:color="auto"/>
                    <w:bottom w:val="none" w:sz="0" w:space="0" w:color="auto"/>
                    <w:right w:val="none" w:sz="0" w:space="0" w:color="auto"/>
                  </w:divBdr>
                  <w:divsChild>
                    <w:div w:id="13709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537">
      <w:marLeft w:val="0"/>
      <w:marRight w:val="0"/>
      <w:marTop w:val="0"/>
      <w:marBottom w:val="0"/>
      <w:divBdr>
        <w:top w:val="none" w:sz="0" w:space="0" w:color="auto"/>
        <w:left w:val="none" w:sz="0" w:space="0" w:color="auto"/>
        <w:bottom w:val="none" w:sz="0" w:space="0" w:color="auto"/>
        <w:right w:val="none" w:sz="0" w:space="0" w:color="auto"/>
      </w:divBdr>
    </w:div>
    <w:div w:id="1370959539">
      <w:marLeft w:val="0"/>
      <w:marRight w:val="0"/>
      <w:marTop w:val="0"/>
      <w:marBottom w:val="0"/>
      <w:divBdr>
        <w:top w:val="none" w:sz="0" w:space="0" w:color="auto"/>
        <w:left w:val="none" w:sz="0" w:space="0" w:color="auto"/>
        <w:bottom w:val="none" w:sz="0" w:space="0" w:color="auto"/>
        <w:right w:val="none" w:sz="0" w:space="0" w:color="auto"/>
      </w:divBdr>
      <w:divsChild>
        <w:div w:id="1370959669">
          <w:marLeft w:val="0"/>
          <w:marRight w:val="0"/>
          <w:marTop w:val="0"/>
          <w:marBottom w:val="0"/>
          <w:divBdr>
            <w:top w:val="none" w:sz="0" w:space="0" w:color="auto"/>
            <w:left w:val="none" w:sz="0" w:space="0" w:color="auto"/>
            <w:bottom w:val="none" w:sz="0" w:space="0" w:color="auto"/>
            <w:right w:val="none" w:sz="0" w:space="0" w:color="auto"/>
          </w:divBdr>
          <w:divsChild>
            <w:div w:id="1370959764">
              <w:marLeft w:val="0"/>
              <w:marRight w:val="0"/>
              <w:marTop w:val="0"/>
              <w:marBottom w:val="0"/>
              <w:divBdr>
                <w:top w:val="none" w:sz="0" w:space="0" w:color="auto"/>
                <w:left w:val="none" w:sz="0" w:space="0" w:color="auto"/>
                <w:bottom w:val="none" w:sz="0" w:space="0" w:color="auto"/>
                <w:right w:val="none" w:sz="0" w:space="0" w:color="auto"/>
              </w:divBdr>
              <w:divsChild>
                <w:div w:id="1370959584">
                  <w:marLeft w:val="0"/>
                  <w:marRight w:val="0"/>
                  <w:marTop w:val="0"/>
                  <w:marBottom w:val="0"/>
                  <w:divBdr>
                    <w:top w:val="none" w:sz="0" w:space="0" w:color="auto"/>
                    <w:left w:val="none" w:sz="0" w:space="0" w:color="auto"/>
                    <w:bottom w:val="none" w:sz="0" w:space="0" w:color="auto"/>
                    <w:right w:val="none" w:sz="0" w:space="0" w:color="auto"/>
                  </w:divBdr>
                  <w:divsChild>
                    <w:div w:id="1370959853">
                      <w:marLeft w:val="0"/>
                      <w:marRight w:val="0"/>
                      <w:marTop w:val="0"/>
                      <w:marBottom w:val="0"/>
                      <w:divBdr>
                        <w:top w:val="none" w:sz="0" w:space="0" w:color="auto"/>
                        <w:left w:val="none" w:sz="0" w:space="0" w:color="auto"/>
                        <w:bottom w:val="none" w:sz="0" w:space="0" w:color="auto"/>
                        <w:right w:val="none" w:sz="0" w:space="0" w:color="auto"/>
                      </w:divBdr>
                      <w:divsChild>
                        <w:div w:id="1370959640">
                          <w:marLeft w:val="0"/>
                          <w:marRight w:val="0"/>
                          <w:marTop w:val="0"/>
                          <w:marBottom w:val="0"/>
                          <w:divBdr>
                            <w:top w:val="none" w:sz="0" w:space="0" w:color="auto"/>
                            <w:left w:val="none" w:sz="0" w:space="0" w:color="auto"/>
                            <w:bottom w:val="none" w:sz="0" w:space="0" w:color="auto"/>
                            <w:right w:val="none" w:sz="0" w:space="0" w:color="auto"/>
                          </w:divBdr>
                          <w:divsChild>
                            <w:div w:id="1370959513">
                              <w:marLeft w:val="0"/>
                              <w:marRight w:val="0"/>
                              <w:marTop w:val="0"/>
                              <w:marBottom w:val="0"/>
                              <w:divBdr>
                                <w:top w:val="none" w:sz="0" w:space="0" w:color="auto"/>
                                <w:left w:val="none" w:sz="0" w:space="0" w:color="auto"/>
                                <w:bottom w:val="none" w:sz="0" w:space="0" w:color="auto"/>
                                <w:right w:val="none" w:sz="0" w:space="0" w:color="auto"/>
                              </w:divBdr>
                              <w:divsChild>
                                <w:div w:id="1370959514">
                                  <w:marLeft w:val="0"/>
                                  <w:marRight w:val="0"/>
                                  <w:marTop w:val="0"/>
                                  <w:marBottom w:val="0"/>
                                  <w:divBdr>
                                    <w:top w:val="none" w:sz="0" w:space="0" w:color="auto"/>
                                    <w:left w:val="none" w:sz="0" w:space="0" w:color="auto"/>
                                    <w:bottom w:val="none" w:sz="0" w:space="0" w:color="auto"/>
                                    <w:right w:val="none" w:sz="0" w:space="0" w:color="auto"/>
                                  </w:divBdr>
                                  <w:divsChild>
                                    <w:div w:id="1370959834">
                                      <w:marLeft w:val="0"/>
                                      <w:marRight w:val="0"/>
                                      <w:marTop w:val="0"/>
                                      <w:marBottom w:val="0"/>
                                      <w:divBdr>
                                        <w:top w:val="none" w:sz="0" w:space="0" w:color="auto"/>
                                        <w:left w:val="none" w:sz="0" w:space="0" w:color="auto"/>
                                        <w:bottom w:val="none" w:sz="0" w:space="0" w:color="auto"/>
                                        <w:right w:val="none" w:sz="0" w:space="0" w:color="auto"/>
                                      </w:divBdr>
                                      <w:divsChild>
                                        <w:div w:id="1370959507">
                                          <w:marLeft w:val="0"/>
                                          <w:marRight w:val="0"/>
                                          <w:marTop w:val="0"/>
                                          <w:marBottom w:val="0"/>
                                          <w:divBdr>
                                            <w:top w:val="none" w:sz="0" w:space="0" w:color="auto"/>
                                            <w:left w:val="none" w:sz="0" w:space="0" w:color="auto"/>
                                            <w:bottom w:val="none" w:sz="0" w:space="0" w:color="auto"/>
                                            <w:right w:val="none" w:sz="0" w:space="0" w:color="auto"/>
                                          </w:divBdr>
                                          <w:divsChild>
                                            <w:div w:id="1370959587">
                                              <w:marLeft w:val="0"/>
                                              <w:marRight w:val="0"/>
                                              <w:marTop w:val="0"/>
                                              <w:marBottom w:val="0"/>
                                              <w:divBdr>
                                                <w:top w:val="none" w:sz="0" w:space="0" w:color="auto"/>
                                                <w:left w:val="none" w:sz="0" w:space="0" w:color="auto"/>
                                                <w:bottom w:val="none" w:sz="0" w:space="0" w:color="auto"/>
                                                <w:right w:val="none" w:sz="0" w:space="0" w:color="auto"/>
                                              </w:divBdr>
                                              <w:divsChild>
                                                <w:div w:id="1370959690">
                                                  <w:marLeft w:val="0"/>
                                                  <w:marRight w:val="0"/>
                                                  <w:marTop w:val="0"/>
                                                  <w:marBottom w:val="0"/>
                                                  <w:divBdr>
                                                    <w:top w:val="none" w:sz="0" w:space="0" w:color="auto"/>
                                                    <w:left w:val="none" w:sz="0" w:space="0" w:color="auto"/>
                                                    <w:bottom w:val="none" w:sz="0" w:space="0" w:color="auto"/>
                                                    <w:right w:val="none" w:sz="0" w:space="0" w:color="auto"/>
                                                  </w:divBdr>
                                                  <w:divsChild>
                                                    <w:div w:id="1370959758">
                                                      <w:marLeft w:val="0"/>
                                                      <w:marRight w:val="0"/>
                                                      <w:marTop w:val="0"/>
                                                      <w:marBottom w:val="0"/>
                                                      <w:divBdr>
                                                        <w:top w:val="none" w:sz="0" w:space="0" w:color="auto"/>
                                                        <w:left w:val="none" w:sz="0" w:space="0" w:color="auto"/>
                                                        <w:bottom w:val="none" w:sz="0" w:space="0" w:color="auto"/>
                                                        <w:right w:val="none" w:sz="0" w:space="0" w:color="auto"/>
                                                      </w:divBdr>
                                                      <w:divsChild>
                                                        <w:div w:id="137095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59541">
      <w:marLeft w:val="0"/>
      <w:marRight w:val="0"/>
      <w:marTop w:val="0"/>
      <w:marBottom w:val="0"/>
      <w:divBdr>
        <w:top w:val="none" w:sz="0" w:space="0" w:color="auto"/>
        <w:left w:val="none" w:sz="0" w:space="0" w:color="auto"/>
        <w:bottom w:val="none" w:sz="0" w:space="0" w:color="auto"/>
        <w:right w:val="none" w:sz="0" w:space="0" w:color="auto"/>
      </w:divBdr>
    </w:div>
    <w:div w:id="1370959543">
      <w:marLeft w:val="0"/>
      <w:marRight w:val="0"/>
      <w:marTop w:val="0"/>
      <w:marBottom w:val="0"/>
      <w:divBdr>
        <w:top w:val="none" w:sz="0" w:space="0" w:color="auto"/>
        <w:left w:val="none" w:sz="0" w:space="0" w:color="auto"/>
        <w:bottom w:val="none" w:sz="0" w:space="0" w:color="auto"/>
        <w:right w:val="none" w:sz="0" w:space="0" w:color="auto"/>
      </w:divBdr>
    </w:div>
    <w:div w:id="1370959544">
      <w:marLeft w:val="0"/>
      <w:marRight w:val="0"/>
      <w:marTop w:val="0"/>
      <w:marBottom w:val="0"/>
      <w:divBdr>
        <w:top w:val="none" w:sz="0" w:space="0" w:color="auto"/>
        <w:left w:val="none" w:sz="0" w:space="0" w:color="auto"/>
        <w:bottom w:val="none" w:sz="0" w:space="0" w:color="auto"/>
        <w:right w:val="none" w:sz="0" w:space="0" w:color="auto"/>
      </w:divBdr>
    </w:div>
    <w:div w:id="1370959546">
      <w:marLeft w:val="0"/>
      <w:marRight w:val="0"/>
      <w:marTop w:val="0"/>
      <w:marBottom w:val="0"/>
      <w:divBdr>
        <w:top w:val="none" w:sz="0" w:space="0" w:color="auto"/>
        <w:left w:val="none" w:sz="0" w:space="0" w:color="auto"/>
        <w:bottom w:val="none" w:sz="0" w:space="0" w:color="auto"/>
        <w:right w:val="none" w:sz="0" w:space="0" w:color="auto"/>
      </w:divBdr>
    </w:div>
    <w:div w:id="1370959548">
      <w:marLeft w:val="0"/>
      <w:marRight w:val="0"/>
      <w:marTop w:val="0"/>
      <w:marBottom w:val="0"/>
      <w:divBdr>
        <w:top w:val="none" w:sz="0" w:space="0" w:color="auto"/>
        <w:left w:val="none" w:sz="0" w:space="0" w:color="auto"/>
        <w:bottom w:val="none" w:sz="0" w:space="0" w:color="auto"/>
        <w:right w:val="none" w:sz="0" w:space="0" w:color="auto"/>
      </w:divBdr>
    </w:div>
    <w:div w:id="1370959549">
      <w:marLeft w:val="0"/>
      <w:marRight w:val="0"/>
      <w:marTop w:val="0"/>
      <w:marBottom w:val="0"/>
      <w:divBdr>
        <w:top w:val="none" w:sz="0" w:space="0" w:color="auto"/>
        <w:left w:val="none" w:sz="0" w:space="0" w:color="auto"/>
        <w:bottom w:val="none" w:sz="0" w:space="0" w:color="auto"/>
        <w:right w:val="none" w:sz="0" w:space="0" w:color="auto"/>
      </w:divBdr>
    </w:div>
    <w:div w:id="1370959550">
      <w:marLeft w:val="0"/>
      <w:marRight w:val="0"/>
      <w:marTop w:val="0"/>
      <w:marBottom w:val="0"/>
      <w:divBdr>
        <w:top w:val="none" w:sz="0" w:space="0" w:color="auto"/>
        <w:left w:val="none" w:sz="0" w:space="0" w:color="auto"/>
        <w:bottom w:val="none" w:sz="0" w:space="0" w:color="auto"/>
        <w:right w:val="none" w:sz="0" w:space="0" w:color="auto"/>
      </w:divBdr>
    </w:div>
    <w:div w:id="1370959551">
      <w:marLeft w:val="0"/>
      <w:marRight w:val="0"/>
      <w:marTop w:val="0"/>
      <w:marBottom w:val="0"/>
      <w:divBdr>
        <w:top w:val="none" w:sz="0" w:space="0" w:color="auto"/>
        <w:left w:val="none" w:sz="0" w:space="0" w:color="auto"/>
        <w:bottom w:val="none" w:sz="0" w:space="0" w:color="auto"/>
        <w:right w:val="none" w:sz="0" w:space="0" w:color="auto"/>
      </w:divBdr>
    </w:div>
    <w:div w:id="1370959552">
      <w:marLeft w:val="0"/>
      <w:marRight w:val="0"/>
      <w:marTop w:val="0"/>
      <w:marBottom w:val="0"/>
      <w:divBdr>
        <w:top w:val="none" w:sz="0" w:space="0" w:color="auto"/>
        <w:left w:val="none" w:sz="0" w:space="0" w:color="auto"/>
        <w:bottom w:val="none" w:sz="0" w:space="0" w:color="auto"/>
        <w:right w:val="none" w:sz="0" w:space="0" w:color="auto"/>
      </w:divBdr>
    </w:div>
    <w:div w:id="1370959553">
      <w:marLeft w:val="0"/>
      <w:marRight w:val="0"/>
      <w:marTop w:val="0"/>
      <w:marBottom w:val="0"/>
      <w:divBdr>
        <w:top w:val="none" w:sz="0" w:space="0" w:color="auto"/>
        <w:left w:val="none" w:sz="0" w:space="0" w:color="auto"/>
        <w:bottom w:val="none" w:sz="0" w:space="0" w:color="auto"/>
        <w:right w:val="none" w:sz="0" w:space="0" w:color="auto"/>
      </w:divBdr>
    </w:div>
    <w:div w:id="1370959555">
      <w:marLeft w:val="0"/>
      <w:marRight w:val="0"/>
      <w:marTop w:val="0"/>
      <w:marBottom w:val="0"/>
      <w:divBdr>
        <w:top w:val="none" w:sz="0" w:space="0" w:color="auto"/>
        <w:left w:val="none" w:sz="0" w:space="0" w:color="auto"/>
        <w:bottom w:val="none" w:sz="0" w:space="0" w:color="auto"/>
        <w:right w:val="none" w:sz="0" w:space="0" w:color="auto"/>
      </w:divBdr>
    </w:div>
    <w:div w:id="1370959557">
      <w:marLeft w:val="0"/>
      <w:marRight w:val="0"/>
      <w:marTop w:val="0"/>
      <w:marBottom w:val="0"/>
      <w:divBdr>
        <w:top w:val="none" w:sz="0" w:space="0" w:color="auto"/>
        <w:left w:val="none" w:sz="0" w:space="0" w:color="auto"/>
        <w:bottom w:val="none" w:sz="0" w:space="0" w:color="auto"/>
        <w:right w:val="none" w:sz="0" w:space="0" w:color="auto"/>
      </w:divBdr>
      <w:divsChild>
        <w:div w:id="1370959635">
          <w:marLeft w:val="0"/>
          <w:marRight w:val="0"/>
          <w:marTop w:val="0"/>
          <w:marBottom w:val="0"/>
          <w:divBdr>
            <w:top w:val="none" w:sz="0" w:space="0" w:color="auto"/>
            <w:left w:val="none" w:sz="0" w:space="0" w:color="auto"/>
            <w:bottom w:val="none" w:sz="0" w:space="0" w:color="auto"/>
            <w:right w:val="none" w:sz="0" w:space="0" w:color="auto"/>
          </w:divBdr>
          <w:divsChild>
            <w:div w:id="1370959502">
              <w:marLeft w:val="0"/>
              <w:marRight w:val="0"/>
              <w:marTop w:val="0"/>
              <w:marBottom w:val="0"/>
              <w:divBdr>
                <w:top w:val="none" w:sz="0" w:space="0" w:color="auto"/>
                <w:left w:val="none" w:sz="0" w:space="0" w:color="auto"/>
                <w:bottom w:val="none" w:sz="0" w:space="0" w:color="auto"/>
                <w:right w:val="none" w:sz="0" w:space="0" w:color="auto"/>
              </w:divBdr>
              <w:divsChild>
                <w:div w:id="1370959486">
                  <w:marLeft w:val="0"/>
                  <w:marRight w:val="0"/>
                  <w:marTop w:val="0"/>
                  <w:marBottom w:val="0"/>
                  <w:divBdr>
                    <w:top w:val="none" w:sz="0" w:space="0" w:color="auto"/>
                    <w:left w:val="none" w:sz="0" w:space="0" w:color="auto"/>
                    <w:bottom w:val="none" w:sz="0" w:space="0" w:color="auto"/>
                    <w:right w:val="none" w:sz="0" w:space="0" w:color="auto"/>
                  </w:divBdr>
                  <w:divsChild>
                    <w:div w:id="1370959692">
                      <w:marLeft w:val="0"/>
                      <w:marRight w:val="0"/>
                      <w:marTop w:val="0"/>
                      <w:marBottom w:val="0"/>
                      <w:divBdr>
                        <w:top w:val="none" w:sz="0" w:space="0" w:color="auto"/>
                        <w:left w:val="none" w:sz="0" w:space="0" w:color="auto"/>
                        <w:bottom w:val="none" w:sz="0" w:space="0" w:color="auto"/>
                        <w:right w:val="none" w:sz="0" w:space="0" w:color="auto"/>
                      </w:divBdr>
                      <w:divsChild>
                        <w:div w:id="13709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743">
          <w:marLeft w:val="0"/>
          <w:marRight w:val="0"/>
          <w:marTop w:val="0"/>
          <w:marBottom w:val="0"/>
          <w:divBdr>
            <w:top w:val="none" w:sz="0" w:space="0" w:color="auto"/>
            <w:left w:val="none" w:sz="0" w:space="0" w:color="auto"/>
            <w:bottom w:val="none" w:sz="0" w:space="0" w:color="auto"/>
            <w:right w:val="none" w:sz="0" w:space="0" w:color="auto"/>
          </w:divBdr>
          <w:divsChild>
            <w:div w:id="1370959833">
              <w:marLeft w:val="0"/>
              <w:marRight w:val="0"/>
              <w:marTop w:val="0"/>
              <w:marBottom w:val="0"/>
              <w:divBdr>
                <w:top w:val="none" w:sz="0" w:space="0" w:color="auto"/>
                <w:left w:val="none" w:sz="0" w:space="0" w:color="auto"/>
                <w:bottom w:val="none" w:sz="0" w:space="0" w:color="auto"/>
                <w:right w:val="none" w:sz="0" w:space="0" w:color="auto"/>
              </w:divBdr>
              <w:divsChild>
                <w:div w:id="1370959674">
                  <w:marLeft w:val="0"/>
                  <w:marRight w:val="0"/>
                  <w:marTop w:val="0"/>
                  <w:marBottom w:val="0"/>
                  <w:divBdr>
                    <w:top w:val="none" w:sz="0" w:space="0" w:color="auto"/>
                    <w:left w:val="none" w:sz="0" w:space="0" w:color="auto"/>
                    <w:bottom w:val="none" w:sz="0" w:space="0" w:color="auto"/>
                    <w:right w:val="none" w:sz="0" w:space="0" w:color="auto"/>
                  </w:divBdr>
                  <w:divsChild>
                    <w:div w:id="13709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558">
      <w:marLeft w:val="0"/>
      <w:marRight w:val="0"/>
      <w:marTop w:val="0"/>
      <w:marBottom w:val="0"/>
      <w:divBdr>
        <w:top w:val="none" w:sz="0" w:space="0" w:color="auto"/>
        <w:left w:val="none" w:sz="0" w:space="0" w:color="auto"/>
        <w:bottom w:val="none" w:sz="0" w:space="0" w:color="auto"/>
        <w:right w:val="none" w:sz="0" w:space="0" w:color="auto"/>
      </w:divBdr>
    </w:div>
    <w:div w:id="1370959559">
      <w:marLeft w:val="0"/>
      <w:marRight w:val="0"/>
      <w:marTop w:val="0"/>
      <w:marBottom w:val="0"/>
      <w:divBdr>
        <w:top w:val="none" w:sz="0" w:space="0" w:color="auto"/>
        <w:left w:val="none" w:sz="0" w:space="0" w:color="auto"/>
        <w:bottom w:val="none" w:sz="0" w:space="0" w:color="auto"/>
        <w:right w:val="none" w:sz="0" w:space="0" w:color="auto"/>
      </w:divBdr>
    </w:div>
    <w:div w:id="1370959560">
      <w:marLeft w:val="0"/>
      <w:marRight w:val="0"/>
      <w:marTop w:val="0"/>
      <w:marBottom w:val="0"/>
      <w:divBdr>
        <w:top w:val="none" w:sz="0" w:space="0" w:color="auto"/>
        <w:left w:val="none" w:sz="0" w:space="0" w:color="auto"/>
        <w:bottom w:val="none" w:sz="0" w:space="0" w:color="auto"/>
        <w:right w:val="none" w:sz="0" w:space="0" w:color="auto"/>
      </w:divBdr>
    </w:div>
    <w:div w:id="1370959561">
      <w:marLeft w:val="0"/>
      <w:marRight w:val="0"/>
      <w:marTop w:val="0"/>
      <w:marBottom w:val="0"/>
      <w:divBdr>
        <w:top w:val="none" w:sz="0" w:space="0" w:color="auto"/>
        <w:left w:val="none" w:sz="0" w:space="0" w:color="auto"/>
        <w:bottom w:val="none" w:sz="0" w:space="0" w:color="auto"/>
        <w:right w:val="none" w:sz="0" w:space="0" w:color="auto"/>
      </w:divBdr>
    </w:div>
    <w:div w:id="1370959564">
      <w:marLeft w:val="0"/>
      <w:marRight w:val="0"/>
      <w:marTop w:val="0"/>
      <w:marBottom w:val="0"/>
      <w:divBdr>
        <w:top w:val="none" w:sz="0" w:space="0" w:color="auto"/>
        <w:left w:val="none" w:sz="0" w:space="0" w:color="auto"/>
        <w:bottom w:val="none" w:sz="0" w:space="0" w:color="auto"/>
        <w:right w:val="none" w:sz="0" w:space="0" w:color="auto"/>
      </w:divBdr>
    </w:div>
    <w:div w:id="1370959565">
      <w:marLeft w:val="0"/>
      <w:marRight w:val="0"/>
      <w:marTop w:val="0"/>
      <w:marBottom w:val="0"/>
      <w:divBdr>
        <w:top w:val="none" w:sz="0" w:space="0" w:color="auto"/>
        <w:left w:val="none" w:sz="0" w:space="0" w:color="auto"/>
        <w:bottom w:val="none" w:sz="0" w:space="0" w:color="auto"/>
        <w:right w:val="none" w:sz="0" w:space="0" w:color="auto"/>
      </w:divBdr>
      <w:divsChild>
        <w:div w:id="1370959623">
          <w:marLeft w:val="0"/>
          <w:marRight w:val="0"/>
          <w:marTop w:val="0"/>
          <w:marBottom w:val="0"/>
          <w:divBdr>
            <w:top w:val="none" w:sz="0" w:space="0" w:color="auto"/>
            <w:left w:val="none" w:sz="0" w:space="0" w:color="auto"/>
            <w:bottom w:val="none" w:sz="0" w:space="0" w:color="auto"/>
            <w:right w:val="none" w:sz="0" w:space="0" w:color="auto"/>
          </w:divBdr>
          <w:divsChild>
            <w:div w:id="1370959528">
              <w:marLeft w:val="0"/>
              <w:marRight w:val="0"/>
              <w:marTop w:val="0"/>
              <w:marBottom w:val="0"/>
              <w:divBdr>
                <w:top w:val="none" w:sz="0" w:space="0" w:color="auto"/>
                <w:left w:val="none" w:sz="0" w:space="0" w:color="auto"/>
                <w:bottom w:val="none" w:sz="0" w:space="0" w:color="auto"/>
                <w:right w:val="none" w:sz="0" w:space="0" w:color="auto"/>
              </w:divBdr>
              <w:divsChild>
                <w:div w:id="1370959676">
                  <w:marLeft w:val="0"/>
                  <w:marRight w:val="0"/>
                  <w:marTop w:val="0"/>
                  <w:marBottom w:val="0"/>
                  <w:divBdr>
                    <w:top w:val="none" w:sz="0" w:space="0" w:color="auto"/>
                    <w:left w:val="none" w:sz="0" w:space="0" w:color="auto"/>
                    <w:bottom w:val="none" w:sz="0" w:space="0" w:color="auto"/>
                    <w:right w:val="none" w:sz="0" w:space="0" w:color="auto"/>
                  </w:divBdr>
                  <w:divsChild>
                    <w:div w:id="1370959511">
                      <w:marLeft w:val="0"/>
                      <w:marRight w:val="0"/>
                      <w:marTop w:val="0"/>
                      <w:marBottom w:val="0"/>
                      <w:divBdr>
                        <w:top w:val="none" w:sz="0" w:space="0" w:color="auto"/>
                        <w:left w:val="none" w:sz="0" w:space="0" w:color="auto"/>
                        <w:bottom w:val="none" w:sz="0" w:space="0" w:color="auto"/>
                        <w:right w:val="none" w:sz="0" w:space="0" w:color="auto"/>
                      </w:divBdr>
                      <w:divsChild>
                        <w:div w:id="1370959734">
                          <w:marLeft w:val="0"/>
                          <w:marRight w:val="0"/>
                          <w:marTop w:val="0"/>
                          <w:marBottom w:val="0"/>
                          <w:divBdr>
                            <w:top w:val="none" w:sz="0" w:space="0" w:color="auto"/>
                            <w:left w:val="none" w:sz="0" w:space="0" w:color="auto"/>
                            <w:bottom w:val="none" w:sz="0" w:space="0" w:color="auto"/>
                            <w:right w:val="none" w:sz="0" w:space="0" w:color="auto"/>
                          </w:divBdr>
                          <w:divsChild>
                            <w:div w:id="1370959481">
                              <w:marLeft w:val="0"/>
                              <w:marRight w:val="0"/>
                              <w:marTop w:val="0"/>
                              <w:marBottom w:val="0"/>
                              <w:divBdr>
                                <w:top w:val="none" w:sz="0" w:space="0" w:color="auto"/>
                                <w:left w:val="none" w:sz="0" w:space="0" w:color="auto"/>
                                <w:bottom w:val="none" w:sz="0" w:space="0" w:color="auto"/>
                                <w:right w:val="none" w:sz="0" w:space="0" w:color="auto"/>
                              </w:divBdr>
                              <w:divsChild>
                                <w:div w:id="1370959801">
                                  <w:marLeft w:val="0"/>
                                  <w:marRight w:val="0"/>
                                  <w:marTop w:val="0"/>
                                  <w:marBottom w:val="0"/>
                                  <w:divBdr>
                                    <w:top w:val="none" w:sz="0" w:space="0" w:color="auto"/>
                                    <w:left w:val="none" w:sz="0" w:space="0" w:color="auto"/>
                                    <w:bottom w:val="none" w:sz="0" w:space="0" w:color="auto"/>
                                    <w:right w:val="none" w:sz="0" w:space="0" w:color="auto"/>
                                  </w:divBdr>
                                  <w:divsChild>
                                    <w:div w:id="1370959448">
                                      <w:marLeft w:val="0"/>
                                      <w:marRight w:val="0"/>
                                      <w:marTop w:val="0"/>
                                      <w:marBottom w:val="0"/>
                                      <w:divBdr>
                                        <w:top w:val="none" w:sz="0" w:space="0" w:color="auto"/>
                                        <w:left w:val="none" w:sz="0" w:space="0" w:color="auto"/>
                                        <w:bottom w:val="none" w:sz="0" w:space="0" w:color="auto"/>
                                        <w:right w:val="none" w:sz="0" w:space="0" w:color="auto"/>
                                      </w:divBdr>
                                      <w:divsChild>
                                        <w:div w:id="1370959790">
                                          <w:marLeft w:val="0"/>
                                          <w:marRight w:val="0"/>
                                          <w:marTop w:val="0"/>
                                          <w:marBottom w:val="0"/>
                                          <w:divBdr>
                                            <w:top w:val="none" w:sz="0" w:space="0" w:color="auto"/>
                                            <w:left w:val="none" w:sz="0" w:space="0" w:color="auto"/>
                                            <w:bottom w:val="none" w:sz="0" w:space="0" w:color="auto"/>
                                            <w:right w:val="none" w:sz="0" w:space="0" w:color="auto"/>
                                          </w:divBdr>
                                          <w:divsChild>
                                            <w:div w:id="1370959554">
                                              <w:marLeft w:val="0"/>
                                              <w:marRight w:val="0"/>
                                              <w:marTop w:val="0"/>
                                              <w:marBottom w:val="0"/>
                                              <w:divBdr>
                                                <w:top w:val="none" w:sz="0" w:space="0" w:color="auto"/>
                                                <w:left w:val="none" w:sz="0" w:space="0" w:color="auto"/>
                                                <w:bottom w:val="none" w:sz="0" w:space="0" w:color="auto"/>
                                                <w:right w:val="none" w:sz="0" w:space="0" w:color="auto"/>
                                              </w:divBdr>
                                              <w:divsChild>
                                                <w:div w:id="1370959440">
                                                  <w:marLeft w:val="0"/>
                                                  <w:marRight w:val="0"/>
                                                  <w:marTop w:val="0"/>
                                                  <w:marBottom w:val="0"/>
                                                  <w:divBdr>
                                                    <w:top w:val="none" w:sz="0" w:space="0" w:color="auto"/>
                                                    <w:left w:val="none" w:sz="0" w:space="0" w:color="auto"/>
                                                    <w:bottom w:val="none" w:sz="0" w:space="0" w:color="auto"/>
                                                    <w:right w:val="none" w:sz="0" w:space="0" w:color="auto"/>
                                                  </w:divBdr>
                                                  <w:divsChild>
                                                    <w:div w:id="1370959747">
                                                      <w:marLeft w:val="0"/>
                                                      <w:marRight w:val="0"/>
                                                      <w:marTop w:val="0"/>
                                                      <w:marBottom w:val="0"/>
                                                      <w:divBdr>
                                                        <w:top w:val="none" w:sz="0" w:space="0" w:color="auto"/>
                                                        <w:left w:val="none" w:sz="0" w:space="0" w:color="auto"/>
                                                        <w:bottom w:val="none" w:sz="0" w:space="0" w:color="auto"/>
                                                        <w:right w:val="none" w:sz="0" w:space="0" w:color="auto"/>
                                                      </w:divBdr>
                                                      <w:divsChild>
                                                        <w:div w:id="13709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59568">
      <w:marLeft w:val="0"/>
      <w:marRight w:val="0"/>
      <w:marTop w:val="0"/>
      <w:marBottom w:val="0"/>
      <w:divBdr>
        <w:top w:val="none" w:sz="0" w:space="0" w:color="auto"/>
        <w:left w:val="none" w:sz="0" w:space="0" w:color="auto"/>
        <w:bottom w:val="none" w:sz="0" w:space="0" w:color="auto"/>
        <w:right w:val="none" w:sz="0" w:space="0" w:color="auto"/>
      </w:divBdr>
    </w:div>
    <w:div w:id="1370959572">
      <w:marLeft w:val="0"/>
      <w:marRight w:val="0"/>
      <w:marTop w:val="0"/>
      <w:marBottom w:val="0"/>
      <w:divBdr>
        <w:top w:val="none" w:sz="0" w:space="0" w:color="auto"/>
        <w:left w:val="none" w:sz="0" w:space="0" w:color="auto"/>
        <w:bottom w:val="none" w:sz="0" w:space="0" w:color="auto"/>
        <w:right w:val="none" w:sz="0" w:space="0" w:color="auto"/>
      </w:divBdr>
    </w:div>
    <w:div w:id="1370959573">
      <w:marLeft w:val="0"/>
      <w:marRight w:val="0"/>
      <w:marTop w:val="0"/>
      <w:marBottom w:val="0"/>
      <w:divBdr>
        <w:top w:val="none" w:sz="0" w:space="0" w:color="auto"/>
        <w:left w:val="none" w:sz="0" w:space="0" w:color="auto"/>
        <w:bottom w:val="none" w:sz="0" w:space="0" w:color="auto"/>
        <w:right w:val="none" w:sz="0" w:space="0" w:color="auto"/>
      </w:divBdr>
    </w:div>
    <w:div w:id="1370959574">
      <w:marLeft w:val="0"/>
      <w:marRight w:val="0"/>
      <w:marTop w:val="0"/>
      <w:marBottom w:val="0"/>
      <w:divBdr>
        <w:top w:val="none" w:sz="0" w:space="0" w:color="auto"/>
        <w:left w:val="none" w:sz="0" w:space="0" w:color="auto"/>
        <w:bottom w:val="none" w:sz="0" w:space="0" w:color="auto"/>
        <w:right w:val="none" w:sz="0" w:space="0" w:color="auto"/>
      </w:divBdr>
    </w:div>
    <w:div w:id="1370959582">
      <w:marLeft w:val="0"/>
      <w:marRight w:val="0"/>
      <w:marTop w:val="0"/>
      <w:marBottom w:val="0"/>
      <w:divBdr>
        <w:top w:val="none" w:sz="0" w:space="0" w:color="auto"/>
        <w:left w:val="none" w:sz="0" w:space="0" w:color="auto"/>
        <w:bottom w:val="none" w:sz="0" w:space="0" w:color="auto"/>
        <w:right w:val="none" w:sz="0" w:space="0" w:color="auto"/>
      </w:divBdr>
    </w:div>
    <w:div w:id="1370959585">
      <w:marLeft w:val="0"/>
      <w:marRight w:val="0"/>
      <w:marTop w:val="0"/>
      <w:marBottom w:val="0"/>
      <w:divBdr>
        <w:top w:val="none" w:sz="0" w:space="0" w:color="auto"/>
        <w:left w:val="none" w:sz="0" w:space="0" w:color="auto"/>
        <w:bottom w:val="none" w:sz="0" w:space="0" w:color="auto"/>
        <w:right w:val="none" w:sz="0" w:space="0" w:color="auto"/>
      </w:divBdr>
    </w:div>
    <w:div w:id="1370959586">
      <w:marLeft w:val="0"/>
      <w:marRight w:val="0"/>
      <w:marTop w:val="0"/>
      <w:marBottom w:val="0"/>
      <w:divBdr>
        <w:top w:val="none" w:sz="0" w:space="0" w:color="auto"/>
        <w:left w:val="none" w:sz="0" w:space="0" w:color="auto"/>
        <w:bottom w:val="none" w:sz="0" w:space="0" w:color="auto"/>
        <w:right w:val="none" w:sz="0" w:space="0" w:color="auto"/>
      </w:divBdr>
    </w:div>
    <w:div w:id="1370959589">
      <w:marLeft w:val="0"/>
      <w:marRight w:val="0"/>
      <w:marTop w:val="0"/>
      <w:marBottom w:val="0"/>
      <w:divBdr>
        <w:top w:val="none" w:sz="0" w:space="0" w:color="auto"/>
        <w:left w:val="none" w:sz="0" w:space="0" w:color="auto"/>
        <w:bottom w:val="none" w:sz="0" w:space="0" w:color="auto"/>
        <w:right w:val="none" w:sz="0" w:space="0" w:color="auto"/>
      </w:divBdr>
    </w:div>
    <w:div w:id="1370959590">
      <w:marLeft w:val="0"/>
      <w:marRight w:val="0"/>
      <w:marTop w:val="0"/>
      <w:marBottom w:val="0"/>
      <w:divBdr>
        <w:top w:val="none" w:sz="0" w:space="0" w:color="auto"/>
        <w:left w:val="none" w:sz="0" w:space="0" w:color="auto"/>
        <w:bottom w:val="none" w:sz="0" w:space="0" w:color="auto"/>
        <w:right w:val="none" w:sz="0" w:space="0" w:color="auto"/>
      </w:divBdr>
    </w:div>
    <w:div w:id="1370959592">
      <w:marLeft w:val="0"/>
      <w:marRight w:val="0"/>
      <w:marTop w:val="0"/>
      <w:marBottom w:val="0"/>
      <w:divBdr>
        <w:top w:val="none" w:sz="0" w:space="0" w:color="auto"/>
        <w:left w:val="none" w:sz="0" w:space="0" w:color="auto"/>
        <w:bottom w:val="none" w:sz="0" w:space="0" w:color="auto"/>
        <w:right w:val="none" w:sz="0" w:space="0" w:color="auto"/>
      </w:divBdr>
    </w:div>
    <w:div w:id="1370959596">
      <w:marLeft w:val="0"/>
      <w:marRight w:val="0"/>
      <w:marTop w:val="0"/>
      <w:marBottom w:val="0"/>
      <w:divBdr>
        <w:top w:val="none" w:sz="0" w:space="0" w:color="auto"/>
        <w:left w:val="none" w:sz="0" w:space="0" w:color="auto"/>
        <w:bottom w:val="none" w:sz="0" w:space="0" w:color="auto"/>
        <w:right w:val="none" w:sz="0" w:space="0" w:color="auto"/>
      </w:divBdr>
      <w:divsChild>
        <w:div w:id="1370959630">
          <w:marLeft w:val="0"/>
          <w:marRight w:val="0"/>
          <w:marTop w:val="0"/>
          <w:marBottom w:val="0"/>
          <w:divBdr>
            <w:top w:val="none" w:sz="0" w:space="0" w:color="auto"/>
            <w:left w:val="none" w:sz="0" w:space="0" w:color="auto"/>
            <w:bottom w:val="none" w:sz="0" w:space="0" w:color="auto"/>
            <w:right w:val="none" w:sz="0" w:space="0" w:color="auto"/>
          </w:divBdr>
          <w:divsChild>
            <w:div w:id="1370959571">
              <w:marLeft w:val="0"/>
              <w:marRight w:val="0"/>
              <w:marTop w:val="0"/>
              <w:marBottom w:val="0"/>
              <w:divBdr>
                <w:top w:val="none" w:sz="0" w:space="0" w:color="auto"/>
                <w:left w:val="none" w:sz="0" w:space="0" w:color="auto"/>
                <w:bottom w:val="none" w:sz="0" w:space="0" w:color="auto"/>
                <w:right w:val="none" w:sz="0" w:space="0" w:color="auto"/>
              </w:divBdr>
              <w:divsChild>
                <w:div w:id="1370959783">
                  <w:marLeft w:val="0"/>
                  <w:marRight w:val="0"/>
                  <w:marTop w:val="0"/>
                  <w:marBottom w:val="0"/>
                  <w:divBdr>
                    <w:top w:val="none" w:sz="0" w:space="0" w:color="auto"/>
                    <w:left w:val="none" w:sz="0" w:space="0" w:color="auto"/>
                    <w:bottom w:val="none" w:sz="0" w:space="0" w:color="auto"/>
                    <w:right w:val="none" w:sz="0" w:space="0" w:color="auto"/>
                  </w:divBdr>
                  <w:divsChild>
                    <w:div w:id="1370959830">
                      <w:marLeft w:val="0"/>
                      <w:marRight w:val="0"/>
                      <w:marTop w:val="0"/>
                      <w:marBottom w:val="0"/>
                      <w:divBdr>
                        <w:top w:val="none" w:sz="0" w:space="0" w:color="auto"/>
                        <w:left w:val="none" w:sz="0" w:space="0" w:color="auto"/>
                        <w:bottom w:val="none" w:sz="0" w:space="0" w:color="auto"/>
                        <w:right w:val="none" w:sz="0" w:space="0" w:color="auto"/>
                      </w:divBdr>
                      <w:divsChild>
                        <w:div w:id="1370959756">
                          <w:marLeft w:val="0"/>
                          <w:marRight w:val="0"/>
                          <w:marTop w:val="0"/>
                          <w:marBottom w:val="0"/>
                          <w:divBdr>
                            <w:top w:val="none" w:sz="0" w:space="0" w:color="auto"/>
                            <w:left w:val="none" w:sz="0" w:space="0" w:color="auto"/>
                            <w:bottom w:val="none" w:sz="0" w:space="0" w:color="auto"/>
                            <w:right w:val="none" w:sz="0" w:space="0" w:color="auto"/>
                          </w:divBdr>
                          <w:divsChild>
                            <w:div w:id="1370959597">
                              <w:marLeft w:val="0"/>
                              <w:marRight w:val="0"/>
                              <w:marTop w:val="0"/>
                              <w:marBottom w:val="0"/>
                              <w:divBdr>
                                <w:top w:val="none" w:sz="0" w:space="0" w:color="auto"/>
                                <w:left w:val="none" w:sz="0" w:space="0" w:color="auto"/>
                                <w:bottom w:val="none" w:sz="0" w:space="0" w:color="auto"/>
                                <w:right w:val="none" w:sz="0" w:space="0" w:color="auto"/>
                              </w:divBdr>
                              <w:divsChild>
                                <w:div w:id="1370959721">
                                  <w:marLeft w:val="0"/>
                                  <w:marRight w:val="0"/>
                                  <w:marTop w:val="0"/>
                                  <w:marBottom w:val="0"/>
                                  <w:divBdr>
                                    <w:top w:val="none" w:sz="0" w:space="0" w:color="auto"/>
                                    <w:left w:val="none" w:sz="0" w:space="0" w:color="auto"/>
                                    <w:bottom w:val="none" w:sz="0" w:space="0" w:color="auto"/>
                                    <w:right w:val="none" w:sz="0" w:space="0" w:color="auto"/>
                                  </w:divBdr>
                                  <w:divsChild>
                                    <w:div w:id="137095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959598">
      <w:marLeft w:val="0"/>
      <w:marRight w:val="0"/>
      <w:marTop w:val="0"/>
      <w:marBottom w:val="0"/>
      <w:divBdr>
        <w:top w:val="none" w:sz="0" w:space="0" w:color="auto"/>
        <w:left w:val="none" w:sz="0" w:space="0" w:color="auto"/>
        <w:bottom w:val="none" w:sz="0" w:space="0" w:color="auto"/>
        <w:right w:val="none" w:sz="0" w:space="0" w:color="auto"/>
      </w:divBdr>
    </w:div>
    <w:div w:id="1370959599">
      <w:marLeft w:val="0"/>
      <w:marRight w:val="0"/>
      <w:marTop w:val="0"/>
      <w:marBottom w:val="0"/>
      <w:divBdr>
        <w:top w:val="none" w:sz="0" w:space="0" w:color="auto"/>
        <w:left w:val="none" w:sz="0" w:space="0" w:color="auto"/>
        <w:bottom w:val="none" w:sz="0" w:space="0" w:color="auto"/>
        <w:right w:val="none" w:sz="0" w:space="0" w:color="auto"/>
      </w:divBdr>
      <w:divsChild>
        <w:div w:id="1370959556">
          <w:marLeft w:val="0"/>
          <w:marRight w:val="0"/>
          <w:marTop w:val="0"/>
          <w:marBottom w:val="0"/>
          <w:divBdr>
            <w:top w:val="none" w:sz="0" w:space="0" w:color="auto"/>
            <w:left w:val="none" w:sz="0" w:space="0" w:color="auto"/>
            <w:bottom w:val="none" w:sz="0" w:space="0" w:color="auto"/>
            <w:right w:val="none" w:sz="0" w:space="0" w:color="auto"/>
          </w:divBdr>
          <w:divsChild>
            <w:div w:id="1370959496">
              <w:marLeft w:val="0"/>
              <w:marRight w:val="0"/>
              <w:marTop w:val="0"/>
              <w:marBottom w:val="0"/>
              <w:divBdr>
                <w:top w:val="none" w:sz="0" w:space="0" w:color="auto"/>
                <w:left w:val="none" w:sz="0" w:space="0" w:color="auto"/>
                <w:bottom w:val="none" w:sz="0" w:space="0" w:color="auto"/>
                <w:right w:val="none" w:sz="0" w:space="0" w:color="auto"/>
              </w:divBdr>
              <w:divsChild>
                <w:div w:id="1370959661">
                  <w:marLeft w:val="0"/>
                  <w:marRight w:val="0"/>
                  <w:marTop w:val="0"/>
                  <w:marBottom w:val="0"/>
                  <w:divBdr>
                    <w:top w:val="none" w:sz="0" w:space="0" w:color="auto"/>
                    <w:left w:val="none" w:sz="0" w:space="0" w:color="auto"/>
                    <w:bottom w:val="none" w:sz="0" w:space="0" w:color="auto"/>
                    <w:right w:val="none" w:sz="0" w:space="0" w:color="auto"/>
                  </w:divBdr>
                  <w:divsChild>
                    <w:div w:id="137095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9569">
          <w:marLeft w:val="0"/>
          <w:marRight w:val="0"/>
          <w:marTop w:val="0"/>
          <w:marBottom w:val="0"/>
          <w:divBdr>
            <w:top w:val="none" w:sz="0" w:space="0" w:color="auto"/>
            <w:left w:val="none" w:sz="0" w:space="0" w:color="auto"/>
            <w:bottom w:val="none" w:sz="0" w:space="0" w:color="auto"/>
            <w:right w:val="none" w:sz="0" w:space="0" w:color="auto"/>
          </w:divBdr>
          <w:divsChild>
            <w:div w:id="1370959774">
              <w:marLeft w:val="0"/>
              <w:marRight w:val="0"/>
              <w:marTop w:val="0"/>
              <w:marBottom w:val="0"/>
              <w:divBdr>
                <w:top w:val="none" w:sz="0" w:space="0" w:color="auto"/>
                <w:left w:val="none" w:sz="0" w:space="0" w:color="auto"/>
                <w:bottom w:val="none" w:sz="0" w:space="0" w:color="auto"/>
                <w:right w:val="none" w:sz="0" w:space="0" w:color="auto"/>
              </w:divBdr>
              <w:divsChild>
                <w:div w:id="1370959704">
                  <w:marLeft w:val="0"/>
                  <w:marRight w:val="0"/>
                  <w:marTop w:val="0"/>
                  <w:marBottom w:val="0"/>
                  <w:divBdr>
                    <w:top w:val="none" w:sz="0" w:space="0" w:color="auto"/>
                    <w:left w:val="none" w:sz="0" w:space="0" w:color="auto"/>
                    <w:bottom w:val="none" w:sz="0" w:space="0" w:color="auto"/>
                    <w:right w:val="none" w:sz="0" w:space="0" w:color="auto"/>
                  </w:divBdr>
                  <w:divsChild>
                    <w:div w:id="13709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600">
      <w:marLeft w:val="0"/>
      <w:marRight w:val="0"/>
      <w:marTop w:val="0"/>
      <w:marBottom w:val="0"/>
      <w:divBdr>
        <w:top w:val="none" w:sz="0" w:space="0" w:color="auto"/>
        <w:left w:val="none" w:sz="0" w:space="0" w:color="auto"/>
        <w:bottom w:val="none" w:sz="0" w:space="0" w:color="auto"/>
        <w:right w:val="none" w:sz="0" w:space="0" w:color="auto"/>
      </w:divBdr>
    </w:div>
    <w:div w:id="1370959601">
      <w:marLeft w:val="0"/>
      <w:marRight w:val="0"/>
      <w:marTop w:val="0"/>
      <w:marBottom w:val="0"/>
      <w:divBdr>
        <w:top w:val="none" w:sz="0" w:space="0" w:color="auto"/>
        <w:left w:val="none" w:sz="0" w:space="0" w:color="auto"/>
        <w:bottom w:val="none" w:sz="0" w:space="0" w:color="auto"/>
        <w:right w:val="none" w:sz="0" w:space="0" w:color="auto"/>
      </w:divBdr>
    </w:div>
    <w:div w:id="1370959603">
      <w:marLeft w:val="0"/>
      <w:marRight w:val="0"/>
      <w:marTop w:val="0"/>
      <w:marBottom w:val="0"/>
      <w:divBdr>
        <w:top w:val="none" w:sz="0" w:space="0" w:color="auto"/>
        <w:left w:val="none" w:sz="0" w:space="0" w:color="auto"/>
        <w:bottom w:val="none" w:sz="0" w:space="0" w:color="auto"/>
        <w:right w:val="none" w:sz="0" w:space="0" w:color="auto"/>
      </w:divBdr>
    </w:div>
    <w:div w:id="1370959606">
      <w:marLeft w:val="0"/>
      <w:marRight w:val="0"/>
      <w:marTop w:val="0"/>
      <w:marBottom w:val="0"/>
      <w:divBdr>
        <w:top w:val="none" w:sz="0" w:space="0" w:color="auto"/>
        <w:left w:val="none" w:sz="0" w:space="0" w:color="auto"/>
        <w:bottom w:val="none" w:sz="0" w:space="0" w:color="auto"/>
        <w:right w:val="none" w:sz="0" w:space="0" w:color="auto"/>
      </w:divBdr>
    </w:div>
    <w:div w:id="1370959607">
      <w:marLeft w:val="0"/>
      <w:marRight w:val="0"/>
      <w:marTop w:val="0"/>
      <w:marBottom w:val="0"/>
      <w:divBdr>
        <w:top w:val="none" w:sz="0" w:space="0" w:color="auto"/>
        <w:left w:val="none" w:sz="0" w:space="0" w:color="auto"/>
        <w:bottom w:val="none" w:sz="0" w:space="0" w:color="auto"/>
        <w:right w:val="none" w:sz="0" w:space="0" w:color="auto"/>
      </w:divBdr>
    </w:div>
    <w:div w:id="1370959608">
      <w:marLeft w:val="0"/>
      <w:marRight w:val="0"/>
      <w:marTop w:val="0"/>
      <w:marBottom w:val="0"/>
      <w:divBdr>
        <w:top w:val="none" w:sz="0" w:space="0" w:color="auto"/>
        <w:left w:val="none" w:sz="0" w:space="0" w:color="auto"/>
        <w:bottom w:val="none" w:sz="0" w:space="0" w:color="auto"/>
        <w:right w:val="none" w:sz="0" w:space="0" w:color="auto"/>
      </w:divBdr>
    </w:div>
    <w:div w:id="1370959609">
      <w:marLeft w:val="0"/>
      <w:marRight w:val="0"/>
      <w:marTop w:val="0"/>
      <w:marBottom w:val="0"/>
      <w:divBdr>
        <w:top w:val="none" w:sz="0" w:space="0" w:color="auto"/>
        <w:left w:val="none" w:sz="0" w:space="0" w:color="auto"/>
        <w:bottom w:val="none" w:sz="0" w:space="0" w:color="auto"/>
        <w:right w:val="none" w:sz="0" w:space="0" w:color="auto"/>
      </w:divBdr>
    </w:div>
    <w:div w:id="1370959610">
      <w:marLeft w:val="0"/>
      <w:marRight w:val="0"/>
      <w:marTop w:val="0"/>
      <w:marBottom w:val="0"/>
      <w:divBdr>
        <w:top w:val="none" w:sz="0" w:space="0" w:color="auto"/>
        <w:left w:val="none" w:sz="0" w:space="0" w:color="auto"/>
        <w:bottom w:val="none" w:sz="0" w:space="0" w:color="auto"/>
        <w:right w:val="none" w:sz="0" w:space="0" w:color="auto"/>
      </w:divBdr>
    </w:div>
    <w:div w:id="1370959611">
      <w:marLeft w:val="0"/>
      <w:marRight w:val="0"/>
      <w:marTop w:val="0"/>
      <w:marBottom w:val="0"/>
      <w:divBdr>
        <w:top w:val="none" w:sz="0" w:space="0" w:color="auto"/>
        <w:left w:val="none" w:sz="0" w:space="0" w:color="auto"/>
        <w:bottom w:val="none" w:sz="0" w:space="0" w:color="auto"/>
        <w:right w:val="none" w:sz="0" w:space="0" w:color="auto"/>
      </w:divBdr>
      <w:divsChild>
        <w:div w:id="1370959715">
          <w:marLeft w:val="0"/>
          <w:marRight w:val="0"/>
          <w:marTop w:val="0"/>
          <w:marBottom w:val="0"/>
          <w:divBdr>
            <w:top w:val="none" w:sz="0" w:space="0" w:color="auto"/>
            <w:left w:val="none" w:sz="0" w:space="0" w:color="auto"/>
            <w:bottom w:val="none" w:sz="0" w:space="0" w:color="auto"/>
            <w:right w:val="none" w:sz="0" w:space="0" w:color="auto"/>
          </w:divBdr>
          <w:divsChild>
            <w:div w:id="1370959687">
              <w:marLeft w:val="0"/>
              <w:marRight w:val="0"/>
              <w:marTop w:val="0"/>
              <w:marBottom w:val="0"/>
              <w:divBdr>
                <w:top w:val="none" w:sz="0" w:space="0" w:color="auto"/>
                <w:left w:val="none" w:sz="0" w:space="0" w:color="auto"/>
                <w:bottom w:val="none" w:sz="0" w:space="0" w:color="auto"/>
                <w:right w:val="none" w:sz="0" w:space="0" w:color="auto"/>
              </w:divBdr>
              <w:divsChild>
                <w:div w:id="1370959470">
                  <w:marLeft w:val="0"/>
                  <w:marRight w:val="0"/>
                  <w:marTop w:val="0"/>
                  <w:marBottom w:val="0"/>
                  <w:divBdr>
                    <w:top w:val="none" w:sz="0" w:space="0" w:color="auto"/>
                    <w:left w:val="none" w:sz="0" w:space="0" w:color="auto"/>
                    <w:bottom w:val="none" w:sz="0" w:space="0" w:color="auto"/>
                    <w:right w:val="none" w:sz="0" w:space="0" w:color="auto"/>
                  </w:divBdr>
                  <w:divsChild>
                    <w:div w:id="1370959729">
                      <w:marLeft w:val="0"/>
                      <w:marRight w:val="0"/>
                      <w:marTop w:val="0"/>
                      <w:marBottom w:val="0"/>
                      <w:divBdr>
                        <w:top w:val="none" w:sz="0" w:space="0" w:color="auto"/>
                        <w:left w:val="none" w:sz="0" w:space="0" w:color="auto"/>
                        <w:bottom w:val="none" w:sz="0" w:space="0" w:color="auto"/>
                        <w:right w:val="none" w:sz="0" w:space="0" w:color="auto"/>
                      </w:divBdr>
                      <w:divsChild>
                        <w:div w:id="1370959581">
                          <w:marLeft w:val="0"/>
                          <w:marRight w:val="0"/>
                          <w:marTop w:val="0"/>
                          <w:marBottom w:val="0"/>
                          <w:divBdr>
                            <w:top w:val="none" w:sz="0" w:space="0" w:color="auto"/>
                            <w:left w:val="none" w:sz="0" w:space="0" w:color="auto"/>
                            <w:bottom w:val="none" w:sz="0" w:space="0" w:color="auto"/>
                            <w:right w:val="none" w:sz="0" w:space="0" w:color="auto"/>
                          </w:divBdr>
                          <w:divsChild>
                            <w:div w:id="1370959567">
                              <w:marLeft w:val="0"/>
                              <w:marRight w:val="0"/>
                              <w:marTop w:val="0"/>
                              <w:marBottom w:val="0"/>
                              <w:divBdr>
                                <w:top w:val="none" w:sz="0" w:space="0" w:color="auto"/>
                                <w:left w:val="none" w:sz="0" w:space="0" w:color="auto"/>
                                <w:bottom w:val="none" w:sz="0" w:space="0" w:color="auto"/>
                                <w:right w:val="none" w:sz="0" w:space="0" w:color="auto"/>
                              </w:divBdr>
                              <w:divsChild>
                                <w:div w:id="1370959842">
                                  <w:marLeft w:val="0"/>
                                  <w:marRight w:val="0"/>
                                  <w:marTop w:val="0"/>
                                  <w:marBottom w:val="0"/>
                                  <w:divBdr>
                                    <w:top w:val="none" w:sz="0" w:space="0" w:color="auto"/>
                                    <w:left w:val="none" w:sz="0" w:space="0" w:color="auto"/>
                                    <w:bottom w:val="none" w:sz="0" w:space="0" w:color="auto"/>
                                    <w:right w:val="none" w:sz="0" w:space="0" w:color="auto"/>
                                  </w:divBdr>
                                  <w:divsChild>
                                    <w:div w:id="137095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959612">
      <w:marLeft w:val="0"/>
      <w:marRight w:val="0"/>
      <w:marTop w:val="0"/>
      <w:marBottom w:val="0"/>
      <w:divBdr>
        <w:top w:val="none" w:sz="0" w:space="0" w:color="auto"/>
        <w:left w:val="none" w:sz="0" w:space="0" w:color="auto"/>
        <w:bottom w:val="none" w:sz="0" w:space="0" w:color="auto"/>
        <w:right w:val="none" w:sz="0" w:space="0" w:color="auto"/>
      </w:divBdr>
    </w:div>
    <w:div w:id="1370959613">
      <w:marLeft w:val="0"/>
      <w:marRight w:val="0"/>
      <w:marTop w:val="0"/>
      <w:marBottom w:val="0"/>
      <w:divBdr>
        <w:top w:val="none" w:sz="0" w:space="0" w:color="auto"/>
        <w:left w:val="none" w:sz="0" w:space="0" w:color="auto"/>
        <w:bottom w:val="none" w:sz="0" w:space="0" w:color="auto"/>
        <w:right w:val="none" w:sz="0" w:space="0" w:color="auto"/>
      </w:divBdr>
      <w:divsChild>
        <w:div w:id="1370959462">
          <w:marLeft w:val="0"/>
          <w:marRight w:val="0"/>
          <w:marTop w:val="0"/>
          <w:marBottom w:val="0"/>
          <w:divBdr>
            <w:top w:val="none" w:sz="0" w:space="0" w:color="auto"/>
            <w:left w:val="none" w:sz="0" w:space="0" w:color="auto"/>
            <w:bottom w:val="none" w:sz="0" w:space="0" w:color="auto"/>
            <w:right w:val="none" w:sz="0" w:space="0" w:color="auto"/>
          </w:divBdr>
        </w:div>
        <w:div w:id="1370959474">
          <w:marLeft w:val="0"/>
          <w:marRight w:val="0"/>
          <w:marTop w:val="0"/>
          <w:marBottom w:val="0"/>
          <w:divBdr>
            <w:top w:val="none" w:sz="0" w:space="0" w:color="auto"/>
            <w:left w:val="none" w:sz="0" w:space="0" w:color="auto"/>
            <w:bottom w:val="none" w:sz="0" w:space="0" w:color="auto"/>
            <w:right w:val="none" w:sz="0" w:space="0" w:color="auto"/>
          </w:divBdr>
        </w:div>
        <w:div w:id="1370959779">
          <w:marLeft w:val="0"/>
          <w:marRight w:val="0"/>
          <w:marTop w:val="0"/>
          <w:marBottom w:val="0"/>
          <w:divBdr>
            <w:top w:val="none" w:sz="0" w:space="0" w:color="auto"/>
            <w:left w:val="none" w:sz="0" w:space="0" w:color="auto"/>
            <w:bottom w:val="none" w:sz="0" w:space="0" w:color="auto"/>
            <w:right w:val="none" w:sz="0" w:space="0" w:color="auto"/>
          </w:divBdr>
        </w:div>
        <w:div w:id="1370959780">
          <w:marLeft w:val="0"/>
          <w:marRight w:val="0"/>
          <w:marTop w:val="0"/>
          <w:marBottom w:val="0"/>
          <w:divBdr>
            <w:top w:val="none" w:sz="0" w:space="0" w:color="auto"/>
            <w:left w:val="none" w:sz="0" w:space="0" w:color="auto"/>
            <w:bottom w:val="none" w:sz="0" w:space="0" w:color="auto"/>
            <w:right w:val="none" w:sz="0" w:space="0" w:color="auto"/>
          </w:divBdr>
        </w:div>
      </w:divsChild>
    </w:div>
    <w:div w:id="1370959615">
      <w:marLeft w:val="0"/>
      <w:marRight w:val="0"/>
      <w:marTop w:val="0"/>
      <w:marBottom w:val="0"/>
      <w:divBdr>
        <w:top w:val="none" w:sz="0" w:space="0" w:color="auto"/>
        <w:left w:val="none" w:sz="0" w:space="0" w:color="auto"/>
        <w:bottom w:val="none" w:sz="0" w:space="0" w:color="auto"/>
        <w:right w:val="none" w:sz="0" w:space="0" w:color="auto"/>
      </w:divBdr>
      <w:divsChild>
        <w:div w:id="1370959650">
          <w:marLeft w:val="0"/>
          <w:marRight w:val="0"/>
          <w:marTop w:val="0"/>
          <w:marBottom w:val="0"/>
          <w:divBdr>
            <w:top w:val="none" w:sz="0" w:space="0" w:color="auto"/>
            <w:left w:val="none" w:sz="0" w:space="0" w:color="auto"/>
            <w:bottom w:val="none" w:sz="0" w:space="0" w:color="auto"/>
            <w:right w:val="none" w:sz="0" w:space="0" w:color="auto"/>
          </w:divBdr>
        </w:div>
      </w:divsChild>
    </w:div>
    <w:div w:id="1370959617">
      <w:marLeft w:val="0"/>
      <w:marRight w:val="0"/>
      <w:marTop w:val="0"/>
      <w:marBottom w:val="0"/>
      <w:divBdr>
        <w:top w:val="none" w:sz="0" w:space="0" w:color="auto"/>
        <w:left w:val="none" w:sz="0" w:space="0" w:color="auto"/>
        <w:bottom w:val="none" w:sz="0" w:space="0" w:color="auto"/>
        <w:right w:val="none" w:sz="0" w:space="0" w:color="auto"/>
      </w:divBdr>
    </w:div>
    <w:div w:id="1370959620">
      <w:marLeft w:val="0"/>
      <w:marRight w:val="0"/>
      <w:marTop w:val="0"/>
      <w:marBottom w:val="0"/>
      <w:divBdr>
        <w:top w:val="none" w:sz="0" w:space="0" w:color="auto"/>
        <w:left w:val="none" w:sz="0" w:space="0" w:color="auto"/>
        <w:bottom w:val="none" w:sz="0" w:space="0" w:color="auto"/>
        <w:right w:val="none" w:sz="0" w:space="0" w:color="auto"/>
      </w:divBdr>
      <w:divsChild>
        <w:div w:id="1370959566">
          <w:marLeft w:val="0"/>
          <w:marRight w:val="0"/>
          <w:marTop w:val="0"/>
          <w:marBottom w:val="0"/>
          <w:divBdr>
            <w:top w:val="none" w:sz="0" w:space="0" w:color="auto"/>
            <w:left w:val="none" w:sz="0" w:space="0" w:color="auto"/>
            <w:bottom w:val="none" w:sz="0" w:space="0" w:color="auto"/>
            <w:right w:val="none" w:sz="0" w:space="0" w:color="auto"/>
          </w:divBdr>
          <w:divsChild>
            <w:div w:id="1370959509">
              <w:marLeft w:val="0"/>
              <w:marRight w:val="0"/>
              <w:marTop w:val="0"/>
              <w:marBottom w:val="0"/>
              <w:divBdr>
                <w:top w:val="none" w:sz="0" w:space="0" w:color="auto"/>
                <w:left w:val="none" w:sz="0" w:space="0" w:color="auto"/>
                <w:bottom w:val="none" w:sz="0" w:space="0" w:color="auto"/>
                <w:right w:val="none" w:sz="0" w:space="0" w:color="auto"/>
              </w:divBdr>
              <w:divsChild>
                <w:div w:id="1370959682">
                  <w:marLeft w:val="0"/>
                  <w:marRight w:val="0"/>
                  <w:marTop w:val="0"/>
                  <w:marBottom w:val="0"/>
                  <w:divBdr>
                    <w:top w:val="none" w:sz="0" w:space="0" w:color="auto"/>
                    <w:left w:val="none" w:sz="0" w:space="0" w:color="auto"/>
                    <w:bottom w:val="none" w:sz="0" w:space="0" w:color="auto"/>
                    <w:right w:val="none" w:sz="0" w:space="0" w:color="auto"/>
                  </w:divBdr>
                  <w:divsChild>
                    <w:div w:id="1370959654">
                      <w:marLeft w:val="0"/>
                      <w:marRight w:val="0"/>
                      <w:marTop w:val="0"/>
                      <w:marBottom w:val="0"/>
                      <w:divBdr>
                        <w:top w:val="none" w:sz="0" w:space="0" w:color="auto"/>
                        <w:left w:val="none" w:sz="0" w:space="0" w:color="auto"/>
                        <w:bottom w:val="none" w:sz="0" w:space="0" w:color="auto"/>
                        <w:right w:val="none" w:sz="0" w:space="0" w:color="auto"/>
                      </w:divBdr>
                      <w:divsChild>
                        <w:div w:id="1370959628">
                          <w:marLeft w:val="0"/>
                          <w:marRight w:val="0"/>
                          <w:marTop w:val="0"/>
                          <w:marBottom w:val="0"/>
                          <w:divBdr>
                            <w:top w:val="none" w:sz="0" w:space="0" w:color="auto"/>
                            <w:left w:val="none" w:sz="0" w:space="0" w:color="auto"/>
                            <w:bottom w:val="none" w:sz="0" w:space="0" w:color="auto"/>
                            <w:right w:val="none" w:sz="0" w:space="0" w:color="auto"/>
                          </w:divBdr>
                          <w:divsChild>
                            <w:div w:id="1370959848">
                              <w:marLeft w:val="0"/>
                              <w:marRight w:val="0"/>
                              <w:marTop w:val="0"/>
                              <w:marBottom w:val="0"/>
                              <w:divBdr>
                                <w:top w:val="none" w:sz="0" w:space="0" w:color="auto"/>
                                <w:left w:val="none" w:sz="0" w:space="0" w:color="auto"/>
                                <w:bottom w:val="none" w:sz="0" w:space="0" w:color="auto"/>
                                <w:right w:val="none" w:sz="0" w:space="0" w:color="auto"/>
                              </w:divBdr>
                              <w:divsChild>
                                <w:div w:id="1370959825">
                                  <w:marLeft w:val="0"/>
                                  <w:marRight w:val="0"/>
                                  <w:marTop w:val="0"/>
                                  <w:marBottom w:val="0"/>
                                  <w:divBdr>
                                    <w:top w:val="none" w:sz="0" w:space="0" w:color="auto"/>
                                    <w:left w:val="none" w:sz="0" w:space="0" w:color="auto"/>
                                    <w:bottom w:val="none" w:sz="0" w:space="0" w:color="auto"/>
                                    <w:right w:val="none" w:sz="0" w:space="0" w:color="auto"/>
                                  </w:divBdr>
                                  <w:divsChild>
                                    <w:div w:id="1370959510">
                                      <w:marLeft w:val="0"/>
                                      <w:marRight w:val="0"/>
                                      <w:marTop w:val="0"/>
                                      <w:marBottom w:val="0"/>
                                      <w:divBdr>
                                        <w:top w:val="none" w:sz="0" w:space="0" w:color="auto"/>
                                        <w:left w:val="none" w:sz="0" w:space="0" w:color="auto"/>
                                        <w:bottom w:val="none" w:sz="0" w:space="0" w:color="auto"/>
                                        <w:right w:val="none" w:sz="0" w:space="0" w:color="auto"/>
                                      </w:divBdr>
                                      <w:divsChild>
                                        <w:div w:id="1370959626">
                                          <w:marLeft w:val="0"/>
                                          <w:marRight w:val="0"/>
                                          <w:marTop w:val="0"/>
                                          <w:marBottom w:val="0"/>
                                          <w:divBdr>
                                            <w:top w:val="none" w:sz="0" w:space="0" w:color="auto"/>
                                            <w:left w:val="none" w:sz="0" w:space="0" w:color="auto"/>
                                            <w:bottom w:val="none" w:sz="0" w:space="0" w:color="auto"/>
                                            <w:right w:val="none" w:sz="0" w:space="0" w:color="auto"/>
                                          </w:divBdr>
                                          <w:divsChild>
                                            <w:div w:id="1370959619">
                                              <w:marLeft w:val="0"/>
                                              <w:marRight w:val="0"/>
                                              <w:marTop w:val="0"/>
                                              <w:marBottom w:val="0"/>
                                              <w:divBdr>
                                                <w:top w:val="none" w:sz="0" w:space="0" w:color="auto"/>
                                                <w:left w:val="none" w:sz="0" w:space="0" w:color="auto"/>
                                                <w:bottom w:val="none" w:sz="0" w:space="0" w:color="auto"/>
                                                <w:right w:val="none" w:sz="0" w:space="0" w:color="auto"/>
                                              </w:divBdr>
                                              <w:divsChild>
                                                <w:div w:id="1370959452">
                                                  <w:marLeft w:val="0"/>
                                                  <w:marRight w:val="0"/>
                                                  <w:marTop w:val="0"/>
                                                  <w:marBottom w:val="0"/>
                                                  <w:divBdr>
                                                    <w:top w:val="none" w:sz="0" w:space="0" w:color="auto"/>
                                                    <w:left w:val="none" w:sz="0" w:space="0" w:color="auto"/>
                                                    <w:bottom w:val="none" w:sz="0" w:space="0" w:color="auto"/>
                                                    <w:right w:val="none" w:sz="0" w:space="0" w:color="auto"/>
                                                  </w:divBdr>
                                                  <w:divsChild>
                                                    <w:div w:id="1370959542">
                                                      <w:marLeft w:val="0"/>
                                                      <w:marRight w:val="0"/>
                                                      <w:marTop w:val="0"/>
                                                      <w:marBottom w:val="0"/>
                                                      <w:divBdr>
                                                        <w:top w:val="none" w:sz="0" w:space="0" w:color="auto"/>
                                                        <w:left w:val="none" w:sz="0" w:space="0" w:color="auto"/>
                                                        <w:bottom w:val="none" w:sz="0" w:space="0" w:color="auto"/>
                                                        <w:right w:val="none" w:sz="0" w:space="0" w:color="auto"/>
                                                      </w:divBdr>
                                                      <w:divsChild>
                                                        <w:div w:id="137095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59621">
      <w:marLeft w:val="0"/>
      <w:marRight w:val="0"/>
      <w:marTop w:val="0"/>
      <w:marBottom w:val="0"/>
      <w:divBdr>
        <w:top w:val="none" w:sz="0" w:space="0" w:color="auto"/>
        <w:left w:val="none" w:sz="0" w:space="0" w:color="auto"/>
        <w:bottom w:val="none" w:sz="0" w:space="0" w:color="auto"/>
        <w:right w:val="none" w:sz="0" w:space="0" w:color="auto"/>
      </w:divBdr>
    </w:div>
    <w:div w:id="1370959622">
      <w:marLeft w:val="0"/>
      <w:marRight w:val="0"/>
      <w:marTop w:val="0"/>
      <w:marBottom w:val="0"/>
      <w:divBdr>
        <w:top w:val="none" w:sz="0" w:space="0" w:color="auto"/>
        <w:left w:val="none" w:sz="0" w:space="0" w:color="auto"/>
        <w:bottom w:val="none" w:sz="0" w:space="0" w:color="auto"/>
        <w:right w:val="none" w:sz="0" w:space="0" w:color="auto"/>
      </w:divBdr>
    </w:div>
    <w:div w:id="1370959624">
      <w:marLeft w:val="0"/>
      <w:marRight w:val="0"/>
      <w:marTop w:val="0"/>
      <w:marBottom w:val="0"/>
      <w:divBdr>
        <w:top w:val="none" w:sz="0" w:space="0" w:color="auto"/>
        <w:left w:val="none" w:sz="0" w:space="0" w:color="auto"/>
        <w:bottom w:val="none" w:sz="0" w:space="0" w:color="auto"/>
        <w:right w:val="none" w:sz="0" w:space="0" w:color="auto"/>
      </w:divBdr>
      <w:divsChild>
        <w:div w:id="1370959535">
          <w:marLeft w:val="0"/>
          <w:marRight w:val="0"/>
          <w:marTop w:val="0"/>
          <w:marBottom w:val="0"/>
          <w:divBdr>
            <w:top w:val="none" w:sz="0" w:space="0" w:color="auto"/>
            <w:left w:val="none" w:sz="0" w:space="0" w:color="auto"/>
            <w:bottom w:val="none" w:sz="0" w:space="0" w:color="auto"/>
            <w:right w:val="none" w:sz="0" w:space="0" w:color="auto"/>
          </w:divBdr>
        </w:div>
      </w:divsChild>
    </w:div>
    <w:div w:id="1370959625">
      <w:marLeft w:val="0"/>
      <w:marRight w:val="0"/>
      <w:marTop w:val="0"/>
      <w:marBottom w:val="0"/>
      <w:divBdr>
        <w:top w:val="none" w:sz="0" w:space="0" w:color="auto"/>
        <w:left w:val="none" w:sz="0" w:space="0" w:color="auto"/>
        <w:bottom w:val="none" w:sz="0" w:space="0" w:color="auto"/>
        <w:right w:val="none" w:sz="0" w:space="0" w:color="auto"/>
      </w:divBdr>
    </w:div>
    <w:div w:id="1370959627">
      <w:marLeft w:val="0"/>
      <w:marRight w:val="0"/>
      <w:marTop w:val="0"/>
      <w:marBottom w:val="0"/>
      <w:divBdr>
        <w:top w:val="none" w:sz="0" w:space="0" w:color="auto"/>
        <w:left w:val="none" w:sz="0" w:space="0" w:color="auto"/>
        <w:bottom w:val="none" w:sz="0" w:space="0" w:color="auto"/>
        <w:right w:val="none" w:sz="0" w:space="0" w:color="auto"/>
      </w:divBdr>
    </w:div>
    <w:div w:id="1370959629">
      <w:marLeft w:val="0"/>
      <w:marRight w:val="0"/>
      <w:marTop w:val="0"/>
      <w:marBottom w:val="0"/>
      <w:divBdr>
        <w:top w:val="none" w:sz="0" w:space="0" w:color="auto"/>
        <w:left w:val="none" w:sz="0" w:space="0" w:color="auto"/>
        <w:bottom w:val="none" w:sz="0" w:space="0" w:color="auto"/>
        <w:right w:val="none" w:sz="0" w:space="0" w:color="auto"/>
      </w:divBdr>
    </w:div>
    <w:div w:id="1370959631">
      <w:marLeft w:val="0"/>
      <w:marRight w:val="0"/>
      <w:marTop w:val="0"/>
      <w:marBottom w:val="0"/>
      <w:divBdr>
        <w:top w:val="none" w:sz="0" w:space="0" w:color="auto"/>
        <w:left w:val="none" w:sz="0" w:space="0" w:color="auto"/>
        <w:bottom w:val="none" w:sz="0" w:space="0" w:color="auto"/>
        <w:right w:val="none" w:sz="0" w:space="0" w:color="auto"/>
      </w:divBdr>
    </w:div>
    <w:div w:id="1370959632">
      <w:marLeft w:val="0"/>
      <w:marRight w:val="0"/>
      <w:marTop w:val="0"/>
      <w:marBottom w:val="0"/>
      <w:divBdr>
        <w:top w:val="none" w:sz="0" w:space="0" w:color="auto"/>
        <w:left w:val="none" w:sz="0" w:space="0" w:color="auto"/>
        <w:bottom w:val="none" w:sz="0" w:space="0" w:color="auto"/>
        <w:right w:val="none" w:sz="0" w:space="0" w:color="auto"/>
      </w:divBdr>
    </w:div>
    <w:div w:id="1370959633">
      <w:marLeft w:val="0"/>
      <w:marRight w:val="0"/>
      <w:marTop w:val="0"/>
      <w:marBottom w:val="0"/>
      <w:divBdr>
        <w:top w:val="none" w:sz="0" w:space="0" w:color="auto"/>
        <w:left w:val="none" w:sz="0" w:space="0" w:color="auto"/>
        <w:bottom w:val="none" w:sz="0" w:space="0" w:color="auto"/>
        <w:right w:val="none" w:sz="0" w:space="0" w:color="auto"/>
      </w:divBdr>
    </w:div>
    <w:div w:id="1370959637">
      <w:marLeft w:val="0"/>
      <w:marRight w:val="0"/>
      <w:marTop w:val="0"/>
      <w:marBottom w:val="0"/>
      <w:divBdr>
        <w:top w:val="none" w:sz="0" w:space="0" w:color="auto"/>
        <w:left w:val="none" w:sz="0" w:space="0" w:color="auto"/>
        <w:bottom w:val="none" w:sz="0" w:space="0" w:color="auto"/>
        <w:right w:val="none" w:sz="0" w:space="0" w:color="auto"/>
      </w:divBdr>
    </w:div>
    <w:div w:id="1370959638">
      <w:marLeft w:val="0"/>
      <w:marRight w:val="0"/>
      <w:marTop w:val="0"/>
      <w:marBottom w:val="0"/>
      <w:divBdr>
        <w:top w:val="none" w:sz="0" w:space="0" w:color="auto"/>
        <w:left w:val="none" w:sz="0" w:space="0" w:color="auto"/>
        <w:bottom w:val="none" w:sz="0" w:space="0" w:color="auto"/>
        <w:right w:val="none" w:sz="0" w:space="0" w:color="auto"/>
      </w:divBdr>
    </w:div>
    <w:div w:id="1370959639">
      <w:marLeft w:val="0"/>
      <w:marRight w:val="0"/>
      <w:marTop w:val="0"/>
      <w:marBottom w:val="0"/>
      <w:divBdr>
        <w:top w:val="none" w:sz="0" w:space="0" w:color="auto"/>
        <w:left w:val="none" w:sz="0" w:space="0" w:color="auto"/>
        <w:bottom w:val="none" w:sz="0" w:space="0" w:color="auto"/>
        <w:right w:val="none" w:sz="0" w:space="0" w:color="auto"/>
      </w:divBdr>
    </w:div>
    <w:div w:id="1370959643">
      <w:marLeft w:val="0"/>
      <w:marRight w:val="0"/>
      <w:marTop w:val="0"/>
      <w:marBottom w:val="0"/>
      <w:divBdr>
        <w:top w:val="none" w:sz="0" w:space="0" w:color="auto"/>
        <w:left w:val="none" w:sz="0" w:space="0" w:color="auto"/>
        <w:bottom w:val="none" w:sz="0" w:space="0" w:color="auto"/>
        <w:right w:val="none" w:sz="0" w:space="0" w:color="auto"/>
      </w:divBdr>
    </w:div>
    <w:div w:id="1370959644">
      <w:marLeft w:val="0"/>
      <w:marRight w:val="0"/>
      <w:marTop w:val="0"/>
      <w:marBottom w:val="0"/>
      <w:divBdr>
        <w:top w:val="none" w:sz="0" w:space="0" w:color="auto"/>
        <w:left w:val="none" w:sz="0" w:space="0" w:color="auto"/>
        <w:bottom w:val="none" w:sz="0" w:space="0" w:color="auto"/>
        <w:right w:val="none" w:sz="0" w:space="0" w:color="auto"/>
      </w:divBdr>
    </w:div>
    <w:div w:id="1370959645">
      <w:marLeft w:val="0"/>
      <w:marRight w:val="0"/>
      <w:marTop w:val="0"/>
      <w:marBottom w:val="0"/>
      <w:divBdr>
        <w:top w:val="none" w:sz="0" w:space="0" w:color="auto"/>
        <w:left w:val="none" w:sz="0" w:space="0" w:color="auto"/>
        <w:bottom w:val="none" w:sz="0" w:space="0" w:color="auto"/>
        <w:right w:val="none" w:sz="0" w:space="0" w:color="auto"/>
      </w:divBdr>
    </w:div>
    <w:div w:id="1370959646">
      <w:marLeft w:val="0"/>
      <w:marRight w:val="0"/>
      <w:marTop w:val="0"/>
      <w:marBottom w:val="0"/>
      <w:divBdr>
        <w:top w:val="none" w:sz="0" w:space="0" w:color="auto"/>
        <w:left w:val="none" w:sz="0" w:space="0" w:color="auto"/>
        <w:bottom w:val="none" w:sz="0" w:space="0" w:color="auto"/>
        <w:right w:val="none" w:sz="0" w:space="0" w:color="auto"/>
      </w:divBdr>
    </w:div>
    <w:div w:id="1370959648">
      <w:marLeft w:val="0"/>
      <w:marRight w:val="0"/>
      <w:marTop w:val="0"/>
      <w:marBottom w:val="0"/>
      <w:divBdr>
        <w:top w:val="none" w:sz="0" w:space="0" w:color="auto"/>
        <w:left w:val="none" w:sz="0" w:space="0" w:color="auto"/>
        <w:bottom w:val="none" w:sz="0" w:space="0" w:color="auto"/>
        <w:right w:val="none" w:sz="0" w:space="0" w:color="auto"/>
      </w:divBdr>
    </w:div>
    <w:div w:id="1370959651">
      <w:marLeft w:val="0"/>
      <w:marRight w:val="0"/>
      <w:marTop w:val="0"/>
      <w:marBottom w:val="0"/>
      <w:divBdr>
        <w:top w:val="none" w:sz="0" w:space="0" w:color="auto"/>
        <w:left w:val="none" w:sz="0" w:space="0" w:color="auto"/>
        <w:bottom w:val="none" w:sz="0" w:space="0" w:color="auto"/>
        <w:right w:val="none" w:sz="0" w:space="0" w:color="auto"/>
      </w:divBdr>
    </w:div>
    <w:div w:id="1370959652">
      <w:marLeft w:val="0"/>
      <w:marRight w:val="0"/>
      <w:marTop w:val="0"/>
      <w:marBottom w:val="0"/>
      <w:divBdr>
        <w:top w:val="none" w:sz="0" w:space="0" w:color="auto"/>
        <w:left w:val="none" w:sz="0" w:space="0" w:color="auto"/>
        <w:bottom w:val="none" w:sz="0" w:space="0" w:color="auto"/>
        <w:right w:val="none" w:sz="0" w:space="0" w:color="auto"/>
      </w:divBdr>
    </w:div>
    <w:div w:id="1370959653">
      <w:marLeft w:val="0"/>
      <w:marRight w:val="0"/>
      <w:marTop w:val="0"/>
      <w:marBottom w:val="0"/>
      <w:divBdr>
        <w:top w:val="none" w:sz="0" w:space="0" w:color="auto"/>
        <w:left w:val="none" w:sz="0" w:space="0" w:color="auto"/>
        <w:bottom w:val="none" w:sz="0" w:space="0" w:color="auto"/>
        <w:right w:val="none" w:sz="0" w:space="0" w:color="auto"/>
      </w:divBdr>
    </w:div>
    <w:div w:id="1370959655">
      <w:marLeft w:val="0"/>
      <w:marRight w:val="0"/>
      <w:marTop w:val="0"/>
      <w:marBottom w:val="0"/>
      <w:divBdr>
        <w:top w:val="none" w:sz="0" w:space="0" w:color="auto"/>
        <w:left w:val="none" w:sz="0" w:space="0" w:color="auto"/>
        <w:bottom w:val="none" w:sz="0" w:space="0" w:color="auto"/>
        <w:right w:val="none" w:sz="0" w:space="0" w:color="auto"/>
      </w:divBdr>
    </w:div>
    <w:div w:id="1370959659">
      <w:marLeft w:val="0"/>
      <w:marRight w:val="0"/>
      <w:marTop w:val="0"/>
      <w:marBottom w:val="0"/>
      <w:divBdr>
        <w:top w:val="none" w:sz="0" w:space="0" w:color="auto"/>
        <w:left w:val="none" w:sz="0" w:space="0" w:color="auto"/>
        <w:bottom w:val="none" w:sz="0" w:space="0" w:color="auto"/>
        <w:right w:val="none" w:sz="0" w:space="0" w:color="auto"/>
      </w:divBdr>
    </w:div>
    <w:div w:id="1370959663">
      <w:marLeft w:val="0"/>
      <w:marRight w:val="0"/>
      <w:marTop w:val="0"/>
      <w:marBottom w:val="0"/>
      <w:divBdr>
        <w:top w:val="none" w:sz="0" w:space="0" w:color="auto"/>
        <w:left w:val="none" w:sz="0" w:space="0" w:color="auto"/>
        <w:bottom w:val="none" w:sz="0" w:space="0" w:color="auto"/>
        <w:right w:val="none" w:sz="0" w:space="0" w:color="auto"/>
      </w:divBdr>
    </w:div>
    <w:div w:id="1370959664">
      <w:marLeft w:val="0"/>
      <w:marRight w:val="0"/>
      <w:marTop w:val="0"/>
      <w:marBottom w:val="0"/>
      <w:divBdr>
        <w:top w:val="none" w:sz="0" w:space="0" w:color="auto"/>
        <w:left w:val="none" w:sz="0" w:space="0" w:color="auto"/>
        <w:bottom w:val="none" w:sz="0" w:space="0" w:color="auto"/>
        <w:right w:val="none" w:sz="0" w:space="0" w:color="auto"/>
      </w:divBdr>
    </w:div>
    <w:div w:id="1370959665">
      <w:marLeft w:val="0"/>
      <w:marRight w:val="0"/>
      <w:marTop w:val="0"/>
      <w:marBottom w:val="0"/>
      <w:divBdr>
        <w:top w:val="none" w:sz="0" w:space="0" w:color="auto"/>
        <w:left w:val="none" w:sz="0" w:space="0" w:color="auto"/>
        <w:bottom w:val="none" w:sz="0" w:space="0" w:color="auto"/>
        <w:right w:val="none" w:sz="0" w:space="0" w:color="auto"/>
      </w:divBdr>
    </w:div>
    <w:div w:id="1370959666">
      <w:marLeft w:val="0"/>
      <w:marRight w:val="0"/>
      <w:marTop w:val="0"/>
      <w:marBottom w:val="0"/>
      <w:divBdr>
        <w:top w:val="none" w:sz="0" w:space="0" w:color="auto"/>
        <w:left w:val="none" w:sz="0" w:space="0" w:color="auto"/>
        <w:bottom w:val="none" w:sz="0" w:space="0" w:color="auto"/>
        <w:right w:val="none" w:sz="0" w:space="0" w:color="auto"/>
      </w:divBdr>
    </w:div>
    <w:div w:id="1370959667">
      <w:marLeft w:val="0"/>
      <w:marRight w:val="0"/>
      <w:marTop w:val="0"/>
      <w:marBottom w:val="0"/>
      <w:divBdr>
        <w:top w:val="none" w:sz="0" w:space="0" w:color="auto"/>
        <w:left w:val="none" w:sz="0" w:space="0" w:color="auto"/>
        <w:bottom w:val="none" w:sz="0" w:space="0" w:color="auto"/>
        <w:right w:val="none" w:sz="0" w:space="0" w:color="auto"/>
      </w:divBdr>
      <w:divsChild>
        <w:div w:id="1370959594">
          <w:marLeft w:val="0"/>
          <w:marRight w:val="0"/>
          <w:marTop w:val="0"/>
          <w:marBottom w:val="0"/>
          <w:divBdr>
            <w:top w:val="none" w:sz="0" w:space="0" w:color="auto"/>
            <w:left w:val="none" w:sz="0" w:space="0" w:color="auto"/>
            <w:bottom w:val="none" w:sz="0" w:space="0" w:color="auto"/>
            <w:right w:val="none" w:sz="0" w:space="0" w:color="auto"/>
          </w:divBdr>
          <w:divsChild>
            <w:div w:id="1370959818">
              <w:marLeft w:val="0"/>
              <w:marRight w:val="0"/>
              <w:marTop w:val="0"/>
              <w:marBottom w:val="0"/>
              <w:divBdr>
                <w:top w:val="none" w:sz="0" w:space="0" w:color="auto"/>
                <w:left w:val="none" w:sz="0" w:space="0" w:color="auto"/>
                <w:bottom w:val="none" w:sz="0" w:space="0" w:color="auto"/>
                <w:right w:val="none" w:sz="0" w:space="0" w:color="auto"/>
              </w:divBdr>
              <w:divsChild>
                <w:div w:id="1370959751">
                  <w:marLeft w:val="0"/>
                  <w:marRight w:val="0"/>
                  <w:marTop w:val="0"/>
                  <w:marBottom w:val="0"/>
                  <w:divBdr>
                    <w:top w:val="none" w:sz="0" w:space="0" w:color="auto"/>
                    <w:left w:val="none" w:sz="0" w:space="0" w:color="auto"/>
                    <w:bottom w:val="none" w:sz="0" w:space="0" w:color="auto"/>
                    <w:right w:val="none" w:sz="0" w:space="0" w:color="auto"/>
                  </w:divBdr>
                  <w:divsChild>
                    <w:div w:id="13709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9605">
          <w:marLeft w:val="0"/>
          <w:marRight w:val="0"/>
          <w:marTop w:val="0"/>
          <w:marBottom w:val="0"/>
          <w:divBdr>
            <w:top w:val="none" w:sz="0" w:space="0" w:color="auto"/>
            <w:left w:val="none" w:sz="0" w:space="0" w:color="auto"/>
            <w:bottom w:val="none" w:sz="0" w:space="0" w:color="auto"/>
            <w:right w:val="none" w:sz="0" w:space="0" w:color="auto"/>
          </w:divBdr>
          <w:divsChild>
            <w:div w:id="1370959563">
              <w:marLeft w:val="0"/>
              <w:marRight w:val="0"/>
              <w:marTop w:val="0"/>
              <w:marBottom w:val="0"/>
              <w:divBdr>
                <w:top w:val="none" w:sz="0" w:space="0" w:color="auto"/>
                <w:left w:val="none" w:sz="0" w:space="0" w:color="auto"/>
                <w:bottom w:val="none" w:sz="0" w:space="0" w:color="auto"/>
                <w:right w:val="none" w:sz="0" w:space="0" w:color="auto"/>
              </w:divBdr>
              <w:divsChild>
                <w:div w:id="1370959522">
                  <w:marLeft w:val="0"/>
                  <w:marRight w:val="0"/>
                  <w:marTop w:val="0"/>
                  <w:marBottom w:val="0"/>
                  <w:divBdr>
                    <w:top w:val="none" w:sz="0" w:space="0" w:color="auto"/>
                    <w:left w:val="none" w:sz="0" w:space="0" w:color="auto"/>
                    <w:bottom w:val="none" w:sz="0" w:space="0" w:color="auto"/>
                    <w:right w:val="none" w:sz="0" w:space="0" w:color="auto"/>
                  </w:divBdr>
                  <w:divsChild>
                    <w:div w:id="1370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668">
      <w:marLeft w:val="0"/>
      <w:marRight w:val="0"/>
      <w:marTop w:val="0"/>
      <w:marBottom w:val="0"/>
      <w:divBdr>
        <w:top w:val="none" w:sz="0" w:space="0" w:color="auto"/>
        <w:left w:val="none" w:sz="0" w:space="0" w:color="auto"/>
        <w:bottom w:val="none" w:sz="0" w:space="0" w:color="auto"/>
        <w:right w:val="none" w:sz="0" w:space="0" w:color="auto"/>
      </w:divBdr>
    </w:div>
    <w:div w:id="1370959671">
      <w:marLeft w:val="0"/>
      <w:marRight w:val="0"/>
      <w:marTop w:val="0"/>
      <w:marBottom w:val="0"/>
      <w:divBdr>
        <w:top w:val="none" w:sz="0" w:space="0" w:color="auto"/>
        <w:left w:val="none" w:sz="0" w:space="0" w:color="auto"/>
        <w:bottom w:val="none" w:sz="0" w:space="0" w:color="auto"/>
        <w:right w:val="none" w:sz="0" w:space="0" w:color="auto"/>
      </w:divBdr>
    </w:div>
    <w:div w:id="1370959672">
      <w:marLeft w:val="0"/>
      <w:marRight w:val="0"/>
      <w:marTop w:val="0"/>
      <w:marBottom w:val="0"/>
      <w:divBdr>
        <w:top w:val="none" w:sz="0" w:space="0" w:color="auto"/>
        <w:left w:val="none" w:sz="0" w:space="0" w:color="auto"/>
        <w:bottom w:val="none" w:sz="0" w:space="0" w:color="auto"/>
        <w:right w:val="none" w:sz="0" w:space="0" w:color="auto"/>
      </w:divBdr>
    </w:div>
    <w:div w:id="1370959673">
      <w:marLeft w:val="0"/>
      <w:marRight w:val="0"/>
      <w:marTop w:val="0"/>
      <w:marBottom w:val="0"/>
      <w:divBdr>
        <w:top w:val="none" w:sz="0" w:space="0" w:color="auto"/>
        <w:left w:val="none" w:sz="0" w:space="0" w:color="auto"/>
        <w:bottom w:val="none" w:sz="0" w:space="0" w:color="auto"/>
        <w:right w:val="none" w:sz="0" w:space="0" w:color="auto"/>
      </w:divBdr>
    </w:div>
    <w:div w:id="1370959677">
      <w:marLeft w:val="0"/>
      <w:marRight w:val="0"/>
      <w:marTop w:val="0"/>
      <w:marBottom w:val="0"/>
      <w:divBdr>
        <w:top w:val="none" w:sz="0" w:space="0" w:color="auto"/>
        <w:left w:val="none" w:sz="0" w:space="0" w:color="auto"/>
        <w:bottom w:val="none" w:sz="0" w:space="0" w:color="auto"/>
        <w:right w:val="none" w:sz="0" w:space="0" w:color="auto"/>
      </w:divBdr>
    </w:div>
    <w:div w:id="1370959678">
      <w:marLeft w:val="0"/>
      <w:marRight w:val="0"/>
      <w:marTop w:val="0"/>
      <w:marBottom w:val="0"/>
      <w:divBdr>
        <w:top w:val="none" w:sz="0" w:space="0" w:color="auto"/>
        <w:left w:val="none" w:sz="0" w:space="0" w:color="auto"/>
        <w:bottom w:val="none" w:sz="0" w:space="0" w:color="auto"/>
        <w:right w:val="none" w:sz="0" w:space="0" w:color="auto"/>
      </w:divBdr>
      <w:divsChild>
        <w:div w:id="1370959649">
          <w:marLeft w:val="0"/>
          <w:marRight w:val="0"/>
          <w:marTop w:val="0"/>
          <w:marBottom w:val="0"/>
          <w:divBdr>
            <w:top w:val="none" w:sz="0" w:space="0" w:color="auto"/>
            <w:left w:val="none" w:sz="0" w:space="0" w:color="auto"/>
            <w:bottom w:val="none" w:sz="0" w:space="0" w:color="auto"/>
            <w:right w:val="none" w:sz="0" w:space="0" w:color="auto"/>
          </w:divBdr>
          <w:divsChild>
            <w:div w:id="1370959618">
              <w:marLeft w:val="0"/>
              <w:marRight w:val="0"/>
              <w:marTop w:val="0"/>
              <w:marBottom w:val="0"/>
              <w:divBdr>
                <w:top w:val="none" w:sz="0" w:space="0" w:color="auto"/>
                <w:left w:val="none" w:sz="0" w:space="0" w:color="auto"/>
                <w:bottom w:val="none" w:sz="0" w:space="0" w:color="auto"/>
                <w:right w:val="none" w:sz="0" w:space="0" w:color="auto"/>
              </w:divBdr>
              <w:divsChild>
                <w:div w:id="1370959438">
                  <w:marLeft w:val="0"/>
                  <w:marRight w:val="0"/>
                  <w:marTop w:val="0"/>
                  <w:marBottom w:val="0"/>
                  <w:divBdr>
                    <w:top w:val="none" w:sz="0" w:space="0" w:color="auto"/>
                    <w:left w:val="none" w:sz="0" w:space="0" w:color="auto"/>
                    <w:bottom w:val="none" w:sz="0" w:space="0" w:color="auto"/>
                    <w:right w:val="none" w:sz="0" w:space="0" w:color="auto"/>
                  </w:divBdr>
                  <w:divsChild>
                    <w:div w:id="13709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9705">
          <w:marLeft w:val="0"/>
          <w:marRight w:val="0"/>
          <w:marTop w:val="0"/>
          <w:marBottom w:val="0"/>
          <w:divBdr>
            <w:top w:val="none" w:sz="0" w:space="0" w:color="auto"/>
            <w:left w:val="none" w:sz="0" w:space="0" w:color="auto"/>
            <w:bottom w:val="none" w:sz="0" w:space="0" w:color="auto"/>
            <w:right w:val="none" w:sz="0" w:space="0" w:color="auto"/>
          </w:divBdr>
          <w:divsChild>
            <w:div w:id="1370959595">
              <w:marLeft w:val="0"/>
              <w:marRight w:val="0"/>
              <w:marTop w:val="0"/>
              <w:marBottom w:val="0"/>
              <w:divBdr>
                <w:top w:val="none" w:sz="0" w:space="0" w:color="auto"/>
                <w:left w:val="none" w:sz="0" w:space="0" w:color="auto"/>
                <w:bottom w:val="none" w:sz="0" w:space="0" w:color="auto"/>
                <w:right w:val="none" w:sz="0" w:space="0" w:color="auto"/>
              </w:divBdr>
              <w:divsChild>
                <w:div w:id="1370959641">
                  <w:marLeft w:val="0"/>
                  <w:marRight w:val="0"/>
                  <w:marTop w:val="0"/>
                  <w:marBottom w:val="0"/>
                  <w:divBdr>
                    <w:top w:val="none" w:sz="0" w:space="0" w:color="auto"/>
                    <w:left w:val="none" w:sz="0" w:space="0" w:color="auto"/>
                    <w:bottom w:val="none" w:sz="0" w:space="0" w:color="auto"/>
                    <w:right w:val="none" w:sz="0" w:space="0" w:color="auto"/>
                  </w:divBdr>
                  <w:divsChild>
                    <w:div w:id="137095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679">
      <w:marLeft w:val="0"/>
      <w:marRight w:val="0"/>
      <w:marTop w:val="0"/>
      <w:marBottom w:val="0"/>
      <w:divBdr>
        <w:top w:val="none" w:sz="0" w:space="0" w:color="auto"/>
        <w:left w:val="none" w:sz="0" w:space="0" w:color="auto"/>
        <w:bottom w:val="none" w:sz="0" w:space="0" w:color="auto"/>
        <w:right w:val="none" w:sz="0" w:space="0" w:color="auto"/>
      </w:divBdr>
    </w:div>
    <w:div w:id="1370959683">
      <w:marLeft w:val="0"/>
      <w:marRight w:val="0"/>
      <w:marTop w:val="0"/>
      <w:marBottom w:val="0"/>
      <w:divBdr>
        <w:top w:val="none" w:sz="0" w:space="0" w:color="auto"/>
        <w:left w:val="none" w:sz="0" w:space="0" w:color="auto"/>
        <w:bottom w:val="none" w:sz="0" w:space="0" w:color="auto"/>
        <w:right w:val="none" w:sz="0" w:space="0" w:color="auto"/>
      </w:divBdr>
    </w:div>
    <w:div w:id="1370959684">
      <w:marLeft w:val="0"/>
      <w:marRight w:val="0"/>
      <w:marTop w:val="0"/>
      <w:marBottom w:val="0"/>
      <w:divBdr>
        <w:top w:val="none" w:sz="0" w:space="0" w:color="auto"/>
        <w:left w:val="none" w:sz="0" w:space="0" w:color="auto"/>
        <w:bottom w:val="none" w:sz="0" w:space="0" w:color="auto"/>
        <w:right w:val="none" w:sz="0" w:space="0" w:color="auto"/>
      </w:divBdr>
    </w:div>
    <w:div w:id="1370959686">
      <w:marLeft w:val="0"/>
      <w:marRight w:val="0"/>
      <w:marTop w:val="0"/>
      <w:marBottom w:val="0"/>
      <w:divBdr>
        <w:top w:val="none" w:sz="0" w:space="0" w:color="auto"/>
        <w:left w:val="none" w:sz="0" w:space="0" w:color="auto"/>
        <w:bottom w:val="none" w:sz="0" w:space="0" w:color="auto"/>
        <w:right w:val="none" w:sz="0" w:space="0" w:color="auto"/>
      </w:divBdr>
    </w:div>
    <w:div w:id="1370959688">
      <w:marLeft w:val="0"/>
      <w:marRight w:val="0"/>
      <w:marTop w:val="0"/>
      <w:marBottom w:val="0"/>
      <w:divBdr>
        <w:top w:val="none" w:sz="0" w:space="0" w:color="auto"/>
        <w:left w:val="none" w:sz="0" w:space="0" w:color="auto"/>
        <w:bottom w:val="none" w:sz="0" w:space="0" w:color="auto"/>
        <w:right w:val="none" w:sz="0" w:space="0" w:color="auto"/>
      </w:divBdr>
    </w:div>
    <w:div w:id="1370959689">
      <w:marLeft w:val="0"/>
      <w:marRight w:val="0"/>
      <w:marTop w:val="0"/>
      <w:marBottom w:val="0"/>
      <w:divBdr>
        <w:top w:val="none" w:sz="0" w:space="0" w:color="auto"/>
        <w:left w:val="none" w:sz="0" w:space="0" w:color="auto"/>
        <w:bottom w:val="none" w:sz="0" w:space="0" w:color="auto"/>
        <w:right w:val="none" w:sz="0" w:space="0" w:color="auto"/>
      </w:divBdr>
    </w:div>
    <w:div w:id="1370959693">
      <w:marLeft w:val="0"/>
      <w:marRight w:val="0"/>
      <w:marTop w:val="0"/>
      <w:marBottom w:val="0"/>
      <w:divBdr>
        <w:top w:val="none" w:sz="0" w:space="0" w:color="auto"/>
        <w:left w:val="none" w:sz="0" w:space="0" w:color="auto"/>
        <w:bottom w:val="none" w:sz="0" w:space="0" w:color="auto"/>
        <w:right w:val="none" w:sz="0" w:space="0" w:color="auto"/>
      </w:divBdr>
    </w:div>
    <w:div w:id="1370959695">
      <w:marLeft w:val="0"/>
      <w:marRight w:val="0"/>
      <w:marTop w:val="0"/>
      <w:marBottom w:val="0"/>
      <w:divBdr>
        <w:top w:val="none" w:sz="0" w:space="0" w:color="auto"/>
        <w:left w:val="none" w:sz="0" w:space="0" w:color="auto"/>
        <w:bottom w:val="none" w:sz="0" w:space="0" w:color="auto"/>
        <w:right w:val="none" w:sz="0" w:space="0" w:color="auto"/>
      </w:divBdr>
    </w:div>
    <w:div w:id="1370959698">
      <w:marLeft w:val="0"/>
      <w:marRight w:val="0"/>
      <w:marTop w:val="0"/>
      <w:marBottom w:val="0"/>
      <w:divBdr>
        <w:top w:val="none" w:sz="0" w:space="0" w:color="auto"/>
        <w:left w:val="none" w:sz="0" w:space="0" w:color="auto"/>
        <w:bottom w:val="none" w:sz="0" w:space="0" w:color="auto"/>
        <w:right w:val="none" w:sz="0" w:space="0" w:color="auto"/>
      </w:divBdr>
    </w:div>
    <w:div w:id="1370959700">
      <w:marLeft w:val="0"/>
      <w:marRight w:val="0"/>
      <w:marTop w:val="0"/>
      <w:marBottom w:val="0"/>
      <w:divBdr>
        <w:top w:val="none" w:sz="0" w:space="0" w:color="auto"/>
        <w:left w:val="none" w:sz="0" w:space="0" w:color="auto"/>
        <w:bottom w:val="none" w:sz="0" w:space="0" w:color="auto"/>
        <w:right w:val="none" w:sz="0" w:space="0" w:color="auto"/>
      </w:divBdr>
    </w:div>
    <w:div w:id="1370959701">
      <w:marLeft w:val="0"/>
      <w:marRight w:val="0"/>
      <w:marTop w:val="0"/>
      <w:marBottom w:val="0"/>
      <w:divBdr>
        <w:top w:val="none" w:sz="0" w:space="0" w:color="auto"/>
        <w:left w:val="none" w:sz="0" w:space="0" w:color="auto"/>
        <w:bottom w:val="none" w:sz="0" w:space="0" w:color="auto"/>
        <w:right w:val="none" w:sz="0" w:space="0" w:color="auto"/>
      </w:divBdr>
    </w:div>
    <w:div w:id="1370959703">
      <w:marLeft w:val="0"/>
      <w:marRight w:val="0"/>
      <w:marTop w:val="0"/>
      <w:marBottom w:val="0"/>
      <w:divBdr>
        <w:top w:val="none" w:sz="0" w:space="0" w:color="auto"/>
        <w:left w:val="none" w:sz="0" w:space="0" w:color="auto"/>
        <w:bottom w:val="none" w:sz="0" w:space="0" w:color="auto"/>
        <w:right w:val="none" w:sz="0" w:space="0" w:color="auto"/>
      </w:divBdr>
    </w:div>
    <w:div w:id="1370959706">
      <w:marLeft w:val="0"/>
      <w:marRight w:val="0"/>
      <w:marTop w:val="0"/>
      <w:marBottom w:val="0"/>
      <w:divBdr>
        <w:top w:val="none" w:sz="0" w:space="0" w:color="auto"/>
        <w:left w:val="none" w:sz="0" w:space="0" w:color="auto"/>
        <w:bottom w:val="none" w:sz="0" w:space="0" w:color="auto"/>
        <w:right w:val="none" w:sz="0" w:space="0" w:color="auto"/>
      </w:divBdr>
    </w:div>
    <w:div w:id="1370959708">
      <w:marLeft w:val="0"/>
      <w:marRight w:val="0"/>
      <w:marTop w:val="0"/>
      <w:marBottom w:val="0"/>
      <w:divBdr>
        <w:top w:val="none" w:sz="0" w:space="0" w:color="auto"/>
        <w:left w:val="none" w:sz="0" w:space="0" w:color="auto"/>
        <w:bottom w:val="none" w:sz="0" w:space="0" w:color="auto"/>
        <w:right w:val="none" w:sz="0" w:space="0" w:color="auto"/>
      </w:divBdr>
    </w:div>
    <w:div w:id="1370959709">
      <w:marLeft w:val="0"/>
      <w:marRight w:val="0"/>
      <w:marTop w:val="0"/>
      <w:marBottom w:val="0"/>
      <w:divBdr>
        <w:top w:val="none" w:sz="0" w:space="0" w:color="auto"/>
        <w:left w:val="none" w:sz="0" w:space="0" w:color="auto"/>
        <w:bottom w:val="none" w:sz="0" w:space="0" w:color="auto"/>
        <w:right w:val="none" w:sz="0" w:space="0" w:color="auto"/>
      </w:divBdr>
    </w:div>
    <w:div w:id="1370959710">
      <w:marLeft w:val="0"/>
      <w:marRight w:val="0"/>
      <w:marTop w:val="0"/>
      <w:marBottom w:val="0"/>
      <w:divBdr>
        <w:top w:val="none" w:sz="0" w:space="0" w:color="auto"/>
        <w:left w:val="none" w:sz="0" w:space="0" w:color="auto"/>
        <w:bottom w:val="none" w:sz="0" w:space="0" w:color="auto"/>
        <w:right w:val="none" w:sz="0" w:space="0" w:color="auto"/>
      </w:divBdr>
    </w:div>
    <w:div w:id="1370959711">
      <w:marLeft w:val="0"/>
      <w:marRight w:val="0"/>
      <w:marTop w:val="0"/>
      <w:marBottom w:val="0"/>
      <w:divBdr>
        <w:top w:val="none" w:sz="0" w:space="0" w:color="auto"/>
        <w:left w:val="none" w:sz="0" w:space="0" w:color="auto"/>
        <w:bottom w:val="none" w:sz="0" w:space="0" w:color="auto"/>
        <w:right w:val="none" w:sz="0" w:space="0" w:color="auto"/>
      </w:divBdr>
    </w:div>
    <w:div w:id="1370959712">
      <w:marLeft w:val="0"/>
      <w:marRight w:val="0"/>
      <w:marTop w:val="0"/>
      <w:marBottom w:val="0"/>
      <w:divBdr>
        <w:top w:val="none" w:sz="0" w:space="0" w:color="auto"/>
        <w:left w:val="none" w:sz="0" w:space="0" w:color="auto"/>
        <w:bottom w:val="none" w:sz="0" w:space="0" w:color="auto"/>
        <w:right w:val="none" w:sz="0" w:space="0" w:color="auto"/>
      </w:divBdr>
    </w:div>
    <w:div w:id="1370959713">
      <w:marLeft w:val="0"/>
      <w:marRight w:val="0"/>
      <w:marTop w:val="0"/>
      <w:marBottom w:val="0"/>
      <w:divBdr>
        <w:top w:val="none" w:sz="0" w:space="0" w:color="auto"/>
        <w:left w:val="none" w:sz="0" w:space="0" w:color="auto"/>
        <w:bottom w:val="none" w:sz="0" w:space="0" w:color="auto"/>
        <w:right w:val="none" w:sz="0" w:space="0" w:color="auto"/>
      </w:divBdr>
    </w:div>
    <w:div w:id="1370959717">
      <w:marLeft w:val="0"/>
      <w:marRight w:val="0"/>
      <w:marTop w:val="0"/>
      <w:marBottom w:val="0"/>
      <w:divBdr>
        <w:top w:val="none" w:sz="0" w:space="0" w:color="auto"/>
        <w:left w:val="none" w:sz="0" w:space="0" w:color="auto"/>
        <w:bottom w:val="none" w:sz="0" w:space="0" w:color="auto"/>
        <w:right w:val="none" w:sz="0" w:space="0" w:color="auto"/>
      </w:divBdr>
    </w:div>
    <w:div w:id="1370959718">
      <w:marLeft w:val="0"/>
      <w:marRight w:val="0"/>
      <w:marTop w:val="0"/>
      <w:marBottom w:val="0"/>
      <w:divBdr>
        <w:top w:val="none" w:sz="0" w:space="0" w:color="auto"/>
        <w:left w:val="none" w:sz="0" w:space="0" w:color="auto"/>
        <w:bottom w:val="none" w:sz="0" w:space="0" w:color="auto"/>
        <w:right w:val="none" w:sz="0" w:space="0" w:color="auto"/>
      </w:divBdr>
    </w:div>
    <w:div w:id="1370959719">
      <w:marLeft w:val="0"/>
      <w:marRight w:val="0"/>
      <w:marTop w:val="0"/>
      <w:marBottom w:val="0"/>
      <w:divBdr>
        <w:top w:val="none" w:sz="0" w:space="0" w:color="auto"/>
        <w:left w:val="none" w:sz="0" w:space="0" w:color="auto"/>
        <w:bottom w:val="none" w:sz="0" w:space="0" w:color="auto"/>
        <w:right w:val="none" w:sz="0" w:space="0" w:color="auto"/>
      </w:divBdr>
    </w:div>
    <w:div w:id="1370959722">
      <w:marLeft w:val="0"/>
      <w:marRight w:val="0"/>
      <w:marTop w:val="0"/>
      <w:marBottom w:val="0"/>
      <w:divBdr>
        <w:top w:val="none" w:sz="0" w:space="0" w:color="auto"/>
        <w:left w:val="none" w:sz="0" w:space="0" w:color="auto"/>
        <w:bottom w:val="none" w:sz="0" w:space="0" w:color="auto"/>
        <w:right w:val="none" w:sz="0" w:space="0" w:color="auto"/>
      </w:divBdr>
    </w:div>
    <w:div w:id="1370959723">
      <w:marLeft w:val="0"/>
      <w:marRight w:val="0"/>
      <w:marTop w:val="0"/>
      <w:marBottom w:val="0"/>
      <w:divBdr>
        <w:top w:val="none" w:sz="0" w:space="0" w:color="auto"/>
        <w:left w:val="none" w:sz="0" w:space="0" w:color="auto"/>
        <w:bottom w:val="none" w:sz="0" w:space="0" w:color="auto"/>
        <w:right w:val="none" w:sz="0" w:space="0" w:color="auto"/>
      </w:divBdr>
      <w:divsChild>
        <w:div w:id="1370959583">
          <w:marLeft w:val="0"/>
          <w:marRight w:val="0"/>
          <w:marTop w:val="0"/>
          <w:marBottom w:val="0"/>
          <w:divBdr>
            <w:top w:val="none" w:sz="0" w:space="0" w:color="auto"/>
            <w:left w:val="none" w:sz="0" w:space="0" w:color="auto"/>
            <w:bottom w:val="none" w:sz="0" w:space="0" w:color="auto"/>
            <w:right w:val="none" w:sz="0" w:space="0" w:color="auto"/>
          </w:divBdr>
        </w:div>
        <w:div w:id="1370959681">
          <w:marLeft w:val="0"/>
          <w:marRight w:val="0"/>
          <w:marTop w:val="0"/>
          <w:marBottom w:val="0"/>
          <w:divBdr>
            <w:top w:val="none" w:sz="0" w:space="0" w:color="auto"/>
            <w:left w:val="none" w:sz="0" w:space="0" w:color="auto"/>
            <w:bottom w:val="none" w:sz="0" w:space="0" w:color="auto"/>
            <w:right w:val="none" w:sz="0" w:space="0" w:color="auto"/>
          </w:divBdr>
        </w:div>
        <w:div w:id="1370959702">
          <w:marLeft w:val="0"/>
          <w:marRight w:val="0"/>
          <w:marTop w:val="0"/>
          <w:marBottom w:val="0"/>
          <w:divBdr>
            <w:top w:val="none" w:sz="0" w:space="0" w:color="auto"/>
            <w:left w:val="none" w:sz="0" w:space="0" w:color="auto"/>
            <w:bottom w:val="none" w:sz="0" w:space="0" w:color="auto"/>
            <w:right w:val="none" w:sz="0" w:space="0" w:color="auto"/>
          </w:divBdr>
        </w:div>
        <w:div w:id="1370959822">
          <w:marLeft w:val="0"/>
          <w:marRight w:val="0"/>
          <w:marTop w:val="0"/>
          <w:marBottom w:val="0"/>
          <w:divBdr>
            <w:top w:val="none" w:sz="0" w:space="0" w:color="auto"/>
            <w:left w:val="none" w:sz="0" w:space="0" w:color="auto"/>
            <w:bottom w:val="none" w:sz="0" w:space="0" w:color="auto"/>
            <w:right w:val="none" w:sz="0" w:space="0" w:color="auto"/>
          </w:divBdr>
        </w:div>
      </w:divsChild>
    </w:div>
    <w:div w:id="1370959725">
      <w:marLeft w:val="0"/>
      <w:marRight w:val="0"/>
      <w:marTop w:val="0"/>
      <w:marBottom w:val="0"/>
      <w:divBdr>
        <w:top w:val="none" w:sz="0" w:space="0" w:color="auto"/>
        <w:left w:val="none" w:sz="0" w:space="0" w:color="auto"/>
        <w:bottom w:val="none" w:sz="0" w:space="0" w:color="auto"/>
        <w:right w:val="none" w:sz="0" w:space="0" w:color="auto"/>
      </w:divBdr>
    </w:div>
    <w:div w:id="1370959726">
      <w:marLeft w:val="0"/>
      <w:marRight w:val="0"/>
      <w:marTop w:val="0"/>
      <w:marBottom w:val="0"/>
      <w:divBdr>
        <w:top w:val="none" w:sz="0" w:space="0" w:color="auto"/>
        <w:left w:val="none" w:sz="0" w:space="0" w:color="auto"/>
        <w:bottom w:val="none" w:sz="0" w:space="0" w:color="auto"/>
        <w:right w:val="none" w:sz="0" w:space="0" w:color="auto"/>
      </w:divBdr>
    </w:div>
    <w:div w:id="1370959727">
      <w:marLeft w:val="0"/>
      <w:marRight w:val="0"/>
      <w:marTop w:val="0"/>
      <w:marBottom w:val="0"/>
      <w:divBdr>
        <w:top w:val="none" w:sz="0" w:space="0" w:color="auto"/>
        <w:left w:val="none" w:sz="0" w:space="0" w:color="auto"/>
        <w:bottom w:val="none" w:sz="0" w:space="0" w:color="auto"/>
        <w:right w:val="none" w:sz="0" w:space="0" w:color="auto"/>
      </w:divBdr>
      <w:divsChild>
        <w:div w:id="1370959459">
          <w:marLeft w:val="0"/>
          <w:marRight w:val="0"/>
          <w:marTop w:val="0"/>
          <w:marBottom w:val="0"/>
          <w:divBdr>
            <w:top w:val="none" w:sz="0" w:space="0" w:color="auto"/>
            <w:left w:val="none" w:sz="0" w:space="0" w:color="auto"/>
            <w:bottom w:val="none" w:sz="0" w:space="0" w:color="auto"/>
            <w:right w:val="none" w:sz="0" w:space="0" w:color="auto"/>
          </w:divBdr>
          <w:divsChild>
            <w:div w:id="1370959772">
              <w:marLeft w:val="0"/>
              <w:marRight w:val="0"/>
              <w:marTop w:val="0"/>
              <w:marBottom w:val="0"/>
              <w:divBdr>
                <w:top w:val="none" w:sz="0" w:space="0" w:color="auto"/>
                <w:left w:val="none" w:sz="0" w:space="0" w:color="auto"/>
                <w:bottom w:val="none" w:sz="0" w:space="0" w:color="auto"/>
                <w:right w:val="none" w:sz="0" w:space="0" w:color="auto"/>
              </w:divBdr>
              <w:divsChild>
                <w:div w:id="1370959505">
                  <w:marLeft w:val="0"/>
                  <w:marRight w:val="0"/>
                  <w:marTop w:val="0"/>
                  <w:marBottom w:val="0"/>
                  <w:divBdr>
                    <w:top w:val="none" w:sz="0" w:space="0" w:color="auto"/>
                    <w:left w:val="none" w:sz="0" w:space="0" w:color="auto"/>
                    <w:bottom w:val="none" w:sz="0" w:space="0" w:color="auto"/>
                    <w:right w:val="none" w:sz="0" w:space="0" w:color="auto"/>
                  </w:divBdr>
                  <w:divsChild>
                    <w:div w:id="1370959817">
                      <w:marLeft w:val="0"/>
                      <w:marRight w:val="0"/>
                      <w:marTop w:val="0"/>
                      <w:marBottom w:val="0"/>
                      <w:divBdr>
                        <w:top w:val="none" w:sz="0" w:space="0" w:color="auto"/>
                        <w:left w:val="none" w:sz="0" w:space="0" w:color="auto"/>
                        <w:bottom w:val="none" w:sz="0" w:space="0" w:color="auto"/>
                        <w:right w:val="none" w:sz="0" w:space="0" w:color="auto"/>
                      </w:divBdr>
                      <w:divsChild>
                        <w:div w:id="13709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699">
          <w:marLeft w:val="0"/>
          <w:marRight w:val="0"/>
          <w:marTop w:val="0"/>
          <w:marBottom w:val="0"/>
          <w:divBdr>
            <w:top w:val="none" w:sz="0" w:space="0" w:color="auto"/>
            <w:left w:val="none" w:sz="0" w:space="0" w:color="auto"/>
            <w:bottom w:val="none" w:sz="0" w:space="0" w:color="auto"/>
            <w:right w:val="none" w:sz="0" w:space="0" w:color="auto"/>
          </w:divBdr>
          <w:divsChild>
            <w:div w:id="1370959636">
              <w:marLeft w:val="0"/>
              <w:marRight w:val="0"/>
              <w:marTop w:val="0"/>
              <w:marBottom w:val="0"/>
              <w:divBdr>
                <w:top w:val="none" w:sz="0" w:space="0" w:color="auto"/>
                <w:left w:val="none" w:sz="0" w:space="0" w:color="auto"/>
                <w:bottom w:val="none" w:sz="0" w:space="0" w:color="auto"/>
                <w:right w:val="none" w:sz="0" w:space="0" w:color="auto"/>
              </w:divBdr>
              <w:divsChild>
                <w:div w:id="1370959662">
                  <w:marLeft w:val="0"/>
                  <w:marRight w:val="0"/>
                  <w:marTop w:val="0"/>
                  <w:marBottom w:val="0"/>
                  <w:divBdr>
                    <w:top w:val="none" w:sz="0" w:space="0" w:color="auto"/>
                    <w:left w:val="none" w:sz="0" w:space="0" w:color="auto"/>
                    <w:bottom w:val="none" w:sz="0" w:space="0" w:color="auto"/>
                    <w:right w:val="none" w:sz="0" w:space="0" w:color="auto"/>
                  </w:divBdr>
                  <w:divsChild>
                    <w:div w:id="13709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9728">
      <w:marLeft w:val="0"/>
      <w:marRight w:val="0"/>
      <w:marTop w:val="0"/>
      <w:marBottom w:val="0"/>
      <w:divBdr>
        <w:top w:val="none" w:sz="0" w:space="0" w:color="auto"/>
        <w:left w:val="none" w:sz="0" w:space="0" w:color="auto"/>
        <w:bottom w:val="none" w:sz="0" w:space="0" w:color="auto"/>
        <w:right w:val="none" w:sz="0" w:space="0" w:color="auto"/>
      </w:divBdr>
    </w:div>
    <w:div w:id="1370959731">
      <w:marLeft w:val="0"/>
      <w:marRight w:val="0"/>
      <w:marTop w:val="0"/>
      <w:marBottom w:val="0"/>
      <w:divBdr>
        <w:top w:val="none" w:sz="0" w:space="0" w:color="auto"/>
        <w:left w:val="none" w:sz="0" w:space="0" w:color="auto"/>
        <w:bottom w:val="none" w:sz="0" w:space="0" w:color="auto"/>
        <w:right w:val="none" w:sz="0" w:space="0" w:color="auto"/>
      </w:divBdr>
    </w:div>
    <w:div w:id="1370959732">
      <w:marLeft w:val="0"/>
      <w:marRight w:val="0"/>
      <w:marTop w:val="0"/>
      <w:marBottom w:val="0"/>
      <w:divBdr>
        <w:top w:val="none" w:sz="0" w:space="0" w:color="auto"/>
        <w:left w:val="none" w:sz="0" w:space="0" w:color="auto"/>
        <w:bottom w:val="none" w:sz="0" w:space="0" w:color="auto"/>
        <w:right w:val="none" w:sz="0" w:space="0" w:color="auto"/>
      </w:divBdr>
    </w:div>
    <w:div w:id="1370959733">
      <w:marLeft w:val="0"/>
      <w:marRight w:val="0"/>
      <w:marTop w:val="0"/>
      <w:marBottom w:val="0"/>
      <w:divBdr>
        <w:top w:val="none" w:sz="0" w:space="0" w:color="auto"/>
        <w:left w:val="none" w:sz="0" w:space="0" w:color="auto"/>
        <w:bottom w:val="none" w:sz="0" w:space="0" w:color="auto"/>
        <w:right w:val="none" w:sz="0" w:space="0" w:color="auto"/>
      </w:divBdr>
      <w:divsChild>
        <w:div w:id="1370959675">
          <w:marLeft w:val="0"/>
          <w:marRight w:val="0"/>
          <w:marTop w:val="0"/>
          <w:marBottom w:val="0"/>
          <w:divBdr>
            <w:top w:val="none" w:sz="0" w:space="0" w:color="auto"/>
            <w:left w:val="none" w:sz="0" w:space="0" w:color="auto"/>
            <w:bottom w:val="none" w:sz="0" w:space="0" w:color="auto"/>
            <w:right w:val="none" w:sz="0" w:space="0" w:color="auto"/>
          </w:divBdr>
          <w:divsChild>
            <w:div w:id="1370959456">
              <w:marLeft w:val="-150"/>
              <w:marRight w:val="0"/>
              <w:marTop w:val="0"/>
              <w:marBottom w:val="0"/>
              <w:divBdr>
                <w:top w:val="none" w:sz="0" w:space="0" w:color="auto"/>
                <w:left w:val="none" w:sz="0" w:space="0" w:color="auto"/>
                <w:bottom w:val="none" w:sz="0" w:space="0" w:color="auto"/>
                <w:right w:val="none" w:sz="0" w:space="0" w:color="auto"/>
              </w:divBdr>
              <w:divsChild>
                <w:div w:id="1370959447">
                  <w:marLeft w:val="0"/>
                  <w:marRight w:val="0"/>
                  <w:marTop w:val="0"/>
                  <w:marBottom w:val="0"/>
                  <w:divBdr>
                    <w:top w:val="none" w:sz="0" w:space="0" w:color="auto"/>
                    <w:left w:val="none" w:sz="0" w:space="0" w:color="auto"/>
                    <w:bottom w:val="none" w:sz="0" w:space="0" w:color="auto"/>
                    <w:right w:val="none" w:sz="0" w:space="0" w:color="auto"/>
                  </w:divBdr>
                  <w:divsChild>
                    <w:div w:id="1370959850">
                      <w:marLeft w:val="0"/>
                      <w:marRight w:val="0"/>
                      <w:marTop w:val="0"/>
                      <w:marBottom w:val="0"/>
                      <w:divBdr>
                        <w:top w:val="none" w:sz="0" w:space="0" w:color="auto"/>
                        <w:left w:val="none" w:sz="0" w:space="0" w:color="auto"/>
                        <w:bottom w:val="none" w:sz="0" w:space="0" w:color="auto"/>
                        <w:right w:val="none" w:sz="0" w:space="0" w:color="auto"/>
                      </w:divBdr>
                      <w:divsChild>
                        <w:div w:id="1370959454">
                          <w:marLeft w:val="0"/>
                          <w:marRight w:val="0"/>
                          <w:marTop w:val="0"/>
                          <w:marBottom w:val="0"/>
                          <w:divBdr>
                            <w:top w:val="none" w:sz="0" w:space="0" w:color="auto"/>
                            <w:left w:val="none" w:sz="0" w:space="0" w:color="auto"/>
                            <w:bottom w:val="none" w:sz="0" w:space="0" w:color="auto"/>
                            <w:right w:val="none" w:sz="0" w:space="0" w:color="auto"/>
                          </w:divBdr>
                          <w:divsChild>
                            <w:div w:id="1370959495">
                              <w:marLeft w:val="0"/>
                              <w:marRight w:val="0"/>
                              <w:marTop w:val="0"/>
                              <w:marBottom w:val="0"/>
                              <w:divBdr>
                                <w:top w:val="none" w:sz="0" w:space="0" w:color="auto"/>
                                <w:left w:val="none" w:sz="0" w:space="0" w:color="auto"/>
                                <w:bottom w:val="none" w:sz="0" w:space="0" w:color="auto"/>
                                <w:right w:val="none" w:sz="0" w:space="0" w:color="auto"/>
                              </w:divBdr>
                              <w:divsChild>
                                <w:div w:id="1370959516">
                                  <w:marLeft w:val="0"/>
                                  <w:marRight w:val="0"/>
                                  <w:marTop w:val="0"/>
                                  <w:marBottom w:val="0"/>
                                  <w:divBdr>
                                    <w:top w:val="none" w:sz="0" w:space="0" w:color="auto"/>
                                    <w:left w:val="none" w:sz="0" w:space="0" w:color="auto"/>
                                    <w:bottom w:val="none" w:sz="0" w:space="0" w:color="auto"/>
                                    <w:right w:val="none" w:sz="0" w:space="0" w:color="auto"/>
                                  </w:divBdr>
                                  <w:divsChild>
                                    <w:div w:id="13709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959736">
      <w:marLeft w:val="0"/>
      <w:marRight w:val="0"/>
      <w:marTop w:val="0"/>
      <w:marBottom w:val="0"/>
      <w:divBdr>
        <w:top w:val="none" w:sz="0" w:space="0" w:color="auto"/>
        <w:left w:val="none" w:sz="0" w:space="0" w:color="auto"/>
        <w:bottom w:val="none" w:sz="0" w:space="0" w:color="auto"/>
        <w:right w:val="none" w:sz="0" w:space="0" w:color="auto"/>
      </w:divBdr>
    </w:div>
    <w:div w:id="1370959737">
      <w:marLeft w:val="0"/>
      <w:marRight w:val="0"/>
      <w:marTop w:val="0"/>
      <w:marBottom w:val="0"/>
      <w:divBdr>
        <w:top w:val="none" w:sz="0" w:space="0" w:color="auto"/>
        <w:left w:val="none" w:sz="0" w:space="0" w:color="auto"/>
        <w:bottom w:val="none" w:sz="0" w:space="0" w:color="auto"/>
        <w:right w:val="none" w:sz="0" w:space="0" w:color="auto"/>
      </w:divBdr>
    </w:div>
    <w:div w:id="1370959738">
      <w:marLeft w:val="0"/>
      <w:marRight w:val="0"/>
      <w:marTop w:val="0"/>
      <w:marBottom w:val="0"/>
      <w:divBdr>
        <w:top w:val="none" w:sz="0" w:space="0" w:color="auto"/>
        <w:left w:val="none" w:sz="0" w:space="0" w:color="auto"/>
        <w:bottom w:val="none" w:sz="0" w:space="0" w:color="auto"/>
        <w:right w:val="none" w:sz="0" w:space="0" w:color="auto"/>
      </w:divBdr>
    </w:div>
    <w:div w:id="1370959739">
      <w:marLeft w:val="0"/>
      <w:marRight w:val="0"/>
      <w:marTop w:val="0"/>
      <w:marBottom w:val="0"/>
      <w:divBdr>
        <w:top w:val="none" w:sz="0" w:space="0" w:color="auto"/>
        <w:left w:val="none" w:sz="0" w:space="0" w:color="auto"/>
        <w:bottom w:val="none" w:sz="0" w:space="0" w:color="auto"/>
        <w:right w:val="none" w:sz="0" w:space="0" w:color="auto"/>
      </w:divBdr>
    </w:div>
    <w:div w:id="1370959741">
      <w:marLeft w:val="0"/>
      <w:marRight w:val="0"/>
      <w:marTop w:val="0"/>
      <w:marBottom w:val="0"/>
      <w:divBdr>
        <w:top w:val="none" w:sz="0" w:space="0" w:color="auto"/>
        <w:left w:val="none" w:sz="0" w:space="0" w:color="auto"/>
        <w:bottom w:val="none" w:sz="0" w:space="0" w:color="auto"/>
        <w:right w:val="none" w:sz="0" w:space="0" w:color="auto"/>
      </w:divBdr>
    </w:div>
    <w:div w:id="1370959742">
      <w:marLeft w:val="0"/>
      <w:marRight w:val="0"/>
      <w:marTop w:val="0"/>
      <w:marBottom w:val="0"/>
      <w:divBdr>
        <w:top w:val="none" w:sz="0" w:space="0" w:color="auto"/>
        <w:left w:val="none" w:sz="0" w:space="0" w:color="auto"/>
        <w:bottom w:val="none" w:sz="0" w:space="0" w:color="auto"/>
        <w:right w:val="none" w:sz="0" w:space="0" w:color="auto"/>
      </w:divBdr>
    </w:div>
    <w:div w:id="1370959745">
      <w:marLeft w:val="0"/>
      <w:marRight w:val="0"/>
      <w:marTop w:val="0"/>
      <w:marBottom w:val="0"/>
      <w:divBdr>
        <w:top w:val="none" w:sz="0" w:space="0" w:color="auto"/>
        <w:left w:val="none" w:sz="0" w:space="0" w:color="auto"/>
        <w:bottom w:val="none" w:sz="0" w:space="0" w:color="auto"/>
        <w:right w:val="none" w:sz="0" w:space="0" w:color="auto"/>
      </w:divBdr>
    </w:div>
    <w:div w:id="1370959746">
      <w:marLeft w:val="0"/>
      <w:marRight w:val="0"/>
      <w:marTop w:val="0"/>
      <w:marBottom w:val="0"/>
      <w:divBdr>
        <w:top w:val="none" w:sz="0" w:space="0" w:color="auto"/>
        <w:left w:val="none" w:sz="0" w:space="0" w:color="auto"/>
        <w:bottom w:val="none" w:sz="0" w:space="0" w:color="auto"/>
        <w:right w:val="none" w:sz="0" w:space="0" w:color="auto"/>
      </w:divBdr>
    </w:div>
    <w:div w:id="1370959748">
      <w:marLeft w:val="0"/>
      <w:marRight w:val="0"/>
      <w:marTop w:val="0"/>
      <w:marBottom w:val="0"/>
      <w:divBdr>
        <w:top w:val="none" w:sz="0" w:space="0" w:color="auto"/>
        <w:left w:val="none" w:sz="0" w:space="0" w:color="auto"/>
        <w:bottom w:val="none" w:sz="0" w:space="0" w:color="auto"/>
        <w:right w:val="none" w:sz="0" w:space="0" w:color="auto"/>
      </w:divBdr>
    </w:div>
    <w:div w:id="1370959749">
      <w:marLeft w:val="0"/>
      <w:marRight w:val="0"/>
      <w:marTop w:val="0"/>
      <w:marBottom w:val="0"/>
      <w:divBdr>
        <w:top w:val="none" w:sz="0" w:space="0" w:color="auto"/>
        <w:left w:val="none" w:sz="0" w:space="0" w:color="auto"/>
        <w:bottom w:val="none" w:sz="0" w:space="0" w:color="auto"/>
        <w:right w:val="none" w:sz="0" w:space="0" w:color="auto"/>
      </w:divBdr>
    </w:div>
    <w:div w:id="1370959752">
      <w:marLeft w:val="0"/>
      <w:marRight w:val="0"/>
      <w:marTop w:val="0"/>
      <w:marBottom w:val="0"/>
      <w:divBdr>
        <w:top w:val="none" w:sz="0" w:space="0" w:color="auto"/>
        <w:left w:val="none" w:sz="0" w:space="0" w:color="auto"/>
        <w:bottom w:val="none" w:sz="0" w:space="0" w:color="auto"/>
        <w:right w:val="none" w:sz="0" w:space="0" w:color="auto"/>
      </w:divBdr>
    </w:div>
    <w:div w:id="1370959753">
      <w:marLeft w:val="0"/>
      <w:marRight w:val="0"/>
      <w:marTop w:val="0"/>
      <w:marBottom w:val="0"/>
      <w:divBdr>
        <w:top w:val="none" w:sz="0" w:space="0" w:color="auto"/>
        <w:left w:val="none" w:sz="0" w:space="0" w:color="auto"/>
        <w:bottom w:val="none" w:sz="0" w:space="0" w:color="auto"/>
        <w:right w:val="none" w:sz="0" w:space="0" w:color="auto"/>
      </w:divBdr>
    </w:div>
    <w:div w:id="1370959754">
      <w:marLeft w:val="0"/>
      <w:marRight w:val="0"/>
      <w:marTop w:val="0"/>
      <w:marBottom w:val="0"/>
      <w:divBdr>
        <w:top w:val="none" w:sz="0" w:space="0" w:color="auto"/>
        <w:left w:val="none" w:sz="0" w:space="0" w:color="auto"/>
        <w:bottom w:val="none" w:sz="0" w:space="0" w:color="auto"/>
        <w:right w:val="none" w:sz="0" w:space="0" w:color="auto"/>
      </w:divBdr>
    </w:div>
    <w:div w:id="1370959759">
      <w:marLeft w:val="0"/>
      <w:marRight w:val="0"/>
      <w:marTop w:val="0"/>
      <w:marBottom w:val="0"/>
      <w:divBdr>
        <w:top w:val="none" w:sz="0" w:space="0" w:color="auto"/>
        <w:left w:val="none" w:sz="0" w:space="0" w:color="auto"/>
        <w:bottom w:val="none" w:sz="0" w:space="0" w:color="auto"/>
        <w:right w:val="none" w:sz="0" w:space="0" w:color="auto"/>
      </w:divBdr>
    </w:div>
    <w:div w:id="1370959760">
      <w:marLeft w:val="0"/>
      <w:marRight w:val="0"/>
      <w:marTop w:val="0"/>
      <w:marBottom w:val="0"/>
      <w:divBdr>
        <w:top w:val="none" w:sz="0" w:space="0" w:color="auto"/>
        <w:left w:val="none" w:sz="0" w:space="0" w:color="auto"/>
        <w:bottom w:val="none" w:sz="0" w:space="0" w:color="auto"/>
        <w:right w:val="none" w:sz="0" w:space="0" w:color="auto"/>
      </w:divBdr>
    </w:div>
    <w:div w:id="1370959761">
      <w:marLeft w:val="0"/>
      <w:marRight w:val="0"/>
      <w:marTop w:val="0"/>
      <w:marBottom w:val="0"/>
      <w:divBdr>
        <w:top w:val="none" w:sz="0" w:space="0" w:color="auto"/>
        <w:left w:val="none" w:sz="0" w:space="0" w:color="auto"/>
        <w:bottom w:val="none" w:sz="0" w:space="0" w:color="auto"/>
        <w:right w:val="none" w:sz="0" w:space="0" w:color="auto"/>
      </w:divBdr>
    </w:div>
    <w:div w:id="1370959762">
      <w:marLeft w:val="0"/>
      <w:marRight w:val="0"/>
      <w:marTop w:val="0"/>
      <w:marBottom w:val="0"/>
      <w:divBdr>
        <w:top w:val="none" w:sz="0" w:space="0" w:color="auto"/>
        <w:left w:val="none" w:sz="0" w:space="0" w:color="auto"/>
        <w:bottom w:val="none" w:sz="0" w:space="0" w:color="auto"/>
        <w:right w:val="none" w:sz="0" w:space="0" w:color="auto"/>
      </w:divBdr>
    </w:div>
    <w:div w:id="1370959763">
      <w:marLeft w:val="0"/>
      <w:marRight w:val="0"/>
      <w:marTop w:val="0"/>
      <w:marBottom w:val="0"/>
      <w:divBdr>
        <w:top w:val="none" w:sz="0" w:space="0" w:color="auto"/>
        <w:left w:val="none" w:sz="0" w:space="0" w:color="auto"/>
        <w:bottom w:val="none" w:sz="0" w:space="0" w:color="auto"/>
        <w:right w:val="none" w:sz="0" w:space="0" w:color="auto"/>
      </w:divBdr>
    </w:div>
    <w:div w:id="1370959768">
      <w:marLeft w:val="0"/>
      <w:marRight w:val="0"/>
      <w:marTop w:val="0"/>
      <w:marBottom w:val="0"/>
      <w:divBdr>
        <w:top w:val="none" w:sz="0" w:space="0" w:color="auto"/>
        <w:left w:val="none" w:sz="0" w:space="0" w:color="auto"/>
        <w:bottom w:val="none" w:sz="0" w:space="0" w:color="auto"/>
        <w:right w:val="none" w:sz="0" w:space="0" w:color="auto"/>
      </w:divBdr>
    </w:div>
    <w:div w:id="1370959770">
      <w:marLeft w:val="0"/>
      <w:marRight w:val="0"/>
      <w:marTop w:val="0"/>
      <w:marBottom w:val="0"/>
      <w:divBdr>
        <w:top w:val="none" w:sz="0" w:space="0" w:color="auto"/>
        <w:left w:val="none" w:sz="0" w:space="0" w:color="auto"/>
        <w:bottom w:val="none" w:sz="0" w:space="0" w:color="auto"/>
        <w:right w:val="none" w:sz="0" w:space="0" w:color="auto"/>
      </w:divBdr>
    </w:div>
    <w:div w:id="1370959771">
      <w:marLeft w:val="0"/>
      <w:marRight w:val="0"/>
      <w:marTop w:val="0"/>
      <w:marBottom w:val="0"/>
      <w:divBdr>
        <w:top w:val="none" w:sz="0" w:space="0" w:color="auto"/>
        <w:left w:val="none" w:sz="0" w:space="0" w:color="auto"/>
        <w:bottom w:val="none" w:sz="0" w:space="0" w:color="auto"/>
        <w:right w:val="none" w:sz="0" w:space="0" w:color="auto"/>
      </w:divBdr>
    </w:div>
    <w:div w:id="1370959776">
      <w:marLeft w:val="0"/>
      <w:marRight w:val="0"/>
      <w:marTop w:val="0"/>
      <w:marBottom w:val="0"/>
      <w:divBdr>
        <w:top w:val="none" w:sz="0" w:space="0" w:color="auto"/>
        <w:left w:val="none" w:sz="0" w:space="0" w:color="auto"/>
        <w:bottom w:val="none" w:sz="0" w:space="0" w:color="auto"/>
        <w:right w:val="none" w:sz="0" w:space="0" w:color="auto"/>
      </w:divBdr>
    </w:div>
    <w:div w:id="1370959777">
      <w:marLeft w:val="0"/>
      <w:marRight w:val="0"/>
      <w:marTop w:val="0"/>
      <w:marBottom w:val="0"/>
      <w:divBdr>
        <w:top w:val="none" w:sz="0" w:space="0" w:color="auto"/>
        <w:left w:val="none" w:sz="0" w:space="0" w:color="auto"/>
        <w:bottom w:val="none" w:sz="0" w:space="0" w:color="auto"/>
        <w:right w:val="none" w:sz="0" w:space="0" w:color="auto"/>
      </w:divBdr>
      <w:divsChild>
        <w:div w:id="1370959769">
          <w:marLeft w:val="0"/>
          <w:marRight w:val="0"/>
          <w:marTop w:val="0"/>
          <w:marBottom w:val="0"/>
          <w:divBdr>
            <w:top w:val="none" w:sz="0" w:space="0" w:color="auto"/>
            <w:left w:val="none" w:sz="0" w:space="0" w:color="auto"/>
            <w:bottom w:val="none" w:sz="0" w:space="0" w:color="auto"/>
            <w:right w:val="none" w:sz="0" w:space="0" w:color="auto"/>
          </w:divBdr>
          <w:divsChild>
            <w:div w:id="1370959658">
              <w:marLeft w:val="0"/>
              <w:marRight w:val="0"/>
              <w:marTop w:val="0"/>
              <w:marBottom w:val="0"/>
              <w:divBdr>
                <w:top w:val="none" w:sz="0" w:space="0" w:color="auto"/>
                <w:left w:val="none" w:sz="0" w:space="0" w:color="auto"/>
                <w:bottom w:val="none" w:sz="0" w:space="0" w:color="auto"/>
                <w:right w:val="none" w:sz="0" w:space="0" w:color="auto"/>
              </w:divBdr>
              <w:divsChild>
                <w:div w:id="1370959443">
                  <w:marLeft w:val="0"/>
                  <w:marRight w:val="0"/>
                  <w:marTop w:val="0"/>
                  <w:marBottom w:val="0"/>
                  <w:divBdr>
                    <w:top w:val="none" w:sz="0" w:space="0" w:color="auto"/>
                    <w:left w:val="none" w:sz="0" w:space="0" w:color="auto"/>
                    <w:bottom w:val="none" w:sz="0" w:space="0" w:color="auto"/>
                    <w:right w:val="none" w:sz="0" w:space="0" w:color="auto"/>
                  </w:divBdr>
                  <w:divsChild>
                    <w:div w:id="1370959580">
                      <w:marLeft w:val="0"/>
                      <w:marRight w:val="0"/>
                      <w:marTop w:val="0"/>
                      <w:marBottom w:val="0"/>
                      <w:divBdr>
                        <w:top w:val="none" w:sz="0" w:space="0" w:color="auto"/>
                        <w:left w:val="none" w:sz="0" w:space="0" w:color="auto"/>
                        <w:bottom w:val="none" w:sz="0" w:space="0" w:color="auto"/>
                        <w:right w:val="none" w:sz="0" w:space="0" w:color="auto"/>
                      </w:divBdr>
                      <w:divsChild>
                        <w:div w:id="1370959724">
                          <w:marLeft w:val="0"/>
                          <w:marRight w:val="0"/>
                          <w:marTop w:val="0"/>
                          <w:marBottom w:val="0"/>
                          <w:divBdr>
                            <w:top w:val="none" w:sz="0" w:space="0" w:color="auto"/>
                            <w:left w:val="none" w:sz="0" w:space="0" w:color="auto"/>
                            <w:bottom w:val="none" w:sz="0" w:space="0" w:color="auto"/>
                            <w:right w:val="none" w:sz="0" w:space="0" w:color="auto"/>
                          </w:divBdr>
                          <w:divsChild>
                            <w:div w:id="1370959832">
                              <w:marLeft w:val="0"/>
                              <w:marRight w:val="0"/>
                              <w:marTop w:val="0"/>
                              <w:marBottom w:val="0"/>
                              <w:divBdr>
                                <w:top w:val="none" w:sz="0" w:space="0" w:color="auto"/>
                                <w:left w:val="none" w:sz="0" w:space="0" w:color="auto"/>
                                <w:bottom w:val="none" w:sz="0" w:space="0" w:color="auto"/>
                                <w:right w:val="none" w:sz="0" w:space="0" w:color="auto"/>
                              </w:divBdr>
                              <w:divsChild>
                                <w:div w:id="1370959479">
                                  <w:marLeft w:val="0"/>
                                  <w:marRight w:val="0"/>
                                  <w:marTop w:val="0"/>
                                  <w:marBottom w:val="0"/>
                                  <w:divBdr>
                                    <w:top w:val="none" w:sz="0" w:space="0" w:color="auto"/>
                                    <w:left w:val="none" w:sz="0" w:space="0" w:color="auto"/>
                                    <w:bottom w:val="none" w:sz="0" w:space="0" w:color="auto"/>
                                    <w:right w:val="none" w:sz="0" w:space="0" w:color="auto"/>
                                  </w:divBdr>
                                  <w:divsChild>
                                    <w:div w:id="1370959851">
                                      <w:marLeft w:val="0"/>
                                      <w:marRight w:val="0"/>
                                      <w:marTop w:val="0"/>
                                      <w:marBottom w:val="0"/>
                                      <w:divBdr>
                                        <w:top w:val="none" w:sz="0" w:space="0" w:color="auto"/>
                                        <w:left w:val="none" w:sz="0" w:space="0" w:color="auto"/>
                                        <w:bottom w:val="none" w:sz="0" w:space="0" w:color="auto"/>
                                        <w:right w:val="none" w:sz="0" w:space="0" w:color="auto"/>
                                      </w:divBdr>
                                      <w:divsChild>
                                        <w:div w:id="1370959813">
                                          <w:marLeft w:val="0"/>
                                          <w:marRight w:val="0"/>
                                          <w:marTop w:val="0"/>
                                          <w:marBottom w:val="0"/>
                                          <w:divBdr>
                                            <w:top w:val="none" w:sz="0" w:space="0" w:color="auto"/>
                                            <w:left w:val="none" w:sz="0" w:space="0" w:color="auto"/>
                                            <w:bottom w:val="none" w:sz="0" w:space="0" w:color="auto"/>
                                            <w:right w:val="none" w:sz="0" w:space="0" w:color="auto"/>
                                          </w:divBdr>
                                          <w:divsChild>
                                            <w:div w:id="1370959576">
                                              <w:marLeft w:val="0"/>
                                              <w:marRight w:val="0"/>
                                              <w:marTop w:val="0"/>
                                              <w:marBottom w:val="0"/>
                                              <w:divBdr>
                                                <w:top w:val="none" w:sz="0" w:space="0" w:color="auto"/>
                                                <w:left w:val="none" w:sz="0" w:space="0" w:color="auto"/>
                                                <w:bottom w:val="none" w:sz="0" w:space="0" w:color="auto"/>
                                                <w:right w:val="none" w:sz="0" w:space="0" w:color="auto"/>
                                              </w:divBdr>
                                              <w:divsChild>
                                                <w:div w:id="1370959578">
                                                  <w:marLeft w:val="0"/>
                                                  <w:marRight w:val="0"/>
                                                  <w:marTop w:val="0"/>
                                                  <w:marBottom w:val="0"/>
                                                  <w:divBdr>
                                                    <w:top w:val="none" w:sz="0" w:space="0" w:color="auto"/>
                                                    <w:left w:val="none" w:sz="0" w:space="0" w:color="auto"/>
                                                    <w:bottom w:val="none" w:sz="0" w:space="0" w:color="auto"/>
                                                    <w:right w:val="none" w:sz="0" w:space="0" w:color="auto"/>
                                                  </w:divBdr>
                                                  <w:divsChild>
                                                    <w:div w:id="1370959824">
                                                      <w:marLeft w:val="0"/>
                                                      <w:marRight w:val="0"/>
                                                      <w:marTop w:val="0"/>
                                                      <w:marBottom w:val="0"/>
                                                      <w:divBdr>
                                                        <w:top w:val="none" w:sz="0" w:space="0" w:color="auto"/>
                                                        <w:left w:val="none" w:sz="0" w:space="0" w:color="auto"/>
                                                        <w:bottom w:val="none" w:sz="0" w:space="0" w:color="auto"/>
                                                        <w:right w:val="none" w:sz="0" w:space="0" w:color="auto"/>
                                                      </w:divBdr>
                                                      <w:divsChild>
                                                        <w:div w:id="137095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59778">
      <w:marLeft w:val="0"/>
      <w:marRight w:val="0"/>
      <w:marTop w:val="0"/>
      <w:marBottom w:val="0"/>
      <w:divBdr>
        <w:top w:val="none" w:sz="0" w:space="0" w:color="auto"/>
        <w:left w:val="none" w:sz="0" w:space="0" w:color="auto"/>
        <w:bottom w:val="none" w:sz="0" w:space="0" w:color="auto"/>
        <w:right w:val="none" w:sz="0" w:space="0" w:color="auto"/>
      </w:divBdr>
    </w:div>
    <w:div w:id="1370959781">
      <w:marLeft w:val="0"/>
      <w:marRight w:val="0"/>
      <w:marTop w:val="0"/>
      <w:marBottom w:val="0"/>
      <w:divBdr>
        <w:top w:val="none" w:sz="0" w:space="0" w:color="auto"/>
        <w:left w:val="none" w:sz="0" w:space="0" w:color="auto"/>
        <w:bottom w:val="none" w:sz="0" w:space="0" w:color="auto"/>
        <w:right w:val="none" w:sz="0" w:space="0" w:color="auto"/>
      </w:divBdr>
    </w:div>
    <w:div w:id="1370959782">
      <w:marLeft w:val="0"/>
      <w:marRight w:val="0"/>
      <w:marTop w:val="0"/>
      <w:marBottom w:val="0"/>
      <w:divBdr>
        <w:top w:val="none" w:sz="0" w:space="0" w:color="auto"/>
        <w:left w:val="none" w:sz="0" w:space="0" w:color="auto"/>
        <w:bottom w:val="none" w:sz="0" w:space="0" w:color="auto"/>
        <w:right w:val="none" w:sz="0" w:space="0" w:color="auto"/>
      </w:divBdr>
    </w:div>
    <w:div w:id="1370959784">
      <w:marLeft w:val="0"/>
      <w:marRight w:val="0"/>
      <w:marTop w:val="0"/>
      <w:marBottom w:val="0"/>
      <w:divBdr>
        <w:top w:val="none" w:sz="0" w:space="0" w:color="auto"/>
        <w:left w:val="none" w:sz="0" w:space="0" w:color="auto"/>
        <w:bottom w:val="none" w:sz="0" w:space="0" w:color="auto"/>
        <w:right w:val="none" w:sz="0" w:space="0" w:color="auto"/>
      </w:divBdr>
    </w:div>
    <w:div w:id="1370959785">
      <w:marLeft w:val="0"/>
      <w:marRight w:val="0"/>
      <w:marTop w:val="0"/>
      <w:marBottom w:val="0"/>
      <w:divBdr>
        <w:top w:val="none" w:sz="0" w:space="0" w:color="auto"/>
        <w:left w:val="none" w:sz="0" w:space="0" w:color="auto"/>
        <w:bottom w:val="none" w:sz="0" w:space="0" w:color="auto"/>
        <w:right w:val="none" w:sz="0" w:space="0" w:color="auto"/>
      </w:divBdr>
      <w:divsChild>
        <w:div w:id="1370959803">
          <w:marLeft w:val="720"/>
          <w:marRight w:val="720"/>
          <w:marTop w:val="100"/>
          <w:marBottom w:val="100"/>
          <w:divBdr>
            <w:top w:val="none" w:sz="0" w:space="0" w:color="auto"/>
            <w:left w:val="none" w:sz="0" w:space="0" w:color="auto"/>
            <w:bottom w:val="none" w:sz="0" w:space="0" w:color="auto"/>
            <w:right w:val="none" w:sz="0" w:space="0" w:color="auto"/>
          </w:divBdr>
        </w:div>
      </w:divsChild>
    </w:div>
    <w:div w:id="1370959787">
      <w:marLeft w:val="0"/>
      <w:marRight w:val="0"/>
      <w:marTop w:val="0"/>
      <w:marBottom w:val="0"/>
      <w:divBdr>
        <w:top w:val="none" w:sz="0" w:space="0" w:color="auto"/>
        <w:left w:val="none" w:sz="0" w:space="0" w:color="auto"/>
        <w:bottom w:val="none" w:sz="0" w:space="0" w:color="auto"/>
        <w:right w:val="none" w:sz="0" w:space="0" w:color="auto"/>
      </w:divBdr>
    </w:div>
    <w:div w:id="1370959789">
      <w:marLeft w:val="0"/>
      <w:marRight w:val="0"/>
      <w:marTop w:val="0"/>
      <w:marBottom w:val="0"/>
      <w:divBdr>
        <w:top w:val="none" w:sz="0" w:space="0" w:color="auto"/>
        <w:left w:val="none" w:sz="0" w:space="0" w:color="auto"/>
        <w:bottom w:val="none" w:sz="0" w:space="0" w:color="auto"/>
        <w:right w:val="none" w:sz="0" w:space="0" w:color="auto"/>
      </w:divBdr>
    </w:div>
    <w:div w:id="1370959792">
      <w:marLeft w:val="0"/>
      <w:marRight w:val="0"/>
      <w:marTop w:val="0"/>
      <w:marBottom w:val="0"/>
      <w:divBdr>
        <w:top w:val="none" w:sz="0" w:space="0" w:color="auto"/>
        <w:left w:val="none" w:sz="0" w:space="0" w:color="auto"/>
        <w:bottom w:val="none" w:sz="0" w:space="0" w:color="auto"/>
        <w:right w:val="none" w:sz="0" w:space="0" w:color="auto"/>
      </w:divBdr>
    </w:div>
    <w:div w:id="1370959794">
      <w:marLeft w:val="0"/>
      <w:marRight w:val="0"/>
      <w:marTop w:val="0"/>
      <w:marBottom w:val="0"/>
      <w:divBdr>
        <w:top w:val="none" w:sz="0" w:space="0" w:color="auto"/>
        <w:left w:val="none" w:sz="0" w:space="0" w:color="auto"/>
        <w:bottom w:val="none" w:sz="0" w:space="0" w:color="auto"/>
        <w:right w:val="none" w:sz="0" w:space="0" w:color="auto"/>
      </w:divBdr>
    </w:div>
    <w:div w:id="1370959795">
      <w:marLeft w:val="0"/>
      <w:marRight w:val="0"/>
      <w:marTop w:val="0"/>
      <w:marBottom w:val="0"/>
      <w:divBdr>
        <w:top w:val="none" w:sz="0" w:space="0" w:color="auto"/>
        <w:left w:val="none" w:sz="0" w:space="0" w:color="auto"/>
        <w:bottom w:val="none" w:sz="0" w:space="0" w:color="auto"/>
        <w:right w:val="none" w:sz="0" w:space="0" w:color="auto"/>
      </w:divBdr>
    </w:div>
    <w:div w:id="1370959796">
      <w:marLeft w:val="0"/>
      <w:marRight w:val="0"/>
      <w:marTop w:val="0"/>
      <w:marBottom w:val="0"/>
      <w:divBdr>
        <w:top w:val="none" w:sz="0" w:space="0" w:color="auto"/>
        <w:left w:val="none" w:sz="0" w:space="0" w:color="auto"/>
        <w:bottom w:val="none" w:sz="0" w:space="0" w:color="auto"/>
        <w:right w:val="none" w:sz="0" w:space="0" w:color="auto"/>
      </w:divBdr>
    </w:div>
    <w:div w:id="1370959797">
      <w:marLeft w:val="0"/>
      <w:marRight w:val="0"/>
      <w:marTop w:val="0"/>
      <w:marBottom w:val="0"/>
      <w:divBdr>
        <w:top w:val="none" w:sz="0" w:space="0" w:color="auto"/>
        <w:left w:val="none" w:sz="0" w:space="0" w:color="auto"/>
        <w:bottom w:val="none" w:sz="0" w:space="0" w:color="auto"/>
        <w:right w:val="none" w:sz="0" w:space="0" w:color="auto"/>
      </w:divBdr>
    </w:div>
    <w:div w:id="1370959799">
      <w:marLeft w:val="0"/>
      <w:marRight w:val="0"/>
      <w:marTop w:val="0"/>
      <w:marBottom w:val="0"/>
      <w:divBdr>
        <w:top w:val="none" w:sz="0" w:space="0" w:color="auto"/>
        <w:left w:val="none" w:sz="0" w:space="0" w:color="auto"/>
        <w:bottom w:val="none" w:sz="0" w:space="0" w:color="auto"/>
        <w:right w:val="none" w:sz="0" w:space="0" w:color="auto"/>
      </w:divBdr>
    </w:div>
    <w:div w:id="1370959800">
      <w:marLeft w:val="0"/>
      <w:marRight w:val="0"/>
      <w:marTop w:val="0"/>
      <w:marBottom w:val="0"/>
      <w:divBdr>
        <w:top w:val="none" w:sz="0" w:space="0" w:color="auto"/>
        <w:left w:val="none" w:sz="0" w:space="0" w:color="auto"/>
        <w:bottom w:val="none" w:sz="0" w:space="0" w:color="auto"/>
        <w:right w:val="none" w:sz="0" w:space="0" w:color="auto"/>
      </w:divBdr>
    </w:div>
    <w:div w:id="1370959802">
      <w:marLeft w:val="0"/>
      <w:marRight w:val="0"/>
      <w:marTop w:val="0"/>
      <w:marBottom w:val="0"/>
      <w:divBdr>
        <w:top w:val="none" w:sz="0" w:space="0" w:color="auto"/>
        <w:left w:val="none" w:sz="0" w:space="0" w:color="auto"/>
        <w:bottom w:val="none" w:sz="0" w:space="0" w:color="auto"/>
        <w:right w:val="none" w:sz="0" w:space="0" w:color="auto"/>
      </w:divBdr>
    </w:div>
    <w:div w:id="1370959804">
      <w:marLeft w:val="0"/>
      <w:marRight w:val="0"/>
      <w:marTop w:val="0"/>
      <w:marBottom w:val="0"/>
      <w:divBdr>
        <w:top w:val="none" w:sz="0" w:space="0" w:color="auto"/>
        <w:left w:val="none" w:sz="0" w:space="0" w:color="auto"/>
        <w:bottom w:val="none" w:sz="0" w:space="0" w:color="auto"/>
        <w:right w:val="none" w:sz="0" w:space="0" w:color="auto"/>
      </w:divBdr>
    </w:div>
    <w:div w:id="1370959805">
      <w:marLeft w:val="0"/>
      <w:marRight w:val="0"/>
      <w:marTop w:val="0"/>
      <w:marBottom w:val="0"/>
      <w:divBdr>
        <w:top w:val="none" w:sz="0" w:space="0" w:color="auto"/>
        <w:left w:val="none" w:sz="0" w:space="0" w:color="auto"/>
        <w:bottom w:val="none" w:sz="0" w:space="0" w:color="auto"/>
        <w:right w:val="none" w:sz="0" w:space="0" w:color="auto"/>
      </w:divBdr>
    </w:div>
    <w:div w:id="1370959807">
      <w:marLeft w:val="0"/>
      <w:marRight w:val="0"/>
      <w:marTop w:val="0"/>
      <w:marBottom w:val="0"/>
      <w:divBdr>
        <w:top w:val="none" w:sz="0" w:space="0" w:color="auto"/>
        <w:left w:val="none" w:sz="0" w:space="0" w:color="auto"/>
        <w:bottom w:val="none" w:sz="0" w:space="0" w:color="auto"/>
        <w:right w:val="none" w:sz="0" w:space="0" w:color="auto"/>
      </w:divBdr>
    </w:div>
    <w:div w:id="1370959808">
      <w:marLeft w:val="0"/>
      <w:marRight w:val="0"/>
      <w:marTop w:val="0"/>
      <w:marBottom w:val="0"/>
      <w:divBdr>
        <w:top w:val="none" w:sz="0" w:space="0" w:color="auto"/>
        <w:left w:val="none" w:sz="0" w:space="0" w:color="auto"/>
        <w:bottom w:val="none" w:sz="0" w:space="0" w:color="auto"/>
        <w:right w:val="none" w:sz="0" w:space="0" w:color="auto"/>
      </w:divBdr>
    </w:div>
    <w:div w:id="1370959810">
      <w:marLeft w:val="0"/>
      <w:marRight w:val="0"/>
      <w:marTop w:val="0"/>
      <w:marBottom w:val="0"/>
      <w:divBdr>
        <w:top w:val="none" w:sz="0" w:space="0" w:color="auto"/>
        <w:left w:val="none" w:sz="0" w:space="0" w:color="auto"/>
        <w:bottom w:val="none" w:sz="0" w:space="0" w:color="auto"/>
        <w:right w:val="none" w:sz="0" w:space="0" w:color="auto"/>
      </w:divBdr>
    </w:div>
    <w:div w:id="1370959814">
      <w:marLeft w:val="0"/>
      <w:marRight w:val="0"/>
      <w:marTop w:val="0"/>
      <w:marBottom w:val="0"/>
      <w:divBdr>
        <w:top w:val="none" w:sz="0" w:space="0" w:color="auto"/>
        <w:left w:val="none" w:sz="0" w:space="0" w:color="auto"/>
        <w:bottom w:val="none" w:sz="0" w:space="0" w:color="auto"/>
        <w:right w:val="none" w:sz="0" w:space="0" w:color="auto"/>
      </w:divBdr>
    </w:div>
    <w:div w:id="1370959816">
      <w:marLeft w:val="0"/>
      <w:marRight w:val="0"/>
      <w:marTop w:val="0"/>
      <w:marBottom w:val="0"/>
      <w:divBdr>
        <w:top w:val="none" w:sz="0" w:space="0" w:color="auto"/>
        <w:left w:val="none" w:sz="0" w:space="0" w:color="auto"/>
        <w:bottom w:val="none" w:sz="0" w:space="0" w:color="auto"/>
        <w:right w:val="none" w:sz="0" w:space="0" w:color="auto"/>
      </w:divBdr>
    </w:div>
    <w:div w:id="1370959819">
      <w:marLeft w:val="0"/>
      <w:marRight w:val="0"/>
      <w:marTop w:val="0"/>
      <w:marBottom w:val="0"/>
      <w:divBdr>
        <w:top w:val="none" w:sz="0" w:space="0" w:color="auto"/>
        <w:left w:val="none" w:sz="0" w:space="0" w:color="auto"/>
        <w:bottom w:val="none" w:sz="0" w:space="0" w:color="auto"/>
        <w:right w:val="none" w:sz="0" w:space="0" w:color="auto"/>
      </w:divBdr>
    </w:div>
    <w:div w:id="1370959821">
      <w:marLeft w:val="0"/>
      <w:marRight w:val="0"/>
      <w:marTop w:val="0"/>
      <w:marBottom w:val="0"/>
      <w:divBdr>
        <w:top w:val="none" w:sz="0" w:space="0" w:color="auto"/>
        <w:left w:val="none" w:sz="0" w:space="0" w:color="auto"/>
        <w:bottom w:val="none" w:sz="0" w:space="0" w:color="auto"/>
        <w:right w:val="none" w:sz="0" w:space="0" w:color="auto"/>
      </w:divBdr>
    </w:div>
    <w:div w:id="1370959823">
      <w:marLeft w:val="0"/>
      <w:marRight w:val="0"/>
      <w:marTop w:val="0"/>
      <w:marBottom w:val="0"/>
      <w:divBdr>
        <w:top w:val="none" w:sz="0" w:space="0" w:color="auto"/>
        <w:left w:val="none" w:sz="0" w:space="0" w:color="auto"/>
        <w:bottom w:val="none" w:sz="0" w:space="0" w:color="auto"/>
        <w:right w:val="none" w:sz="0" w:space="0" w:color="auto"/>
      </w:divBdr>
      <w:divsChild>
        <w:div w:id="1370959449">
          <w:marLeft w:val="0"/>
          <w:marRight w:val="0"/>
          <w:marTop w:val="0"/>
          <w:marBottom w:val="0"/>
          <w:divBdr>
            <w:top w:val="none" w:sz="0" w:space="0" w:color="auto"/>
            <w:left w:val="none" w:sz="0" w:space="0" w:color="auto"/>
            <w:bottom w:val="none" w:sz="0" w:space="0" w:color="auto"/>
            <w:right w:val="none" w:sz="0" w:space="0" w:color="auto"/>
          </w:divBdr>
          <w:divsChild>
            <w:div w:id="1370959757">
              <w:marLeft w:val="0"/>
              <w:marRight w:val="0"/>
              <w:marTop w:val="0"/>
              <w:marBottom w:val="0"/>
              <w:divBdr>
                <w:top w:val="none" w:sz="0" w:space="0" w:color="auto"/>
                <w:left w:val="none" w:sz="0" w:space="0" w:color="auto"/>
                <w:bottom w:val="none" w:sz="0" w:space="0" w:color="auto"/>
                <w:right w:val="none" w:sz="0" w:space="0" w:color="auto"/>
              </w:divBdr>
              <w:divsChild>
                <w:div w:id="1370959614">
                  <w:marLeft w:val="0"/>
                  <w:marRight w:val="0"/>
                  <w:marTop w:val="0"/>
                  <w:marBottom w:val="0"/>
                  <w:divBdr>
                    <w:top w:val="none" w:sz="0" w:space="0" w:color="auto"/>
                    <w:left w:val="none" w:sz="0" w:space="0" w:color="auto"/>
                    <w:bottom w:val="none" w:sz="0" w:space="0" w:color="auto"/>
                    <w:right w:val="none" w:sz="0" w:space="0" w:color="auto"/>
                  </w:divBdr>
                  <w:divsChild>
                    <w:div w:id="1370959493">
                      <w:marLeft w:val="0"/>
                      <w:marRight w:val="0"/>
                      <w:marTop w:val="0"/>
                      <w:marBottom w:val="0"/>
                      <w:divBdr>
                        <w:top w:val="none" w:sz="0" w:space="0" w:color="auto"/>
                        <w:left w:val="none" w:sz="0" w:space="0" w:color="auto"/>
                        <w:bottom w:val="none" w:sz="0" w:space="0" w:color="auto"/>
                        <w:right w:val="none" w:sz="0" w:space="0" w:color="auto"/>
                      </w:divBdr>
                      <w:divsChild>
                        <w:div w:id="1370959730">
                          <w:marLeft w:val="0"/>
                          <w:marRight w:val="0"/>
                          <w:marTop w:val="0"/>
                          <w:marBottom w:val="0"/>
                          <w:divBdr>
                            <w:top w:val="none" w:sz="0" w:space="0" w:color="auto"/>
                            <w:left w:val="none" w:sz="0" w:space="0" w:color="auto"/>
                            <w:bottom w:val="none" w:sz="0" w:space="0" w:color="auto"/>
                            <w:right w:val="none" w:sz="0" w:space="0" w:color="auto"/>
                          </w:divBdr>
                          <w:divsChild>
                            <w:div w:id="1370959445">
                              <w:marLeft w:val="0"/>
                              <w:marRight w:val="0"/>
                              <w:marTop w:val="0"/>
                              <w:marBottom w:val="0"/>
                              <w:divBdr>
                                <w:top w:val="none" w:sz="0" w:space="0" w:color="auto"/>
                                <w:left w:val="none" w:sz="0" w:space="0" w:color="auto"/>
                                <w:bottom w:val="none" w:sz="0" w:space="0" w:color="auto"/>
                                <w:right w:val="none" w:sz="0" w:space="0" w:color="auto"/>
                              </w:divBdr>
                              <w:divsChild>
                                <w:div w:id="1370959765">
                                  <w:marLeft w:val="0"/>
                                  <w:marRight w:val="0"/>
                                  <w:marTop w:val="0"/>
                                  <w:marBottom w:val="0"/>
                                  <w:divBdr>
                                    <w:top w:val="none" w:sz="0" w:space="0" w:color="auto"/>
                                    <w:left w:val="none" w:sz="0" w:space="0" w:color="auto"/>
                                    <w:bottom w:val="none" w:sz="0" w:space="0" w:color="auto"/>
                                    <w:right w:val="none" w:sz="0" w:space="0" w:color="auto"/>
                                  </w:divBdr>
                                  <w:divsChild>
                                    <w:div w:id="1370959483">
                                      <w:marLeft w:val="0"/>
                                      <w:marRight w:val="0"/>
                                      <w:marTop w:val="0"/>
                                      <w:marBottom w:val="0"/>
                                      <w:divBdr>
                                        <w:top w:val="none" w:sz="0" w:space="0" w:color="auto"/>
                                        <w:left w:val="none" w:sz="0" w:space="0" w:color="auto"/>
                                        <w:bottom w:val="none" w:sz="0" w:space="0" w:color="auto"/>
                                        <w:right w:val="none" w:sz="0" w:space="0" w:color="auto"/>
                                      </w:divBdr>
                                      <w:divsChild>
                                        <w:div w:id="1370959490">
                                          <w:marLeft w:val="0"/>
                                          <w:marRight w:val="0"/>
                                          <w:marTop w:val="0"/>
                                          <w:marBottom w:val="0"/>
                                          <w:divBdr>
                                            <w:top w:val="none" w:sz="0" w:space="0" w:color="auto"/>
                                            <w:left w:val="none" w:sz="0" w:space="0" w:color="auto"/>
                                            <w:bottom w:val="none" w:sz="0" w:space="0" w:color="auto"/>
                                            <w:right w:val="none" w:sz="0" w:space="0" w:color="auto"/>
                                          </w:divBdr>
                                          <w:divsChild>
                                            <w:div w:id="1370959680">
                                              <w:marLeft w:val="0"/>
                                              <w:marRight w:val="0"/>
                                              <w:marTop w:val="0"/>
                                              <w:marBottom w:val="0"/>
                                              <w:divBdr>
                                                <w:top w:val="none" w:sz="0" w:space="0" w:color="auto"/>
                                                <w:left w:val="none" w:sz="0" w:space="0" w:color="auto"/>
                                                <w:bottom w:val="none" w:sz="0" w:space="0" w:color="auto"/>
                                                <w:right w:val="none" w:sz="0" w:space="0" w:color="auto"/>
                                              </w:divBdr>
                                              <w:divsChild>
                                                <w:div w:id="1370959716">
                                                  <w:marLeft w:val="0"/>
                                                  <w:marRight w:val="0"/>
                                                  <w:marTop w:val="0"/>
                                                  <w:marBottom w:val="0"/>
                                                  <w:divBdr>
                                                    <w:top w:val="none" w:sz="0" w:space="0" w:color="auto"/>
                                                    <w:left w:val="none" w:sz="0" w:space="0" w:color="auto"/>
                                                    <w:bottom w:val="none" w:sz="0" w:space="0" w:color="auto"/>
                                                    <w:right w:val="none" w:sz="0" w:space="0" w:color="auto"/>
                                                  </w:divBdr>
                                                  <w:divsChild>
                                                    <w:div w:id="1370959750">
                                                      <w:marLeft w:val="0"/>
                                                      <w:marRight w:val="0"/>
                                                      <w:marTop w:val="0"/>
                                                      <w:marBottom w:val="0"/>
                                                      <w:divBdr>
                                                        <w:top w:val="none" w:sz="0" w:space="0" w:color="auto"/>
                                                        <w:left w:val="none" w:sz="0" w:space="0" w:color="auto"/>
                                                        <w:bottom w:val="none" w:sz="0" w:space="0" w:color="auto"/>
                                                        <w:right w:val="none" w:sz="0" w:space="0" w:color="auto"/>
                                                      </w:divBdr>
                                                      <w:divsChild>
                                                        <w:div w:id="137095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59826">
      <w:marLeft w:val="0"/>
      <w:marRight w:val="0"/>
      <w:marTop w:val="0"/>
      <w:marBottom w:val="0"/>
      <w:divBdr>
        <w:top w:val="none" w:sz="0" w:space="0" w:color="auto"/>
        <w:left w:val="none" w:sz="0" w:space="0" w:color="auto"/>
        <w:bottom w:val="none" w:sz="0" w:space="0" w:color="auto"/>
        <w:right w:val="none" w:sz="0" w:space="0" w:color="auto"/>
      </w:divBdr>
    </w:div>
    <w:div w:id="1370959827">
      <w:marLeft w:val="0"/>
      <w:marRight w:val="0"/>
      <w:marTop w:val="0"/>
      <w:marBottom w:val="0"/>
      <w:divBdr>
        <w:top w:val="none" w:sz="0" w:space="0" w:color="auto"/>
        <w:left w:val="none" w:sz="0" w:space="0" w:color="auto"/>
        <w:bottom w:val="none" w:sz="0" w:space="0" w:color="auto"/>
        <w:right w:val="none" w:sz="0" w:space="0" w:color="auto"/>
      </w:divBdr>
      <w:divsChild>
        <w:div w:id="1370959735">
          <w:marLeft w:val="0"/>
          <w:marRight w:val="0"/>
          <w:marTop w:val="0"/>
          <w:marBottom w:val="0"/>
          <w:divBdr>
            <w:top w:val="none" w:sz="0" w:space="0" w:color="auto"/>
            <w:left w:val="none" w:sz="0" w:space="0" w:color="auto"/>
            <w:bottom w:val="none" w:sz="0" w:space="0" w:color="auto"/>
            <w:right w:val="none" w:sz="0" w:space="0" w:color="auto"/>
          </w:divBdr>
          <w:divsChild>
            <w:div w:id="1370959791">
              <w:marLeft w:val="-150"/>
              <w:marRight w:val="0"/>
              <w:marTop w:val="0"/>
              <w:marBottom w:val="0"/>
              <w:divBdr>
                <w:top w:val="none" w:sz="0" w:space="0" w:color="auto"/>
                <w:left w:val="none" w:sz="0" w:space="0" w:color="auto"/>
                <w:bottom w:val="none" w:sz="0" w:space="0" w:color="auto"/>
                <w:right w:val="none" w:sz="0" w:space="0" w:color="auto"/>
              </w:divBdr>
              <w:divsChild>
                <w:div w:id="1370959685">
                  <w:marLeft w:val="0"/>
                  <w:marRight w:val="0"/>
                  <w:marTop w:val="0"/>
                  <w:marBottom w:val="0"/>
                  <w:divBdr>
                    <w:top w:val="none" w:sz="0" w:space="0" w:color="auto"/>
                    <w:left w:val="none" w:sz="0" w:space="0" w:color="auto"/>
                    <w:bottom w:val="none" w:sz="0" w:space="0" w:color="auto"/>
                    <w:right w:val="none" w:sz="0" w:space="0" w:color="auto"/>
                  </w:divBdr>
                  <w:divsChild>
                    <w:div w:id="1370959593">
                      <w:marLeft w:val="0"/>
                      <w:marRight w:val="0"/>
                      <w:marTop w:val="0"/>
                      <w:marBottom w:val="0"/>
                      <w:divBdr>
                        <w:top w:val="none" w:sz="0" w:space="0" w:color="auto"/>
                        <w:left w:val="none" w:sz="0" w:space="0" w:color="auto"/>
                        <w:bottom w:val="none" w:sz="0" w:space="0" w:color="auto"/>
                        <w:right w:val="none" w:sz="0" w:space="0" w:color="auto"/>
                      </w:divBdr>
                      <w:divsChild>
                        <w:div w:id="1370959492">
                          <w:marLeft w:val="0"/>
                          <w:marRight w:val="0"/>
                          <w:marTop w:val="0"/>
                          <w:marBottom w:val="0"/>
                          <w:divBdr>
                            <w:top w:val="none" w:sz="0" w:space="0" w:color="auto"/>
                            <w:left w:val="none" w:sz="0" w:space="0" w:color="auto"/>
                            <w:bottom w:val="none" w:sz="0" w:space="0" w:color="auto"/>
                            <w:right w:val="none" w:sz="0" w:space="0" w:color="auto"/>
                          </w:divBdr>
                          <w:divsChild>
                            <w:div w:id="1370959820">
                              <w:marLeft w:val="0"/>
                              <w:marRight w:val="0"/>
                              <w:marTop w:val="0"/>
                              <w:marBottom w:val="0"/>
                              <w:divBdr>
                                <w:top w:val="none" w:sz="0" w:space="0" w:color="auto"/>
                                <w:left w:val="none" w:sz="0" w:space="0" w:color="auto"/>
                                <w:bottom w:val="none" w:sz="0" w:space="0" w:color="auto"/>
                                <w:right w:val="none" w:sz="0" w:space="0" w:color="auto"/>
                              </w:divBdr>
                              <w:divsChild>
                                <w:div w:id="1370959506">
                                  <w:marLeft w:val="0"/>
                                  <w:marRight w:val="0"/>
                                  <w:marTop w:val="0"/>
                                  <w:marBottom w:val="0"/>
                                  <w:divBdr>
                                    <w:top w:val="none" w:sz="0" w:space="0" w:color="auto"/>
                                    <w:left w:val="none" w:sz="0" w:space="0" w:color="auto"/>
                                    <w:bottom w:val="none" w:sz="0" w:space="0" w:color="auto"/>
                                    <w:right w:val="none" w:sz="0" w:space="0" w:color="auto"/>
                                  </w:divBdr>
                                  <w:divsChild>
                                    <w:div w:id="13709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959828">
      <w:marLeft w:val="0"/>
      <w:marRight w:val="0"/>
      <w:marTop w:val="0"/>
      <w:marBottom w:val="0"/>
      <w:divBdr>
        <w:top w:val="none" w:sz="0" w:space="0" w:color="auto"/>
        <w:left w:val="none" w:sz="0" w:space="0" w:color="auto"/>
        <w:bottom w:val="none" w:sz="0" w:space="0" w:color="auto"/>
        <w:right w:val="none" w:sz="0" w:space="0" w:color="auto"/>
      </w:divBdr>
    </w:div>
    <w:div w:id="1370959829">
      <w:marLeft w:val="0"/>
      <w:marRight w:val="0"/>
      <w:marTop w:val="0"/>
      <w:marBottom w:val="0"/>
      <w:divBdr>
        <w:top w:val="none" w:sz="0" w:space="0" w:color="auto"/>
        <w:left w:val="none" w:sz="0" w:space="0" w:color="auto"/>
        <w:bottom w:val="none" w:sz="0" w:space="0" w:color="auto"/>
        <w:right w:val="none" w:sz="0" w:space="0" w:color="auto"/>
      </w:divBdr>
    </w:div>
    <w:div w:id="1370959835">
      <w:marLeft w:val="0"/>
      <w:marRight w:val="0"/>
      <w:marTop w:val="0"/>
      <w:marBottom w:val="0"/>
      <w:divBdr>
        <w:top w:val="none" w:sz="0" w:space="0" w:color="auto"/>
        <w:left w:val="none" w:sz="0" w:space="0" w:color="auto"/>
        <w:bottom w:val="none" w:sz="0" w:space="0" w:color="auto"/>
        <w:right w:val="none" w:sz="0" w:space="0" w:color="auto"/>
      </w:divBdr>
    </w:div>
    <w:div w:id="1370959836">
      <w:marLeft w:val="0"/>
      <w:marRight w:val="0"/>
      <w:marTop w:val="0"/>
      <w:marBottom w:val="0"/>
      <w:divBdr>
        <w:top w:val="none" w:sz="0" w:space="0" w:color="auto"/>
        <w:left w:val="none" w:sz="0" w:space="0" w:color="auto"/>
        <w:bottom w:val="none" w:sz="0" w:space="0" w:color="auto"/>
        <w:right w:val="none" w:sz="0" w:space="0" w:color="auto"/>
      </w:divBdr>
    </w:div>
    <w:div w:id="1370959837">
      <w:marLeft w:val="0"/>
      <w:marRight w:val="0"/>
      <w:marTop w:val="0"/>
      <w:marBottom w:val="0"/>
      <w:divBdr>
        <w:top w:val="none" w:sz="0" w:space="0" w:color="auto"/>
        <w:left w:val="none" w:sz="0" w:space="0" w:color="auto"/>
        <w:bottom w:val="none" w:sz="0" w:space="0" w:color="auto"/>
        <w:right w:val="none" w:sz="0" w:space="0" w:color="auto"/>
      </w:divBdr>
    </w:div>
    <w:div w:id="1370959839">
      <w:marLeft w:val="0"/>
      <w:marRight w:val="0"/>
      <w:marTop w:val="0"/>
      <w:marBottom w:val="0"/>
      <w:divBdr>
        <w:top w:val="none" w:sz="0" w:space="0" w:color="auto"/>
        <w:left w:val="none" w:sz="0" w:space="0" w:color="auto"/>
        <w:bottom w:val="none" w:sz="0" w:space="0" w:color="auto"/>
        <w:right w:val="none" w:sz="0" w:space="0" w:color="auto"/>
      </w:divBdr>
    </w:div>
    <w:div w:id="1370959840">
      <w:marLeft w:val="0"/>
      <w:marRight w:val="0"/>
      <w:marTop w:val="0"/>
      <w:marBottom w:val="0"/>
      <w:divBdr>
        <w:top w:val="none" w:sz="0" w:space="0" w:color="auto"/>
        <w:left w:val="none" w:sz="0" w:space="0" w:color="auto"/>
        <w:bottom w:val="none" w:sz="0" w:space="0" w:color="auto"/>
        <w:right w:val="none" w:sz="0" w:space="0" w:color="auto"/>
      </w:divBdr>
    </w:div>
    <w:div w:id="1370959841">
      <w:marLeft w:val="0"/>
      <w:marRight w:val="0"/>
      <w:marTop w:val="0"/>
      <w:marBottom w:val="0"/>
      <w:divBdr>
        <w:top w:val="none" w:sz="0" w:space="0" w:color="auto"/>
        <w:left w:val="none" w:sz="0" w:space="0" w:color="auto"/>
        <w:bottom w:val="none" w:sz="0" w:space="0" w:color="auto"/>
        <w:right w:val="none" w:sz="0" w:space="0" w:color="auto"/>
      </w:divBdr>
    </w:div>
    <w:div w:id="1370959843">
      <w:marLeft w:val="0"/>
      <w:marRight w:val="0"/>
      <w:marTop w:val="0"/>
      <w:marBottom w:val="0"/>
      <w:divBdr>
        <w:top w:val="none" w:sz="0" w:space="0" w:color="auto"/>
        <w:left w:val="none" w:sz="0" w:space="0" w:color="auto"/>
        <w:bottom w:val="none" w:sz="0" w:space="0" w:color="auto"/>
        <w:right w:val="none" w:sz="0" w:space="0" w:color="auto"/>
      </w:divBdr>
    </w:div>
    <w:div w:id="1370959844">
      <w:marLeft w:val="0"/>
      <w:marRight w:val="0"/>
      <w:marTop w:val="0"/>
      <w:marBottom w:val="0"/>
      <w:divBdr>
        <w:top w:val="none" w:sz="0" w:space="0" w:color="auto"/>
        <w:left w:val="none" w:sz="0" w:space="0" w:color="auto"/>
        <w:bottom w:val="none" w:sz="0" w:space="0" w:color="auto"/>
        <w:right w:val="none" w:sz="0" w:space="0" w:color="auto"/>
      </w:divBdr>
    </w:div>
    <w:div w:id="1370959845">
      <w:marLeft w:val="0"/>
      <w:marRight w:val="0"/>
      <w:marTop w:val="0"/>
      <w:marBottom w:val="0"/>
      <w:divBdr>
        <w:top w:val="none" w:sz="0" w:space="0" w:color="auto"/>
        <w:left w:val="none" w:sz="0" w:space="0" w:color="auto"/>
        <w:bottom w:val="none" w:sz="0" w:space="0" w:color="auto"/>
        <w:right w:val="none" w:sz="0" w:space="0" w:color="auto"/>
      </w:divBdr>
    </w:div>
    <w:div w:id="1370959846">
      <w:marLeft w:val="0"/>
      <w:marRight w:val="0"/>
      <w:marTop w:val="0"/>
      <w:marBottom w:val="0"/>
      <w:divBdr>
        <w:top w:val="none" w:sz="0" w:space="0" w:color="auto"/>
        <w:left w:val="none" w:sz="0" w:space="0" w:color="auto"/>
        <w:bottom w:val="none" w:sz="0" w:space="0" w:color="auto"/>
        <w:right w:val="none" w:sz="0" w:space="0" w:color="auto"/>
      </w:divBdr>
    </w:div>
    <w:div w:id="1370959847">
      <w:marLeft w:val="0"/>
      <w:marRight w:val="0"/>
      <w:marTop w:val="0"/>
      <w:marBottom w:val="0"/>
      <w:divBdr>
        <w:top w:val="none" w:sz="0" w:space="0" w:color="auto"/>
        <w:left w:val="none" w:sz="0" w:space="0" w:color="auto"/>
        <w:bottom w:val="none" w:sz="0" w:space="0" w:color="auto"/>
        <w:right w:val="none" w:sz="0" w:space="0" w:color="auto"/>
      </w:divBdr>
    </w:div>
    <w:div w:id="1370959849">
      <w:marLeft w:val="0"/>
      <w:marRight w:val="0"/>
      <w:marTop w:val="0"/>
      <w:marBottom w:val="0"/>
      <w:divBdr>
        <w:top w:val="none" w:sz="0" w:space="0" w:color="auto"/>
        <w:left w:val="none" w:sz="0" w:space="0" w:color="auto"/>
        <w:bottom w:val="none" w:sz="0" w:space="0" w:color="auto"/>
        <w:right w:val="none" w:sz="0" w:space="0" w:color="auto"/>
      </w:divBdr>
    </w:div>
    <w:div w:id="1370959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21.emf"/><Relationship Id="rId21" Type="http://schemas.openxmlformats.org/officeDocument/2006/relationships/image" Target="media/image12.png"/><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5.emf"/><Relationship Id="rId50" Type="http://schemas.openxmlformats.org/officeDocument/2006/relationships/oleObject" Target="embeddings/oleObject18.bin"/><Relationship Id="rId55" Type="http://schemas.openxmlformats.org/officeDocument/2006/relationships/hyperlink" Target="http://dx.doi.org/10.54097/ehss.v16i.9603" TargetMode="External"/><Relationship Id="rId63" Type="http://schemas.openxmlformats.org/officeDocument/2006/relationships/hyperlink" Target="https://www.researchgate.net/publication/367670625_'Safe_Assets'_during_COVID-19_A_Portfolio_Management_Perspective" TargetMode="External"/><Relationship Id="rId68" Type="http://schemas.openxmlformats.org/officeDocument/2006/relationships/hyperlink" Target="https://www.msci.com/documents/10199/a71b65b5-d0ea-4b5c-a709-24b1213bc3c5"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msci.com/" TargetMode="Externa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6.png"/><Relationship Id="rId11" Type="http://schemas.openxmlformats.org/officeDocument/2006/relationships/image" Target="media/image5.png"/><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20.emf"/><Relationship Id="rId40" Type="http://schemas.openxmlformats.org/officeDocument/2006/relationships/oleObject" Target="embeddings/oleObject13.bin"/><Relationship Id="rId45" Type="http://schemas.openxmlformats.org/officeDocument/2006/relationships/image" Target="media/image24.emf"/><Relationship Id="rId53" Type="http://schemas.openxmlformats.org/officeDocument/2006/relationships/image" Target="media/image28.png"/><Relationship Id="rId58" Type="http://schemas.openxmlformats.org/officeDocument/2006/relationships/hyperlink" Target="https://doi.org/10.1016/0304-405X(93)90023-5" TargetMode="External"/><Relationship Id="rId66" Type="http://schemas.openxmlformats.org/officeDocument/2006/relationships/hyperlink" Target="https://doi.org/10.1016/j.frl.2022.103204" TargetMode="Externa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6.emf"/><Relationship Id="rId57" Type="http://schemas.openxmlformats.org/officeDocument/2006/relationships/hyperlink" Target="https://arxiv.org/abs/2406.15582" TargetMode="External"/><Relationship Id="rId61" Type="http://schemas.openxmlformats.org/officeDocument/2006/relationships/hyperlink" Target="http://dx.doi.org/10.3390/jrfm1712053" TargetMode="External"/><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png"/><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hyperlink" Target="https://doi.org/10.1002/ijfe.2217" TargetMode="External"/><Relationship Id="rId65" Type="http://schemas.openxmlformats.org/officeDocument/2006/relationships/hyperlink" Target="https://doi.org/10.1080/0015198X.2020.1779498" TargetMode="External"/><Relationship Id="rId73" Type="http://schemas.openxmlformats.org/officeDocument/2006/relationships/image" Target="media/image29.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embeddings/oleObject4.bin"/><Relationship Id="rId27" Type="http://schemas.openxmlformats.org/officeDocument/2006/relationships/image" Target="media/image15.emf"/><Relationship Id="rId30" Type="http://schemas.openxmlformats.org/officeDocument/2006/relationships/oleObject" Target="embeddings/oleObject8.bin"/><Relationship Id="rId35" Type="http://schemas.openxmlformats.org/officeDocument/2006/relationships/image" Target="media/image19.emf"/><Relationship Id="rId43" Type="http://schemas.openxmlformats.org/officeDocument/2006/relationships/image" Target="media/image23.emf"/><Relationship Id="rId48" Type="http://schemas.openxmlformats.org/officeDocument/2006/relationships/oleObject" Target="embeddings/oleObject17.bin"/><Relationship Id="rId56" Type="http://schemas.openxmlformats.org/officeDocument/2006/relationships/hyperlink" Target="https://doi.org/10.48550/arXiv.1511.07101" TargetMode="External"/><Relationship Id="rId64" Type="http://schemas.openxmlformats.org/officeDocument/2006/relationships/hyperlink" Target="https://www.ncbi.nlm.nih.gov/pmc/articles/PMC7995012/" TargetMode="External"/><Relationship Id="rId69" Type="http://schemas.openxmlformats.org/officeDocument/2006/relationships/hyperlink" Target="https://www.gartner.com/en" TargetMode="External"/><Relationship Id="rId8" Type="http://schemas.openxmlformats.org/officeDocument/2006/relationships/image" Target="media/image2.png"/><Relationship Id="rId51" Type="http://schemas.openxmlformats.org/officeDocument/2006/relationships/image" Target="media/image27.emf"/><Relationship Id="rId72" Type="http://schemas.openxmlformats.org/officeDocument/2006/relationships/hyperlink" Target="https://www.statista.com/statistics/256598/global-inflation-rate-compared-to-previous-year/"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hyperlink" Target="https://doi.org/10.1111/j.1540-6261.1952.tb01525.x" TargetMode="External"/><Relationship Id="rId67" Type="http://schemas.openxmlformats.org/officeDocument/2006/relationships/hyperlink" Target="https://www.emerald.com/insight/content/doi/10.1108/jcms-03-2023-0008/full/html" TargetMode="External"/><Relationship Id="rId20" Type="http://schemas.openxmlformats.org/officeDocument/2006/relationships/oleObject" Target="embeddings/oleObject3.bin"/><Relationship Id="rId41" Type="http://schemas.openxmlformats.org/officeDocument/2006/relationships/image" Target="media/image22.png"/><Relationship Id="rId54" Type="http://schemas.openxmlformats.org/officeDocument/2006/relationships/oleObject" Target="embeddings/oleObject20.bin"/><Relationship Id="rId62" Type="http://schemas.openxmlformats.org/officeDocument/2006/relationships/hyperlink" Target="https://www.researchgate.net/publication/387558292_AI-Powered_Portfolio_Diversification_Beyond_Modern_Portfolio_Theory" TargetMode="External"/><Relationship Id="rId70" Type="http://schemas.openxmlformats.org/officeDocument/2006/relationships/hyperlink" Target="https://www.statista.com/statistics/254266/global-big-data-market-forecast/"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72</Pages>
  <Words>16382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Petrova</dc:creator>
  <cp:keywords/>
  <dc:description/>
  <cp:lastModifiedBy>admin</cp:lastModifiedBy>
  <cp:revision>1123</cp:revision>
  <dcterms:created xsi:type="dcterms:W3CDTF">2025-01-10T13:33:00Z</dcterms:created>
  <dcterms:modified xsi:type="dcterms:W3CDTF">2025-06-13T07:53:00Z</dcterms:modified>
</cp:coreProperties>
</file>