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</w:pP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Одеський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національний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університет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імені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І. І. Мечникова</w:t>
      </w:r>
    </w:p>
    <w:p w:rsidR="001B6FE4" w:rsidRPr="00226140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</w:pPr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(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повне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 xml:space="preserve"> 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найменування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 xml:space="preserve"> 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вищого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 xml:space="preserve"> 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навчального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 xml:space="preserve"> закладу)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>Факультет міжнародних відносин, політології та соціології</w:t>
      </w:r>
    </w:p>
    <w:p w:rsidR="001B6FE4" w:rsidRPr="00226140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</w:pPr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(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повне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 xml:space="preserve"> 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найменування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 xml:space="preserve"> 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інституту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/факультету)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Кафедра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>міжнародних відносин</w:t>
      </w:r>
    </w:p>
    <w:p w:rsidR="001B6FE4" w:rsidRPr="00226140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</w:pPr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(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повна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 xml:space="preserve"> 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назва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 xml:space="preserve"> </w:t>
      </w:r>
      <w:proofErr w:type="spellStart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кафедри</w:t>
      </w:r>
      <w:proofErr w:type="spellEnd"/>
      <w:r w:rsidRPr="00226140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</w:rPr>
        <w:t>)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pacing w:val="60"/>
          <w:sz w:val="28"/>
          <w:szCs w:val="28"/>
          <w:bdr w:val="none" w:sz="0" w:space="0" w:color="auto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60"/>
          <w:sz w:val="28"/>
          <w:szCs w:val="28"/>
          <w:bdr w:val="none" w:sz="0" w:space="0" w:color="auto"/>
        </w:rPr>
      </w:pPr>
      <w:proofErr w:type="spellStart"/>
      <w:r w:rsidRPr="00153172">
        <w:rPr>
          <w:rFonts w:ascii="Times New Roman" w:eastAsia="Times New Roman" w:hAnsi="Times New Roman" w:cs="Times New Roman"/>
          <w:b/>
          <w:color w:val="000000" w:themeColor="text1"/>
          <w:spacing w:val="60"/>
          <w:sz w:val="28"/>
          <w:szCs w:val="28"/>
          <w:bdr w:val="none" w:sz="0" w:space="0" w:color="auto"/>
        </w:rPr>
        <w:t>Дипломна</w:t>
      </w:r>
      <w:proofErr w:type="spellEnd"/>
      <w:r w:rsidRPr="00153172">
        <w:rPr>
          <w:rFonts w:ascii="Times New Roman" w:eastAsia="Times New Roman" w:hAnsi="Times New Roman" w:cs="Times New Roman"/>
          <w:b/>
          <w:color w:val="000000" w:themeColor="text1"/>
          <w:spacing w:val="60"/>
          <w:sz w:val="28"/>
          <w:szCs w:val="28"/>
          <w:bdr w:val="none" w:sz="0" w:space="0" w:color="auto"/>
        </w:rPr>
        <w:t xml:space="preserve"> робота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>бакалавра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на тему: </w:t>
      </w:r>
      <w:r w:rsidRPr="001531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/>
        </w:rPr>
        <w:t>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>Вплив курдського фактор</w:t>
      </w:r>
      <w:r w:rsidRPr="001531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 xml:space="preserve">у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>на зовнішню політику</w:t>
      </w:r>
      <w:r w:rsidRPr="001531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 xml:space="preserve"> Туреччини</w:t>
      </w:r>
      <w:r w:rsidRPr="001531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/>
        </w:rPr>
        <w:t>»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en-US"/>
        </w:rPr>
        <w:t>«</w:t>
      </w:r>
      <w:r w:rsidRPr="00674A95">
        <w:rPr>
          <w:lang w:val="en-US"/>
        </w:rPr>
        <w:t xml:space="preserve"> </w:t>
      </w:r>
      <w:r w:rsidRPr="00674A9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en-US"/>
        </w:rPr>
        <w:t>Influence of the Kurdish factor on Turkey's foreign policy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en-US"/>
        </w:rPr>
        <w:t>»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en-US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en-US"/>
        </w:rPr>
        <w:t xml:space="preserve">                                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ab/>
        <w:t xml:space="preserve">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Виконала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: студентка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4 курсу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ab/>
        <w:t xml:space="preserve">             денної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форми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навчання</w:t>
      </w:r>
      <w:proofErr w:type="spellEnd"/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     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ab/>
        <w:t xml:space="preserve">            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напряму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підготовки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vertAlign w:val="subscript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</w:t>
      </w:r>
      <w:proofErr w:type="gram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</w:rPr>
        <w:t>6.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>030201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</w:rPr>
        <w:t xml:space="preserve">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 xml:space="preserve"> М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</w:rPr>
        <w:t>іжнародні</w:t>
      </w:r>
      <w:proofErr w:type="spellEnd"/>
      <w:proofErr w:type="gram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</w:rPr>
        <w:t xml:space="preserve">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</w:rPr>
        <w:t>відносини</w:t>
      </w:r>
      <w:proofErr w:type="spellEnd"/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20" w:lineRule="auto"/>
        <w:ind w:left="282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  <w:t xml:space="preserve">                   (шифр і назва напряму підготовки або спеціальності)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    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ab/>
        <w:t xml:space="preserve">            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>Суханова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 xml:space="preserve"> Тетяна Олегівна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2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  <w:tab/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  <w:tab/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  <w:tab/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  <w:tab/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  <w:tab/>
        <w:t xml:space="preserve">     (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  <w:t>прізвище,ім’я,по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  <w:t>-батькові)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68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vertAlign w:val="subscript"/>
          <w:lang w:val="uk-UA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68" w:lineRule="auto"/>
        <w:ind w:left="2124" w:firstLine="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Керівник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 xml:space="preserve">.викладач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>Побле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 xml:space="preserve"> Д.К.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eastAsia="en-US"/>
        </w:rPr>
        <w:tab/>
      </w:r>
    </w:p>
    <w:p w:rsidR="001B6FE4" w:rsidRPr="00BA4FE1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68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vertAlign w:val="subscript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                     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     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</w:t>
      </w:r>
      <w:r w:rsidRPr="00BA4FE1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lang w:val="uk-UA"/>
        </w:rPr>
        <w:t xml:space="preserve">(науковий ступінь, вчене </w:t>
      </w:r>
      <w:proofErr w:type="spellStart"/>
      <w:r w:rsidRPr="00BA4FE1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lang w:val="uk-UA"/>
        </w:rPr>
        <w:t>звання,прізвище</w:t>
      </w:r>
      <w:proofErr w:type="spellEnd"/>
      <w:r w:rsidRPr="00BA4FE1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lang w:val="uk-UA"/>
        </w:rPr>
        <w:t xml:space="preserve"> та ініціали, підпис)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245"/>
          <w:tab w:val="right" w:pos="9355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</w:pP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 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  </w:t>
      </w:r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  <w:lang w:val="uk-UA"/>
        </w:rPr>
        <w:t xml:space="preserve">Рецензент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>к.істор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 xml:space="preserve">. н., доц. </w:t>
      </w:r>
      <w:proofErr w:type="spellStart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>Покась</w:t>
      </w:r>
      <w:proofErr w:type="spellEnd"/>
      <w:r w:rsidRPr="0015317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/>
          <w:lang w:val="uk-UA"/>
        </w:rPr>
        <w:t xml:space="preserve"> М.С.</w:t>
      </w:r>
    </w:p>
    <w:p w:rsidR="001B6FE4" w:rsidRPr="00BA4FE1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245"/>
          <w:tab w:val="right" w:pos="9355"/>
        </w:tabs>
        <w:spacing w:before="120" w:after="0" w:line="12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vertAlign w:val="subscript"/>
          <w:lang w:val="uk-UA"/>
        </w:rPr>
      </w:pPr>
      <w:r w:rsidRPr="00BA4FE1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vertAlign w:val="subscript"/>
          <w:lang w:val="uk-UA"/>
        </w:rPr>
        <w:t xml:space="preserve">                                                   </w:t>
      </w:r>
      <w:r w:rsidRPr="00BA4FE1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lang w:val="uk-UA"/>
        </w:rPr>
        <w:t xml:space="preserve">                                       </w:t>
      </w:r>
      <w:r w:rsidRPr="00BA4FE1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lang w:val="uk-UA"/>
        </w:rPr>
        <w:t xml:space="preserve">  (науковий ступінь, вчене </w:t>
      </w:r>
      <w:proofErr w:type="spellStart"/>
      <w:r w:rsidRPr="00BA4FE1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lang w:val="uk-UA"/>
        </w:rPr>
        <w:t>звання,прізвище</w:t>
      </w:r>
      <w:proofErr w:type="spellEnd"/>
      <w:r w:rsidRPr="00BA4FE1">
        <w:rPr>
          <w:rFonts w:ascii="Times New Roman" w:eastAsia="Times New Roman" w:hAnsi="Times New Roman" w:cs="Times New Roman"/>
          <w:color w:val="000000" w:themeColor="text1"/>
          <w:sz w:val="20"/>
          <w:szCs w:val="28"/>
          <w:bdr w:val="none" w:sz="0" w:space="0" w:color="auto"/>
          <w:lang w:val="uk-UA"/>
        </w:rPr>
        <w:t xml:space="preserve"> та ініціали)</w:t>
      </w: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245"/>
          <w:tab w:val="right" w:pos="9355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3969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753"/>
        <w:gridCol w:w="4592"/>
      </w:tblGrid>
      <w:tr w:rsidR="001B6FE4" w:rsidRPr="00153172" w:rsidTr="00E1039E">
        <w:trPr>
          <w:jc w:val="center"/>
        </w:trPr>
        <w:tc>
          <w:tcPr>
            <w:tcW w:w="4967" w:type="dxa"/>
            <w:hideMark/>
          </w:tcPr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</w:pP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Рекомендовано до </w:t>
            </w:r>
            <w:proofErr w:type="spellStart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захисту</w:t>
            </w:r>
            <w:proofErr w:type="spellEnd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:</w:t>
            </w:r>
          </w:p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</w:pP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Протокол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  <w:t xml:space="preserve"> </w:t>
            </w:r>
            <w:proofErr w:type="spellStart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засідання</w:t>
            </w:r>
            <w:proofErr w:type="spellEnd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 </w:t>
            </w:r>
            <w:proofErr w:type="spellStart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кафедри</w:t>
            </w:r>
            <w:proofErr w:type="spellEnd"/>
          </w:p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</w:pP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№ ___ </w:t>
            </w:r>
            <w:proofErr w:type="spellStart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від</w:t>
            </w:r>
            <w:proofErr w:type="spellEnd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 ___________ р. </w:t>
            </w:r>
          </w:p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0"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</w:pP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Зав</w:t>
            </w:r>
            <w:proofErr w:type="spellStart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  <w:t>ідувач</w:t>
            </w:r>
            <w:proofErr w:type="spellEnd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 кафедр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  <w:t>и</w:t>
            </w:r>
          </w:p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/>
                <w:lang w:val="uk-UA" w:eastAsia="en-US"/>
              </w:rPr>
            </w:pP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/>
                <w:lang w:eastAsia="en-US"/>
              </w:rPr>
              <w:tab/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   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  <w:t>Брусиловська О.І.</w:t>
            </w:r>
          </w:p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</w:pP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ab/>
            </w:r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>(</w:t>
            </w:r>
            <w:proofErr w:type="spellStart"/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>підпис</w:t>
            </w:r>
            <w:proofErr w:type="spellEnd"/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>)</w:t>
            </w:r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ab/>
            </w:r>
          </w:p>
        </w:tc>
        <w:tc>
          <w:tcPr>
            <w:tcW w:w="4678" w:type="dxa"/>
            <w:hideMark/>
          </w:tcPr>
          <w:p w:rsidR="001B6FE4" w:rsidRPr="00ED72C9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</w:pPr>
            <w:proofErr w:type="spellStart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Захищено</w:t>
            </w:r>
            <w:proofErr w:type="spellEnd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 на </w:t>
            </w:r>
            <w:proofErr w:type="spellStart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засіданні</w:t>
            </w:r>
            <w:proofErr w:type="spellEnd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 ЕК №_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  <w:t>_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/>
                <w:lang w:val="uk-UA" w:eastAsia="en-US"/>
              </w:rPr>
              <w:t>3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  <w:t xml:space="preserve"> 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протокол № ___ </w:t>
            </w:r>
            <w:proofErr w:type="spellStart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від</w:t>
            </w:r>
            <w:proofErr w:type="spellEnd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 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  <w:t>____________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р.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ab/>
            </w:r>
          </w:p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</w:pPr>
            <w:proofErr w:type="spellStart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Оцінка</w:t>
            </w:r>
            <w:proofErr w:type="spellEnd"/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>______________/___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ab/>
              <w:t>___/____</w:t>
            </w:r>
          </w:p>
          <w:p w:rsidR="001B6FE4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</w:pPr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 xml:space="preserve">(за </w:t>
            </w:r>
            <w:proofErr w:type="spellStart"/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>національною</w:t>
            </w:r>
            <w:proofErr w:type="spellEnd"/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 xml:space="preserve"> шкалою, шкалою ЕСТ</w:t>
            </w:r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val="en-US" w:eastAsia="en-US"/>
              </w:rPr>
              <w:t>S</w:t>
            </w:r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 xml:space="preserve">, </w:t>
            </w:r>
            <w:proofErr w:type="spellStart"/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>бали</w:t>
            </w:r>
            <w:proofErr w:type="spellEnd"/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>)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br/>
            </w:r>
          </w:p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</w:pP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Голова ЕК </w:t>
            </w:r>
          </w:p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360"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/>
                <w:lang w:val="uk-UA" w:eastAsia="en-US"/>
              </w:rPr>
            </w:pP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/>
                <w:lang w:eastAsia="en-US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/>
                <w:lang w:eastAsia="en-US"/>
              </w:rPr>
              <w:t xml:space="preserve">      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 xml:space="preserve">  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val="uk-UA" w:eastAsia="en-US"/>
              </w:rPr>
              <w:t>Брусиловська О.І.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/>
                <w:lang w:val="uk-UA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/>
                <w:lang w:val="uk-UA" w:eastAsia="en-US"/>
              </w:rPr>
              <w:br/>
            </w:r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>(</w:t>
            </w:r>
            <w:proofErr w:type="spellStart"/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>підпис</w:t>
            </w:r>
            <w:proofErr w:type="spellEnd"/>
            <w:r w:rsidRPr="00BA4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8"/>
                <w:bdr w:val="none" w:sz="0" w:space="0" w:color="auto"/>
                <w:lang w:eastAsia="en-US"/>
              </w:rPr>
              <w:t>)</w:t>
            </w:r>
            <w:r w:rsidRPr="001531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  <w:tab/>
            </w:r>
          </w:p>
        </w:tc>
      </w:tr>
      <w:tr w:rsidR="001B6FE4" w:rsidRPr="00153172" w:rsidTr="00E1039E">
        <w:trPr>
          <w:jc w:val="center"/>
        </w:trPr>
        <w:tc>
          <w:tcPr>
            <w:tcW w:w="4967" w:type="dxa"/>
          </w:tcPr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</w:pPr>
          </w:p>
        </w:tc>
        <w:tc>
          <w:tcPr>
            <w:tcW w:w="4678" w:type="dxa"/>
          </w:tcPr>
          <w:p w:rsidR="001B6FE4" w:rsidRPr="00153172" w:rsidRDefault="001B6FE4" w:rsidP="00E103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/>
                <w:lang w:eastAsia="en-US"/>
              </w:rPr>
            </w:pPr>
          </w:p>
        </w:tc>
      </w:tr>
    </w:tbl>
    <w:p w:rsidR="001B6FE4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</w:rPr>
      </w:pPr>
    </w:p>
    <w:p w:rsidR="001B6FE4" w:rsidRPr="00153172" w:rsidRDefault="001B6FE4" w:rsidP="001B6F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  <w:lang w:val="uk-UA"/>
        </w:rPr>
        <w:sectPr w:rsidR="001B6FE4" w:rsidRPr="00153172" w:rsidSect="009F7C13">
          <w:headerReference w:type="default" r:id="rId7"/>
          <w:pgSz w:w="11900" w:h="16840"/>
          <w:pgMar w:top="1134" w:right="851" w:bottom="1134" w:left="1985" w:header="709" w:footer="709" w:gutter="0"/>
          <w:cols w:space="720"/>
          <w:titlePg/>
          <w:docGrid w:linePitch="299"/>
        </w:sectPr>
      </w:pPr>
      <w:r w:rsidRPr="001531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</w:rPr>
        <w:t>Одеса – 201</w:t>
      </w:r>
      <w:r w:rsidRPr="001531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  <w:lang w:val="uk-UA"/>
        </w:rPr>
        <w:t>8</w:t>
      </w:r>
    </w:p>
    <w:p w:rsidR="001B6FE4" w:rsidRPr="002D1B4C" w:rsidRDefault="001B6FE4" w:rsidP="001B6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D1B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:rsidR="001B6FE4" w:rsidRPr="00153172" w:rsidRDefault="001B6FE4" w:rsidP="001B6F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296F15" w:rsidRDefault="001B6FE4" w:rsidP="001B6FE4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6F15">
        <w:rPr>
          <w:rFonts w:ascii="Times New Roman" w:hAnsi="Times New Roman" w:cs="Times New Roman"/>
          <w:color w:val="000000" w:themeColor="text1"/>
          <w:sz w:val="28"/>
          <w:szCs w:val="28"/>
        </w:rPr>
        <w:t>ВВЕДЕНИЕ.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96F1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1B6FE4" w:rsidRPr="00296F15" w:rsidRDefault="001B6FE4" w:rsidP="001B6FE4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6F15">
        <w:rPr>
          <w:rFonts w:ascii="Times New Roman" w:hAnsi="Times New Roman" w:cs="Times New Roman"/>
          <w:color w:val="000000" w:themeColor="text1"/>
          <w:sz w:val="28"/>
          <w:szCs w:val="28"/>
        </w:rPr>
        <w:t>ГЛАВА 1. ВЛИЯНИЕ СЕВРСКОГО И ЛОЗАННСКОГО ДОГОВОРОВ НА ПОЗИЦИЮ ТУРЦИИ В ОТНОШЕНИИ КУРДСКОЙ ПРОБЛЕМЫ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</w:t>
      </w:r>
    </w:p>
    <w:p w:rsidR="001B6FE4" w:rsidRPr="00296F15" w:rsidRDefault="001B6FE4" w:rsidP="001B6FE4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6F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2. АКТИВИЗАЦИЯ РАДИКАЛЬНЫХ ДВИЖЕНИЙ В ТУРЦИИ ПОСЛЕ </w:t>
      </w:r>
      <w:r w:rsidRPr="00296F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296F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МИРОВОЙ ВОЙНЫ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14</w:t>
      </w:r>
    </w:p>
    <w:p w:rsidR="001B6FE4" w:rsidRPr="00296F15" w:rsidRDefault="001B6FE4" w:rsidP="001B6FE4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6F15">
        <w:rPr>
          <w:rFonts w:ascii="Times New Roman" w:hAnsi="Times New Roman" w:cs="Times New Roman"/>
          <w:color w:val="000000" w:themeColor="text1"/>
          <w:sz w:val="28"/>
          <w:szCs w:val="28"/>
        </w:rPr>
        <w:t>ГЛАВА 3. ОТНОШЕНИЕ ООН И ВЕДУЩИХ МИРОВЫХ ДЕРЖАВ К ПОЗИЦИИ ТУРЦИИ ПО КУРДСКОМУ ВОПРОСУ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25</w:t>
      </w:r>
    </w:p>
    <w:p w:rsidR="001B6FE4" w:rsidRPr="00296F15" w:rsidRDefault="001B6FE4" w:rsidP="001B6FE4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6F15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39</w:t>
      </w:r>
    </w:p>
    <w:p w:rsidR="001B6FE4" w:rsidRPr="00296F15" w:rsidRDefault="001B6FE4" w:rsidP="001B6FE4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96F15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ИЗУЧЕННЫХ ИСТОЧНИКОВ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42</w:t>
      </w:r>
    </w:p>
    <w:p w:rsidR="001B6FE4" w:rsidRPr="00153172" w:rsidRDefault="001B6FE4" w:rsidP="001B6FE4">
      <w:pPr>
        <w:tabs>
          <w:tab w:val="right" w:leader="dot" w:pos="907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6FE4" w:rsidRDefault="001B6FE4" w:rsidP="001B6FE4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6FE4" w:rsidRPr="00C5733F" w:rsidRDefault="001B6FE4" w:rsidP="001B6F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573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</w:p>
    <w:p w:rsidR="001B6FE4" w:rsidRPr="00153172" w:rsidRDefault="001B6FE4" w:rsidP="001B6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Темой данной дипломной работы является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Влияние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курдского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фактор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внешнюю политику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Турции».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Несмотря на то, что данный вопрос был глубоко изучен научными кругами, издано достаточное количество публикаций, вопрос остаётся актуальным из-за ряда </w:t>
      </w:r>
      <w:proofErr w:type="gram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обстоятельств</w:t>
      </w:r>
      <w:proofErr w:type="gramEnd"/>
      <w:r w:rsidRPr="00153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происходящих на международной арене.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данной темы обусловлена тем, что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проблема обретения курдским народом национальной независимости и собственной государственности относится к числу наиболее острых и </w:t>
      </w:r>
      <w:r w:rsidRPr="00532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трудноразрешимых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вопросов. Являясь одним из основных факторов нестабильности на Ближнем и Среднем Востоке курдское движение оказывает значительное влияние на внутриполитическую и внешнеполитическую ситуацию в этом регионе. В последние годы курдский вопрос является одним из наиболее важных проблем Турции и эта проблема, которая стояла на повестке дня с момента про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возглашения Турецкой Республики, и продолжает оставаться крайне актуальной сегодня.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Цель данной дипломной работы заключается в детальном и комплексном анализе влияния курдской проблемы на внешнюю политику Турции.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поставленной целью были сформулированы следующие задачи: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1) Дать характеристику влияния Севрского и Лозаннского договоров на позицию Турции в отношении курдской проблемы;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Изложить политику турецких властей в отношении национально-освободительного движения курдского меньшинства в Турции после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мировой войны;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Влияние международного фактора на политику Турции в курдском вопросе; 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Стремление курдского меньшинства быть полноправным участником и субъектом международных отношений в ближневосточном регионе, а кроме того играть соответствующую курдскому потенциалу роль на международной арене, затрагивает как глобальные геополитические интересы мировых держав, так и служит источником напряжённости между странами разделивших территорию Курдистана. Курдское движение является также серьёзным дестабилизирующим фактором внутриполитической жизни для таких стран, как Турция, Иран, Ирак и Сирия.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достижения поставленных целей и задач данной работы 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 xml:space="preserve">был изучен целый комплекс научных работ, статей и документов.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важных документов были изучены Севрский 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>[40]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Лозан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договора 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>[28],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определили статус курдского народа. При рассмотрении актуальных вопросов социально-политического блока была рассмотрена монография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Гасратяна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М.А.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Курдская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проблема в Турции (1986–1995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>[8].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данной работе представлен широкий статистический материал, который служит ценным источником для написания курсовой работы. Также были использованы исследования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Вертяева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К.В. Курдский вопрос в политике Турции (конец ХХ – начало ХХ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века)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>[3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>].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этой работе также большое количество статистического материала и в целом политика правительства относительно курдского вопроса. Данная монография очень информативна, охватывает весь хронологический период, описанный в данной курсовой работе. Далее был изучен ряд статей исследователей Киевского Национального Университета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им.Тараса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Шевченка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Алієв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Зовнішня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політика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туречини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наприкінці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90-х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 початку ХХІ ст.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>[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>1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 xml:space="preserve">],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а также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зборник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научных работ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Гіас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І. 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Сирійсько-Турецьк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взаємини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курдська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проблема»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 xml:space="preserve">[9].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работах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анализируются внешнеполитические приоритеты Турции в современной системе международных отношений, анализ роли и места курдской проблемы во взаимоотношениях с региональными государствами.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lastRenderedPageBreak/>
        <w:t xml:space="preserve">Среди зарубежных работ можно выделить статьи таких турецких исследователей как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Еrol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Kurubаş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Еtnik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Sorun-Dış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Рolitikа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İlişkisi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Bаğlаmındа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Kürt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Sorununun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Türk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Dış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Рolitikаsınа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Еtkilеri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(Влияние курдского вопроса на внешнюю политику Турции) 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>[44]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Tаhа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Özса</w:t>
      </w:r>
      <w:proofErr w:type="gram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n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Kürt</w:t>
      </w:r>
      <w:proofErr w:type="spellEnd"/>
      <w:proofErr w:type="gram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Mеsеlеsi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Рroblеmlеr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vе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Çözüm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Önеrilеri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(Курдский в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опрос и предложения по решению) 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 xml:space="preserve">[45].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Данные статьи объективно описывают развитие курдского вопроса с начала образования Турецкой республики, активизацию курдских движений и влияние курдского фактора на политику Турции. 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была полезна статья американского исследователя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Mish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ае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Wuthri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Kurdish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stion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Turk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nd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Ir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(Курдский вопрос в Турции и Ираке) </w:t>
      </w:r>
      <w:r w:rsidRPr="0015317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ja-JP"/>
        </w:rPr>
        <w:t xml:space="preserve">[43].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Хронологические рамки данной работы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начинаются в основном с 70-х-90-х г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ХХ ст., события которых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оказали существенное влияние на внешнеполитический курс Турции, но </w:t>
      </w:r>
      <w:proofErr w:type="gram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есть</w:t>
      </w:r>
      <w:proofErr w:type="gram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ссылка на предысторию проблемы, в частности Севрский и Лозаннский договора, и заканчиваются рассмотрением некоторых аспектов политики Анкары в отношении курдов на современном этапе. 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 данная дипломная работа состоит из трех глав.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первой главе рассматриваются международные документы, определившие статус курдского народа. </w:t>
      </w: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Вторая глава посвящена активизация курдских движений в Турции после второй мировой войны. </w:t>
      </w:r>
    </w:p>
    <w:p w:rsidR="001B6FE4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 третьей главе описана позиция ведущих мировых держав к курдскому вопросу в Турции и проводимой политики в отношении курдского меньшинства.</w:t>
      </w:r>
    </w:p>
    <w:p w:rsidR="00767BD4" w:rsidRDefault="00767BD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Default="00767BD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Default="00767BD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Default="00767BD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Default="00767BD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Default="00767BD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A744B4" w:rsidRDefault="00767BD4" w:rsidP="00767B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744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</w:t>
      </w:r>
    </w:p>
    <w:p w:rsidR="00767BD4" w:rsidRPr="00153172" w:rsidRDefault="00767BD4" w:rsidP="00767B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проведенного исследования для данной бакалаврской работы можно сделать следующее выводы:</w:t>
      </w:r>
    </w:p>
    <w:p w:rsidR="00767BD4" w:rsidRPr="00153172" w:rsidRDefault="00767BD4" w:rsidP="00767BD4">
      <w:pPr>
        <w:pStyle w:val="a9"/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Истоки влияния курдского вопроса на внешнеполитический курс Турции были заложены после распада османской империи Севрским и Лозаннским международными договорами. Эти международные договора и определившие статус курдского народа, и побудили его к активизации массовых протестов.</w:t>
      </w:r>
    </w:p>
    <w:p w:rsidR="00767BD4" w:rsidRPr="00153172" w:rsidRDefault="00767BD4" w:rsidP="00767BD4">
      <w:pPr>
        <w:pStyle w:val="a9"/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Существенные изменения во внешней политике Анкары произошли под влиянием активизации курдских движений в 70-80 годах, в том числе и радикальных, что вынудило турецкое руководство внести существенные изменения в свою внешнюю политику и прибегнуть к новым формулировкам в своей международной деятельности. </w:t>
      </w: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Горький опыт, который получили курды в период борьбы за национальное самоопределение говорит о том, что использование военных мер для защиты своих интересов является вынужденной мерой и реакцией на геноцид, который проводиться правительством Турции и Ирака. Кроме того, конфронтация приводит лишь к дальнейшему усугублению курдской проблемы не только на государственном, но и на международном уровне. Как показала практика, ни масштабные репрессивные меры против курдов, ни действия, носящие характер массового геноцида, не привели к исчезновению курдского национального вопроса. Таким образом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главным фактором, свидетельствующим о необратимости движения курдов к созданию собственной государственности, является на сегодня существование и укрепление Иракского Курдистана. Сам факт успешного функционирования национальных государственных учреждений в Иракском Курдистане оказывает громадное влияние на курдов в сопредельных странах. В настоящее время в Иране, Сирии и Турции идет процесс консолидации курдского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общества, серьёзно возросла политическая активность в этих частях Курдистана. В них по примеру Иракского Курдистана выдвигается лозунг федерализации.</w:t>
      </w: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 результате неоднозначной реакции международного сообщества на проводимую политику Турции в отношении курдов Анкара была вынуждена внести коррективы во внешнеполитический курс своего государства. </w:t>
      </w: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На современном этапе развития международных отношений курдский вопрос будет становиться все более актуальным в результате того, что ни одна из заинтересованных сторон курдского вопроса не согласна уступать своих позиций на Ближнем востоке.</w:t>
      </w: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Открытая поддержка Соединенными Штатами турецких курдов, как это происходит в отношении Иракского Курдистана в нынешней ситуации, чревата утратой стратегических и геополитических позиций Турции в регионе. Полностью устраниться от участия в решении проблемы турецких курдов на стороне Турции едва ли возможно, так как уже сейчас заметно, что, не получая от США весомой поддержки, Турция все активнее идет на сближение с Ираном и Сирией, где существует аналогичная проблема. США не могут допустить реального союза Турции со своими основными антагонистами на «Большом Ближнем Востоке», которые все чаще в заявлениях американских политиков называются очередными целями вооруженных акций США. Отсюда следует, что отношение США к курдской проблеме в Турции будет и далее характеризоваться осторожностью и сугубым прагматизмом.</w:t>
      </w:r>
    </w:p>
    <w:p w:rsidR="00767BD4" w:rsidRPr="00153172" w:rsidRDefault="00767BD4" w:rsidP="00767BD4">
      <w:pPr>
        <w:pStyle w:val="Default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Совершенно иначе курдский фактор сказывается на отношениях Турции с Европой. Западноевропейские страны, хотя и имеют свои интересы в регионе, где проживают курды, не имеют там политических и военно-стратегических амбиций и планов, подобных американским.</w:t>
      </w: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У проблемы турецких курдов не может быть простых, очевидных решений. Ясно лишь то, что она уже вышла за рамки внутреннего дела Турции и превратилась в серьезный фактор ее внешней политики.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заключении хочется отметить, что каждое государство, которое утверждает международные договора и соглашения по правам человека, </w:t>
      </w:r>
      <w:proofErr w:type="gram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 силу того что</w:t>
      </w:r>
      <w:proofErr w:type="gram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берет на себя обязательства, должно препятствовать нарушению этих прав, применять надлежащие меры чтобы обеспечивать реализацию этих прав, в частности по курдскому вопросу.</w:t>
      </w: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Ссылаясь на Устав ООН, Всеобщую декларацию прав человека, Международные пакты о правах человека и другие международно-правовые нормы, можно сказать, что курдский народ имеет право требовать от международного сообщества принятия мер для защиты от страданий и постоянной войны.</w:t>
      </w: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Если международное сообщество окажет помощь курдскому народу на пути достижения независимости и самоопределения, то убедит общество в том, что основные права человека защищены и это будет гарантией мира и международной безопасности на Ближнем и Среднем Востоке.</w:t>
      </w: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Default="00767BD4" w:rsidP="00767BD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BD4" w:rsidRDefault="00767BD4" w:rsidP="00767BD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7BD4" w:rsidRPr="00A744B4" w:rsidRDefault="00767BD4" w:rsidP="00767BD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4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ИЗУЧЕННЫХ ИСТОЧНИКОВ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67BD4" w:rsidRPr="00153172" w:rsidRDefault="00767BD4" w:rsidP="00767BD4">
      <w:pPr>
        <w:pStyle w:val="1"/>
        <w:spacing w:before="0" w:beforeAutospacing="0" w:after="0" w:afterAutospacing="0" w:line="360" w:lineRule="auto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153172">
        <w:rPr>
          <w:b w:val="0"/>
          <w:color w:val="000000" w:themeColor="text1"/>
          <w:sz w:val="28"/>
          <w:szCs w:val="28"/>
        </w:rPr>
        <w:t xml:space="preserve">1.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Алієв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М.М.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Зовнішня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політика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туреччини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наприкінці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90-х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рр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. ХХ ст. на початку ХХІ ст.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Збірник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статей / М.М.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Алієв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. К.: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Київський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національний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університет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імені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Тараса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Шевченка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Інститут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міжнародних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відносин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, 2015. – С. 125 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Вертяев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, К.В. Вопросы демократизации и курдский вопрос в Турции в начале ХХ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века. Курдский вопрос в Западной Азии в начале ХХ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века. Сборник статей. – М., ИБВ, 2006. – С. 141-159.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Вертяев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, К.В. Курдский вопрос в политике Турции (конец ХХ – начало ХХ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века). – М., ИБВ, 2007. – С. 122-135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Вертяев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, К.В. К истории курдского вопроса в Турции. Курдский вопрос на рубеже тысячелетий. – М., ИБВ, 2004. – С. 50-63.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Вертяев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, К.В. Ситуация в Ираке и проблемы политической стабильности Турции. Курдский вопрос в Западной Азии в начале ХХ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века. – М., ИБВ, 2006. – С. 215-226.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Вертяев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К.В. Курдский вопрос в Турции в свете текущей ситуации на Ближнем и Среднем Востоке. — М., ИБВ, 2009. — С. 26-35</w:t>
      </w:r>
    </w:p>
    <w:p w:rsidR="00767BD4" w:rsidRPr="00153172" w:rsidRDefault="00767BD4" w:rsidP="00767BD4">
      <w:pPr>
        <w:pStyle w:val="1"/>
        <w:spacing w:before="0" w:beforeAutospacing="0" w:after="0" w:afterAutospacing="0" w:line="360" w:lineRule="auto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  <w:r w:rsidRPr="00153172">
        <w:rPr>
          <w:b w:val="0"/>
          <w:bCs w:val="0"/>
          <w:color w:val="000000" w:themeColor="text1"/>
          <w:sz w:val="28"/>
          <w:szCs w:val="28"/>
        </w:rPr>
        <w:t xml:space="preserve">7. Главные события во внешней политике Турции в 2017 году </w:t>
      </w:r>
      <w:r w:rsidRPr="00153172">
        <w:rPr>
          <w:b w:val="0"/>
          <w:color w:val="000000" w:themeColor="text1"/>
          <w:sz w:val="28"/>
          <w:szCs w:val="28"/>
        </w:rPr>
        <w:t>//</w:t>
      </w:r>
      <w:r w:rsidRPr="00153172">
        <w:rPr>
          <w:rStyle w:val="a5"/>
          <w:b w:val="0"/>
          <w:color w:val="000000" w:themeColor="text1"/>
          <w:sz w:val="28"/>
          <w:szCs w:val="28"/>
          <w:lang w:val="pt-PT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Агенство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b w:val="0"/>
          <w:color w:val="000000" w:themeColor="text1"/>
          <w:sz w:val="28"/>
          <w:szCs w:val="28"/>
        </w:rPr>
        <w:t>Анадолу</w:t>
      </w:r>
      <w:proofErr w:type="spellEnd"/>
      <w:r w:rsidRPr="00153172">
        <w:rPr>
          <w:b w:val="0"/>
          <w:color w:val="000000" w:themeColor="text1"/>
          <w:sz w:val="28"/>
          <w:szCs w:val="28"/>
        </w:rPr>
        <w:t xml:space="preserve"> </w:t>
      </w:r>
      <w:r w:rsidRPr="00153172">
        <w:rPr>
          <w:color w:val="000000" w:themeColor="text1"/>
          <w:sz w:val="28"/>
          <w:szCs w:val="28"/>
        </w:rPr>
        <w:t>//</w:t>
      </w:r>
      <w:r w:rsidRPr="00153172">
        <w:rPr>
          <w:b w:val="0"/>
          <w:color w:val="000000" w:themeColor="text1"/>
          <w:sz w:val="28"/>
          <w:szCs w:val="28"/>
        </w:rPr>
        <w:t xml:space="preserve"> https://www.aa.com.tr/ru/заголовки-дня/главные-события-во-внешней-политике-турции-в-2017-году-/1008255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Гасратян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М.А. Курдская проблема в Турции. – М., ИВ РАН, 2001. – С.110-115.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Гіас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І. М.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Сирійсько-Турецькі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взаємини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курдська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проблема.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Збірник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наукових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праць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Випуск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108.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Частина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(у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двох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частинах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К.: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Київський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національний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університет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імені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Тараса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Шевченка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Інститут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міжнародних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відносин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2012 – 278 с. 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Дружиловский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С.Б. Курдская проблема в Турецкой Республике. Этносы и конфессии на Востоке: конфликты и взаимодействие. – М., Вост. </w:t>
      </w:r>
      <w:proofErr w:type="gram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лит.,</w:t>
      </w:r>
      <w:proofErr w:type="gram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2005. –  332 с.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11.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Дружиловский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, С.Б. Влияние иракского кризиса на урегулирование курдской проблемы в Турецкой республике. Курдский вопрос в Западной Азии в начале ХХ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века. Сборник статей. – М., </w:t>
      </w:r>
      <w:proofErr w:type="spellStart"/>
      <w:proofErr w:type="gram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Вост.лит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.,</w:t>
      </w:r>
      <w:proofErr w:type="gram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2006. – С. 148-167.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12. Егоров, В.К. Курдский фактор во внешней политике Турции. Курдский вопрос в Западной Азии в начале ХХ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века. Сборник статей. – </w:t>
      </w:r>
      <w:proofErr w:type="gram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М.,ИБВ</w:t>
      </w:r>
      <w:proofErr w:type="gram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, 2006. – С. 208-219.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Загорнова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, Е.В. Рабочая партия Курдистана. Курдский вопрос на рубеже тысячелетий. – М., 2004. – С. 61-83.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14. Жаров К. Новое обострение "курдской проблемы" и борьба с терроризмом. – М., Компас, 2006. – №17. – С. 41-58.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Захарова М.В. Курдская проблема в Турции // Актуальные проблемы современности. – М., </w:t>
      </w:r>
      <w:proofErr w:type="gram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Вост.лит.,</w:t>
      </w:r>
      <w:proofErr w:type="gram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2003. – №3. - С. 63-80.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Жигалина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О.И. Курдский вопрос и проблема стабильности в Западной Азии. Ин-т востоковедения. — М.: Вост. </w:t>
      </w:r>
      <w:proofErr w:type="gram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лит.,</w:t>
      </w:r>
      <w:proofErr w:type="gram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2006.— С. 162-180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Жигалина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, О.И. Курдская политика США в Ираке и проблемы турецких курдов. Современный исламский Восток и страны Запада. – М., ИВ РАН, 2004. – С. 52-67.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Жигалина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О.И. Курдский вопрос в Западной Азии на современном этапе. – М., ИВ РАН, 2005. – №5. – С. 38-54.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19. Иванова, И.И. Некоторые направления турецко-американского сотрудничества. Современный исламский Восток и страны Запада. – М., 2004. – С. 71-87.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Кизюков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С. "Курдская проблема" во внешней политике Турции //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Космополис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. – М., 2007. – №2. – С. 66-82.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21. Кудряшова, Ю.С. Копенгагенские критерии ЕС и Турция. Востоковедный сборник (выпуск шестой). – М., 2004. – С. 115-134.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Конституция Турецкой Республики. Анкара, 1982. // Юридическое 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агенство</w:t>
      </w:r>
      <w:proofErr w:type="spellEnd"/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hyperlink r:id="rId8" w:history="1">
        <w:r w:rsidRPr="00153172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https://legalns.com/ /правовая</w:t>
        </w:r>
      </w:hyperlink>
      <w:r w:rsidRPr="001531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-библиотека/конституции-стран-мира/конституция-</w:t>
      </w:r>
      <w:proofErr w:type="spellStart"/>
      <w:r w:rsidRPr="0015317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турции</w:t>
      </w:r>
      <w:proofErr w:type="spellEnd"/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23. Лазарев М.С. Курдистан и курдский вопрос (1923-1945). — М.: ИВ РАН, 2005. — 310 с.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Лазарев М.С. Курдский вопрос в новой геополитической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ситуации.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— М., ИВ РАН, 2004. — 130 с.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25. Лазарев М. Курдская проблема в европейском измерении // Азия и Африка сегодня. – М., ИВ РАН, 1997. – №2. – С. 66-78.</w:t>
      </w:r>
    </w:p>
    <w:p w:rsidR="00767BD4" w:rsidRPr="00153172" w:rsidRDefault="00767BD4" w:rsidP="00767BD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26. Лазарев М. Почему Турция опасается независимого Курдистана // Азия и Африка сегодня. – М., ИВ РАН, 2003. – №6. – С. 8-17.</w:t>
      </w:r>
    </w:p>
    <w:p w:rsidR="00767BD4" w:rsidRPr="00153172" w:rsidRDefault="00767BD4" w:rsidP="00767B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Fonts w:ascii="Times New Roman" w:eastAsia="Arial Unicode MS" w:hAnsi="Times New Roman" w:cs="Times New Roman"/>
          <w:bCs/>
          <w:color w:val="000000" w:themeColor="text1"/>
          <w:sz w:val="28"/>
          <w:szCs w:val="28"/>
        </w:rPr>
        <w:t xml:space="preserve">27. Лазарев М. С. </w:t>
      </w:r>
      <w:r w:rsidRPr="0015317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Курдский вопрос в новой геополитической ситуации.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М., ИВ РАН, 2004. – С. 3-10.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lang w:val="pt-PT"/>
        </w:rPr>
      </w:pP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28. Лозаннский мирный договор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pt-PT"/>
        </w:rPr>
        <w:t xml:space="preserve">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  <w:lang w:val="pt-PT"/>
        </w:rPr>
        <w:t xml:space="preserve"> Документы ХХ века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hyperlink r:id="rId9" w:history="1">
        <w:r w:rsidRPr="00153172">
          <w:rPr>
            <w:rStyle w:val="Hyperlink0"/>
            <w:rFonts w:eastAsia="Calibri"/>
            <w:color w:val="000000" w:themeColor="text1"/>
          </w:rPr>
          <w:t>htt</w:t>
        </w:r>
        <w:r w:rsidRPr="00775972">
          <w:rPr>
            <w:rStyle w:val="Hyperlink0"/>
            <w:rFonts w:eastAsia="Calibri"/>
            <w:color w:val="000000" w:themeColor="text1"/>
          </w:rPr>
          <w:t>р://</w:t>
        </w:r>
        <w:r w:rsidRPr="00153172">
          <w:rPr>
            <w:rStyle w:val="Hyperlink0"/>
            <w:rFonts w:eastAsia="Calibri"/>
            <w:color w:val="000000" w:themeColor="text1"/>
          </w:rPr>
          <w:t>do</w:t>
        </w:r>
        <w:r w:rsidRPr="0015317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с</w:t>
        </w:r>
        <w:r w:rsidRPr="0015317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pt-PT"/>
          </w:rPr>
          <w:t>20vеk.ru/nodе/3916</w:t>
        </w:r>
      </w:hyperlink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pt-PT"/>
        </w:rPr>
        <w:t xml:space="preserve"> 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29.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Лукоянов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А.К. Курды как гарант стабильности в регионе. Ин-т востоковедения. — М., Вост. </w:t>
      </w:r>
      <w:proofErr w:type="gram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лит.,</w:t>
      </w:r>
      <w:proofErr w:type="gram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2006.— С. 43-60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30.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Мгои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Ш.Х.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Курдский фактор - Современное состояние и перспективы. М., ИВ РАН, 2004,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– С. 12-24.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31. Мирзоев, К.И. Роль руководителей в национально-освободительной борьбе курдского народа. – Курдистан: на перекрёстках истории и политики. – М., 1994. –  321 с.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32. Михайлов В.В. Современное состояние курдской проблемы // Вестник Санкт-Петербургского университета. – </w:t>
      </w:r>
      <w:proofErr w:type="gram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СПб.,</w:t>
      </w:r>
      <w:proofErr w:type="gram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2007 – №1. – С. 39-46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33.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Мосаки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, Н.З.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Гидростратегические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аспекты курдского вопроса. Ближний Восток и современность. Сборник статей (выпуск одиннадцатый). – М., ИБВ, 2001. – С. 123-140.</w:t>
      </w:r>
    </w:p>
    <w:p w:rsidR="00767BD4" w:rsidRPr="00153172" w:rsidRDefault="00767BD4" w:rsidP="00767BD4">
      <w:pPr>
        <w:tabs>
          <w:tab w:val="left" w:pos="7368"/>
        </w:tabs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34.Мосаки Н.З. Курдистан и Курдский вопрос в политике Запада и России М., ИБВ, 2011. – С. 115-133.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35.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Мосаки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Н.З. Нефть и курдская проблема // Азия и Африка сегодня. – М., ИБВ, 2002. – №3. – С. 30-37.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36. Осуществление резолюций ООН, касающихся права на самоопределение народов, находящихся под колониальным и иностранным господством. ЭКОСОС ООН, Нью-Йорк, 1982.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37.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Сатановский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Е. Прогресс урегулирования курдской проблемы в Турции // Международная жизнь. – М., ИБВ, 2005. – №4. – С. 10-12.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38.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Свистунова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, И.А. Иракский кризис 2003 года и турецко-американские отношения. Ближний Восток и современность. Сборник статей (выпуск двадцать шестой). – М., ИБВ, 2005. – С. 33-50.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39.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Свистунова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, И.А. О влиянии иракского фактора на развитие отношений Турецкой республики с Ираном. Ближний Восток и современность. Сборник статей (выпуск двадцать девятый). – М., ИБВ, 2006. – С. 95-115.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40. Севрский мирный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догово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pt-PT"/>
        </w:rPr>
        <w:t>р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172">
        <w:rPr>
          <w:rFonts w:ascii="Times New Roman" w:hAnsi="Times New Roman" w:cs="Times New Roman"/>
          <w:color w:val="000000" w:themeColor="text1"/>
          <w:sz w:val="28"/>
          <w:szCs w:val="28"/>
        </w:rPr>
        <w:t>// Документы ХХ века //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pt-PT"/>
        </w:rPr>
        <w:t xml:space="preserve"> </w:t>
      </w:r>
      <w:hyperlink r:id="rId10" w:history="1">
        <w:proofErr w:type="spellStart"/>
        <w:r w:rsidRPr="00153172">
          <w:rPr>
            <w:rStyle w:val="Hyperlink1"/>
            <w:rFonts w:eastAsia="Calibri"/>
            <w:color w:val="000000" w:themeColor="text1"/>
          </w:rPr>
          <w:t>htt</w:t>
        </w:r>
        <w:proofErr w:type="spellEnd"/>
        <w:r w:rsidRPr="0015317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р://</w:t>
        </w:r>
        <w:r w:rsidRPr="00153172">
          <w:rPr>
            <w:rStyle w:val="Hyperlink1"/>
            <w:rFonts w:eastAsia="Calibri"/>
            <w:color w:val="000000" w:themeColor="text1"/>
          </w:rPr>
          <w:t>www</w:t>
        </w:r>
        <w:r w:rsidRPr="0015317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153172">
          <w:rPr>
            <w:rStyle w:val="Hyperlink1"/>
            <w:rFonts w:eastAsia="Calibri"/>
            <w:color w:val="000000" w:themeColor="text1"/>
          </w:rPr>
          <w:t>do</w:t>
        </w:r>
        <w:r w:rsidRPr="0015317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с20vеk.ru/</w:t>
        </w:r>
        <w:proofErr w:type="spellStart"/>
        <w:r w:rsidRPr="0015317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nodе</w:t>
        </w:r>
        <w:proofErr w:type="spellEnd"/>
        <w:r w:rsidRPr="00153172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/3429</w:t>
        </w:r>
      </w:hyperlink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41. Ульченко, Н.И. Турция: старые и новые подходы к проблемам юго-востока. Ближний Восток и современность. – М., ИБВ, 1997. – №3. – С.111-118.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42. Федорова И.Е. США и иракские курды. Ин-т востоковедения. — М.: Вост. </w:t>
      </w:r>
      <w:proofErr w:type="gram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лит.,</w:t>
      </w:r>
      <w:proofErr w:type="gram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2006.— С. 110-137.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43.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Mish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ае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Wuthri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Kurdish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stion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Turk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nd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Ir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(Курдский вопрос в Турции и Ираке) /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Middl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Еа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rn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Studi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Vol. 48, No. 2, р. 303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–310, </w:t>
      </w:r>
      <w:proofErr w:type="spellStart"/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Mаrсh</w:t>
      </w:r>
      <w:proofErr w:type="spellEnd"/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2012 </w:t>
      </w:r>
    </w:p>
    <w:p w:rsidR="00767BD4" w:rsidRPr="00153172" w:rsidRDefault="00767BD4" w:rsidP="00767BD4">
      <w:pPr>
        <w:spacing w:after="0" w:line="360" w:lineRule="auto"/>
        <w:jc w:val="both"/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44.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Еrol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Kurubаş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Еtnik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Sorun-Dış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Рolitikа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İlişkisi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Bаğlаmındа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Kürt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Sorununun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Türk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Dış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Рolitikаsınа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Еtkilеri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(Влияние курдского вопроса на внешнюю политику Турции) / –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Сilt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8.  –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Аnkаrа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Аvruра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Çаlışmаlаrı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Dеrgisi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, 2009. – 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pt-PT"/>
        </w:rPr>
        <w:t>39- 69 s.</w:t>
      </w:r>
    </w:p>
    <w:p w:rsidR="00767BD4" w:rsidRPr="00CC20B3" w:rsidRDefault="00767BD4" w:rsidP="00767BD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45.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Tаhа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Özсаn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Hаtеm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Еtе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Kürt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Mеsеlеsi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Рroblеmlеr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vе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Çözüm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Önеrilеri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(Курдский вопрос и предложения по решению) /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Sеtа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Аnаliz</w:t>
      </w:r>
      <w:proofErr w:type="spellEnd"/>
      <w:r w:rsidRPr="0015317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, 2008. – 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pt-PT"/>
        </w:rPr>
        <w:t xml:space="preserve">20 s. </w:t>
      </w:r>
    </w:p>
    <w:p w:rsidR="00767BD4" w:rsidRDefault="00767BD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767BD4" w:rsidRPr="00153172" w:rsidRDefault="00767BD4" w:rsidP="001B6FE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B6FE4" w:rsidRPr="00153172" w:rsidRDefault="001B6FE4" w:rsidP="001B6FE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4CE9" w:rsidRDefault="001C4CE9"/>
    <w:sectPr w:rsidR="001C4CE9" w:rsidSect="00345DD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DDA" w:rsidRDefault="00345DDA" w:rsidP="00345DDA">
      <w:pPr>
        <w:spacing w:after="0" w:line="240" w:lineRule="auto"/>
      </w:pPr>
      <w:r>
        <w:separator/>
      </w:r>
    </w:p>
  </w:endnote>
  <w:endnote w:type="continuationSeparator" w:id="0">
    <w:p w:rsidR="00345DDA" w:rsidRDefault="00345DDA" w:rsidP="0034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DDA" w:rsidRDefault="00345DDA" w:rsidP="00345DDA">
      <w:pPr>
        <w:spacing w:after="0" w:line="240" w:lineRule="auto"/>
      </w:pPr>
      <w:r>
        <w:separator/>
      </w:r>
    </w:p>
  </w:footnote>
  <w:footnote w:type="continuationSeparator" w:id="0">
    <w:p w:rsidR="00345DDA" w:rsidRDefault="00345DDA" w:rsidP="00345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0BF" w:rsidRDefault="00767BD4">
    <w:pPr>
      <w:pStyle w:val="a3"/>
      <w:tabs>
        <w:tab w:val="clear" w:pos="9072"/>
        <w:tab w:val="right" w:pos="9044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733D4A"/>
    <w:multiLevelType w:val="hybridMultilevel"/>
    <w:tmpl w:val="BF2ED8A4"/>
    <w:lvl w:ilvl="0" w:tplc="CF0ED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8D"/>
    <w:rsid w:val="001B6FE4"/>
    <w:rsid w:val="001C4CE9"/>
    <w:rsid w:val="00345DDA"/>
    <w:rsid w:val="0040358D"/>
    <w:rsid w:val="0076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6A405-D3F1-458B-A213-00D26228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6FE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1">
    <w:name w:val="heading 1"/>
    <w:basedOn w:val="a"/>
    <w:link w:val="10"/>
    <w:uiPriority w:val="9"/>
    <w:qFormat/>
    <w:rsid w:val="00767B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uiPriority w:val="99"/>
    <w:rsid w:val="001B6FE4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B6FE4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5">
    <w:name w:val="Нет"/>
    <w:rsid w:val="001B6FE4"/>
  </w:style>
  <w:style w:type="paragraph" w:styleId="a6">
    <w:name w:val="footer"/>
    <w:basedOn w:val="a"/>
    <w:link w:val="a7"/>
    <w:uiPriority w:val="99"/>
    <w:unhideWhenUsed/>
    <w:rsid w:val="00345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DDA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7BD4"/>
    <w:rPr>
      <w:rFonts w:ascii="Times New Roman" w:eastAsia="Times New Roman" w:hAnsi="Times New Roman" w:cs="Times New Roman"/>
      <w:b/>
      <w:bCs/>
      <w:kern w:val="36"/>
      <w:sz w:val="48"/>
      <w:szCs w:val="48"/>
      <w:u w:color="000000"/>
      <w:lang w:eastAsia="ru-RU"/>
    </w:rPr>
  </w:style>
  <w:style w:type="character" w:styleId="a8">
    <w:name w:val="Hyperlink"/>
    <w:rsid w:val="00767BD4"/>
    <w:rPr>
      <w:u w:val="single"/>
    </w:rPr>
  </w:style>
  <w:style w:type="paragraph" w:customStyle="1" w:styleId="Default">
    <w:name w:val="Default"/>
    <w:rsid w:val="00767BD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paragraph" w:styleId="a9">
    <w:name w:val="List Paragraph"/>
    <w:rsid w:val="00767BD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Hyperlink0">
    <w:name w:val="Hyperlink.0"/>
    <w:basedOn w:val="a5"/>
    <w:rsid w:val="00767BD4"/>
    <w:rPr>
      <w:rFonts w:ascii="Times New Roman" w:eastAsia="Times New Roman" w:hAnsi="Times New Roman" w:cs="Times New Roman"/>
      <w:color w:val="000000"/>
      <w:sz w:val="28"/>
      <w:szCs w:val="28"/>
      <w:u w:val="none" w:color="000000"/>
      <w:lang w:val="de-DE"/>
    </w:rPr>
  </w:style>
  <w:style w:type="character" w:customStyle="1" w:styleId="Hyperlink1">
    <w:name w:val="Hyperlink.1"/>
    <w:basedOn w:val="a5"/>
    <w:rsid w:val="00767BD4"/>
    <w:rPr>
      <w:rFonts w:ascii="Times New Roman" w:eastAsia="Times New Roman" w:hAnsi="Times New Roman" w:cs="Times New Roman"/>
      <w:color w:val="000000"/>
      <w:sz w:val="28"/>
      <w:szCs w:val="28"/>
      <w:u w:val="non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ns.com/&#1082;&#1086;&#1084;&#1087;&#1077;&#1090;&#1077;&#1085;&#1090;&#1085;&#1099;&#1077;-&#1102;&#1088;&#1080;&#1089;&#1090;&#1099;/&#1087;&#1088;&#1072;&#1074;&#1086;&#1074;&#1072;&#1103;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doc20vek.ru/node/34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20vek.ru/node/3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2631</Words>
  <Characters>14998</Characters>
  <Application>Microsoft Office Word</Application>
  <DocSecurity>0</DocSecurity>
  <Lines>124</Lines>
  <Paragraphs>35</Paragraphs>
  <ScaleCrop>false</ScaleCrop>
  <Company/>
  <LinksUpToDate>false</LinksUpToDate>
  <CharactersWithSpaces>17594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2019-01-09T12:53:00Z</dcterms:created>
  <dcterms:modified xsi:type="dcterms:W3CDTF">2019-01-09T12:58:00Z</dcterms:modified>
</cp:coreProperties>
</file>