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single" w:sz="4" w:space="1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Одеський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національний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університет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імені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І. І. Мечникова</w:t>
      </w:r>
    </w:p>
    <w:p w:rsidR="001B6FE4" w:rsidRPr="00226140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</w:pPr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(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повне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найменування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вищого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навчального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закладу)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single" w:sz="4" w:space="1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>Факультет міжнародних відносин, політології та соціології</w:t>
      </w:r>
    </w:p>
    <w:p w:rsidR="001B6FE4" w:rsidRPr="00226140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</w:pPr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(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повне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найменування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інституту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/факультету)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single" w:sz="4" w:space="1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Кафедра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>міжнародних відносин</w:t>
      </w:r>
    </w:p>
    <w:p w:rsidR="001B6FE4" w:rsidRPr="00226140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</w:pPr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(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повна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назва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 xml:space="preserve"> </w:t>
      </w:r>
      <w:proofErr w:type="spellStart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кафедри</w:t>
      </w:r>
      <w:proofErr w:type="spellEnd"/>
      <w:r w:rsidRPr="00226140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</w:rPr>
        <w:t>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pacing w:val="60"/>
          <w:sz w:val="28"/>
          <w:szCs w:val="28"/>
          <w:bdr w:val="none" w:sz="0" w:space="0" w:color="auto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pacing w:val="60"/>
          <w:sz w:val="28"/>
          <w:szCs w:val="28"/>
          <w:bdr w:val="none" w:sz="0" w:space="0" w:color="auto"/>
        </w:rPr>
      </w:pPr>
      <w:proofErr w:type="spellStart"/>
      <w:r w:rsidRPr="00153172">
        <w:rPr>
          <w:rFonts w:ascii="Times New Roman" w:eastAsia="Times New Roman" w:hAnsi="Times New Roman" w:cs="Times New Roman"/>
          <w:b/>
          <w:color w:val="000000" w:themeColor="text1"/>
          <w:spacing w:val="60"/>
          <w:sz w:val="28"/>
          <w:szCs w:val="28"/>
          <w:bdr w:val="none" w:sz="0" w:space="0" w:color="auto"/>
        </w:rPr>
        <w:t>Дипломна</w:t>
      </w:r>
      <w:proofErr w:type="spellEnd"/>
      <w:r w:rsidRPr="00153172">
        <w:rPr>
          <w:rFonts w:ascii="Times New Roman" w:eastAsia="Times New Roman" w:hAnsi="Times New Roman" w:cs="Times New Roman"/>
          <w:b/>
          <w:color w:val="000000" w:themeColor="text1"/>
          <w:spacing w:val="60"/>
          <w:sz w:val="28"/>
          <w:szCs w:val="28"/>
          <w:bdr w:val="none" w:sz="0" w:space="0" w:color="auto"/>
        </w:rPr>
        <w:t xml:space="preserve"> робота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single" w:sz="4" w:space="1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>бакалавра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на тему: </w:t>
      </w: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</w:rPr>
        <w:t>«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Вплив курдського фактор</w:t>
      </w: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у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на зовнішню політику</w:t>
      </w: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 Туреччини</w:t>
      </w: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u w:val="single"/>
          <w:bdr w:val="none" w:sz="0" w:space="0" w:color="auto"/>
        </w:rPr>
        <w:t>»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en-US"/>
        </w:rPr>
        <w:t>«</w:t>
      </w:r>
      <w:r w:rsidRPr="00674A95">
        <w:rPr>
          <w:lang w:val="en-US"/>
        </w:rPr>
        <w:t xml:space="preserve"> </w:t>
      </w:r>
      <w:r w:rsidRPr="00674A95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en-US"/>
        </w:rPr>
        <w:t>Influence of the Kurdish factor on Turkey's foreign policy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en-US"/>
        </w:rPr>
        <w:t>»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en-US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en-US"/>
        </w:rPr>
        <w:t xml:space="preserve">                              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ab/>
        <w:t xml:space="preserve">            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Виконала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: студентка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4 курсу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ab/>
        <w:t xml:space="preserve">             денної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форми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навчання</w:t>
      </w:r>
      <w:proofErr w:type="spellEnd"/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                             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ab/>
        <w:t xml:space="preserve">            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напряму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підготовки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vertAlign w:val="subscript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            </w:t>
      </w:r>
      <w:proofErr w:type="gram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>6.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030201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 xml:space="preserve">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 М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>іжнародні</w:t>
      </w:r>
      <w:proofErr w:type="spellEnd"/>
      <w:proofErr w:type="gram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>відносини</w:t>
      </w:r>
      <w:proofErr w:type="spellEnd"/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 xml:space="preserve">                   (шифр і назва напряму підготовки або спеціальності)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                            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ab/>
        <w:t xml:space="preserve">            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Суханова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 Тетяна Олегівна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2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ab/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ab/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ab/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ab/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ab/>
        <w:t xml:space="preserve">     (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>прізвище,ім’я,по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  <w:t>-батькові)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68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vertAlign w:val="subscript"/>
          <w:lang w:val="uk-UA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 xml:space="preserve">             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  <w:t>Керівник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</w:rPr>
        <w:t>ст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.викладач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Побле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 Д.К.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eastAsia="en-US"/>
        </w:rPr>
        <w:tab/>
      </w:r>
    </w:p>
    <w:p w:rsidR="001B6FE4" w:rsidRPr="00BA4FE1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168" w:lineRule="auto"/>
        <w:jc w:val="right"/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vertAlign w:val="subscript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                  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  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(науковий ступінь, вчене </w:t>
      </w:r>
      <w:proofErr w:type="spellStart"/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>звання,прізвище</w:t>
      </w:r>
      <w:proofErr w:type="spellEnd"/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 та ініціали, підпис)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</w:pP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                                            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  </w:t>
      </w:r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  <w:lang w:val="uk-UA"/>
        </w:rPr>
        <w:t xml:space="preserve">Рецензент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к.істор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. н., доц. </w:t>
      </w:r>
      <w:proofErr w:type="spellStart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>Покась</w:t>
      </w:r>
      <w:proofErr w:type="spellEnd"/>
      <w:r w:rsidRPr="00153172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bdr w:val="none" w:sz="0" w:space="0" w:color="auto"/>
          <w:lang w:val="uk-UA"/>
        </w:rPr>
        <w:t xml:space="preserve"> М.С.</w:t>
      </w:r>
    </w:p>
    <w:p w:rsidR="001B6FE4" w:rsidRPr="00BA4FE1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vertAlign w:val="subscript"/>
          <w:lang w:val="uk-UA"/>
        </w:rPr>
      </w:pPr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vertAlign w:val="subscript"/>
          <w:lang w:val="uk-UA"/>
        </w:rPr>
        <w:t xml:space="preserve">                                                   </w:t>
      </w:r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  </w:t>
      </w:r>
      <w:r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                                       </w:t>
      </w:r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  (науковий ступінь, вчене </w:t>
      </w:r>
      <w:proofErr w:type="spellStart"/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>звання,прізвище</w:t>
      </w:r>
      <w:proofErr w:type="spellEnd"/>
      <w:r w:rsidRPr="00BA4FE1">
        <w:rPr>
          <w:rFonts w:ascii="Times New Roman" w:eastAsia="Times New Roman" w:hAnsi="Times New Roman" w:cs="Times New Roman"/>
          <w:color w:val="000000" w:themeColor="text1"/>
          <w:sz w:val="20"/>
          <w:szCs w:val="28"/>
          <w:bdr w:val="none" w:sz="0" w:space="0" w:color="auto"/>
          <w:lang w:val="uk-UA"/>
        </w:rPr>
        <w:t xml:space="preserve"> та ініціали)</w:t>
      </w: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left="3969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ind w:left="3969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753"/>
        <w:gridCol w:w="4592"/>
      </w:tblGrid>
      <w:tr w:rsidR="001B6FE4" w:rsidRPr="00153172" w:rsidTr="00E1039E">
        <w:trPr>
          <w:jc w:val="center"/>
        </w:trPr>
        <w:tc>
          <w:tcPr>
            <w:tcW w:w="4967" w:type="dxa"/>
            <w:hideMark/>
          </w:tcPr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Рекомендовано до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захисту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:</w:t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Протокол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 xml:space="preserve">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засідання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кафедри</w:t>
            </w:r>
            <w:proofErr w:type="spellEnd"/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№ ___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від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___________ р. </w:t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Зав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ідувач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кафедр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и</w:t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val="uk-UA"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eastAsia="en-US"/>
              </w:rPr>
              <w:tab/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  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Брусиловська О.І.</w:t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ab/>
            </w: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(</w:t>
            </w:r>
            <w:proofErr w:type="spellStart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підпис</w:t>
            </w:r>
            <w:proofErr w:type="spellEnd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)</w:t>
            </w: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1B6FE4" w:rsidRPr="00ED72C9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</w:pP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Захищено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на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засіданні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ЕК №_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_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val="uk-UA" w:eastAsia="en-US"/>
              </w:rPr>
              <w:t>3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__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 xml:space="preserve"> 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протокол № ___ </w:t>
            </w: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від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____________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р.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ab/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proofErr w:type="spellStart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Оцінка</w:t>
            </w:r>
            <w:proofErr w:type="spellEnd"/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>______________/___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ab/>
              <w:t>___/____</w:t>
            </w:r>
          </w:p>
          <w:p w:rsidR="001B6FE4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 xml:space="preserve">(за </w:t>
            </w:r>
            <w:proofErr w:type="spellStart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національною</w:t>
            </w:r>
            <w:proofErr w:type="spellEnd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 xml:space="preserve"> шкалою, шкалою ЕСТ</w:t>
            </w: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val="en-US" w:eastAsia="en-US"/>
              </w:rPr>
              <w:t>S</w:t>
            </w: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 xml:space="preserve">, </w:t>
            </w:r>
            <w:proofErr w:type="spellStart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бали</w:t>
            </w:r>
            <w:proofErr w:type="spellEnd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)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br/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Голова ЕК </w:t>
            </w:r>
          </w:p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360"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val="uk-UA" w:eastAsia="en-US"/>
              </w:rPr>
            </w:pP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eastAsia="en-US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eastAsia="en-US"/>
              </w:rPr>
              <w:t xml:space="preserve">      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 xml:space="preserve">  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val="uk-UA" w:eastAsia="en-US"/>
              </w:rPr>
              <w:t>Брусиловська О.І.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val="uk-UA" w:eastAsia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u w:val="single"/>
                <w:bdr w:val="none" w:sz="0" w:space="0" w:color="auto"/>
                <w:lang w:val="uk-UA" w:eastAsia="en-US"/>
              </w:rPr>
              <w:br/>
            </w:r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(</w:t>
            </w:r>
            <w:proofErr w:type="spellStart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підпис</w:t>
            </w:r>
            <w:proofErr w:type="spellEnd"/>
            <w:r w:rsidRPr="00BA4FE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8"/>
                <w:bdr w:val="none" w:sz="0" w:space="0" w:color="auto"/>
                <w:lang w:eastAsia="en-US"/>
              </w:rPr>
              <w:t>)</w:t>
            </w:r>
            <w:r w:rsidRPr="00153172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  <w:tab/>
            </w:r>
          </w:p>
        </w:tc>
      </w:tr>
      <w:tr w:rsidR="001B6FE4" w:rsidRPr="00153172" w:rsidTr="00E1039E">
        <w:trPr>
          <w:jc w:val="center"/>
        </w:trPr>
        <w:tc>
          <w:tcPr>
            <w:tcW w:w="4967" w:type="dxa"/>
          </w:tcPr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</w:p>
        </w:tc>
        <w:tc>
          <w:tcPr>
            <w:tcW w:w="4678" w:type="dxa"/>
          </w:tcPr>
          <w:p w:rsidR="001B6FE4" w:rsidRPr="00153172" w:rsidRDefault="001B6FE4" w:rsidP="00E103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56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bdr w:val="none" w:sz="0" w:space="0" w:color="auto"/>
                <w:lang w:eastAsia="en-US"/>
              </w:rPr>
            </w:pPr>
          </w:p>
        </w:tc>
      </w:tr>
    </w:tbl>
    <w:p w:rsidR="001B6FE4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bdr w:val="none" w:sz="0" w:space="0" w:color="auto"/>
        </w:rPr>
      </w:pPr>
    </w:p>
    <w:p w:rsidR="001B6FE4" w:rsidRPr="00153172" w:rsidRDefault="001B6FE4" w:rsidP="001B6FE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bdr w:val="none" w:sz="0" w:space="0" w:color="auto"/>
          <w:lang w:val="uk-UA"/>
        </w:rPr>
        <w:sectPr w:rsidR="001B6FE4" w:rsidRPr="00153172" w:rsidSect="009F7C13">
          <w:headerReference w:type="default" r:id="rId7"/>
          <w:pgSz w:w="11900" w:h="16840"/>
          <w:pgMar w:top="1134" w:right="851" w:bottom="1134" w:left="1985" w:header="709" w:footer="709" w:gutter="0"/>
          <w:cols w:space="720"/>
          <w:titlePg/>
          <w:docGrid w:linePitch="299"/>
        </w:sectPr>
      </w:pP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bdr w:val="none" w:sz="0" w:space="0" w:color="auto"/>
        </w:rPr>
        <w:t>Одеса – 201</w:t>
      </w:r>
      <w:r w:rsidRPr="00153172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bdr w:val="none" w:sz="0" w:space="0" w:color="auto"/>
          <w:lang w:val="uk-UA"/>
        </w:rPr>
        <w:t>8</w:t>
      </w:r>
    </w:p>
    <w:p w:rsidR="001B6FE4" w:rsidRPr="002D1B4C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2D1B4C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СОДЕРЖАНИЕ</w:t>
      </w:r>
    </w:p>
    <w:p w:rsidR="001B6FE4" w:rsidRPr="00153172" w:rsidRDefault="001B6FE4" w:rsidP="001B6FE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ВВЕДЕНИЕ.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ГЛАВА 1. ВЛИЯНИЕ СЕВРСКОГО И ЛОЗАННСКОГО ДОГОВОРОВ НА ПОЗИЦИЮ ТУРЦИИ В ОТНОШЕНИИ КУРДСКОЙ ПРОБЛЕМЫ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>6</w:t>
      </w: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ГЛАВА 2. АКТИВИЗАЦИЯ РАДИКАЛЬНЫХ ДВИЖЕНИЙ В ТУРЦИИ ПОСЛЕ </w:t>
      </w:r>
      <w:r w:rsidRPr="00296F1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II</w:t>
      </w: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МИРОВОЙ ВОЙНЫ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>14</w:t>
      </w: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ГЛАВА 3. ОТНОШЕНИЕ ООН И ВЕДУЩИХ МИРОВЫХ ДЕРЖАВ К ПОЗИЦИИ ТУРЦИИ ПО КУРДСКОМУ ВОПРОСУ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>25</w:t>
      </w: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ЗАКЛЮЧЕНИЕ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>39</w:t>
      </w:r>
    </w:p>
    <w:p w:rsidR="001B6FE4" w:rsidRPr="00296F15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96F15">
        <w:rPr>
          <w:rFonts w:ascii="Times New Roman" w:hAnsi="Times New Roman" w:cs="Times New Roman"/>
          <w:color w:val="000000" w:themeColor="text1"/>
          <w:sz w:val="28"/>
          <w:szCs w:val="28"/>
        </w:rPr>
        <w:t>СПИСОК ИЗУЧЕННЫХ ИСТОЧНИКОВ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  <w:t>42</w:t>
      </w:r>
    </w:p>
    <w:p w:rsidR="001B6FE4" w:rsidRPr="00153172" w:rsidRDefault="001B6FE4" w:rsidP="001B6FE4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B6FE4" w:rsidRDefault="001B6FE4" w:rsidP="001B6FE4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B6FE4" w:rsidRPr="00C5733F" w:rsidRDefault="001B6FE4" w:rsidP="001B6FE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C5733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ВВЕДЕНИЕ</w:t>
      </w:r>
    </w:p>
    <w:p w:rsidR="001B6FE4" w:rsidRPr="00153172" w:rsidRDefault="001B6FE4" w:rsidP="001B6FE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Темой данной дипломной работы является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курдского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фактор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на внешнюю политику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Турции».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Несмотря на то, что данный вопрос был глубоко изучен научными кругами, издано достаточное количество публикаций, вопрос остаётся актуальным из-за ряда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обстоятельств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происходящих на международной арене.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Актуальность данной темы обусловлена тем, что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проблема обретения курдским народом национальной независимости и собственной государственности относится к числу наиболее острых и </w:t>
      </w:r>
      <w:r w:rsidRPr="00532A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трудноразрешимых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вопросов. Являясь одним из основных факторов нестабильности на Ближнем и Среднем Востоке курдское движение оказывает значительное влияние на внутриполитическую и внешнеполитическую ситуацию в этом регионе. В последние годы курдский вопрос является одним из наиболее важных проблем Турции и эта проблема, которая стояла на повестке дня с момента про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возглашения Турецкой Республики, и продолжает оставаться крайне актуальной сегодня.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Цель данной дипломной работы заключается в детальном и комплексном анализе влияния курдской проблемы на внешнюю политику Турции.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 соответствии с поставленной целью были сформулированы следующие задачи: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1) Дать характеристику влияния Севрского и Лозаннского договоров на позицию Турции в отношении курдской проблемы;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2) Изложить политику турецких властей в отношении национально-освободительного движения курдского меньшинства в Турции после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мировой войны;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3) Влияние международного фактора на политику Турции в курдском вопросе;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Стремление курдского меньшинства быть полноправным участником и субъектом международных отношений в ближневосточном регионе, а кроме того играть соответствующую курдскому потенциалу роль на международной арене, затрагивает как глобальные геополитические интересы мировых держав, так и служит источником напряжённости между странами разделивших территорию Курдистана. Курдское движение является также серьёзным дестабилизирующим фактором внутриполитической жизни для таких стран, как Турция, Иран, Ирак и Сирия.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достижения поставленных целей и задач данной работы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 xml:space="preserve">был изучен целый комплекс научных работ, статей и документов.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Среди важных документов были изучены Севрский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[40]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Лозан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ский договора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[28],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которые определили статус курдского народа. При рассмотрении актуальных вопросов социально-политического блока была рассмотрена монография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Гасратяна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М.А.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Курдская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 в Турции (1986–1995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гг.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[8].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данной работе представлен широкий статистический материал, который служит ценным источником для написания курсовой работы. Также были использованы исследования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К.В. Курдский вопрос в политике Турции (конец ХХ – начало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века) </w:t>
      </w:r>
      <w:r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[3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].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этой работе также большое количество статистического материала и в целом политика правительства относительно курдского вопроса. Данная монография очень информативна, охватывает весь хронологический период, описанный в данной курсовой работе. Далее был изучен ряд статей исследователей Киевского Национального Университета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им.Тараса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Шевченка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Алієв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М.М.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Зовнішня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політика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туречини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наприкінці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90-х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рр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ХХ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на початку ХХІ ст.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</w:t>
      </w:r>
      <w:r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1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 xml:space="preserve">],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а также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зборник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научных работ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Гіас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І. М.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Сирійсько-Турецьк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взаємини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курдська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 xml:space="preserve">[9].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данных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работах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анализируются внешнеполитические приоритеты Турции в современной системе международных отношений, анализ роли и места курдской проблемы во взаимоотношениях с региональными государствами.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lastRenderedPageBreak/>
        <w:t xml:space="preserve">Среди зарубежных работ можно выделить статьи таких турецких исследователей как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Еrol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Kurubаş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Еtnik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Sorun-Dış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Рolitikа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İlişkisi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Bаğlаmındа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Kürt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Sorununun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Türk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Dış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Рolitikаsınа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Еtkilеri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(Влияние курдского вопроса на внешнюю политику Турции)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>[44]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и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Tаhа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Özса</w:t>
      </w:r>
      <w:proofErr w:type="gram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Kürt</w:t>
      </w:r>
      <w:proofErr w:type="spellEnd"/>
      <w:proofErr w:type="gram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Mеsеlеsi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Рroblеmlеr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vе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Çözüm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Önеrilеri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(Курдский в</w:t>
      </w: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опрос и предложения по решению)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 xml:space="preserve">[45].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Данные статьи объективно описывают развитие курдского вопроса с начала образования Турецкой республики, активизацию курдских движений и влияние курдского фактора на политику Турции.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Также была полезна статья американского исследователя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Mish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Wuthri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е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Kurdish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stion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Turk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а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nd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Ir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(Курдский вопрос в Турции и Ираке) </w:t>
      </w:r>
      <w:r w:rsidRPr="00153172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ja-JP"/>
        </w:rPr>
        <w:t xml:space="preserve">[43].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Хронологические рамки данной работы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начинаются в основном с 70-х-90-х г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г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ХХ ст., события которых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оказали существенное влияние на внешнеполитический курс Турции, но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есть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ссылка на предысторию проблемы, в частности Севрский и Лозаннский договора, и заканчиваются рассмотрением некоторых аспектов политики Анкары в отношении курдов на современном этапе.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Структурно данная дипломная работа состоит из трех глав.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первой главе рассматриваются международные документы, определившие статус курдского народа. </w:t>
      </w: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Вторая глава посвящена активизация курдских движений в Турции после второй мировой войны. </w:t>
      </w:r>
    </w:p>
    <w:p w:rsidR="001B6FE4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 третьей главе описана позиция ведущих мировых держав к курдскому вопросу в Турции и проводимой политики в отношении курдского меньшинства.</w:t>
      </w: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A744B4" w:rsidRDefault="00767BD4" w:rsidP="00767BD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A744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ЗАКЛЮЧЕНИЕ</w:t>
      </w:r>
    </w:p>
    <w:p w:rsidR="00767BD4" w:rsidRPr="00153172" w:rsidRDefault="00767BD4" w:rsidP="00767B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 результате проведенного исследования для данной бакалаврской работы можно сделать следующее выводы:</w:t>
      </w:r>
    </w:p>
    <w:p w:rsidR="00767BD4" w:rsidRPr="00153172" w:rsidRDefault="00767BD4" w:rsidP="00767BD4">
      <w:pPr>
        <w:pStyle w:val="a9"/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Истоки влияния курдского вопроса на внешнеполитический курс Турции были заложены после распада османской империи Севрским и Лозаннским международными договорами. Эти международные договора и определившие статус курдского народа, и побудили его к активизации массовых протестов.</w:t>
      </w:r>
    </w:p>
    <w:p w:rsidR="00767BD4" w:rsidRPr="00153172" w:rsidRDefault="00767BD4" w:rsidP="00767BD4">
      <w:pPr>
        <w:pStyle w:val="a9"/>
        <w:numPr>
          <w:ilvl w:val="0"/>
          <w:numId w:val="1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Существенные изменения во внешней политике Анкары произошли под влиянием активизации курдских движений в 70-80 годах, в том числе и радикальных, что вынудило турецкое руководство внести существенные изменения в свою внешнюю политику и прибегнуть к новым формулировкам в своей международной деятельности. 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Горький опыт, который получили курды в период борьбы за национальное самоопределение говорит о том, что использование военных мер для защиты своих интересов является вынужденной мерой и реакцией на геноцид, который проводиться правительством Турции и Ирака. Кроме того, конфронтация приводит лишь к дальнейшему усугублению курдской проблемы не только на государственном, но и на международном уровне. Как показала практика, ни масштабные репрессивные меры против курдов, ни действия, носящие характер массового геноцида, не привели к исчезновению курдского национального вопроса. Таким образом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главным фактором, свидетельствующим о необратимости движения курдов к созданию собственной государственности, является на сегодня существование и укрепление Иракского Курдистана. Сам факт успешного функционирования национальных государственных учреждений в Иракском Курдистане оказывает громадное влияние на курдов в сопредельных странах. В настоящее время в Иране, Сирии и Турции идет процесс консолидации курдского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общества, серьёзно возросла политическая активность в этих частях Курдистана. В них по примеру Иракского Курдистана выдвигается лозунг федерализации.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В результате неоднозначной реакции международного сообщества на проводимую политику Турции в отношении курдов Анкара была вынуждена внести коррективы во внешнеполитический курс своего государства. 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На современном этапе развития международных отношений курдский вопрос будет становиться все более актуальным в результате того, что ни одна из заинтересованных сторон курдского вопроса не согласна уступать своих позиций на Ближнем востоке.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  <w:t>Открытая поддержка Соединенными Штатами турецких курдов, как это происходит в отношении Иракского Курдистана в нынешней ситуации, чревата утратой стратегических и геополитических позиций Турции в регионе. Полностью устраниться от участия в решении проблемы турецких курдов на стороне Турции едва ли возможно, так как уже сейчас заметно, что, не получая от США весомой поддержки, Турция все активнее идет на сближение с Ираном и Сирией, где существует аналогичная проблема. США не могут допустить реального союза Турции со своими основными антагонистами на «Большом Ближнем Востоке», которые все чаще в заявлениях американских политиков называются очередными целями вооруженных акций США. Отсюда следует, что отношение США к курдской проблеме в Турции будет и далее характеризоваться осторожностью и сугубым прагматизмом.</w:t>
      </w:r>
    </w:p>
    <w:p w:rsidR="00767BD4" w:rsidRPr="00153172" w:rsidRDefault="00767BD4" w:rsidP="00767BD4">
      <w:pPr>
        <w:pStyle w:val="Default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Совершенно иначе курдский фактор сказывается на отношениях Турции с Европой. Западноевропейские страны, хотя и имеют свои интересы в регионе, где проживают курды, не имеют там политических и военно-стратегических амбиций и планов, подобных американским.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  <w:t>У проблемы турецких курдов не может быть простых, очевидных решений. Ясно лишь то, что она уже вышла за рамки внутреннего дела Турции и превратилась в серьезный фактор ее внешней политики.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В заключении хочется отметить, что каждое государство, которое утверждает международные договора и соглашения по правам человека,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 силу того что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берет на себя обязательства, должно препятствовать нарушению этих прав, применять надлежащие меры чтобы обеспечивать реализацию этих прав, в частности по курдскому вопросу.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Ссылаясь на Устав ООН, Всеобщую декларацию прав человека, Международные пакты о правах человека и другие международно-правовые нормы, можно сказать, что курдский народ имеет право требовать от международного сообщества принятия мер для защиты от страданий и постоянной войны.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Если международное сообщество окажет помощь курдскому народу на пути достижения независимости и самоопределения, то убедит общество в том, что основные права человека защищены и это будет гарантией мира и международной безопасности на Ближнем и Среднем Востоке.</w:t>
      </w: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767BD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7BD4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67BD4" w:rsidRPr="00A744B4" w:rsidRDefault="00767BD4" w:rsidP="00767BD4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744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СПИСОК ИЗУЧЕННЫХ ИСТОЧНИКОВ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767BD4" w:rsidRPr="00153172" w:rsidRDefault="00767BD4" w:rsidP="00767BD4">
      <w:pPr>
        <w:pStyle w:val="1"/>
        <w:spacing w:before="0" w:beforeAutospacing="0" w:after="0" w:afterAutospacing="0" w:line="360" w:lineRule="auto"/>
        <w:contextualSpacing/>
        <w:jc w:val="both"/>
        <w:rPr>
          <w:b w:val="0"/>
          <w:bCs w:val="0"/>
          <w:color w:val="000000" w:themeColor="text1"/>
          <w:sz w:val="28"/>
          <w:szCs w:val="28"/>
        </w:rPr>
      </w:pPr>
      <w:r w:rsidRPr="00153172">
        <w:rPr>
          <w:b w:val="0"/>
          <w:color w:val="000000" w:themeColor="text1"/>
          <w:sz w:val="28"/>
          <w:szCs w:val="28"/>
        </w:rPr>
        <w:t xml:space="preserve">1.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Алієв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М.М.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Зовнішня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політика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туреччини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наприкінці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90-х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рр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. ХХ ст. на початку ХХІ ст.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Збірник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статей / М.М.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Алієв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. К.: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Київський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національний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університет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імені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Тараса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Шевченка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Інститут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міжнародних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відносин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, 2015. – С. 125 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К.В. Вопросы демократизации и курдский вопрос в Турции в начале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века. Курдский вопрос в Западной Азии в начале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века. Сборник статей. – М., ИБВ, 2006. – С. 141-159.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К.В. Курдский вопрос в политике Турции (конец ХХ – начало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века). – М., ИБВ, 2007. – С. 122-135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К.В. К истории курдского вопроса в Турции. Курдский вопрос на рубеже тысячелетий. – М., ИБВ, 2004. – С. 50-63.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К.В. Ситуация в Ираке и проблемы политической стабильности Турции. Курдский вопрос в Западной Азии в начале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века. – М., ИБВ, 2006. – С. 215-226.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Вертяев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К.В. Курдский вопрос в Турции в свете текущей ситуации на Ближнем и Среднем Востоке. — М., ИБВ, 2009. — С. 26-35</w:t>
      </w:r>
    </w:p>
    <w:p w:rsidR="00767BD4" w:rsidRPr="00153172" w:rsidRDefault="00767BD4" w:rsidP="00767BD4">
      <w:pPr>
        <w:pStyle w:val="1"/>
        <w:spacing w:before="0" w:beforeAutospacing="0" w:after="0" w:afterAutospacing="0" w:line="360" w:lineRule="auto"/>
        <w:contextualSpacing/>
        <w:jc w:val="both"/>
        <w:rPr>
          <w:b w:val="0"/>
          <w:bCs w:val="0"/>
          <w:color w:val="000000" w:themeColor="text1"/>
          <w:sz w:val="28"/>
          <w:szCs w:val="28"/>
        </w:rPr>
      </w:pPr>
      <w:r w:rsidRPr="00153172">
        <w:rPr>
          <w:b w:val="0"/>
          <w:bCs w:val="0"/>
          <w:color w:val="000000" w:themeColor="text1"/>
          <w:sz w:val="28"/>
          <w:szCs w:val="28"/>
        </w:rPr>
        <w:t xml:space="preserve">7. Главные события во внешней политике Турции в 2017 году </w:t>
      </w:r>
      <w:r w:rsidRPr="00153172">
        <w:rPr>
          <w:b w:val="0"/>
          <w:color w:val="000000" w:themeColor="text1"/>
          <w:sz w:val="28"/>
          <w:szCs w:val="28"/>
        </w:rPr>
        <w:t>//</w:t>
      </w:r>
      <w:r w:rsidRPr="00153172">
        <w:rPr>
          <w:rStyle w:val="a5"/>
          <w:b w:val="0"/>
          <w:color w:val="000000" w:themeColor="text1"/>
          <w:sz w:val="28"/>
          <w:szCs w:val="28"/>
          <w:lang w:val="pt-PT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Агенство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b w:val="0"/>
          <w:color w:val="000000" w:themeColor="text1"/>
          <w:sz w:val="28"/>
          <w:szCs w:val="28"/>
        </w:rPr>
        <w:t>Анадолу</w:t>
      </w:r>
      <w:proofErr w:type="spellEnd"/>
      <w:r w:rsidRPr="00153172">
        <w:rPr>
          <w:b w:val="0"/>
          <w:color w:val="000000" w:themeColor="text1"/>
          <w:sz w:val="28"/>
          <w:szCs w:val="28"/>
        </w:rPr>
        <w:t xml:space="preserve"> </w:t>
      </w:r>
      <w:r w:rsidRPr="00153172">
        <w:rPr>
          <w:color w:val="000000" w:themeColor="text1"/>
          <w:sz w:val="28"/>
          <w:szCs w:val="28"/>
        </w:rPr>
        <w:t>//</w:t>
      </w:r>
      <w:r w:rsidRPr="00153172">
        <w:rPr>
          <w:b w:val="0"/>
          <w:color w:val="000000" w:themeColor="text1"/>
          <w:sz w:val="28"/>
          <w:szCs w:val="28"/>
        </w:rPr>
        <w:t xml:space="preserve"> https://www.aa.com.tr/ru/заголовки-дня/главные-события-во-внешней-политике-турции-в-2017-году-/1008255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Гасратян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М.А. Курдская проблема в Турции. – М., ИВ РАН, 2001. – С.110-115.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Гіас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І. М.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Сирійсько-Турецькі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взаємини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курдська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проблема.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Збірник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наукових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праць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Випуск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108.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Частина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(у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двох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частинах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К.: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Київський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національний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імені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Тараса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Шевченка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Інститут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міжнародних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відносин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2012 – 278 с. 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10.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Дружиловский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С.Б. Курдская проблема в Турецкой Республике. Этносы и конфессии на Востоке: конфликты и взаимодействие. – М., Вост.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лит.,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2005. –  332 с.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11.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Дружиловский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С.Б. Влияние иракского кризиса на урегулирование курдской проблемы в Турецкой республике. Курдский вопрос в Западной Азии в начале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века. Сборник статей. – М., </w:t>
      </w:r>
      <w:proofErr w:type="spellStart"/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Вост.лит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.,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2006. – С. 148-167.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12. Егоров, В.К. Курдский фактор во внешней политике Турции. Курдский вопрос в Западной Азии в начале ХХ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века. Сборник статей. –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М.,ИБВ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2006. – С. 208-219.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13.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Загорнова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Е.В. Рабочая партия Курдистана. Курдский вопрос на рубеже тысячелетий. – М., 2004. – С. 61-83.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14. Жаров К. Новое обострение "курдской проблемы" и борьба с терроризмом. – М., Компас, 2006. – №17. – С. 41-58.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15. Захарова М.В. Курдская проблема в Турции // Актуальные проблемы современности. – М.,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Вост.лит.,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2003. – №3. - С. 63-80.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Жигалина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О.И. Курдский вопрос и проблема стабильности в Западной Азии. Ин-т востоковедения. — М.: Вост. </w:t>
      </w:r>
      <w:proofErr w:type="gram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лит.,</w:t>
      </w:r>
      <w:proofErr w:type="gram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2006.— С. 162-180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Жигалина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, О.И. Курдская политика США в Ираке и проблемы турецких курдов. Современный исламский Восток и страны Запада. – М., ИВ РАН, 2004. – С. 52-67.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18.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Жигалина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О.И. Курдский вопрос в Западной Азии на современном этапе. – М., ИВ РАН, 2005. – №5. – С. 38-54.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19. Иванова, И.И. Некоторые направления турецко-американского сотрудничества. Современный исламский Восток и страны Запада. – М., 2004. – С. 71-87.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20.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Кизюков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С. "Курдская проблема" во внешней политике Турции //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Космополис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. – М., 2007. – №2. – С. 66-82.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21. Кудряшова, Ю.С. Копенгагенские критерии ЕС и Турция. Востоковедный сборник (выпуск шестой). – М., 2004. – С. 115-134.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22. Конституция Турецкой Республики. Анкара, 1982. // Юридическое 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агенство</w:t>
      </w:r>
      <w:proofErr w:type="spellEnd"/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hyperlink r:id="rId8" w:history="1">
        <w:r w:rsidRPr="00153172">
          <w:rPr>
            <w:rStyle w:val="a8"/>
            <w:rFonts w:ascii="Times New Roman" w:hAnsi="Times New Roman" w:cs="Times New Roman"/>
            <w:color w:val="000000" w:themeColor="text1"/>
            <w:sz w:val="28"/>
            <w:szCs w:val="28"/>
          </w:rPr>
          <w:t>https://legalns.com/ /правовая</w:t>
        </w:r>
      </w:hyperlink>
      <w:r w:rsidRPr="00153172"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-библиотека/конституции-стран-мира/конституция-</w:t>
      </w:r>
      <w:proofErr w:type="spellStart"/>
      <w:r w:rsidRPr="00153172"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турции</w:t>
      </w:r>
      <w:proofErr w:type="spellEnd"/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23. Лазарев М.С. Курдистан и курдский вопрос (1923-1945). — М.: ИВ РАН, 2005. — 310 с.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24. Лазарев М.С. Курдский вопрос в новой геополитической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ситуации.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— М., ИВ РАН, 2004. — 130 с.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25. Лазарев М. Курдская проблема в европейском измерении // Азия и Африка сегодня. – М., ИВ РАН, 1997. – №2. – С. 66-78.</w:t>
      </w:r>
    </w:p>
    <w:p w:rsidR="00767BD4" w:rsidRPr="00153172" w:rsidRDefault="00767BD4" w:rsidP="00767BD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26. Лазарев М. Почему Турция опасается независимого Курдистана // Азия и Африка сегодня. – М., ИВ РАН, 2003. – №6. – С. 8-17.</w:t>
      </w:r>
    </w:p>
    <w:p w:rsidR="00767BD4" w:rsidRPr="00153172" w:rsidRDefault="00767BD4" w:rsidP="00767BD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Fonts w:ascii="Times New Roman" w:eastAsia="Arial Unicode MS" w:hAnsi="Times New Roman" w:cs="Times New Roman"/>
          <w:bCs/>
          <w:color w:val="000000" w:themeColor="text1"/>
          <w:sz w:val="28"/>
          <w:szCs w:val="28"/>
        </w:rPr>
        <w:t xml:space="preserve">27. Лазарев М. С. </w:t>
      </w:r>
      <w:r w:rsidRPr="00153172">
        <w:rPr>
          <w:rFonts w:ascii="Times New Roman" w:eastAsia="Arial Unicode MS" w:hAnsi="Times New Roman" w:cs="Times New Roman"/>
          <w:color w:val="000000" w:themeColor="text1"/>
          <w:sz w:val="28"/>
          <w:szCs w:val="28"/>
        </w:rPr>
        <w:t xml:space="preserve">Курдский вопрос в новой геополитической ситуации.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М., ИВ РАН, 2004. – С. 3-10.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28. Лозаннский мирный договор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pt-PT"/>
        </w:rPr>
        <w:t xml:space="preserve">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  <w:lang w:val="pt-PT"/>
        </w:rPr>
        <w:t xml:space="preserve"> Документы ХХ века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hyperlink r:id="rId9" w:history="1">
        <w:r w:rsidRPr="00153172">
          <w:rPr>
            <w:rStyle w:val="Hyperlink0"/>
            <w:rFonts w:eastAsia="Calibri"/>
            <w:color w:val="000000" w:themeColor="text1"/>
          </w:rPr>
          <w:t>htt</w:t>
        </w:r>
        <w:r w:rsidRPr="00775972">
          <w:rPr>
            <w:rStyle w:val="Hyperlink0"/>
            <w:rFonts w:eastAsia="Calibri"/>
            <w:color w:val="000000" w:themeColor="text1"/>
          </w:rPr>
          <w:t>р://</w:t>
        </w:r>
        <w:r w:rsidRPr="00153172">
          <w:rPr>
            <w:rStyle w:val="Hyperlink0"/>
            <w:rFonts w:eastAsia="Calibri"/>
            <w:color w:val="000000" w:themeColor="text1"/>
          </w:rPr>
          <w:t>do</w:t>
        </w:r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с</w:t>
        </w:r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lang w:val="pt-PT"/>
          </w:rPr>
          <w:t>20vеk.ru/nodе/3916</w:t>
        </w:r>
      </w:hyperlink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pt-PT"/>
        </w:rPr>
        <w:t xml:space="preserve"> 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29.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Лукоянов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А.К. Курды как гарант стабильности в регионе. Ин-т востоковедения. — М., Вост. </w:t>
      </w:r>
      <w:proofErr w:type="gram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лит.,</w:t>
      </w:r>
      <w:proofErr w:type="gram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2006.— С. 43-60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30.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Мгои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Ш.Х.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Курдский фактор - Современное состояние и перспективы. М., ИВ РАН, 2004,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– С. 12-24.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31. Мирзоев, К.И. Роль руководителей в национально-освободительной борьбе курдского народа. – Курдистан: на перекрёстках истории и политики. – М., 1994. –  321 с.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32. Михайлов В.В. Современное состояние курдской проблемы // Вестник Санкт-Петербургского университета. – </w:t>
      </w:r>
      <w:proofErr w:type="gram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СПб.,</w:t>
      </w:r>
      <w:proofErr w:type="gram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2007 – №1. – С. 39-46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33.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Мосаки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, Н.З.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Гидростратегические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аспекты курдского вопроса. Ближний Восток и современность. Сборник статей (выпуск одиннадцатый). – М., ИБВ, 2001. – С. 123-140.</w:t>
      </w:r>
    </w:p>
    <w:p w:rsidR="00767BD4" w:rsidRPr="00153172" w:rsidRDefault="00767BD4" w:rsidP="00767BD4">
      <w:pPr>
        <w:tabs>
          <w:tab w:val="left" w:pos="7368"/>
        </w:tabs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34.Мосаки Н.З. Курдистан и Курдский вопрос в политике Запада и России М., ИБВ, 2011. – С. 115-133.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35.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Мосаки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Н.З. Нефть и курдская проблема // Азия и Африка сегодня. – М., ИБВ, 2002. – №3. – С. 30-37.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36. Осуществление резолюций ООН, касающихся права на самоопределение народов, находящихся под колониальным и иностранным господством. ЭКОСОС ООН, Нью-Йорк, 1982.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37.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Сатановский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Е. Прогресс урегулирования курдской проблемы в Турции // Международная жизнь. – М., ИБВ, 2005. – №4. – С. 10-12.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38.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Свистунова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, И.А. Иракский кризис 2003 года и турецко-американские отношения. Ближний Восток и современность. Сборник статей (выпуск двадцать шестой). – М., ИБВ, 2005. – С. 33-50.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39.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Свистунова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, И.А. О влиянии иракского фактора на развитие отношений Турецкой республики с Ираном. Ближний Восток и современность. Сборник статей (выпуск двадцать девятый). – М., ИБВ, 2006. – С. 95-115.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40. Севрский мирный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догово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pt-PT"/>
        </w:rPr>
        <w:t>р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Fonts w:ascii="Times New Roman" w:hAnsi="Times New Roman" w:cs="Times New Roman"/>
          <w:color w:val="000000" w:themeColor="text1"/>
          <w:sz w:val="28"/>
          <w:szCs w:val="28"/>
        </w:rPr>
        <w:t>// Документы ХХ века //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pt-PT"/>
        </w:rPr>
        <w:t xml:space="preserve"> </w:t>
      </w:r>
      <w:hyperlink r:id="rId10" w:history="1">
        <w:proofErr w:type="spellStart"/>
        <w:r w:rsidRPr="00153172">
          <w:rPr>
            <w:rStyle w:val="Hyperlink1"/>
            <w:rFonts w:eastAsia="Calibri"/>
            <w:color w:val="000000" w:themeColor="text1"/>
          </w:rPr>
          <w:t>htt</w:t>
        </w:r>
        <w:proofErr w:type="spellEnd"/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р://</w:t>
        </w:r>
        <w:r w:rsidRPr="00153172">
          <w:rPr>
            <w:rStyle w:val="Hyperlink1"/>
            <w:rFonts w:eastAsia="Calibri"/>
            <w:color w:val="000000" w:themeColor="text1"/>
          </w:rPr>
          <w:t>www</w:t>
        </w:r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.</w:t>
        </w:r>
        <w:r w:rsidRPr="00153172">
          <w:rPr>
            <w:rStyle w:val="Hyperlink1"/>
            <w:rFonts w:eastAsia="Calibri"/>
            <w:color w:val="000000" w:themeColor="text1"/>
          </w:rPr>
          <w:t>do</w:t>
        </w:r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с20vеk.ru/</w:t>
        </w:r>
        <w:proofErr w:type="spellStart"/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nodе</w:t>
        </w:r>
        <w:proofErr w:type="spellEnd"/>
        <w:r w:rsidRPr="00153172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/3429</w:t>
        </w:r>
      </w:hyperlink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41. Ульченко, Н.И. Турция: старые и новые подходы к проблемам юго-востока. Ближний Восток и современность. – М., ИБВ, 1997. – №3. – С.111-118.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42. Федорова И.Е. США и иракские курды. Ин-т востоковедения. — М.: Вост. </w:t>
      </w:r>
      <w:proofErr w:type="gram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лит.,</w:t>
      </w:r>
      <w:proofErr w:type="gram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2006.— С. 110-137.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43.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Mish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Wuthri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е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Kurdish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stion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Turk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а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nd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Ir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(Курдский вопрос в Турции и Ираке) /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Middl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е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Еа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Vol. 48, No. 2, р. 303</w:t>
      </w: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–310, </w:t>
      </w:r>
      <w:proofErr w:type="spellStart"/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Mаrсh</w:t>
      </w:r>
      <w:proofErr w:type="spellEnd"/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2012 </w:t>
      </w:r>
    </w:p>
    <w:p w:rsidR="00767BD4" w:rsidRPr="00153172" w:rsidRDefault="00767BD4" w:rsidP="00767BD4">
      <w:pPr>
        <w:spacing w:after="0" w:line="360" w:lineRule="auto"/>
        <w:jc w:val="both"/>
        <w:rPr>
          <w:rStyle w:val="a5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44.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Еrol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Kurubаş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Еtnik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Sorun-Dış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Рolitikа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İlişkisi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Bаğlаmındа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Kürt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Sorununun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Türk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Dış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Рolitikаsınа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Еtkilеri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(Влияние курдского вопроса на внешнюю политику Турции) / –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Сilt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8.  –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Аnkаrа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Аvruра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Çаlışmаlаrı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Dеrgisi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, 2009. – </w:t>
      </w: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pt-PT"/>
        </w:rPr>
        <w:t>39- 69 s.</w:t>
      </w:r>
    </w:p>
    <w:p w:rsidR="00767BD4" w:rsidRPr="00CC20B3" w:rsidRDefault="00767BD4" w:rsidP="00767BD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45.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Tаhа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Özсаn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Hаtеm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Еtе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Kürt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Mеsеlеsi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Рroblеmlеr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vе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Çözüm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Önеrilеri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(Курдский вопрос и предложения по решению) /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Sеtа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>Аnаliz</w:t>
      </w:r>
      <w:proofErr w:type="spellEnd"/>
      <w:r w:rsidRPr="00153172">
        <w:rPr>
          <w:rStyle w:val="a5"/>
          <w:rFonts w:ascii="Times New Roman" w:hAnsi="Times New Roman" w:cs="Times New Roman"/>
          <w:color w:val="000000" w:themeColor="text1"/>
          <w:sz w:val="28"/>
          <w:szCs w:val="28"/>
        </w:rPr>
        <w:t xml:space="preserve">, 2008. – </w:t>
      </w: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  <w:lang w:val="pt-PT"/>
        </w:rPr>
        <w:t xml:space="preserve">20 s. </w:t>
      </w:r>
    </w:p>
    <w:p w:rsidR="00767BD4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p w:rsidR="00767BD4" w:rsidRPr="00153172" w:rsidRDefault="00767BD4" w:rsidP="001B6FE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B6FE4" w:rsidRPr="00153172" w:rsidRDefault="001B6FE4" w:rsidP="001B6F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C4CE9" w:rsidRDefault="001C4CE9"/>
    <w:sectPr w:rsidR="001C4CE9" w:rsidSect="00345DDA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5DDA" w:rsidRDefault="00345DDA" w:rsidP="00345DDA">
      <w:pPr>
        <w:spacing w:after="0" w:line="240" w:lineRule="auto"/>
      </w:pPr>
      <w:r>
        <w:separator/>
      </w:r>
    </w:p>
  </w:endnote>
  <w:endnote w:type="continuationSeparator" w:id="0">
    <w:p w:rsidR="00345DDA" w:rsidRDefault="00345DDA" w:rsidP="00345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5DDA" w:rsidRDefault="00345DDA" w:rsidP="00345DDA">
      <w:pPr>
        <w:spacing w:after="0" w:line="240" w:lineRule="auto"/>
      </w:pPr>
      <w:r>
        <w:separator/>
      </w:r>
    </w:p>
  </w:footnote>
  <w:footnote w:type="continuationSeparator" w:id="0">
    <w:p w:rsidR="00345DDA" w:rsidRDefault="00345DDA" w:rsidP="00345D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00BF" w:rsidRDefault="00767BD4">
    <w:pPr>
      <w:pStyle w:val="a3"/>
      <w:tabs>
        <w:tab w:val="clear" w:pos="9072"/>
        <w:tab w:val="right" w:pos="9044"/>
      </w:tabs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1733D4A"/>
    <w:multiLevelType w:val="hybridMultilevel"/>
    <w:tmpl w:val="BF2ED8A4"/>
    <w:lvl w:ilvl="0" w:tplc="CF0EDF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58D"/>
    <w:rsid w:val="001B6FE4"/>
    <w:rsid w:val="001C4CE9"/>
    <w:rsid w:val="00345DDA"/>
    <w:rsid w:val="0040358D"/>
    <w:rsid w:val="00767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A6A405-D3F1-458B-A213-00D26228D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B6FE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paragraph" w:styleId="1">
    <w:name w:val="heading 1"/>
    <w:basedOn w:val="a"/>
    <w:link w:val="10"/>
    <w:uiPriority w:val="9"/>
    <w:qFormat/>
    <w:rsid w:val="00767BD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bdr w:val="none" w:sz="0" w:space="0" w:color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link w:val="a4"/>
    <w:uiPriority w:val="99"/>
    <w:rsid w:val="001B6FE4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1B6FE4"/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a5">
    <w:name w:val="Нет"/>
    <w:rsid w:val="001B6FE4"/>
  </w:style>
  <w:style w:type="paragraph" w:styleId="a6">
    <w:name w:val="footer"/>
    <w:basedOn w:val="a"/>
    <w:link w:val="a7"/>
    <w:uiPriority w:val="99"/>
    <w:unhideWhenUsed/>
    <w:rsid w:val="00345D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45DDA"/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67BD4"/>
    <w:rPr>
      <w:rFonts w:ascii="Times New Roman" w:eastAsia="Times New Roman" w:hAnsi="Times New Roman" w:cs="Times New Roman"/>
      <w:b/>
      <w:bCs/>
      <w:kern w:val="36"/>
      <w:sz w:val="48"/>
      <w:szCs w:val="48"/>
      <w:u w:color="000000"/>
      <w:lang w:eastAsia="ru-RU"/>
    </w:rPr>
  </w:style>
  <w:style w:type="character" w:styleId="a8">
    <w:name w:val="Hyperlink"/>
    <w:rsid w:val="00767BD4"/>
    <w:rPr>
      <w:u w:val="single"/>
    </w:rPr>
  </w:style>
  <w:style w:type="paragraph" w:customStyle="1" w:styleId="Default">
    <w:name w:val="Default"/>
    <w:rsid w:val="00767BD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Arial Unicode MS" w:eastAsia="Arial Unicode MS" w:hAnsi="Arial Unicode MS" w:cs="Arial Unicode MS"/>
      <w:color w:val="000000"/>
      <w:sz w:val="24"/>
      <w:szCs w:val="24"/>
      <w:u w:color="000000"/>
      <w:bdr w:val="nil"/>
      <w:lang w:eastAsia="ru-RU"/>
    </w:rPr>
  </w:style>
  <w:style w:type="paragraph" w:styleId="a9">
    <w:name w:val="List Paragraph"/>
    <w:rsid w:val="00767BD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720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Hyperlink0">
    <w:name w:val="Hyperlink.0"/>
    <w:basedOn w:val="a5"/>
    <w:rsid w:val="00767BD4"/>
    <w:rPr>
      <w:rFonts w:ascii="Times New Roman" w:eastAsia="Times New Roman" w:hAnsi="Times New Roman" w:cs="Times New Roman"/>
      <w:color w:val="000000"/>
      <w:sz w:val="28"/>
      <w:szCs w:val="28"/>
      <w:u w:val="none" w:color="000000"/>
      <w:lang w:val="de-DE"/>
    </w:rPr>
  </w:style>
  <w:style w:type="character" w:customStyle="1" w:styleId="Hyperlink1">
    <w:name w:val="Hyperlink.1"/>
    <w:basedOn w:val="a5"/>
    <w:rsid w:val="00767BD4"/>
    <w:rPr>
      <w:rFonts w:ascii="Times New Roman" w:eastAsia="Times New Roman" w:hAnsi="Times New Roman" w:cs="Times New Roman"/>
      <w:color w:val="000000"/>
      <w:sz w:val="28"/>
      <w:szCs w:val="28"/>
      <w:u w:val="none" w:color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alns.com/&#1082;&#1086;&#1084;&#1087;&#1077;&#1090;&#1077;&#1085;&#1090;&#1085;&#1099;&#1077;-&#1102;&#1088;&#1080;&#1089;&#1090;&#1099;/&#1087;&#1088;&#1072;&#1074;&#1086;&#1074;&#1072;&#1103;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doc20vek.ru/node/342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20vek.ru/node/391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2631</Words>
  <Characters>14998</Characters>
  <Application>Microsoft Office Word</Application>
  <DocSecurity>0</DocSecurity>
  <Lines>124</Lines>
  <Paragraphs>35</Paragraphs>
  <ScaleCrop>false</ScaleCrop>
  <Company/>
  <LinksUpToDate>false</LinksUpToDate>
  <CharactersWithSpaces>17594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2019-01-09T12:53:00Z</dcterms:created>
  <dcterms:modified xsi:type="dcterms:W3CDTF">2019-01-09T12:58:00Z</dcterms:modified>
</cp:coreProperties>
</file>