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ED6090" w14:textId="77777777" w:rsidR="00483B2B" w:rsidRPr="00807CE7" w:rsidRDefault="00483B2B" w:rsidP="00483B2B">
      <w:pPr>
        <w:spacing w:line="360" w:lineRule="auto"/>
        <w:jc w:val="center"/>
        <w:rPr>
          <w:rFonts w:ascii="Times New Roman" w:eastAsia="Calibri" w:hAnsi="Times New Roman" w:cs="Times New Roman"/>
          <w:b/>
          <w:bCs/>
          <w:i/>
          <w:iCs/>
          <w:sz w:val="28"/>
          <w:szCs w:val="28"/>
          <w:lang w:eastAsia="ru-RU"/>
        </w:rPr>
      </w:pPr>
      <w:r w:rsidRPr="00807CE7">
        <w:rPr>
          <w:rFonts w:ascii="Times New Roman" w:eastAsia="Calibri" w:hAnsi="Times New Roman" w:cs="Times New Roman"/>
          <w:sz w:val="28"/>
          <w:szCs w:val="28"/>
          <w:lang w:eastAsia="ru-RU"/>
        </w:rPr>
        <w:t>ОДЕСЬКИЙ НАЦІОНАЛЬНИЙ УНІВЕРСИТЕТ ІМЕНІ І. І. МЕЧНИКОВА</w:t>
      </w:r>
    </w:p>
    <w:p w14:paraId="7D9E3D84" w14:textId="77777777" w:rsidR="00483B2B" w:rsidRPr="00807CE7" w:rsidRDefault="00483B2B" w:rsidP="00483B2B">
      <w:pPr>
        <w:spacing w:line="360" w:lineRule="auto"/>
        <w:jc w:val="center"/>
        <w:rPr>
          <w:rFonts w:ascii="Times New Roman" w:eastAsia="Calibri" w:hAnsi="Times New Roman" w:cs="Times New Roman"/>
          <w:sz w:val="28"/>
          <w:szCs w:val="28"/>
          <w:lang w:eastAsia="ru-RU"/>
        </w:rPr>
      </w:pPr>
      <w:r w:rsidRPr="00807CE7">
        <w:rPr>
          <w:rFonts w:ascii="Times New Roman" w:eastAsia="Calibri" w:hAnsi="Times New Roman" w:cs="Times New Roman"/>
          <w:sz w:val="28"/>
          <w:szCs w:val="28"/>
          <w:lang w:eastAsia="ru-RU"/>
        </w:rPr>
        <w:t>Факультет міжнародних відносин, політології та соціології</w:t>
      </w:r>
    </w:p>
    <w:p w14:paraId="3AAAF38E" w14:textId="77777777" w:rsidR="00483B2B" w:rsidRPr="00807CE7" w:rsidRDefault="00483B2B" w:rsidP="00483B2B">
      <w:pPr>
        <w:spacing w:line="360" w:lineRule="auto"/>
        <w:jc w:val="center"/>
        <w:rPr>
          <w:rFonts w:ascii="Times New Roman" w:eastAsia="Calibri" w:hAnsi="Times New Roman" w:cs="Times New Roman"/>
          <w:sz w:val="28"/>
          <w:szCs w:val="28"/>
          <w:lang w:eastAsia="ru-RU"/>
        </w:rPr>
      </w:pPr>
      <w:r w:rsidRPr="00807CE7">
        <w:rPr>
          <w:rFonts w:ascii="Times New Roman" w:eastAsia="Calibri" w:hAnsi="Times New Roman" w:cs="Times New Roman"/>
          <w:sz w:val="28"/>
          <w:szCs w:val="28"/>
          <w:lang w:eastAsia="ru-RU"/>
        </w:rPr>
        <w:t>Кафедра світового господарства і міжнародних економічних відносин</w:t>
      </w:r>
    </w:p>
    <w:p w14:paraId="4B4E5924" w14:textId="77777777" w:rsidR="00483B2B" w:rsidRPr="00807CE7" w:rsidRDefault="00483B2B" w:rsidP="00483B2B">
      <w:pPr>
        <w:rPr>
          <w:rFonts w:ascii="Times New Roman" w:eastAsia="Calibri" w:hAnsi="Times New Roman" w:cs="Times New Roman"/>
          <w:sz w:val="28"/>
          <w:szCs w:val="28"/>
          <w:u w:val="single"/>
          <w:lang w:eastAsia="ru-RU"/>
        </w:rPr>
      </w:pPr>
    </w:p>
    <w:p w14:paraId="17BE89A8" w14:textId="77777777" w:rsidR="00483B2B" w:rsidRPr="00807CE7" w:rsidRDefault="00483B2B" w:rsidP="00483B2B">
      <w:pPr>
        <w:jc w:val="center"/>
        <w:rPr>
          <w:rFonts w:ascii="Times New Roman" w:eastAsia="Calibri" w:hAnsi="Times New Roman" w:cs="Times New Roman"/>
          <w:sz w:val="28"/>
          <w:szCs w:val="28"/>
          <w:u w:val="single"/>
          <w:lang w:eastAsia="ru-RU"/>
        </w:rPr>
      </w:pPr>
    </w:p>
    <w:p w14:paraId="03B3A1C4" w14:textId="77777777" w:rsidR="00483B2B" w:rsidRPr="00807CE7" w:rsidRDefault="00483B2B" w:rsidP="00483B2B">
      <w:pPr>
        <w:jc w:val="center"/>
        <w:rPr>
          <w:rFonts w:ascii="Times New Roman" w:eastAsia="Calibri" w:hAnsi="Times New Roman" w:cs="Times New Roman"/>
          <w:sz w:val="28"/>
          <w:szCs w:val="28"/>
          <w:u w:val="single"/>
          <w:lang w:eastAsia="ru-RU"/>
        </w:rPr>
      </w:pPr>
    </w:p>
    <w:p w14:paraId="1D51845E" w14:textId="77777777" w:rsidR="00483B2B" w:rsidRPr="00807CE7" w:rsidRDefault="00483B2B" w:rsidP="00483B2B">
      <w:pPr>
        <w:jc w:val="center"/>
        <w:rPr>
          <w:rFonts w:ascii="Times New Roman" w:eastAsia="Calibri" w:hAnsi="Times New Roman" w:cs="Times New Roman"/>
          <w:sz w:val="28"/>
          <w:szCs w:val="28"/>
          <w:u w:val="single"/>
          <w:lang w:eastAsia="ru-RU"/>
        </w:rPr>
      </w:pPr>
    </w:p>
    <w:p w14:paraId="5B4FCB69" w14:textId="77777777" w:rsidR="00483B2B" w:rsidRPr="00807CE7" w:rsidRDefault="00483B2B" w:rsidP="00483B2B">
      <w:pPr>
        <w:spacing w:line="360" w:lineRule="auto"/>
        <w:jc w:val="center"/>
        <w:rPr>
          <w:rFonts w:ascii="Times New Roman" w:eastAsia="Calibri" w:hAnsi="Times New Roman" w:cs="Times New Roman"/>
          <w:b/>
          <w:bCs/>
          <w:sz w:val="32"/>
          <w:szCs w:val="32"/>
          <w:lang w:eastAsia="ru-RU"/>
        </w:rPr>
      </w:pPr>
      <w:r w:rsidRPr="00807CE7">
        <w:rPr>
          <w:rFonts w:ascii="Times New Roman" w:eastAsia="Calibri" w:hAnsi="Times New Roman" w:cs="Times New Roman"/>
          <w:b/>
          <w:bCs/>
          <w:sz w:val="32"/>
          <w:szCs w:val="32"/>
          <w:lang w:eastAsia="ru-RU"/>
        </w:rPr>
        <w:t>Кваліфікаційна робота</w:t>
      </w:r>
    </w:p>
    <w:p w14:paraId="1F3B5D01" w14:textId="77777777" w:rsidR="00483B2B" w:rsidRPr="00807CE7" w:rsidRDefault="00483B2B" w:rsidP="00483B2B">
      <w:pPr>
        <w:spacing w:line="360" w:lineRule="auto"/>
        <w:jc w:val="center"/>
        <w:rPr>
          <w:rFonts w:ascii="Times New Roman" w:eastAsia="Calibri" w:hAnsi="Times New Roman" w:cs="Times New Roman"/>
          <w:sz w:val="28"/>
          <w:szCs w:val="28"/>
        </w:rPr>
      </w:pPr>
      <w:r w:rsidRPr="00807CE7">
        <w:rPr>
          <w:rFonts w:ascii="Times New Roman" w:eastAsia="Calibri" w:hAnsi="Times New Roman" w:cs="Times New Roman"/>
          <w:sz w:val="28"/>
          <w:szCs w:val="28"/>
          <w:lang w:eastAsia="ru-RU"/>
        </w:rPr>
        <w:t xml:space="preserve">на здобуття ступеня вищої освіти </w:t>
      </w:r>
      <w:r w:rsidRPr="00807CE7">
        <w:rPr>
          <w:rFonts w:ascii="Times New Roman" w:eastAsia="Calibri" w:hAnsi="Times New Roman" w:cs="Times New Roman"/>
          <w:sz w:val="28"/>
          <w:szCs w:val="28"/>
          <w:lang w:eastAsia="uk-UA"/>
        </w:rPr>
        <w:t>«</w:t>
      </w:r>
      <w:r w:rsidRPr="00807CE7">
        <w:rPr>
          <w:rFonts w:ascii="Times New Roman" w:eastAsia="Calibri" w:hAnsi="Times New Roman" w:cs="Times New Roman"/>
          <w:sz w:val="28"/>
          <w:szCs w:val="28"/>
          <w:lang w:eastAsia="ru-RU"/>
        </w:rPr>
        <w:t>бакалавр</w:t>
      </w:r>
      <w:r w:rsidRPr="00807CE7">
        <w:rPr>
          <w:rFonts w:ascii="Times New Roman" w:eastAsia="Calibri" w:hAnsi="Times New Roman" w:cs="Times New Roman"/>
          <w:sz w:val="28"/>
          <w:szCs w:val="28"/>
        </w:rPr>
        <w:t>»</w:t>
      </w:r>
    </w:p>
    <w:p w14:paraId="436BAB62" w14:textId="0F4CDECD" w:rsidR="00483B2B" w:rsidRPr="00807CE7" w:rsidRDefault="00483B2B" w:rsidP="00483B2B">
      <w:pPr>
        <w:spacing w:line="360" w:lineRule="auto"/>
        <w:jc w:val="center"/>
        <w:rPr>
          <w:rFonts w:ascii="Times New Roman" w:eastAsia="Calibri" w:hAnsi="Times New Roman" w:cs="Times New Roman"/>
          <w:b/>
          <w:bCs/>
          <w:sz w:val="28"/>
          <w:szCs w:val="28"/>
        </w:rPr>
      </w:pPr>
      <w:r w:rsidRPr="00807CE7">
        <w:rPr>
          <w:rFonts w:ascii="Times New Roman" w:eastAsia="Calibri" w:hAnsi="Times New Roman" w:cs="Times New Roman"/>
          <w:b/>
          <w:bCs/>
          <w:sz w:val="28"/>
          <w:szCs w:val="28"/>
          <w:lang w:eastAsia="uk-UA"/>
        </w:rPr>
        <w:t>«</w:t>
      </w:r>
      <w:r w:rsidRPr="00807CE7">
        <w:rPr>
          <w:rFonts w:ascii="Times New Roman" w:eastAsia="Calibri" w:hAnsi="Times New Roman" w:cs="Times New Roman"/>
          <w:b/>
          <w:color w:val="000000"/>
          <w:sz w:val="28"/>
          <w:szCs w:val="28"/>
        </w:rPr>
        <w:t xml:space="preserve">Розвиток зовнішньоекономічних зв’язків </w:t>
      </w:r>
      <w:r w:rsidRPr="00807CE7">
        <w:rPr>
          <w:rFonts w:ascii="Times New Roman" w:hAnsi="Times New Roman" w:cs="Times New Roman"/>
          <w:b/>
          <w:bCs/>
          <w:sz w:val="28"/>
          <w:szCs w:val="28"/>
        </w:rPr>
        <w:t xml:space="preserve">Румунії та Болгарії </w:t>
      </w:r>
      <w:r w:rsidRPr="00807CE7">
        <w:rPr>
          <w:rFonts w:ascii="Times New Roman" w:eastAsia="Calibri" w:hAnsi="Times New Roman" w:cs="Times New Roman"/>
          <w:b/>
          <w:color w:val="000000"/>
          <w:sz w:val="28"/>
          <w:szCs w:val="28"/>
        </w:rPr>
        <w:t>в умовах європейської інтеграції</w:t>
      </w:r>
      <w:r w:rsidRPr="00807CE7">
        <w:rPr>
          <w:rFonts w:ascii="Times New Roman" w:eastAsia="Calibri" w:hAnsi="Times New Roman" w:cs="Times New Roman"/>
          <w:b/>
          <w:bCs/>
          <w:sz w:val="28"/>
          <w:szCs w:val="28"/>
        </w:rPr>
        <w:t>»</w:t>
      </w:r>
    </w:p>
    <w:p w14:paraId="149A950A" w14:textId="16E3827C" w:rsidR="00483B2B" w:rsidRPr="00807CE7" w:rsidRDefault="00483B2B" w:rsidP="00483B2B">
      <w:pPr>
        <w:spacing w:line="360" w:lineRule="auto"/>
        <w:jc w:val="center"/>
        <w:rPr>
          <w:rFonts w:ascii="Times New Roman" w:eastAsia="Calibri" w:hAnsi="Times New Roman" w:cs="Times New Roman"/>
          <w:b/>
          <w:color w:val="000000"/>
          <w:sz w:val="28"/>
          <w:szCs w:val="28"/>
        </w:rPr>
      </w:pPr>
      <w:r w:rsidRPr="00807CE7">
        <w:rPr>
          <w:rFonts w:ascii="Times New Roman" w:eastAsia="Calibri" w:hAnsi="Times New Roman" w:cs="Times New Roman"/>
          <w:b/>
          <w:sz w:val="28"/>
          <w:szCs w:val="28"/>
        </w:rPr>
        <w:t>«</w:t>
      </w:r>
      <w:r w:rsidRPr="00807CE7">
        <w:rPr>
          <w:rFonts w:ascii="Times New Roman" w:eastAsia="Calibri" w:hAnsi="Times New Roman" w:cs="Times New Roman"/>
          <w:b/>
          <w:color w:val="000000"/>
          <w:sz w:val="28"/>
          <w:szCs w:val="28"/>
        </w:rPr>
        <w:t>Development of Foreign Economic Relations of Romania and Bulgaria in the Conditions of European integration</w:t>
      </w:r>
      <w:r w:rsidRPr="00807CE7">
        <w:rPr>
          <w:rFonts w:ascii="Times New Roman" w:eastAsia="Calibri" w:hAnsi="Times New Roman" w:cs="Times New Roman"/>
          <w:b/>
          <w:sz w:val="28"/>
          <w:szCs w:val="28"/>
        </w:rPr>
        <w:t>»</w:t>
      </w:r>
    </w:p>
    <w:p w14:paraId="09544A39" w14:textId="77777777" w:rsidR="00483B2B" w:rsidRPr="00807CE7" w:rsidRDefault="00483B2B" w:rsidP="00483B2B">
      <w:pPr>
        <w:rPr>
          <w:rFonts w:ascii="Times New Roman" w:eastAsia="Calibri" w:hAnsi="Times New Roman" w:cs="Times New Roman"/>
          <w:sz w:val="28"/>
          <w:szCs w:val="28"/>
          <w:lang w:eastAsia="ru-RU"/>
        </w:rPr>
      </w:pPr>
    </w:p>
    <w:p w14:paraId="01B018EB" w14:textId="77777777" w:rsidR="00483B2B" w:rsidRPr="00807CE7" w:rsidRDefault="00483B2B" w:rsidP="00483B2B">
      <w:pPr>
        <w:spacing w:line="360" w:lineRule="auto"/>
        <w:rPr>
          <w:rFonts w:ascii="Times New Roman" w:eastAsia="Calibri" w:hAnsi="Times New Roman" w:cs="Times New Roman"/>
          <w:sz w:val="28"/>
          <w:szCs w:val="28"/>
          <w:lang w:eastAsia="ru-RU"/>
        </w:rPr>
      </w:pPr>
    </w:p>
    <w:p w14:paraId="5BB8A94A" w14:textId="14DF2083" w:rsidR="00483B2B" w:rsidRPr="00807CE7" w:rsidRDefault="00483B2B" w:rsidP="00483B2B">
      <w:pPr>
        <w:spacing w:line="360" w:lineRule="auto"/>
        <w:rPr>
          <w:rFonts w:ascii="Times New Roman" w:eastAsia="Calibri" w:hAnsi="Times New Roman" w:cs="Times New Roman"/>
          <w:sz w:val="28"/>
          <w:szCs w:val="28"/>
          <w:lang w:eastAsia="ru-RU"/>
        </w:rPr>
      </w:pPr>
      <w:r w:rsidRPr="00807CE7">
        <w:rPr>
          <w:rFonts w:ascii="Times New Roman" w:eastAsia="Calibri" w:hAnsi="Times New Roman" w:cs="Times New Roman"/>
          <w:sz w:val="28"/>
          <w:szCs w:val="28"/>
          <w:lang w:eastAsia="ru-RU"/>
        </w:rPr>
        <w:t xml:space="preserve">                                         Виконав: здобувач денної форми навчання</w:t>
      </w:r>
    </w:p>
    <w:p w14:paraId="56436562" w14:textId="5DEF3B7E" w:rsidR="00483B2B" w:rsidRPr="00807CE7" w:rsidRDefault="00483B2B" w:rsidP="00483B2B">
      <w:pPr>
        <w:spacing w:line="360" w:lineRule="auto"/>
        <w:rPr>
          <w:rFonts w:ascii="Times New Roman" w:eastAsia="Calibri" w:hAnsi="Times New Roman" w:cs="Times New Roman"/>
          <w:sz w:val="28"/>
          <w:szCs w:val="28"/>
          <w:lang w:eastAsia="ru-RU"/>
        </w:rPr>
      </w:pPr>
      <w:r w:rsidRPr="00807CE7">
        <w:rPr>
          <w:rFonts w:ascii="Times New Roman" w:eastAsia="Calibri" w:hAnsi="Times New Roman" w:cs="Times New Roman"/>
          <w:sz w:val="28"/>
          <w:szCs w:val="28"/>
          <w:lang w:eastAsia="ru-RU"/>
        </w:rPr>
        <w:t xml:space="preserve">                                         спеціальності 292 «Міжнародні економічні відносини»</w:t>
      </w:r>
    </w:p>
    <w:p w14:paraId="729547DA" w14:textId="77777777" w:rsidR="00483B2B" w:rsidRPr="00807CE7" w:rsidRDefault="00483B2B" w:rsidP="00483B2B">
      <w:pPr>
        <w:spacing w:line="360" w:lineRule="auto"/>
        <w:jc w:val="center"/>
        <w:rPr>
          <w:rFonts w:ascii="Times New Roman" w:eastAsia="Calibri" w:hAnsi="Times New Roman" w:cs="Times New Roman"/>
          <w:sz w:val="28"/>
          <w:szCs w:val="28"/>
          <w:lang w:eastAsia="ru-RU"/>
        </w:rPr>
      </w:pPr>
      <w:r w:rsidRPr="00807CE7">
        <w:rPr>
          <w:rFonts w:ascii="Times New Roman" w:eastAsia="Calibri" w:hAnsi="Times New Roman" w:cs="Times New Roman"/>
          <w:sz w:val="28"/>
          <w:szCs w:val="28"/>
          <w:lang w:eastAsia="ru-RU"/>
        </w:rPr>
        <w:t xml:space="preserve">                                       Освітня програма «Міжнародні економічні відносини»</w:t>
      </w:r>
    </w:p>
    <w:p w14:paraId="63F25B92" w14:textId="20485041" w:rsidR="00483B2B" w:rsidRPr="00807CE7" w:rsidRDefault="00483B2B" w:rsidP="00483B2B">
      <w:pPr>
        <w:spacing w:line="360" w:lineRule="auto"/>
        <w:jc w:val="both"/>
        <w:rPr>
          <w:rFonts w:ascii="Times New Roman" w:eastAsia="Calibri" w:hAnsi="Times New Roman" w:cs="Times New Roman"/>
          <w:sz w:val="28"/>
          <w:szCs w:val="28"/>
          <w:lang w:eastAsia="ru-RU"/>
        </w:rPr>
      </w:pPr>
      <w:r w:rsidRPr="00807CE7">
        <w:rPr>
          <w:rFonts w:ascii="Times New Roman" w:eastAsia="Calibri" w:hAnsi="Times New Roman" w:cs="Times New Roman"/>
          <w:sz w:val="28"/>
          <w:szCs w:val="28"/>
          <w:lang w:eastAsia="ru-RU"/>
        </w:rPr>
        <w:t xml:space="preserve">                                          Ван Хаоюй</w:t>
      </w:r>
    </w:p>
    <w:p w14:paraId="63AFE719" w14:textId="33BA16AF" w:rsidR="00483B2B" w:rsidRPr="00807CE7" w:rsidRDefault="00483B2B" w:rsidP="00483B2B">
      <w:pPr>
        <w:spacing w:line="360" w:lineRule="auto"/>
        <w:jc w:val="both"/>
        <w:rPr>
          <w:rFonts w:ascii="Times New Roman" w:eastAsia="Calibri" w:hAnsi="Times New Roman" w:cs="Times New Roman"/>
          <w:sz w:val="28"/>
          <w:szCs w:val="28"/>
          <w:lang w:val="en-US" w:eastAsia="ru-RU"/>
        </w:rPr>
      </w:pPr>
      <w:r w:rsidRPr="00807CE7">
        <w:rPr>
          <w:rFonts w:ascii="Times New Roman" w:eastAsia="Calibri" w:hAnsi="Times New Roman" w:cs="Times New Roman"/>
          <w:sz w:val="28"/>
          <w:szCs w:val="28"/>
          <w:lang w:eastAsia="ru-RU"/>
        </w:rPr>
        <w:t xml:space="preserve">                                          Керівник: к.е.н., доц. </w:t>
      </w:r>
      <w:r w:rsidRPr="00807CE7">
        <w:rPr>
          <w:rFonts w:ascii="Times New Roman" w:eastAsia="Calibri" w:hAnsi="Times New Roman" w:cs="Times New Roman"/>
          <w:color w:val="000000"/>
          <w:sz w:val="28"/>
          <w:szCs w:val="28"/>
          <w:shd w:val="clear" w:color="auto" w:fill="FFFFFF"/>
        </w:rPr>
        <w:t>Пічугіна Ю.В.______</w:t>
      </w:r>
      <w:r w:rsidR="00807CE7">
        <w:rPr>
          <w:rFonts w:ascii="Times New Roman" w:eastAsia="Calibri" w:hAnsi="Times New Roman" w:cs="Times New Roman"/>
          <w:sz w:val="28"/>
          <w:szCs w:val="28"/>
          <w:lang w:eastAsia="ru-RU"/>
        </w:rPr>
        <w:t>________</w:t>
      </w:r>
    </w:p>
    <w:p w14:paraId="6E419BF8" w14:textId="2AFEC946" w:rsidR="00483B2B" w:rsidRPr="00807CE7" w:rsidRDefault="00483B2B" w:rsidP="00483B2B">
      <w:pPr>
        <w:spacing w:line="360" w:lineRule="auto"/>
        <w:jc w:val="both"/>
        <w:rPr>
          <w:rFonts w:ascii="Times New Roman" w:eastAsia="Calibri" w:hAnsi="Times New Roman" w:cs="Times New Roman"/>
          <w:sz w:val="28"/>
          <w:szCs w:val="28"/>
          <w:lang w:eastAsia="ru-RU"/>
        </w:rPr>
      </w:pPr>
      <w:r w:rsidRPr="00807CE7">
        <w:rPr>
          <w:rFonts w:ascii="Times New Roman" w:eastAsia="Calibri" w:hAnsi="Times New Roman" w:cs="Times New Roman"/>
          <w:sz w:val="28"/>
          <w:szCs w:val="28"/>
          <w:lang w:eastAsia="ru-RU"/>
        </w:rPr>
        <w:t xml:space="preserve">                                          Рецензент: д.е.н., проф. Садченко О.В.</w:t>
      </w:r>
    </w:p>
    <w:p w14:paraId="66097CE4" w14:textId="77777777" w:rsidR="00483B2B" w:rsidRPr="00807CE7" w:rsidRDefault="00483B2B" w:rsidP="00483B2B">
      <w:pPr>
        <w:ind w:firstLine="240"/>
        <w:jc w:val="both"/>
        <w:rPr>
          <w:rFonts w:ascii="Times New Roman" w:eastAsia="Calibri" w:hAnsi="Times New Roman" w:cs="Times New Roman"/>
          <w:sz w:val="20"/>
          <w:szCs w:val="20"/>
          <w:lang w:eastAsia="ru-RU"/>
        </w:rPr>
      </w:pPr>
      <w:r w:rsidRPr="00807CE7">
        <w:rPr>
          <w:rFonts w:ascii="Times New Roman" w:eastAsia="Calibri" w:hAnsi="Times New Roman" w:cs="Times New Roman"/>
          <w:sz w:val="28"/>
          <w:szCs w:val="28"/>
          <w:lang w:eastAsia="ru-RU"/>
        </w:rPr>
        <w:t>.</w:t>
      </w:r>
      <w:r w:rsidRPr="00807CE7">
        <w:rPr>
          <w:rFonts w:ascii="Times New Roman" w:eastAsia="Calibri" w:hAnsi="Times New Roman" w:cs="Times New Roman"/>
          <w:sz w:val="20"/>
          <w:szCs w:val="20"/>
          <w:lang w:eastAsia="ru-RU"/>
        </w:rPr>
        <w:t xml:space="preserve">                           </w:t>
      </w:r>
    </w:p>
    <w:p w14:paraId="15092427" w14:textId="77777777" w:rsidR="00483B2B" w:rsidRPr="00807CE7" w:rsidRDefault="00483B2B" w:rsidP="00483B2B">
      <w:pPr>
        <w:ind w:firstLine="709"/>
        <w:jc w:val="both"/>
        <w:rPr>
          <w:rFonts w:ascii="Times New Roman" w:eastAsia="Calibri" w:hAnsi="Times New Roman" w:cs="Times New Roman"/>
          <w:sz w:val="20"/>
          <w:szCs w:val="20"/>
          <w:lang w:eastAsia="ru-RU"/>
        </w:rPr>
      </w:pPr>
      <w:r w:rsidRPr="00807CE7">
        <w:rPr>
          <w:rFonts w:ascii="Times New Roman" w:eastAsia="Calibri" w:hAnsi="Times New Roman" w:cs="Times New Roman"/>
          <w:sz w:val="20"/>
          <w:szCs w:val="20"/>
          <w:lang w:eastAsia="ru-RU"/>
        </w:rPr>
        <w:t xml:space="preserve">                                                                                                   </w:t>
      </w:r>
      <w:r w:rsidRPr="00807CE7">
        <w:rPr>
          <w:rFonts w:ascii="Times New Roman" w:eastAsia="Calibri" w:hAnsi="Times New Roman" w:cs="Times New Roman"/>
          <w:sz w:val="28"/>
          <w:szCs w:val="28"/>
          <w:lang w:eastAsia="ru-RU"/>
        </w:rPr>
        <w:t xml:space="preserve">                                      </w:t>
      </w:r>
    </w:p>
    <w:p w14:paraId="1ABCA02C" w14:textId="77777777" w:rsidR="00483B2B" w:rsidRPr="00807CE7" w:rsidRDefault="00483B2B" w:rsidP="00483B2B">
      <w:pPr>
        <w:ind w:firstLine="709"/>
        <w:jc w:val="both"/>
        <w:rPr>
          <w:rFonts w:ascii="Times New Roman" w:eastAsia="Calibri" w:hAnsi="Times New Roman" w:cs="Times New Roman"/>
          <w:sz w:val="28"/>
          <w:szCs w:val="28"/>
          <w:lang w:eastAsia="ru-RU"/>
        </w:rPr>
      </w:pPr>
    </w:p>
    <w:p w14:paraId="51596DB5" w14:textId="77777777" w:rsidR="00483B2B" w:rsidRPr="00807CE7" w:rsidRDefault="00483B2B" w:rsidP="00483B2B">
      <w:pPr>
        <w:ind w:firstLine="709"/>
        <w:jc w:val="both"/>
        <w:rPr>
          <w:rFonts w:ascii="Times New Roman" w:eastAsia="Calibri" w:hAnsi="Times New Roman" w:cs="Times New Roman"/>
          <w:sz w:val="28"/>
          <w:szCs w:val="28"/>
          <w:lang w:eastAsia="ru-RU"/>
        </w:rPr>
      </w:pPr>
    </w:p>
    <w:p w14:paraId="6ED29BA8" w14:textId="77777777" w:rsidR="00483B2B" w:rsidRPr="00807CE7" w:rsidRDefault="00483B2B" w:rsidP="00483B2B">
      <w:pPr>
        <w:widowControl w:val="0"/>
        <w:spacing w:line="360" w:lineRule="auto"/>
        <w:jc w:val="both"/>
        <w:rPr>
          <w:rFonts w:ascii="Times New Roman" w:eastAsia="Calibri" w:hAnsi="Times New Roman" w:cs="Times New Roman"/>
          <w:color w:val="000000"/>
          <w:sz w:val="28"/>
          <w:szCs w:val="28"/>
        </w:rPr>
      </w:pPr>
      <w:r w:rsidRPr="00807CE7">
        <w:rPr>
          <w:rFonts w:ascii="Times New Roman" w:eastAsia="Calibri" w:hAnsi="Times New Roman" w:cs="Times New Roman"/>
          <w:color w:val="000000"/>
          <w:sz w:val="28"/>
          <w:szCs w:val="28"/>
        </w:rPr>
        <w:t>Рекомендовано до захисту:                 Захищено на засіданні ЕК №</w:t>
      </w:r>
      <w:r w:rsidRPr="00807CE7">
        <w:rPr>
          <w:rFonts w:ascii="Times New Roman" w:eastAsia="Calibri" w:hAnsi="Times New Roman" w:cs="Times New Roman"/>
          <w:color w:val="000000"/>
          <w:sz w:val="28"/>
          <w:szCs w:val="28"/>
          <w:highlight w:val="yellow"/>
        </w:rPr>
        <w:t xml:space="preserve"> </w:t>
      </w:r>
    </w:p>
    <w:p w14:paraId="20AA733F" w14:textId="77777777" w:rsidR="00483B2B" w:rsidRPr="00807CE7" w:rsidRDefault="00483B2B" w:rsidP="00483B2B">
      <w:pPr>
        <w:widowControl w:val="0"/>
        <w:spacing w:line="360" w:lineRule="auto"/>
        <w:jc w:val="both"/>
        <w:rPr>
          <w:rFonts w:ascii="Times New Roman" w:eastAsia="Calibri" w:hAnsi="Times New Roman" w:cs="Times New Roman"/>
          <w:color w:val="000000"/>
          <w:sz w:val="28"/>
          <w:szCs w:val="28"/>
        </w:rPr>
      </w:pPr>
      <w:r w:rsidRPr="00807CE7">
        <w:rPr>
          <w:rFonts w:ascii="Times New Roman" w:eastAsia="Calibri" w:hAnsi="Times New Roman" w:cs="Times New Roman"/>
          <w:color w:val="000000"/>
          <w:sz w:val="28"/>
          <w:szCs w:val="28"/>
        </w:rPr>
        <w:t>Протокол засідання кафедри               протокол №___від _____06.2023 р.</w:t>
      </w:r>
    </w:p>
    <w:p w14:paraId="4613EB10" w14:textId="77777777" w:rsidR="00483B2B" w:rsidRPr="00807CE7" w:rsidRDefault="00483B2B" w:rsidP="00483B2B">
      <w:pPr>
        <w:widowControl w:val="0"/>
        <w:spacing w:line="360" w:lineRule="auto"/>
        <w:jc w:val="both"/>
        <w:rPr>
          <w:rFonts w:ascii="Times New Roman" w:eastAsia="Calibri" w:hAnsi="Times New Roman" w:cs="Times New Roman"/>
          <w:color w:val="000000"/>
          <w:sz w:val="28"/>
          <w:szCs w:val="28"/>
        </w:rPr>
      </w:pPr>
      <w:r w:rsidRPr="00807CE7">
        <w:rPr>
          <w:rFonts w:ascii="Times New Roman" w:eastAsia="Calibri" w:hAnsi="Times New Roman" w:cs="Times New Roman"/>
          <w:color w:val="000000"/>
          <w:sz w:val="28"/>
          <w:szCs w:val="28"/>
        </w:rPr>
        <w:t xml:space="preserve">№ 9 від 31.05.2023 р.                          Оцінка____________/______/______                         </w:t>
      </w:r>
    </w:p>
    <w:p w14:paraId="052DA0FA" w14:textId="77777777" w:rsidR="00483B2B" w:rsidRPr="00807CE7" w:rsidRDefault="00483B2B" w:rsidP="00483B2B">
      <w:pPr>
        <w:widowControl w:val="0"/>
        <w:spacing w:line="360" w:lineRule="auto"/>
        <w:jc w:val="both"/>
        <w:rPr>
          <w:rFonts w:ascii="Times New Roman" w:eastAsia="Calibri" w:hAnsi="Times New Roman" w:cs="Times New Roman"/>
          <w:color w:val="000000"/>
          <w:sz w:val="28"/>
          <w:szCs w:val="28"/>
        </w:rPr>
      </w:pPr>
      <w:r w:rsidRPr="00807CE7">
        <w:rPr>
          <w:rFonts w:ascii="Times New Roman" w:eastAsia="Calibri" w:hAnsi="Times New Roman" w:cs="Times New Roman"/>
          <w:color w:val="000000"/>
          <w:sz w:val="28"/>
          <w:szCs w:val="28"/>
        </w:rPr>
        <w:t>Завідувач кафедри                               Голова ЕК</w:t>
      </w:r>
    </w:p>
    <w:p w14:paraId="42855A55" w14:textId="77777777" w:rsidR="00483B2B" w:rsidRPr="00807CE7" w:rsidRDefault="00483B2B" w:rsidP="00483B2B">
      <w:pPr>
        <w:widowControl w:val="0"/>
        <w:spacing w:line="360" w:lineRule="auto"/>
        <w:jc w:val="both"/>
        <w:rPr>
          <w:rFonts w:ascii="Times New Roman" w:eastAsia="Calibri" w:hAnsi="Times New Roman" w:cs="Times New Roman"/>
          <w:color w:val="000000"/>
          <w:sz w:val="28"/>
          <w:szCs w:val="28"/>
        </w:rPr>
      </w:pPr>
    </w:p>
    <w:p w14:paraId="10E73B9C" w14:textId="77777777" w:rsidR="00483B2B" w:rsidRPr="00807CE7" w:rsidRDefault="00483B2B" w:rsidP="00483B2B">
      <w:pPr>
        <w:widowControl w:val="0"/>
        <w:spacing w:line="360" w:lineRule="auto"/>
        <w:jc w:val="both"/>
        <w:rPr>
          <w:rFonts w:ascii="Times New Roman" w:eastAsia="Calibri" w:hAnsi="Times New Roman" w:cs="Times New Roman"/>
          <w:color w:val="000000"/>
          <w:sz w:val="28"/>
          <w:szCs w:val="28"/>
        </w:rPr>
      </w:pPr>
      <w:r w:rsidRPr="00807CE7">
        <w:rPr>
          <w:rFonts w:ascii="Times New Roman" w:eastAsia="Calibri" w:hAnsi="Times New Roman" w:cs="Times New Roman"/>
          <w:color w:val="000000"/>
          <w:sz w:val="28"/>
          <w:szCs w:val="28"/>
        </w:rPr>
        <w:t>_________ЯКУБОВСЬКИЙ Сергій       __________ ПІЧУГІНА Юлія</w:t>
      </w:r>
    </w:p>
    <w:p w14:paraId="11E68327" w14:textId="77777777" w:rsidR="00483B2B" w:rsidRPr="00807CE7" w:rsidRDefault="00483B2B" w:rsidP="00483B2B">
      <w:pPr>
        <w:ind w:firstLine="709"/>
        <w:jc w:val="center"/>
        <w:rPr>
          <w:rFonts w:ascii="Times New Roman" w:eastAsia="Calibri" w:hAnsi="Times New Roman" w:cs="Times New Roman"/>
          <w:sz w:val="28"/>
          <w:szCs w:val="28"/>
          <w:lang w:eastAsia="ru-RU"/>
        </w:rPr>
      </w:pPr>
    </w:p>
    <w:p w14:paraId="53421A7A" w14:textId="77777777" w:rsidR="00483B2B" w:rsidRPr="00807CE7" w:rsidRDefault="00483B2B" w:rsidP="00483B2B">
      <w:pPr>
        <w:jc w:val="center"/>
        <w:rPr>
          <w:rFonts w:ascii="Times New Roman" w:eastAsia="Calibri" w:hAnsi="Times New Roman" w:cs="Times New Roman"/>
          <w:sz w:val="28"/>
          <w:szCs w:val="28"/>
          <w:lang w:eastAsia="ru-RU"/>
        </w:rPr>
      </w:pPr>
    </w:p>
    <w:p w14:paraId="29FE93B6" w14:textId="77777777" w:rsidR="00483B2B" w:rsidRPr="00807CE7" w:rsidRDefault="00483B2B" w:rsidP="00483B2B">
      <w:pPr>
        <w:jc w:val="center"/>
        <w:rPr>
          <w:rFonts w:ascii="Times New Roman" w:eastAsia="Calibri" w:hAnsi="Times New Roman" w:cs="Times New Roman"/>
          <w:sz w:val="28"/>
          <w:szCs w:val="28"/>
        </w:rPr>
      </w:pPr>
      <w:r w:rsidRPr="00807CE7">
        <w:rPr>
          <w:rFonts w:ascii="Times New Roman" w:eastAsia="Calibri" w:hAnsi="Times New Roman" w:cs="Times New Roman"/>
          <w:sz w:val="28"/>
          <w:szCs w:val="28"/>
          <w:lang w:eastAsia="ru-RU"/>
        </w:rPr>
        <w:t>Одеса – 2023</w:t>
      </w:r>
    </w:p>
    <w:p w14:paraId="26757B58" w14:textId="77777777" w:rsidR="00483B2B" w:rsidRPr="00807CE7" w:rsidRDefault="00483B2B" w:rsidP="00483B2B">
      <w:pPr>
        <w:widowControl w:val="0"/>
        <w:autoSpaceDE w:val="0"/>
        <w:autoSpaceDN w:val="0"/>
        <w:adjustRightInd w:val="0"/>
        <w:jc w:val="center"/>
        <w:rPr>
          <w:rFonts w:ascii="Times New Roman" w:eastAsia="Calibri" w:hAnsi="Times New Roman" w:cs="Times New Roman"/>
          <w:b/>
          <w:bCs/>
          <w:color w:val="000000"/>
          <w:sz w:val="28"/>
          <w:szCs w:val="28"/>
          <w:lang w:eastAsia="ru-RU"/>
        </w:rPr>
      </w:pPr>
      <w:r w:rsidRPr="00807CE7">
        <w:rPr>
          <w:rFonts w:ascii="Times New Roman" w:eastAsia="Calibri" w:hAnsi="Times New Roman" w:cs="Times New Roman"/>
          <w:b/>
          <w:bCs/>
          <w:color w:val="000000"/>
          <w:sz w:val="28"/>
          <w:szCs w:val="28"/>
          <w:lang w:eastAsia="ru-RU"/>
        </w:rPr>
        <w:lastRenderedPageBreak/>
        <w:t>ЗМІСТ</w:t>
      </w:r>
    </w:p>
    <w:p w14:paraId="0409AABA" w14:textId="77777777" w:rsidR="00483B2B" w:rsidRPr="00807CE7" w:rsidRDefault="00483B2B" w:rsidP="00483B2B">
      <w:pPr>
        <w:widowControl w:val="0"/>
        <w:autoSpaceDE w:val="0"/>
        <w:autoSpaceDN w:val="0"/>
        <w:adjustRightInd w:val="0"/>
        <w:jc w:val="center"/>
        <w:rPr>
          <w:rFonts w:ascii="Times New Roman" w:eastAsia="Calibri" w:hAnsi="Times New Roman" w:cs="Times New Roman"/>
          <w:b/>
          <w:bCs/>
          <w:color w:val="000000"/>
          <w:sz w:val="28"/>
          <w:szCs w:val="28"/>
          <w:lang w:eastAsia="ru-RU"/>
        </w:rPr>
      </w:pPr>
    </w:p>
    <w:tbl>
      <w:tblPr>
        <w:tblW w:w="9923" w:type="dxa"/>
        <w:tblInd w:w="108" w:type="dxa"/>
        <w:tblLayout w:type="fixed"/>
        <w:tblLook w:val="00A0" w:firstRow="1" w:lastRow="0" w:firstColumn="1" w:lastColumn="0" w:noHBand="0" w:noVBand="0"/>
      </w:tblPr>
      <w:tblGrid>
        <w:gridCol w:w="9356"/>
        <w:gridCol w:w="567"/>
      </w:tblGrid>
      <w:tr w:rsidR="00483B2B" w:rsidRPr="00807CE7" w14:paraId="1D51A987" w14:textId="77777777" w:rsidTr="00F37F4E">
        <w:tc>
          <w:tcPr>
            <w:tcW w:w="9356" w:type="dxa"/>
          </w:tcPr>
          <w:p w14:paraId="01E74730" w14:textId="43C3C1A7" w:rsidR="00483B2B" w:rsidRPr="00F37F4E" w:rsidRDefault="00483B2B" w:rsidP="00483B2B">
            <w:pPr>
              <w:suppressAutoHyphens/>
              <w:spacing w:line="360" w:lineRule="auto"/>
              <w:jc w:val="both"/>
              <w:rPr>
                <w:rFonts w:ascii="Times New Roman" w:eastAsia="Calibri" w:hAnsi="Times New Roman" w:cs="Times New Roman"/>
                <w:color w:val="000000"/>
                <w:sz w:val="28"/>
                <w:szCs w:val="28"/>
                <w:lang w:val="en-US" w:eastAsia="ru-RU"/>
              </w:rPr>
            </w:pPr>
            <w:r w:rsidRPr="00807CE7">
              <w:rPr>
                <w:rFonts w:ascii="Times New Roman" w:eastAsia="Calibri" w:hAnsi="Times New Roman" w:cs="Times New Roman"/>
                <w:color w:val="000000"/>
                <w:sz w:val="28"/>
                <w:szCs w:val="28"/>
                <w:lang w:eastAsia="ru-RU"/>
              </w:rPr>
              <w:t>ВСТУП………………………………………………………………………</w:t>
            </w:r>
            <w:r w:rsidR="00F37F4E">
              <w:rPr>
                <w:rFonts w:ascii="Times New Roman" w:eastAsia="Calibri" w:hAnsi="Times New Roman" w:cs="Times New Roman"/>
                <w:color w:val="000000"/>
                <w:sz w:val="28"/>
                <w:szCs w:val="28"/>
                <w:lang w:eastAsia="ru-RU"/>
              </w:rPr>
              <w:t>…….</w:t>
            </w:r>
          </w:p>
        </w:tc>
        <w:tc>
          <w:tcPr>
            <w:tcW w:w="567" w:type="dxa"/>
          </w:tcPr>
          <w:p w14:paraId="20A2B6F5" w14:textId="77777777" w:rsidR="00483B2B" w:rsidRPr="00807CE7" w:rsidRDefault="00483B2B" w:rsidP="00483B2B">
            <w:pPr>
              <w:spacing w:line="360" w:lineRule="auto"/>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3</w:t>
            </w:r>
          </w:p>
        </w:tc>
      </w:tr>
      <w:tr w:rsidR="00483B2B" w:rsidRPr="00807CE7" w14:paraId="0CF58CA7" w14:textId="77777777" w:rsidTr="00F37F4E">
        <w:tc>
          <w:tcPr>
            <w:tcW w:w="9356" w:type="dxa"/>
          </w:tcPr>
          <w:p w14:paraId="60E16653" w14:textId="77777777" w:rsidR="00483B2B" w:rsidRPr="00807CE7" w:rsidRDefault="00483B2B" w:rsidP="00807CE7">
            <w:pPr>
              <w:suppressAutoHyphens/>
              <w:spacing w:line="360" w:lineRule="auto"/>
              <w:jc w:val="both"/>
              <w:rPr>
                <w:rFonts w:ascii="Times New Roman" w:eastAsia="Calibri" w:hAnsi="Times New Roman" w:cs="Times New Roman"/>
                <w:color w:val="000000"/>
                <w:sz w:val="28"/>
                <w:szCs w:val="28"/>
                <w:lang w:eastAsia="ru-RU"/>
              </w:rPr>
            </w:pPr>
          </w:p>
          <w:p w14:paraId="421F6687" w14:textId="47E9097F" w:rsidR="00483B2B" w:rsidRPr="00807CE7" w:rsidRDefault="00483B2B" w:rsidP="00F37F4E">
            <w:pPr>
              <w:suppressAutoHyphens/>
              <w:spacing w:line="360" w:lineRule="auto"/>
              <w:jc w:val="both"/>
              <w:rPr>
                <w:rFonts w:ascii="Times New Roman" w:eastAsia="Calibri" w:hAnsi="Times New Roman" w:cs="Times New Roman"/>
                <w:spacing w:val="-2"/>
                <w:sz w:val="20"/>
                <w:szCs w:val="20"/>
                <w:lang w:val="en-US" w:eastAsia="ru-RU"/>
              </w:rPr>
            </w:pPr>
            <w:r w:rsidRPr="00807CE7">
              <w:rPr>
                <w:rFonts w:ascii="Times New Roman" w:eastAsia="Calibri" w:hAnsi="Times New Roman" w:cs="Times New Roman"/>
                <w:color w:val="000000"/>
                <w:spacing w:val="-2"/>
                <w:sz w:val="28"/>
                <w:szCs w:val="28"/>
                <w:lang w:eastAsia="ru-RU"/>
              </w:rPr>
              <w:t xml:space="preserve">РОЗДІЛ 1. </w:t>
            </w:r>
            <w:r w:rsidR="00807CE7" w:rsidRPr="00807CE7">
              <w:rPr>
                <w:rFonts w:ascii="Times New Roman" w:eastAsia="Calibri" w:hAnsi="Times New Roman" w:cs="Times New Roman"/>
                <w:color w:val="000000"/>
                <w:spacing w:val="-2"/>
                <w:sz w:val="28"/>
                <w:szCs w:val="28"/>
                <w:lang w:eastAsia="ru-RU"/>
              </w:rPr>
              <w:t>ТЕОРЕТИЧНІ ОСНОВИ АНАЛІЗУ</w:t>
            </w:r>
            <w:r w:rsidR="00807CE7" w:rsidRPr="00807CE7">
              <w:rPr>
                <w:rFonts w:ascii="Times New Roman" w:eastAsia="Calibri" w:hAnsi="Times New Roman" w:cs="Times New Roman"/>
                <w:color w:val="000000"/>
                <w:spacing w:val="-2"/>
                <w:sz w:val="28"/>
                <w:szCs w:val="28"/>
                <w:lang w:val="en-US" w:eastAsia="ru-RU"/>
              </w:rPr>
              <w:t xml:space="preserve"> </w:t>
            </w:r>
            <w:r w:rsidR="00807CE7" w:rsidRPr="00807CE7">
              <w:rPr>
                <w:rFonts w:ascii="Times New Roman" w:eastAsia="Calibri" w:hAnsi="Times New Roman" w:cs="Times New Roman"/>
                <w:color w:val="000000"/>
                <w:spacing w:val="-2"/>
                <w:sz w:val="28"/>
                <w:szCs w:val="28"/>
                <w:lang w:eastAsia="ru-RU"/>
              </w:rPr>
              <w:t>ЗОВНІШНЬОЕКОНОМІЧНИХ ЗВ’ЯЗКІВ РУМУНІЇ ТА БОЛГАРІЇ В УМОВАХ ЄВРОПЕЙСЬКОЇ ІНТЕГРАЦІЇ</w:t>
            </w:r>
            <w:r w:rsidR="00807CE7">
              <w:rPr>
                <w:rFonts w:ascii="Times New Roman" w:eastAsia="Calibri" w:hAnsi="Times New Roman" w:cs="Times New Roman"/>
                <w:color w:val="000000"/>
                <w:spacing w:val="-2"/>
                <w:sz w:val="28"/>
                <w:szCs w:val="28"/>
                <w:lang w:val="en-US" w:eastAsia="ru-RU"/>
              </w:rPr>
              <w:t>………</w:t>
            </w:r>
            <w:r w:rsidR="00F37F4E">
              <w:rPr>
                <w:rFonts w:ascii="Times New Roman" w:eastAsia="Calibri" w:hAnsi="Times New Roman" w:cs="Times New Roman"/>
                <w:color w:val="000000"/>
                <w:spacing w:val="-2"/>
                <w:sz w:val="28"/>
                <w:szCs w:val="28"/>
                <w:lang w:val="en-US" w:eastAsia="ru-RU"/>
              </w:rPr>
              <w:t>...</w:t>
            </w:r>
            <w:r w:rsidR="00807CE7">
              <w:rPr>
                <w:rFonts w:ascii="Times New Roman" w:eastAsia="Calibri" w:hAnsi="Times New Roman" w:cs="Times New Roman"/>
                <w:color w:val="000000"/>
                <w:spacing w:val="-2"/>
                <w:sz w:val="28"/>
                <w:szCs w:val="28"/>
                <w:lang w:val="en-US" w:eastAsia="ru-RU"/>
              </w:rPr>
              <w:t>……………………………</w:t>
            </w:r>
          </w:p>
        </w:tc>
        <w:tc>
          <w:tcPr>
            <w:tcW w:w="567" w:type="dxa"/>
          </w:tcPr>
          <w:p w14:paraId="49AD23DB" w14:textId="77777777" w:rsidR="00483B2B" w:rsidRPr="00807CE7" w:rsidRDefault="00483B2B" w:rsidP="00807CE7">
            <w:pPr>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w:t>
            </w:r>
          </w:p>
          <w:p w14:paraId="12456818" w14:textId="77777777" w:rsidR="00483B2B" w:rsidRPr="00807CE7" w:rsidRDefault="00483B2B" w:rsidP="00807CE7">
            <w:pPr>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w:t>
            </w:r>
          </w:p>
          <w:p w14:paraId="0BB72AE7" w14:textId="2F11FD88" w:rsidR="00483B2B" w:rsidRPr="00807CE7" w:rsidRDefault="00483B2B" w:rsidP="00807CE7">
            <w:pPr>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w:t>
            </w:r>
            <w:r w:rsidR="00807CE7">
              <w:rPr>
                <w:rFonts w:ascii="Times New Roman" w:eastAsia="Calibri" w:hAnsi="Times New Roman" w:cs="Times New Roman"/>
                <w:color w:val="000000"/>
                <w:sz w:val="28"/>
                <w:szCs w:val="28"/>
                <w:lang w:val="en-US" w:eastAsia="ru-RU"/>
              </w:rPr>
              <w:t xml:space="preserve">   </w:t>
            </w:r>
            <w:r w:rsidRPr="00807CE7">
              <w:rPr>
                <w:rFonts w:ascii="Times New Roman" w:eastAsia="Calibri" w:hAnsi="Times New Roman" w:cs="Times New Roman"/>
                <w:color w:val="000000"/>
                <w:sz w:val="28"/>
                <w:szCs w:val="28"/>
                <w:lang w:eastAsia="ru-RU"/>
              </w:rPr>
              <w:t>5</w:t>
            </w:r>
          </w:p>
        </w:tc>
      </w:tr>
      <w:tr w:rsidR="00483B2B" w:rsidRPr="00807CE7" w14:paraId="41BDFAAC" w14:textId="77777777" w:rsidTr="00F37F4E">
        <w:tc>
          <w:tcPr>
            <w:tcW w:w="9356" w:type="dxa"/>
          </w:tcPr>
          <w:p w14:paraId="4321A701" w14:textId="77777777" w:rsidR="00483B2B" w:rsidRPr="00807CE7" w:rsidRDefault="00483B2B" w:rsidP="00F37F4E">
            <w:pPr>
              <w:suppressAutoHyphens/>
              <w:spacing w:line="360" w:lineRule="auto"/>
              <w:jc w:val="both"/>
              <w:rPr>
                <w:rFonts w:ascii="Times New Roman" w:eastAsia="Calibri" w:hAnsi="Times New Roman" w:cs="Times New Roman"/>
                <w:color w:val="000000"/>
                <w:sz w:val="28"/>
                <w:szCs w:val="28"/>
                <w:lang w:eastAsia="ru-RU"/>
              </w:rPr>
            </w:pPr>
          </w:p>
          <w:p w14:paraId="7D109E03" w14:textId="5423BFDD" w:rsidR="00483B2B" w:rsidRPr="00F37F4E" w:rsidRDefault="00483B2B" w:rsidP="00F37F4E">
            <w:pPr>
              <w:suppressAutoHyphens/>
              <w:spacing w:line="360" w:lineRule="auto"/>
              <w:jc w:val="both"/>
              <w:rPr>
                <w:rFonts w:ascii="Times New Roman" w:eastAsia="Calibri" w:hAnsi="Times New Roman" w:cs="Times New Roman"/>
                <w:color w:val="000000"/>
                <w:sz w:val="28"/>
                <w:szCs w:val="28"/>
                <w:lang w:val="en-US" w:eastAsia="ru-RU"/>
              </w:rPr>
            </w:pPr>
            <w:r w:rsidRPr="00807CE7">
              <w:rPr>
                <w:rFonts w:ascii="Times New Roman" w:eastAsia="Calibri" w:hAnsi="Times New Roman" w:cs="Times New Roman"/>
                <w:color w:val="000000"/>
                <w:sz w:val="28"/>
                <w:szCs w:val="28"/>
                <w:lang w:eastAsia="ru-RU"/>
              </w:rPr>
              <w:t xml:space="preserve">РОЗДІЛ 2. </w:t>
            </w:r>
            <w:r w:rsidR="00F37F4E" w:rsidRPr="00F37F4E">
              <w:rPr>
                <w:rFonts w:ascii="Times New Roman" w:eastAsia="Calibri" w:hAnsi="Times New Roman" w:cs="Times New Roman"/>
                <w:color w:val="000000"/>
                <w:sz w:val="28"/>
                <w:szCs w:val="28"/>
                <w:lang w:eastAsia="ru-RU"/>
              </w:rPr>
              <w:t>ПОРІВНЯЛЬНИЙ АНАЛІЗ ОСНОВНИХ СКЛАДОВИХ ЗОВНІШНЬОЕКОНОМІЧНИХ ЗВ’ЯЗКІВ РУМУНІЇ ТА БОЛГАРІЇ</w:t>
            </w:r>
            <w:r w:rsidR="00F37F4E">
              <w:rPr>
                <w:rFonts w:ascii="Times New Roman" w:eastAsia="Calibri" w:hAnsi="Times New Roman" w:cs="Times New Roman"/>
                <w:color w:val="000000"/>
                <w:sz w:val="28"/>
                <w:szCs w:val="28"/>
                <w:lang w:eastAsia="ru-RU"/>
              </w:rPr>
              <w:t>…</w:t>
            </w:r>
            <w:r w:rsidR="00F37F4E">
              <w:rPr>
                <w:rFonts w:ascii="Times New Roman" w:eastAsia="Calibri" w:hAnsi="Times New Roman" w:cs="Times New Roman"/>
                <w:color w:val="000000"/>
                <w:sz w:val="28"/>
                <w:szCs w:val="28"/>
                <w:lang w:val="en-US" w:eastAsia="ru-RU"/>
              </w:rPr>
              <w:t>……..</w:t>
            </w:r>
          </w:p>
        </w:tc>
        <w:tc>
          <w:tcPr>
            <w:tcW w:w="567" w:type="dxa"/>
          </w:tcPr>
          <w:p w14:paraId="018AD254" w14:textId="77777777" w:rsidR="00483B2B" w:rsidRPr="00807CE7" w:rsidRDefault="00483B2B" w:rsidP="00F37F4E">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w:t>
            </w:r>
          </w:p>
          <w:p w14:paraId="45B38FF2" w14:textId="77777777" w:rsidR="00483B2B" w:rsidRPr="00807CE7" w:rsidRDefault="00483B2B" w:rsidP="00F37F4E">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w:t>
            </w:r>
          </w:p>
          <w:p w14:paraId="14A60FEF" w14:textId="77777777" w:rsidR="00483B2B" w:rsidRPr="00807CE7" w:rsidRDefault="00483B2B" w:rsidP="00F37F4E">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12</w:t>
            </w:r>
          </w:p>
        </w:tc>
      </w:tr>
      <w:tr w:rsidR="00483B2B" w:rsidRPr="00807CE7" w14:paraId="0CF8513B" w14:textId="77777777" w:rsidTr="00F37F4E">
        <w:tc>
          <w:tcPr>
            <w:tcW w:w="9356" w:type="dxa"/>
          </w:tcPr>
          <w:p w14:paraId="304670D3" w14:textId="177AA394" w:rsidR="00483B2B" w:rsidRPr="00807CE7" w:rsidRDefault="00483B2B" w:rsidP="00F37F4E">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2.1. Структура та динаміка поточних операцій </w:t>
            </w:r>
            <w:r w:rsidR="00F37F4E">
              <w:rPr>
                <w:rFonts w:ascii="Times New Roman" w:eastAsia="Calibri" w:hAnsi="Times New Roman" w:cs="Times New Roman"/>
                <w:color w:val="000000"/>
                <w:sz w:val="28"/>
                <w:szCs w:val="28"/>
                <w:lang w:eastAsia="ru-RU"/>
              </w:rPr>
              <w:t>Румунії та Болгарії</w:t>
            </w:r>
            <w:r w:rsidRPr="00807CE7">
              <w:rPr>
                <w:rFonts w:ascii="Times New Roman" w:eastAsia="Calibri" w:hAnsi="Times New Roman" w:cs="Times New Roman"/>
                <w:color w:val="000000"/>
                <w:sz w:val="28"/>
                <w:szCs w:val="28"/>
                <w:lang w:eastAsia="ru-RU"/>
              </w:rPr>
              <w:t>……………………………………………………………………</w:t>
            </w:r>
            <w:r w:rsidR="00F37F4E">
              <w:rPr>
                <w:rFonts w:ascii="Times New Roman" w:eastAsia="Calibri" w:hAnsi="Times New Roman" w:cs="Times New Roman"/>
                <w:color w:val="000000"/>
                <w:sz w:val="28"/>
                <w:szCs w:val="28"/>
                <w:lang w:eastAsia="ru-RU"/>
              </w:rPr>
              <w:t>….</w:t>
            </w:r>
            <w:r w:rsidRPr="00807CE7">
              <w:rPr>
                <w:rFonts w:ascii="Times New Roman" w:eastAsia="Calibri" w:hAnsi="Times New Roman" w:cs="Times New Roman"/>
                <w:color w:val="000000"/>
                <w:sz w:val="28"/>
                <w:szCs w:val="28"/>
                <w:lang w:eastAsia="ru-RU"/>
              </w:rPr>
              <w:t xml:space="preserve">…... </w:t>
            </w:r>
          </w:p>
        </w:tc>
        <w:tc>
          <w:tcPr>
            <w:tcW w:w="567" w:type="dxa"/>
          </w:tcPr>
          <w:p w14:paraId="19632E6A" w14:textId="12B81330" w:rsidR="00483B2B" w:rsidRPr="00807CE7" w:rsidRDefault="00F37F4E" w:rsidP="00483B2B">
            <w:pPr>
              <w:suppressAutoHyphens/>
              <w:spacing w:line="360" w:lineRule="auto"/>
              <w:jc w:val="both"/>
              <w:rPr>
                <w:rFonts w:ascii="Times New Roman" w:eastAsia="Calibri" w:hAnsi="Times New Roman" w:cs="Times New Roman"/>
                <w:color w:val="000000"/>
                <w:sz w:val="28"/>
                <w:szCs w:val="28"/>
                <w:lang w:eastAsia="ru-RU"/>
              </w:rPr>
            </w:pPr>
            <w:r>
              <w:rPr>
                <w:rFonts w:ascii="Times New Roman" w:eastAsia="Calibri" w:hAnsi="Times New Roman" w:cs="Times New Roman"/>
                <w:color w:val="000000"/>
                <w:sz w:val="28"/>
                <w:szCs w:val="28"/>
                <w:lang w:eastAsia="ru-RU"/>
              </w:rPr>
              <w:t xml:space="preserve">  </w:t>
            </w:r>
            <w:r w:rsidR="00483B2B" w:rsidRPr="00807CE7">
              <w:rPr>
                <w:rFonts w:ascii="Times New Roman" w:eastAsia="Calibri" w:hAnsi="Times New Roman" w:cs="Times New Roman"/>
                <w:color w:val="000000"/>
                <w:sz w:val="28"/>
                <w:szCs w:val="28"/>
                <w:lang w:eastAsia="ru-RU"/>
              </w:rPr>
              <w:t>12</w:t>
            </w:r>
          </w:p>
        </w:tc>
      </w:tr>
      <w:tr w:rsidR="00483B2B" w:rsidRPr="00807CE7" w14:paraId="69F585B7" w14:textId="77777777" w:rsidTr="00F37F4E">
        <w:tc>
          <w:tcPr>
            <w:tcW w:w="9356" w:type="dxa"/>
          </w:tcPr>
          <w:p w14:paraId="2D510B2B" w14:textId="5CC1B7C5" w:rsidR="00483B2B" w:rsidRPr="00807CE7" w:rsidRDefault="00483B2B" w:rsidP="00F37F4E">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2.2. Порівняльний аналіз фінансових рахунків </w:t>
            </w:r>
            <w:r w:rsidR="00F37F4E" w:rsidRPr="00F37F4E">
              <w:rPr>
                <w:rFonts w:ascii="Times New Roman" w:eastAsia="Calibri" w:hAnsi="Times New Roman" w:cs="Times New Roman"/>
                <w:color w:val="000000"/>
                <w:sz w:val="28"/>
                <w:szCs w:val="28"/>
                <w:lang w:eastAsia="ru-RU"/>
              </w:rPr>
              <w:t>Румунії та Болгарії</w:t>
            </w:r>
            <w:r w:rsidR="00F37F4E">
              <w:rPr>
                <w:rFonts w:ascii="Times New Roman" w:eastAsia="Calibri" w:hAnsi="Times New Roman" w:cs="Times New Roman"/>
                <w:color w:val="000000"/>
                <w:sz w:val="28"/>
                <w:szCs w:val="28"/>
                <w:lang w:eastAsia="ru-RU"/>
              </w:rPr>
              <w:t>..</w:t>
            </w:r>
            <w:r w:rsidRPr="00807CE7">
              <w:rPr>
                <w:rFonts w:ascii="Times New Roman" w:eastAsia="Calibri" w:hAnsi="Times New Roman" w:cs="Times New Roman"/>
                <w:color w:val="000000"/>
                <w:sz w:val="28"/>
                <w:szCs w:val="28"/>
                <w:lang w:eastAsia="ru-RU"/>
              </w:rPr>
              <w:t>……...…</w:t>
            </w:r>
          </w:p>
        </w:tc>
        <w:tc>
          <w:tcPr>
            <w:tcW w:w="567" w:type="dxa"/>
          </w:tcPr>
          <w:p w14:paraId="19263615" w14:textId="458AEB19" w:rsidR="00483B2B" w:rsidRPr="00807CE7" w:rsidRDefault="00483B2B" w:rsidP="00F37F4E">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w:t>
            </w:r>
            <w:r w:rsidR="00F37F4E">
              <w:rPr>
                <w:rFonts w:ascii="Times New Roman" w:eastAsia="Calibri" w:hAnsi="Times New Roman" w:cs="Times New Roman"/>
                <w:color w:val="000000"/>
                <w:sz w:val="28"/>
                <w:szCs w:val="28"/>
                <w:lang w:eastAsia="ru-RU"/>
              </w:rPr>
              <w:t>19</w:t>
            </w:r>
          </w:p>
        </w:tc>
      </w:tr>
      <w:tr w:rsidR="00483B2B" w:rsidRPr="00807CE7" w14:paraId="1F67BEAB" w14:textId="77777777" w:rsidTr="00F37F4E">
        <w:tc>
          <w:tcPr>
            <w:tcW w:w="9356" w:type="dxa"/>
          </w:tcPr>
          <w:p w14:paraId="0B179F44" w14:textId="3098F304" w:rsidR="00483B2B" w:rsidRPr="00807CE7" w:rsidRDefault="00483B2B" w:rsidP="00F37F4E">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2.3. Моделювання та результат операцій «Carry Trade» з державними облігаціями </w:t>
            </w:r>
            <w:r w:rsidR="00F37F4E" w:rsidRPr="00F37F4E">
              <w:rPr>
                <w:rFonts w:ascii="Times New Roman" w:eastAsia="Calibri" w:hAnsi="Times New Roman" w:cs="Times New Roman"/>
                <w:color w:val="000000"/>
                <w:sz w:val="28"/>
                <w:szCs w:val="28"/>
                <w:lang w:eastAsia="ru-RU"/>
              </w:rPr>
              <w:t xml:space="preserve">Румунії та Болгарії </w:t>
            </w:r>
            <w:r w:rsidRPr="00807CE7">
              <w:rPr>
                <w:rFonts w:ascii="Times New Roman" w:eastAsia="Calibri" w:hAnsi="Times New Roman" w:cs="Times New Roman"/>
                <w:color w:val="000000"/>
                <w:sz w:val="28"/>
                <w:szCs w:val="28"/>
                <w:lang w:eastAsia="ru-RU"/>
              </w:rPr>
              <w:t>……..…</w:t>
            </w:r>
            <w:r w:rsidR="00F37F4E">
              <w:rPr>
                <w:rFonts w:ascii="Times New Roman" w:eastAsia="Calibri" w:hAnsi="Times New Roman" w:cs="Times New Roman"/>
                <w:color w:val="000000"/>
                <w:sz w:val="28"/>
                <w:szCs w:val="28"/>
                <w:lang w:eastAsia="ru-RU"/>
              </w:rPr>
              <w:t>……………………………..</w:t>
            </w:r>
            <w:r w:rsidRPr="00807CE7">
              <w:rPr>
                <w:rFonts w:ascii="Times New Roman" w:eastAsia="Calibri" w:hAnsi="Times New Roman" w:cs="Times New Roman"/>
                <w:color w:val="000000"/>
                <w:sz w:val="28"/>
                <w:szCs w:val="28"/>
                <w:lang w:eastAsia="ru-RU"/>
              </w:rPr>
              <w:t>………...</w:t>
            </w:r>
          </w:p>
        </w:tc>
        <w:tc>
          <w:tcPr>
            <w:tcW w:w="567" w:type="dxa"/>
          </w:tcPr>
          <w:p w14:paraId="2445A8C1" w14:textId="0A4AA985" w:rsidR="00483B2B" w:rsidRPr="00807CE7" w:rsidRDefault="00483B2B" w:rsidP="00F37F4E">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w:t>
            </w:r>
            <w:r w:rsidR="00F37F4E">
              <w:rPr>
                <w:rFonts w:ascii="Times New Roman" w:eastAsia="Calibri" w:hAnsi="Times New Roman" w:cs="Times New Roman"/>
                <w:color w:val="000000"/>
                <w:sz w:val="28"/>
                <w:szCs w:val="28"/>
                <w:lang w:eastAsia="ru-RU"/>
              </w:rPr>
              <w:t xml:space="preserve"> </w:t>
            </w:r>
            <w:r w:rsidRPr="00807CE7">
              <w:rPr>
                <w:rFonts w:ascii="Times New Roman" w:eastAsia="Calibri" w:hAnsi="Times New Roman" w:cs="Times New Roman"/>
                <w:color w:val="000000"/>
                <w:sz w:val="28"/>
                <w:szCs w:val="28"/>
                <w:lang w:eastAsia="ru-RU"/>
              </w:rPr>
              <w:t>2</w:t>
            </w:r>
            <w:r w:rsidR="00F37F4E">
              <w:rPr>
                <w:rFonts w:ascii="Times New Roman" w:eastAsia="Calibri" w:hAnsi="Times New Roman" w:cs="Times New Roman"/>
                <w:color w:val="000000"/>
                <w:sz w:val="28"/>
                <w:szCs w:val="28"/>
                <w:lang w:eastAsia="ru-RU"/>
              </w:rPr>
              <w:t>4</w:t>
            </w:r>
          </w:p>
        </w:tc>
      </w:tr>
      <w:tr w:rsidR="00483B2B" w:rsidRPr="00807CE7" w14:paraId="6A0F7EFB" w14:textId="77777777" w:rsidTr="00F37F4E">
        <w:trPr>
          <w:trHeight w:val="1461"/>
        </w:trPr>
        <w:tc>
          <w:tcPr>
            <w:tcW w:w="9356" w:type="dxa"/>
          </w:tcPr>
          <w:p w14:paraId="6A0A75B1" w14:textId="77777777" w:rsidR="00483B2B" w:rsidRPr="00807CE7" w:rsidRDefault="00483B2B" w:rsidP="00483B2B">
            <w:pPr>
              <w:suppressAutoHyphens/>
              <w:spacing w:line="360" w:lineRule="auto"/>
              <w:jc w:val="both"/>
              <w:rPr>
                <w:rFonts w:ascii="Times New Roman" w:eastAsia="Calibri" w:hAnsi="Times New Roman" w:cs="Times New Roman"/>
                <w:color w:val="000000"/>
                <w:sz w:val="28"/>
                <w:szCs w:val="28"/>
                <w:lang w:eastAsia="ru-RU"/>
              </w:rPr>
            </w:pPr>
          </w:p>
          <w:p w14:paraId="2E5203C2" w14:textId="1C98CBB9" w:rsidR="00483B2B" w:rsidRPr="00807CE7" w:rsidRDefault="00483B2B" w:rsidP="00483B2B">
            <w:pPr>
              <w:spacing w:line="360" w:lineRule="auto"/>
              <w:jc w:val="both"/>
              <w:rPr>
                <w:rFonts w:ascii="Times New Roman" w:eastAsia="Calibri" w:hAnsi="Times New Roman" w:cs="Times New Roman"/>
                <w:sz w:val="28"/>
                <w:szCs w:val="28"/>
              </w:rPr>
            </w:pPr>
            <w:r w:rsidRPr="00807CE7">
              <w:rPr>
                <w:rFonts w:ascii="Times New Roman" w:eastAsia="Calibri" w:hAnsi="Times New Roman" w:cs="Times New Roman"/>
                <w:color w:val="000000"/>
                <w:sz w:val="28"/>
                <w:szCs w:val="28"/>
                <w:lang w:eastAsia="ru-RU"/>
              </w:rPr>
              <w:t xml:space="preserve">РОЗДІЛ 3. </w:t>
            </w:r>
            <w:r w:rsidR="00F37F4E" w:rsidRPr="00F37F4E">
              <w:rPr>
                <w:rFonts w:ascii="Times New Roman" w:eastAsia="Calibri" w:hAnsi="Times New Roman" w:cs="Times New Roman"/>
                <w:sz w:val="28"/>
                <w:szCs w:val="28"/>
              </w:rPr>
              <w:t>ОСОБЛИВОСТІ ЗОВНІШНЬОЕКОНОМІЧНИХ ЗВ’ЯЗКІВ РУМУНІЇ ТА БОЛГАРІЇ З УКРАЇНОЮ</w:t>
            </w:r>
            <w:r w:rsidRPr="00807CE7">
              <w:rPr>
                <w:rFonts w:ascii="Times New Roman" w:eastAsia="Calibri" w:hAnsi="Times New Roman" w:cs="Times New Roman"/>
                <w:sz w:val="28"/>
                <w:szCs w:val="28"/>
              </w:rPr>
              <w:t>………………………….…</w:t>
            </w:r>
            <w:r w:rsidR="00F37F4E">
              <w:rPr>
                <w:rFonts w:ascii="Times New Roman" w:eastAsia="Calibri" w:hAnsi="Times New Roman" w:cs="Times New Roman"/>
                <w:sz w:val="28"/>
                <w:szCs w:val="28"/>
              </w:rPr>
              <w:t>……….</w:t>
            </w:r>
            <w:r w:rsidRPr="00807CE7">
              <w:rPr>
                <w:rFonts w:ascii="Times New Roman" w:eastAsia="Calibri" w:hAnsi="Times New Roman" w:cs="Times New Roman"/>
                <w:sz w:val="28"/>
                <w:szCs w:val="28"/>
              </w:rPr>
              <w:t>…</w:t>
            </w:r>
          </w:p>
        </w:tc>
        <w:tc>
          <w:tcPr>
            <w:tcW w:w="567" w:type="dxa"/>
          </w:tcPr>
          <w:p w14:paraId="1B66F801" w14:textId="77777777" w:rsidR="00483B2B" w:rsidRPr="00807CE7" w:rsidRDefault="00483B2B" w:rsidP="00483B2B">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w:t>
            </w:r>
          </w:p>
          <w:p w14:paraId="5844FFA0" w14:textId="2CCC2F22" w:rsidR="00483B2B" w:rsidRPr="00807CE7" w:rsidRDefault="00483B2B" w:rsidP="00483B2B">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w:t>
            </w:r>
            <w:r w:rsidR="00F37F4E">
              <w:rPr>
                <w:rFonts w:ascii="Times New Roman" w:eastAsia="Calibri" w:hAnsi="Times New Roman" w:cs="Times New Roman"/>
                <w:color w:val="000000"/>
                <w:sz w:val="28"/>
                <w:szCs w:val="28"/>
                <w:lang w:eastAsia="ru-RU"/>
              </w:rPr>
              <w:t xml:space="preserve"> </w:t>
            </w:r>
            <w:r w:rsidRPr="00807CE7">
              <w:rPr>
                <w:rFonts w:ascii="Times New Roman" w:eastAsia="Calibri" w:hAnsi="Times New Roman" w:cs="Times New Roman"/>
                <w:color w:val="000000"/>
                <w:sz w:val="28"/>
                <w:szCs w:val="28"/>
                <w:lang w:eastAsia="ru-RU"/>
              </w:rPr>
              <w:t>29</w:t>
            </w:r>
          </w:p>
        </w:tc>
      </w:tr>
      <w:tr w:rsidR="00483B2B" w:rsidRPr="00807CE7" w14:paraId="376BD3D5" w14:textId="77777777" w:rsidTr="00F37F4E">
        <w:tc>
          <w:tcPr>
            <w:tcW w:w="9356" w:type="dxa"/>
          </w:tcPr>
          <w:p w14:paraId="6F874590" w14:textId="77777777" w:rsidR="00483B2B" w:rsidRPr="00807CE7" w:rsidRDefault="00483B2B" w:rsidP="00483B2B">
            <w:pPr>
              <w:suppressAutoHyphens/>
              <w:spacing w:line="360" w:lineRule="auto"/>
              <w:jc w:val="both"/>
              <w:rPr>
                <w:rFonts w:ascii="Times New Roman" w:eastAsia="Calibri" w:hAnsi="Times New Roman" w:cs="Times New Roman"/>
                <w:color w:val="000000"/>
                <w:sz w:val="28"/>
                <w:szCs w:val="28"/>
                <w:lang w:eastAsia="ru-RU"/>
              </w:rPr>
            </w:pPr>
          </w:p>
          <w:p w14:paraId="3384921C" w14:textId="18021B2E" w:rsidR="00483B2B" w:rsidRPr="00807CE7" w:rsidRDefault="00483B2B" w:rsidP="00483B2B">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ВИСН</w:t>
            </w:r>
            <w:r w:rsidR="00F37F4E">
              <w:rPr>
                <w:rFonts w:ascii="Times New Roman" w:eastAsia="Calibri" w:hAnsi="Times New Roman" w:cs="Times New Roman"/>
                <w:color w:val="000000"/>
                <w:sz w:val="28"/>
                <w:szCs w:val="28"/>
                <w:lang w:eastAsia="ru-RU"/>
              </w:rPr>
              <w:t>ОВКИ………………………………………………………………………</w:t>
            </w:r>
          </w:p>
        </w:tc>
        <w:tc>
          <w:tcPr>
            <w:tcW w:w="567" w:type="dxa"/>
          </w:tcPr>
          <w:p w14:paraId="7FE60C1E" w14:textId="68C6EFB6" w:rsidR="00483B2B" w:rsidRPr="00807CE7" w:rsidRDefault="00483B2B" w:rsidP="00F37F4E">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3</w:t>
            </w:r>
            <w:r w:rsidR="00F37F4E">
              <w:rPr>
                <w:rFonts w:ascii="Times New Roman" w:eastAsia="Calibri" w:hAnsi="Times New Roman" w:cs="Times New Roman"/>
                <w:color w:val="000000"/>
                <w:sz w:val="28"/>
                <w:szCs w:val="28"/>
                <w:lang w:eastAsia="ru-RU"/>
              </w:rPr>
              <w:t>3</w:t>
            </w:r>
          </w:p>
        </w:tc>
      </w:tr>
      <w:tr w:rsidR="00483B2B" w:rsidRPr="00807CE7" w14:paraId="21D80A22" w14:textId="77777777" w:rsidTr="00F37F4E">
        <w:tc>
          <w:tcPr>
            <w:tcW w:w="9356" w:type="dxa"/>
          </w:tcPr>
          <w:p w14:paraId="3EAA72AA" w14:textId="77777777" w:rsidR="00483B2B" w:rsidRPr="00807CE7" w:rsidRDefault="00483B2B" w:rsidP="00483B2B">
            <w:pPr>
              <w:suppressAutoHyphens/>
              <w:spacing w:line="360" w:lineRule="auto"/>
              <w:jc w:val="both"/>
              <w:rPr>
                <w:rFonts w:ascii="Times New Roman" w:eastAsia="Calibri" w:hAnsi="Times New Roman" w:cs="Times New Roman"/>
                <w:color w:val="000000"/>
                <w:sz w:val="28"/>
                <w:szCs w:val="28"/>
                <w:lang w:eastAsia="ru-RU"/>
              </w:rPr>
            </w:pPr>
          </w:p>
          <w:p w14:paraId="2BFDA6E5" w14:textId="23D978B9" w:rsidR="00483B2B" w:rsidRPr="00807CE7" w:rsidRDefault="00483B2B" w:rsidP="00483B2B">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СПИСОК ВИКОРИСТ</w:t>
            </w:r>
            <w:r w:rsidR="00F37F4E">
              <w:rPr>
                <w:rFonts w:ascii="Times New Roman" w:eastAsia="Calibri" w:hAnsi="Times New Roman" w:cs="Times New Roman"/>
                <w:color w:val="000000"/>
                <w:sz w:val="28"/>
                <w:szCs w:val="28"/>
                <w:lang w:eastAsia="ru-RU"/>
              </w:rPr>
              <w:t>АНИХ ДЖЕРЕЛ…………………………………...…...</w:t>
            </w:r>
          </w:p>
        </w:tc>
        <w:tc>
          <w:tcPr>
            <w:tcW w:w="567" w:type="dxa"/>
          </w:tcPr>
          <w:p w14:paraId="3CF86F71" w14:textId="4C48FF1B" w:rsidR="00483B2B" w:rsidRPr="00807CE7" w:rsidRDefault="00483B2B" w:rsidP="00F37F4E">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w:t>
            </w:r>
            <w:r w:rsidR="00F37F4E">
              <w:rPr>
                <w:rFonts w:ascii="Times New Roman" w:eastAsia="Calibri" w:hAnsi="Times New Roman" w:cs="Times New Roman"/>
                <w:color w:val="000000"/>
                <w:sz w:val="28"/>
                <w:szCs w:val="28"/>
                <w:lang w:eastAsia="ru-RU"/>
              </w:rPr>
              <w:t xml:space="preserve"> </w:t>
            </w:r>
            <w:r w:rsidRPr="00807CE7">
              <w:rPr>
                <w:rFonts w:ascii="Times New Roman" w:eastAsia="Calibri" w:hAnsi="Times New Roman" w:cs="Times New Roman"/>
                <w:color w:val="000000"/>
                <w:sz w:val="28"/>
                <w:szCs w:val="28"/>
                <w:lang w:eastAsia="ru-RU"/>
              </w:rPr>
              <w:t>3</w:t>
            </w:r>
            <w:r w:rsidR="00F37F4E">
              <w:rPr>
                <w:rFonts w:ascii="Times New Roman" w:eastAsia="Calibri" w:hAnsi="Times New Roman" w:cs="Times New Roman"/>
                <w:color w:val="000000"/>
                <w:sz w:val="28"/>
                <w:szCs w:val="28"/>
                <w:lang w:eastAsia="ru-RU"/>
              </w:rPr>
              <w:t>7</w:t>
            </w:r>
          </w:p>
        </w:tc>
      </w:tr>
      <w:tr w:rsidR="00483B2B" w:rsidRPr="00807CE7" w14:paraId="60946D63" w14:textId="77777777" w:rsidTr="00F37F4E">
        <w:tc>
          <w:tcPr>
            <w:tcW w:w="9356" w:type="dxa"/>
          </w:tcPr>
          <w:p w14:paraId="78098A26" w14:textId="77777777" w:rsidR="00483B2B" w:rsidRPr="00807CE7" w:rsidRDefault="00483B2B" w:rsidP="00483B2B">
            <w:pPr>
              <w:suppressAutoHyphens/>
              <w:spacing w:line="360" w:lineRule="auto"/>
              <w:jc w:val="both"/>
              <w:rPr>
                <w:rFonts w:ascii="Times New Roman" w:eastAsia="Calibri" w:hAnsi="Times New Roman" w:cs="Times New Roman"/>
                <w:color w:val="000000"/>
                <w:sz w:val="28"/>
                <w:szCs w:val="28"/>
                <w:lang w:eastAsia="ru-RU"/>
              </w:rPr>
            </w:pPr>
          </w:p>
          <w:p w14:paraId="2105BECE" w14:textId="554F9A4C" w:rsidR="00483B2B" w:rsidRPr="00807CE7" w:rsidRDefault="00F37F4E" w:rsidP="00F37F4E">
            <w:pPr>
              <w:suppressAutoHyphens/>
              <w:spacing w:line="360" w:lineRule="auto"/>
              <w:jc w:val="both"/>
              <w:rPr>
                <w:rFonts w:ascii="Times New Roman" w:eastAsia="Calibri" w:hAnsi="Times New Roman" w:cs="Times New Roman"/>
                <w:color w:val="000000"/>
                <w:sz w:val="28"/>
                <w:szCs w:val="28"/>
                <w:lang w:eastAsia="ru-RU"/>
              </w:rPr>
            </w:pPr>
            <w:r>
              <w:rPr>
                <w:rFonts w:ascii="Times New Roman" w:eastAsia="Calibri" w:hAnsi="Times New Roman" w:cs="Times New Roman"/>
                <w:color w:val="000000"/>
                <w:sz w:val="28"/>
                <w:szCs w:val="28"/>
                <w:lang w:eastAsia="ru-RU"/>
              </w:rPr>
              <w:t>ДОДАТКИ……………</w:t>
            </w:r>
            <w:r w:rsidR="00483B2B" w:rsidRPr="00807CE7">
              <w:rPr>
                <w:rFonts w:ascii="Times New Roman" w:eastAsia="Calibri" w:hAnsi="Times New Roman" w:cs="Times New Roman"/>
                <w:color w:val="000000"/>
                <w:sz w:val="28"/>
                <w:szCs w:val="28"/>
                <w:lang w:eastAsia="ru-RU"/>
              </w:rPr>
              <w:t>………………...…………………………………</w:t>
            </w:r>
            <w:r>
              <w:rPr>
                <w:rFonts w:ascii="Times New Roman" w:eastAsia="Calibri" w:hAnsi="Times New Roman" w:cs="Times New Roman"/>
                <w:color w:val="000000"/>
                <w:sz w:val="28"/>
                <w:szCs w:val="28"/>
                <w:lang w:eastAsia="ru-RU"/>
              </w:rPr>
              <w:t>……</w:t>
            </w:r>
            <w:r w:rsidR="00483B2B" w:rsidRPr="00807CE7">
              <w:rPr>
                <w:rFonts w:ascii="Times New Roman" w:eastAsia="Calibri" w:hAnsi="Times New Roman" w:cs="Times New Roman"/>
                <w:color w:val="000000"/>
                <w:sz w:val="28"/>
                <w:szCs w:val="28"/>
                <w:lang w:eastAsia="ru-RU"/>
              </w:rPr>
              <w:t>....</w:t>
            </w:r>
          </w:p>
        </w:tc>
        <w:tc>
          <w:tcPr>
            <w:tcW w:w="567" w:type="dxa"/>
          </w:tcPr>
          <w:p w14:paraId="7475A6FF" w14:textId="0569ABDE" w:rsidR="00483B2B" w:rsidRPr="00807CE7" w:rsidRDefault="00483B2B" w:rsidP="004A5771">
            <w:pPr>
              <w:suppressAutoHyphens/>
              <w:spacing w:line="360" w:lineRule="auto"/>
              <w:jc w:val="both"/>
              <w:rPr>
                <w:rFonts w:ascii="Times New Roman" w:eastAsia="Calibri" w:hAnsi="Times New Roman" w:cs="Times New Roman"/>
                <w:color w:val="000000"/>
                <w:sz w:val="28"/>
                <w:szCs w:val="28"/>
                <w:lang w:eastAsia="ru-RU"/>
              </w:rPr>
            </w:pPr>
            <w:r w:rsidRPr="00807CE7">
              <w:rPr>
                <w:rFonts w:ascii="Times New Roman" w:eastAsia="Calibri" w:hAnsi="Times New Roman" w:cs="Times New Roman"/>
                <w:color w:val="000000"/>
                <w:sz w:val="28"/>
                <w:szCs w:val="28"/>
                <w:lang w:eastAsia="ru-RU"/>
              </w:rPr>
              <w:t xml:space="preserve"> </w:t>
            </w:r>
            <w:r w:rsidR="00F37F4E">
              <w:rPr>
                <w:rFonts w:ascii="Times New Roman" w:eastAsia="Calibri" w:hAnsi="Times New Roman" w:cs="Times New Roman"/>
                <w:color w:val="000000"/>
                <w:sz w:val="28"/>
                <w:szCs w:val="28"/>
                <w:lang w:eastAsia="ru-RU"/>
              </w:rPr>
              <w:t xml:space="preserve"> </w:t>
            </w:r>
            <w:r w:rsidRPr="00807CE7">
              <w:rPr>
                <w:rFonts w:ascii="Times New Roman" w:eastAsia="Calibri" w:hAnsi="Times New Roman" w:cs="Times New Roman"/>
                <w:color w:val="000000"/>
                <w:sz w:val="28"/>
                <w:szCs w:val="28"/>
                <w:lang w:eastAsia="ru-RU"/>
              </w:rPr>
              <w:t>4</w:t>
            </w:r>
            <w:r w:rsidR="004A5771">
              <w:rPr>
                <w:rFonts w:ascii="Times New Roman" w:eastAsia="Calibri" w:hAnsi="Times New Roman" w:cs="Times New Roman"/>
                <w:color w:val="000000"/>
                <w:sz w:val="28"/>
                <w:szCs w:val="28"/>
                <w:lang w:eastAsia="ru-RU"/>
              </w:rPr>
              <w:t>1</w:t>
            </w:r>
          </w:p>
        </w:tc>
      </w:tr>
    </w:tbl>
    <w:p w14:paraId="75989775" w14:textId="77777777" w:rsidR="00552D54" w:rsidRPr="00807CE7" w:rsidRDefault="00552D54" w:rsidP="00552D54">
      <w:pPr>
        <w:suppressAutoHyphens/>
        <w:spacing w:line="360" w:lineRule="auto"/>
        <w:jc w:val="center"/>
        <w:rPr>
          <w:rFonts w:ascii="Times New Roman" w:eastAsia="Times New Roman" w:hAnsi="Times New Roman" w:cs="Times New Roman"/>
          <w:b/>
          <w:sz w:val="28"/>
          <w:szCs w:val="28"/>
          <w:lang w:eastAsia="ru-RU"/>
        </w:rPr>
      </w:pPr>
    </w:p>
    <w:p w14:paraId="79F74AAD" w14:textId="77777777" w:rsidR="00552D54" w:rsidRPr="00807CE7" w:rsidRDefault="00552D54" w:rsidP="00552D54">
      <w:pPr>
        <w:suppressAutoHyphens/>
        <w:spacing w:line="360" w:lineRule="auto"/>
        <w:jc w:val="center"/>
        <w:rPr>
          <w:rFonts w:ascii="Times New Roman" w:eastAsia="Times New Roman" w:hAnsi="Times New Roman" w:cs="Times New Roman"/>
          <w:b/>
          <w:sz w:val="28"/>
          <w:szCs w:val="28"/>
          <w:lang w:eastAsia="ru-RU"/>
        </w:rPr>
      </w:pPr>
    </w:p>
    <w:p w14:paraId="1EF8D3B3" w14:textId="77777777" w:rsidR="00552D54" w:rsidRPr="00807CE7" w:rsidRDefault="00552D54" w:rsidP="00552D54">
      <w:pPr>
        <w:suppressAutoHyphens/>
        <w:spacing w:line="360" w:lineRule="auto"/>
        <w:jc w:val="center"/>
        <w:rPr>
          <w:rFonts w:ascii="Times New Roman" w:eastAsia="Times New Roman" w:hAnsi="Times New Roman" w:cs="Times New Roman"/>
          <w:b/>
          <w:sz w:val="28"/>
          <w:szCs w:val="28"/>
          <w:lang w:eastAsia="ru-RU"/>
        </w:rPr>
      </w:pPr>
    </w:p>
    <w:p w14:paraId="4ADE2F73" w14:textId="77777777" w:rsidR="00552D54" w:rsidRPr="00807CE7" w:rsidRDefault="00552D54" w:rsidP="00552D54">
      <w:pPr>
        <w:suppressAutoHyphens/>
        <w:spacing w:line="360" w:lineRule="auto"/>
        <w:jc w:val="center"/>
        <w:rPr>
          <w:rFonts w:ascii="Times New Roman" w:eastAsia="Times New Roman" w:hAnsi="Times New Roman" w:cs="Times New Roman"/>
          <w:b/>
          <w:sz w:val="28"/>
          <w:szCs w:val="28"/>
          <w:lang w:eastAsia="ru-RU"/>
        </w:rPr>
      </w:pPr>
    </w:p>
    <w:p w14:paraId="69DF2F5F" w14:textId="77777777" w:rsidR="00F37F4E" w:rsidRDefault="00F37F4E" w:rsidP="00552D54">
      <w:pPr>
        <w:suppressAutoHyphens/>
        <w:spacing w:line="360" w:lineRule="auto"/>
        <w:jc w:val="center"/>
        <w:rPr>
          <w:rFonts w:ascii="Times New Roman" w:eastAsia="Times New Roman" w:hAnsi="Times New Roman" w:cs="Times New Roman"/>
          <w:b/>
          <w:sz w:val="28"/>
          <w:szCs w:val="28"/>
          <w:lang w:eastAsia="ru-RU"/>
        </w:rPr>
      </w:pPr>
    </w:p>
    <w:p w14:paraId="32294094" w14:textId="77777777" w:rsidR="00F37F4E" w:rsidRDefault="00F37F4E" w:rsidP="00552D54">
      <w:pPr>
        <w:suppressAutoHyphens/>
        <w:spacing w:line="360" w:lineRule="auto"/>
        <w:jc w:val="center"/>
        <w:rPr>
          <w:rFonts w:ascii="Times New Roman" w:eastAsia="Times New Roman" w:hAnsi="Times New Roman" w:cs="Times New Roman"/>
          <w:b/>
          <w:sz w:val="28"/>
          <w:szCs w:val="28"/>
          <w:lang w:eastAsia="ru-RU"/>
        </w:rPr>
      </w:pPr>
    </w:p>
    <w:p w14:paraId="739F4B46" w14:textId="77777777" w:rsidR="00F37F4E" w:rsidRDefault="00F37F4E" w:rsidP="00552D54">
      <w:pPr>
        <w:suppressAutoHyphens/>
        <w:spacing w:line="360" w:lineRule="auto"/>
        <w:jc w:val="center"/>
        <w:rPr>
          <w:rFonts w:ascii="Times New Roman" w:eastAsia="Times New Roman" w:hAnsi="Times New Roman" w:cs="Times New Roman"/>
          <w:b/>
          <w:sz w:val="28"/>
          <w:szCs w:val="28"/>
          <w:lang w:eastAsia="ru-RU"/>
        </w:rPr>
      </w:pPr>
    </w:p>
    <w:p w14:paraId="6C5A3E0D" w14:textId="77777777" w:rsidR="00552D54" w:rsidRPr="00552D54" w:rsidRDefault="00552D54" w:rsidP="00552D54">
      <w:pPr>
        <w:suppressAutoHyphens/>
        <w:spacing w:line="360" w:lineRule="auto"/>
        <w:jc w:val="center"/>
        <w:rPr>
          <w:rFonts w:ascii="Calibri" w:eastAsia="Times New Roman" w:hAnsi="Calibri" w:cs="Times New Roman"/>
          <w:sz w:val="22"/>
          <w:szCs w:val="22"/>
          <w:lang w:eastAsia="ru-RU"/>
        </w:rPr>
      </w:pPr>
      <w:r w:rsidRPr="00552D54">
        <w:rPr>
          <w:rFonts w:ascii="Times New Roman" w:eastAsia="Times New Roman" w:hAnsi="Times New Roman" w:cs="Times New Roman"/>
          <w:b/>
          <w:sz w:val="28"/>
          <w:szCs w:val="28"/>
          <w:lang w:eastAsia="ru-RU"/>
        </w:rPr>
        <w:lastRenderedPageBreak/>
        <w:t>ВСТУП</w:t>
      </w:r>
      <w:bookmarkStart w:id="0" w:name="_Hlk88239250"/>
      <w:bookmarkEnd w:id="0"/>
    </w:p>
    <w:p w14:paraId="5D0B5F39" w14:textId="77777777" w:rsidR="00552D54" w:rsidRPr="00552D54" w:rsidRDefault="00552D54" w:rsidP="00552D54">
      <w:pPr>
        <w:suppressAutoHyphens/>
        <w:spacing w:line="360" w:lineRule="auto"/>
        <w:ind w:firstLine="720"/>
        <w:jc w:val="center"/>
        <w:rPr>
          <w:rFonts w:ascii="Times New Roman" w:eastAsia="Times New Roman" w:hAnsi="Times New Roman" w:cs="Times New Roman"/>
          <w:b/>
          <w:sz w:val="28"/>
          <w:szCs w:val="28"/>
          <w:lang w:eastAsia="ru-RU"/>
        </w:rPr>
      </w:pPr>
    </w:p>
    <w:p w14:paraId="1850FA22" w14:textId="3B08E94D" w:rsidR="00552D54" w:rsidRPr="00807CE7" w:rsidRDefault="00552D54" w:rsidP="00552D54">
      <w:pPr>
        <w:widowControl w:val="0"/>
        <w:autoSpaceDE w:val="0"/>
        <w:autoSpaceDN w:val="0"/>
        <w:spacing w:line="360" w:lineRule="auto"/>
        <w:ind w:firstLine="720"/>
        <w:jc w:val="both"/>
        <w:rPr>
          <w:rFonts w:ascii="Times New Roman" w:eastAsia="Times New Roman" w:hAnsi="Times New Roman" w:cs="Times New Roman"/>
          <w:sz w:val="28"/>
          <w:szCs w:val="28"/>
          <w:lang w:eastAsia="ru-RU"/>
        </w:rPr>
      </w:pPr>
      <w:r w:rsidRPr="00552D54">
        <w:rPr>
          <w:rFonts w:ascii="Times New Roman" w:eastAsia="Times New Roman" w:hAnsi="Times New Roman" w:cs="Times New Roman"/>
          <w:b/>
          <w:sz w:val="28"/>
          <w:szCs w:val="28"/>
        </w:rPr>
        <w:t xml:space="preserve">Актуальність теми дипломної роботи </w:t>
      </w:r>
      <w:r w:rsidRPr="00552D54">
        <w:rPr>
          <w:rFonts w:ascii="Times New Roman" w:eastAsia="Times New Roman" w:hAnsi="Times New Roman" w:cs="Times New Roman"/>
          <w:sz w:val="28"/>
          <w:szCs w:val="28"/>
        </w:rPr>
        <w:t xml:space="preserve">полягає в тому що, </w:t>
      </w:r>
      <w:r w:rsidRPr="00807CE7">
        <w:rPr>
          <w:rFonts w:ascii="Times New Roman" w:eastAsia="Times New Roman" w:hAnsi="Times New Roman" w:cs="Times New Roman"/>
          <w:sz w:val="28"/>
          <w:szCs w:val="28"/>
        </w:rPr>
        <w:t>Румунія та Болгарія є країнами-сусідами України, які після десятиріч соціалістичного устрою успішно інтегруються в Європейський Союз. Населення цих країн однозначно підтримує європейські цінності у соціально-економічному розвитку та цінності НАТО, будучи активними членами цього військово-політичного блоку.</w:t>
      </w:r>
      <w:r w:rsidR="006503E5" w:rsidRPr="00807CE7">
        <w:rPr>
          <w:rFonts w:ascii="Times New Roman" w:eastAsia="Times New Roman" w:hAnsi="Times New Roman" w:cs="Times New Roman"/>
          <w:sz w:val="28"/>
          <w:szCs w:val="28"/>
        </w:rPr>
        <w:t xml:space="preserve"> Отже, Румунія та Болгарія </w:t>
      </w:r>
      <w:r w:rsidRPr="00552D54">
        <w:rPr>
          <w:rFonts w:ascii="Times New Roman" w:eastAsia="Times New Roman" w:hAnsi="Times New Roman" w:cs="Times New Roman"/>
          <w:sz w:val="28"/>
          <w:szCs w:val="28"/>
          <w:lang w:eastAsia="ru-RU"/>
        </w:rPr>
        <w:t xml:space="preserve">є саме тим прикладом держав, котрі завдяки </w:t>
      </w:r>
      <w:r w:rsidR="006503E5" w:rsidRPr="00807CE7">
        <w:rPr>
          <w:rFonts w:ascii="Times New Roman" w:eastAsia="Times New Roman" w:hAnsi="Times New Roman" w:cs="Times New Roman"/>
          <w:sz w:val="28"/>
          <w:szCs w:val="28"/>
          <w:lang w:eastAsia="ru-RU"/>
        </w:rPr>
        <w:t xml:space="preserve">своєму </w:t>
      </w:r>
      <w:r w:rsidRPr="00552D54">
        <w:rPr>
          <w:rFonts w:ascii="Times New Roman" w:eastAsia="Times New Roman" w:hAnsi="Times New Roman" w:cs="Times New Roman"/>
          <w:sz w:val="28"/>
          <w:szCs w:val="28"/>
          <w:lang w:eastAsia="ru-RU"/>
        </w:rPr>
        <w:t>зайняли провідні позиції у регіоні Центральної та Східної Європи.</w:t>
      </w:r>
    </w:p>
    <w:p w14:paraId="33206EFF" w14:textId="0D40B1A5" w:rsidR="00ED6485" w:rsidRPr="00807CE7" w:rsidRDefault="00ED6485" w:rsidP="006503E5">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Румунія стала першим членом Comecon (Рада економічної взаємодопомоги), яка почала вести незалежні переговори з Європейським економічним співтовариством (згодом наступником якого став Європейський союз), підписавши торговельну угоду в 1980 р. Після розпуску Comecon у 1991 р. велику увагу приділяли розширенню торгівлі з менш розвиненими країнами, а також із промислов</w:t>
      </w:r>
      <w:r w:rsidR="006503E5" w:rsidRPr="00807CE7">
        <w:rPr>
          <w:rFonts w:ascii="Times New Roman" w:hAnsi="Times New Roman" w:cs="Times New Roman"/>
          <w:sz w:val="28"/>
          <w:szCs w:val="28"/>
        </w:rPr>
        <w:t xml:space="preserve">о розвиненими країнами Заходу. </w:t>
      </w:r>
      <w:r w:rsidRPr="00807CE7">
        <w:rPr>
          <w:rFonts w:ascii="Times New Roman" w:hAnsi="Times New Roman" w:cs="Times New Roman"/>
          <w:sz w:val="28"/>
          <w:szCs w:val="28"/>
        </w:rPr>
        <w:t xml:space="preserve">Економіка Румунії - це змішана економіка з високим рівнем доходу з дуже високим індексом розвитку людського потенціалу та кваліфікованою робочою силою. </w:t>
      </w:r>
    </w:p>
    <w:p w14:paraId="05EBC117" w14:textId="77777777" w:rsidR="006503E5" w:rsidRPr="00807CE7" w:rsidRDefault="00ED6485" w:rsidP="00681927">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У 2022 році торгівля товарами Румунії склала 34 мільярди євро, що на 44% більше порівняно з 2021 роком, оскільки країна є чистим імпортером енерго- та енергоємних товарів (сталь, хімікати).</w:t>
      </w:r>
      <w:r w:rsidR="00681927" w:rsidRPr="00807CE7">
        <w:rPr>
          <w:rFonts w:ascii="Times New Roman" w:hAnsi="Times New Roman" w:cs="Times New Roman"/>
          <w:sz w:val="28"/>
          <w:szCs w:val="28"/>
        </w:rPr>
        <w:t xml:space="preserve"> </w:t>
      </w:r>
    </w:p>
    <w:p w14:paraId="504C8285" w14:textId="77777777" w:rsidR="00666720" w:rsidRPr="00807CE7" w:rsidRDefault="00666720" w:rsidP="00666720">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Румунсько-українські відносини обтяжені історично обумовленою недовірою. Північна Буковина і частини Бессарабії, які нині належать Україні, були втрачені Румунією 1940 року внаслідок пакту Молотова-Ріббентропа. Хоча сьогоднішні кордони були підтверджені договором 1997 року, спільна історія залишається джерелом непорозумінь на державному рівні. </w:t>
      </w:r>
    </w:p>
    <w:p w14:paraId="039BE1C4" w14:textId="166F0ABB" w:rsidR="00096E3B" w:rsidRPr="00807CE7" w:rsidRDefault="00096E3B" w:rsidP="00096E3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Українсько-болгарські відносини беруть свій початок у п'ятнадцятому столітті і з часом поглиблюються. Болгарія має тісні міжнародні економічні відносини з Україною. Болгарія також є основним торговельно-економічним </w:t>
      </w:r>
      <w:r w:rsidRPr="00807CE7">
        <w:rPr>
          <w:rFonts w:ascii="Times New Roman" w:hAnsi="Times New Roman" w:cs="Times New Roman"/>
          <w:sz w:val="28"/>
          <w:szCs w:val="28"/>
        </w:rPr>
        <w:lastRenderedPageBreak/>
        <w:t>партнером України на Балканському півострові. Україна є однією з десяти найбільш важливих економік для болгарської торгівлі.</w:t>
      </w:r>
    </w:p>
    <w:p w14:paraId="7736B460" w14:textId="0E8F88B1" w:rsidR="0054613F" w:rsidRPr="0054613F" w:rsidRDefault="0054613F" w:rsidP="0054613F">
      <w:pPr>
        <w:spacing w:line="360" w:lineRule="auto"/>
        <w:ind w:firstLine="567"/>
        <w:jc w:val="both"/>
        <w:rPr>
          <w:rFonts w:ascii="Times New Roman" w:eastAsia="Times New Roman" w:hAnsi="Times New Roman" w:cs="Times New Roman"/>
          <w:sz w:val="28"/>
          <w:szCs w:val="28"/>
          <w:lang w:eastAsia="ru-RU"/>
        </w:rPr>
      </w:pPr>
      <w:r w:rsidRPr="0054613F">
        <w:rPr>
          <w:rFonts w:ascii="Times New Roman" w:eastAsia="Times New Roman" w:hAnsi="Times New Roman" w:cs="Times New Roman"/>
          <w:b/>
          <w:sz w:val="28"/>
          <w:szCs w:val="28"/>
          <w:lang w:eastAsia="ru-RU"/>
        </w:rPr>
        <w:t>Метою дипломної роботи</w:t>
      </w:r>
      <w:r w:rsidRPr="0054613F">
        <w:rPr>
          <w:rFonts w:ascii="Times New Roman" w:eastAsia="Times New Roman" w:hAnsi="Times New Roman" w:cs="Times New Roman"/>
          <w:sz w:val="28"/>
          <w:szCs w:val="28"/>
          <w:lang w:eastAsia="ru-RU"/>
        </w:rPr>
        <w:t xml:space="preserve"> є аналіз сучасного стану зовнішньоекономічних зв’язків </w:t>
      </w:r>
      <w:r w:rsidRPr="0054613F">
        <w:rPr>
          <w:rFonts w:ascii="Times New Roman" w:eastAsia="Times New Roman" w:hAnsi="Times New Roman" w:cs="Times New Roman"/>
          <w:sz w:val="28"/>
          <w:szCs w:val="28"/>
          <w:lang w:eastAsia="ru-RU"/>
        </w:rPr>
        <w:t>Румуні</w:t>
      </w:r>
      <w:r>
        <w:rPr>
          <w:rFonts w:ascii="Times New Roman" w:eastAsia="Times New Roman" w:hAnsi="Times New Roman" w:cs="Times New Roman"/>
          <w:sz w:val="28"/>
          <w:szCs w:val="28"/>
          <w:lang w:eastAsia="ru-RU"/>
        </w:rPr>
        <w:t>ї</w:t>
      </w:r>
      <w:r w:rsidRPr="0054613F">
        <w:rPr>
          <w:rFonts w:ascii="Times New Roman" w:eastAsia="Times New Roman" w:hAnsi="Times New Roman" w:cs="Times New Roman"/>
          <w:sz w:val="28"/>
          <w:szCs w:val="28"/>
          <w:lang w:eastAsia="ru-RU"/>
        </w:rPr>
        <w:t xml:space="preserve"> та Болгарі</w:t>
      </w:r>
      <w:r>
        <w:rPr>
          <w:rFonts w:ascii="Times New Roman" w:eastAsia="Times New Roman" w:hAnsi="Times New Roman" w:cs="Times New Roman"/>
          <w:sz w:val="28"/>
          <w:szCs w:val="28"/>
          <w:lang w:eastAsia="ru-RU"/>
        </w:rPr>
        <w:t>ї</w:t>
      </w:r>
      <w:r w:rsidRPr="0054613F">
        <w:rPr>
          <w:rFonts w:ascii="Times New Roman" w:eastAsia="Times New Roman" w:hAnsi="Times New Roman" w:cs="Times New Roman"/>
          <w:sz w:val="28"/>
          <w:szCs w:val="28"/>
          <w:lang w:eastAsia="ru-RU"/>
        </w:rPr>
        <w:t xml:space="preserve"> </w:t>
      </w:r>
      <w:r w:rsidRPr="0054613F">
        <w:rPr>
          <w:rFonts w:ascii="Times New Roman" w:eastAsia="Times New Roman" w:hAnsi="Times New Roman" w:cs="Times New Roman"/>
          <w:sz w:val="28"/>
          <w:szCs w:val="28"/>
          <w:lang w:eastAsia="ru-RU"/>
        </w:rPr>
        <w:t>в умовах європейської інтеграції.</w:t>
      </w:r>
    </w:p>
    <w:p w14:paraId="337B9D5B" w14:textId="77777777" w:rsidR="0054613F" w:rsidRDefault="0054613F" w:rsidP="0054613F">
      <w:pPr>
        <w:spacing w:line="360" w:lineRule="auto"/>
        <w:ind w:firstLine="567"/>
        <w:jc w:val="both"/>
        <w:rPr>
          <w:rFonts w:ascii="Times New Roman" w:eastAsia="Times New Roman" w:hAnsi="Times New Roman" w:cs="Times New Roman"/>
          <w:sz w:val="28"/>
          <w:szCs w:val="28"/>
          <w:lang w:eastAsia="ru-RU"/>
        </w:rPr>
      </w:pPr>
      <w:r w:rsidRPr="0054613F">
        <w:rPr>
          <w:rFonts w:ascii="Times New Roman" w:eastAsia="Times New Roman" w:hAnsi="Times New Roman" w:cs="Times New Roman"/>
          <w:sz w:val="28"/>
          <w:szCs w:val="28"/>
          <w:lang w:eastAsia="ru-RU"/>
        </w:rPr>
        <w:t xml:space="preserve">Досягнення поставленої мети передбачає вирішення у дипломній роботі наступних </w:t>
      </w:r>
      <w:r w:rsidRPr="0054613F">
        <w:rPr>
          <w:rFonts w:ascii="Times New Roman" w:eastAsia="Times New Roman" w:hAnsi="Times New Roman" w:cs="Times New Roman"/>
          <w:b/>
          <w:sz w:val="28"/>
          <w:szCs w:val="28"/>
          <w:lang w:eastAsia="ru-RU"/>
        </w:rPr>
        <w:t>завдань</w:t>
      </w:r>
      <w:r w:rsidRPr="0054613F">
        <w:rPr>
          <w:rFonts w:ascii="Times New Roman" w:eastAsia="Times New Roman" w:hAnsi="Times New Roman" w:cs="Times New Roman"/>
          <w:sz w:val="28"/>
          <w:szCs w:val="28"/>
          <w:lang w:eastAsia="ru-RU"/>
        </w:rPr>
        <w:t xml:space="preserve">: </w:t>
      </w:r>
    </w:p>
    <w:p w14:paraId="29488C50" w14:textId="77777777" w:rsidR="0054613F" w:rsidRDefault="0054613F" w:rsidP="0054613F">
      <w:pPr>
        <w:pStyle w:val="a3"/>
        <w:numPr>
          <w:ilvl w:val="0"/>
          <w:numId w:val="12"/>
        </w:numPr>
        <w:spacing w:line="360" w:lineRule="auto"/>
        <w:jc w:val="both"/>
        <w:rPr>
          <w:rFonts w:ascii="Times New Roman" w:eastAsia="Times New Roman" w:hAnsi="Times New Roman" w:cs="Times New Roman"/>
          <w:sz w:val="28"/>
          <w:szCs w:val="28"/>
          <w:lang w:eastAsia="ru-RU"/>
        </w:rPr>
      </w:pPr>
      <w:r w:rsidRPr="0054613F">
        <w:rPr>
          <w:rFonts w:ascii="Times New Roman" w:eastAsia="Times New Roman" w:hAnsi="Times New Roman" w:cs="Times New Roman"/>
          <w:sz w:val="28"/>
          <w:szCs w:val="28"/>
          <w:lang w:eastAsia="ru-RU"/>
        </w:rPr>
        <w:t xml:space="preserve">вивчити теоретичні основи аналізу зовнішньоекономічних зв’язків </w:t>
      </w:r>
      <w:r w:rsidRPr="0054613F">
        <w:rPr>
          <w:rFonts w:ascii="Times New Roman" w:eastAsia="Times New Roman" w:hAnsi="Times New Roman" w:cs="Times New Roman"/>
          <w:sz w:val="28"/>
          <w:szCs w:val="28"/>
          <w:lang w:eastAsia="ru-RU"/>
        </w:rPr>
        <w:t xml:space="preserve">Румунії та Болгарії </w:t>
      </w:r>
      <w:r w:rsidRPr="0054613F">
        <w:rPr>
          <w:rFonts w:ascii="Times New Roman" w:eastAsia="Times New Roman" w:hAnsi="Times New Roman" w:cs="Times New Roman"/>
          <w:sz w:val="28"/>
          <w:szCs w:val="28"/>
          <w:lang w:eastAsia="ru-RU"/>
        </w:rPr>
        <w:t xml:space="preserve">в умовах європейської інтеграції; </w:t>
      </w:r>
    </w:p>
    <w:p w14:paraId="682BCC3C" w14:textId="77777777" w:rsidR="0054613F" w:rsidRDefault="0054613F" w:rsidP="0054613F">
      <w:pPr>
        <w:pStyle w:val="a3"/>
        <w:numPr>
          <w:ilvl w:val="0"/>
          <w:numId w:val="12"/>
        </w:numPr>
        <w:spacing w:line="360" w:lineRule="auto"/>
        <w:jc w:val="both"/>
        <w:rPr>
          <w:rFonts w:ascii="Times New Roman" w:eastAsia="Times New Roman" w:hAnsi="Times New Roman" w:cs="Times New Roman"/>
          <w:sz w:val="28"/>
          <w:szCs w:val="28"/>
          <w:lang w:eastAsia="ru-RU"/>
        </w:rPr>
      </w:pPr>
      <w:r w:rsidRPr="0054613F">
        <w:rPr>
          <w:rFonts w:ascii="Times New Roman" w:eastAsia="Times New Roman" w:hAnsi="Times New Roman" w:cs="Times New Roman"/>
          <w:sz w:val="28"/>
          <w:szCs w:val="28"/>
          <w:lang w:eastAsia="ru-RU"/>
        </w:rPr>
        <w:t xml:space="preserve">визначити структуру та динаміку поточних операцій і фінансового рахунку </w:t>
      </w:r>
      <w:r w:rsidRPr="0054613F">
        <w:rPr>
          <w:rFonts w:ascii="Times New Roman" w:eastAsia="Times New Roman" w:hAnsi="Times New Roman" w:cs="Times New Roman"/>
          <w:sz w:val="28"/>
          <w:szCs w:val="28"/>
          <w:lang w:eastAsia="ru-RU"/>
        </w:rPr>
        <w:t>Румунії та Болгарії</w:t>
      </w:r>
      <w:r w:rsidRPr="0054613F">
        <w:rPr>
          <w:rFonts w:ascii="Times New Roman" w:eastAsia="Times New Roman" w:hAnsi="Times New Roman" w:cs="Times New Roman"/>
          <w:sz w:val="28"/>
          <w:szCs w:val="28"/>
          <w:lang w:eastAsia="ru-RU"/>
        </w:rPr>
        <w:t xml:space="preserve">; </w:t>
      </w:r>
    </w:p>
    <w:p w14:paraId="354F2E81" w14:textId="514B6053" w:rsidR="0054613F" w:rsidRDefault="0054613F" w:rsidP="0054613F">
      <w:pPr>
        <w:pStyle w:val="a3"/>
        <w:numPr>
          <w:ilvl w:val="0"/>
          <w:numId w:val="12"/>
        </w:num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здійснити м</w:t>
      </w:r>
      <w:r w:rsidRPr="0054613F">
        <w:rPr>
          <w:rFonts w:ascii="Times New Roman" w:eastAsia="Times New Roman" w:hAnsi="Times New Roman" w:cs="Times New Roman"/>
          <w:sz w:val="28"/>
          <w:szCs w:val="28"/>
          <w:lang w:eastAsia="ru-RU"/>
        </w:rPr>
        <w:t xml:space="preserve">оделювання та </w:t>
      </w:r>
      <w:r>
        <w:rPr>
          <w:rFonts w:ascii="Times New Roman" w:eastAsia="Times New Roman" w:hAnsi="Times New Roman" w:cs="Times New Roman"/>
          <w:sz w:val="28"/>
          <w:szCs w:val="28"/>
          <w:lang w:eastAsia="ru-RU"/>
        </w:rPr>
        <w:t xml:space="preserve">оцінити </w:t>
      </w:r>
      <w:r w:rsidRPr="0054613F">
        <w:rPr>
          <w:rFonts w:ascii="Times New Roman" w:eastAsia="Times New Roman" w:hAnsi="Times New Roman" w:cs="Times New Roman"/>
          <w:sz w:val="28"/>
          <w:szCs w:val="28"/>
          <w:lang w:eastAsia="ru-RU"/>
        </w:rPr>
        <w:t>результат операцій «Carry Trade» з державними облігаціями Румунії та Болгарії</w:t>
      </w:r>
      <w:r>
        <w:rPr>
          <w:rFonts w:ascii="Times New Roman" w:eastAsia="Times New Roman" w:hAnsi="Times New Roman" w:cs="Times New Roman"/>
          <w:sz w:val="28"/>
          <w:szCs w:val="28"/>
          <w:lang w:eastAsia="ru-RU"/>
        </w:rPr>
        <w:t>;</w:t>
      </w:r>
    </w:p>
    <w:p w14:paraId="08B2C6EE" w14:textId="53BB396D" w:rsidR="0054613F" w:rsidRPr="0054613F" w:rsidRDefault="0054613F" w:rsidP="0054613F">
      <w:pPr>
        <w:pStyle w:val="a3"/>
        <w:numPr>
          <w:ilvl w:val="0"/>
          <w:numId w:val="12"/>
        </w:numPr>
        <w:spacing w:line="360" w:lineRule="auto"/>
        <w:jc w:val="both"/>
        <w:rPr>
          <w:rFonts w:ascii="Times New Roman" w:eastAsia="Times New Roman" w:hAnsi="Times New Roman" w:cs="Times New Roman"/>
          <w:sz w:val="28"/>
          <w:szCs w:val="28"/>
          <w:lang w:eastAsia="ru-RU"/>
        </w:rPr>
      </w:pPr>
      <w:r w:rsidRPr="0054613F">
        <w:rPr>
          <w:rFonts w:ascii="Times New Roman" w:eastAsia="Times New Roman" w:hAnsi="Times New Roman" w:cs="Times New Roman"/>
          <w:sz w:val="28"/>
          <w:szCs w:val="28"/>
          <w:lang w:eastAsia="ru-RU"/>
        </w:rPr>
        <w:t xml:space="preserve">дослідити особливості зовнішньоекономічних операцій </w:t>
      </w:r>
      <w:r w:rsidRPr="0054613F">
        <w:rPr>
          <w:rFonts w:ascii="Times New Roman" w:eastAsia="Times New Roman" w:hAnsi="Times New Roman" w:cs="Times New Roman"/>
          <w:sz w:val="28"/>
          <w:szCs w:val="28"/>
          <w:lang w:eastAsia="ru-RU"/>
        </w:rPr>
        <w:t xml:space="preserve">Румунії та Болгарії </w:t>
      </w:r>
      <w:r w:rsidRPr="0054613F">
        <w:rPr>
          <w:rFonts w:ascii="Times New Roman" w:eastAsia="Times New Roman" w:hAnsi="Times New Roman" w:cs="Times New Roman"/>
          <w:sz w:val="28"/>
          <w:szCs w:val="28"/>
          <w:lang w:eastAsia="ru-RU"/>
        </w:rPr>
        <w:t>з Україною.</w:t>
      </w:r>
    </w:p>
    <w:p w14:paraId="4D865C45" w14:textId="77777777" w:rsidR="0054613F" w:rsidRPr="0054613F" w:rsidRDefault="0054613F" w:rsidP="0054613F">
      <w:pPr>
        <w:spacing w:line="360" w:lineRule="auto"/>
        <w:ind w:firstLine="567"/>
        <w:jc w:val="both"/>
        <w:rPr>
          <w:rFonts w:ascii="Times New Roman" w:eastAsia="Times New Roman" w:hAnsi="Times New Roman" w:cs="Times New Roman"/>
          <w:b/>
          <w:sz w:val="10"/>
          <w:szCs w:val="10"/>
          <w:lang w:eastAsia="ru-RU"/>
        </w:rPr>
      </w:pPr>
    </w:p>
    <w:p w14:paraId="368EABAB" w14:textId="6BECCE6B" w:rsidR="0054613F" w:rsidRPr="0054613F" w:rsidRDefault="0054613F" w:rsidP="0054613F">
      <w:pPr>
        <w:spacing w:line="360" w:lineRule="auto"/>
        <w:ind w:firstLine="709"/>
        <w:jc w:val="both"/>
        <w:rPr>
          <w:rFonts w:ascii="Times New Roman" w:eastAsia="Times New Roman" w:hAnsi="Times New Roman" w:cs="Times New Roman"/>
          <w:sz w:val="28"/>
          <w:szCs w:val="28"/>
          <w:lang w:eastAsia="ru-RU"/>
        </w:rPr>
      </w:pPr>
      <w:r w:rsidRPr="0054613F">
        <w:rPr>
          <w:rFonts w:ascii="Times New Roman" w:eastAsia="Times New Roman" w:hAnsi="Times New Roman" w:cs="Times New Roman"/>
          <w:b/>
          <w:sz w:val="28"/>
          <w:szCs w:val="28"/>
          <w:lang w:eastAsia="ru-RU"/>
        </w:rPr>
        <w:t>Об’єктом дослідження</w:t>
      </w:r>
      <w:r w:rsidRPr="0054613F">
        <w:rPr>
          <w:rFonts w:ascii="Times New Roman" w:eastAsia="Times New Roman" w:hAnsi="Times New Roman" w:cs="Times New Roman"/>
          <w:sz w:val="28"/>
          <w:szCs w:val="28"/>
          <w:lang w:eastAsia="ru-RU"/>
        </w:rPr>
        <w:t xml:space="preserve"> –  є економіки </w:t>
      </w:r>
      <w:r w:rsidRPr="0054613F">
        <w:rPr>
          <w:rFonts w:ascii="Times New Roman" w:eastAsia="Times New Roman" w:hAnsi="Times New Roman" w:cs="Times New Roman"/>
          <w:sz w:val="28"/>
          <w:szCs w:val="28"/>
          <w:lang w:eastAsia="ru-RU"/>
        </w:rPr>
        <w:t>Румунії та Болгарії</w:t>
      </w:r>
      <w:r w:rsidRPr="0054613F">
        <w:rPr>
          <w:rFonts w:ascii="Times New Roman" w:eastAsia="Times New Roman" w:hAnsi="Times New Roman" w:cs="Times New Roman"/>
          <w:sz w:val="28"/>
          <w:szCs w:val="28"/>
          <w:lang w:eastAsia="ru-RU"/>
        </w:rPr>
        <w:t>.</w:t>
      </w:r>
    </w:p>
    <w:p w14:paraId="1A5C887B" w14:textId="3201C10B" w:rsidR="0054613F" w:rsidRPr="0054613F" w:rsidRDefault="0054613F" w:rsidP="0054613F">
      <w:pPr>
        <w:spacing w:line="360" w:lineRule="auto"/>
        <w:ind w:firstLine="709"/>
        <w:jc w:val="both"/>
        <w:rPr>
          <w:rFonts w:ascii="Times New Roman" w:eastAsia="Times New Roman" w:hAnsi="Times New Roman" w:cs="Times New Roman"/>
          <w:sz w:val="28"/>
          <w:szCs w:val="28"/>
          <w:lang w:eastAsia="ru-RU"/>
        </w:rPr>
      </w:pPr>
      <w:r w:rsidRPr="0054613F">
        <w:rPr>
          <w:rFonts w:ascii="Times New Roman" w:eastAsia="Times New Roman" w:hAnsi="Times New Roman" w:cs="Times New Roman"/>
          <w:b/>
          <w:sz w:val="28"/>
          <w:szCs w:val="28"/>
          <w:lang w:eastAsia="ru-RU"/>
        </w:rPr>
        <w:t>Предметом дослідження</w:t>
      </w:r>
      <w:r w:rsidRPr="0054613F">
        <w:rPr>
          <w:rFonts w:ascii="Times New Roman" w:eastAsia="Times New Roman" w:hAnsi="Times New Roman" w:cs="Times New Roman"/>
          <w:sz w:val="28"/>
          <w:szCs w:val="28"/>
          <w:lang w:eastAsia="ru-RU"/>
        </w:rPr>
        <w:t xml:space="preserve"> – є теоретичні основи та прикладні аспекти трансформації зовнішньоекономічних зв’язків </w:t>
      </w:r>
      <w:r w:rsidRPr="0054613F">
        <w:rPr>
          <w:rFonts w:ascii="Times New Roman" w:eastAsia="Times New Roman" w:hAnsi="Times New Roman" w:cs="Times New Roman"/>
          <w:sz w:val="28"/>
          <w:szCs w:val="28"/>
          <w:lang w:eastAsia="ru-RU"/>
        </w:rPr>
        <w:t xml:space="preserve">Румунії та Болгарії </w:t>
      </w:r>
      <w:r w:rsidRPr="0054613F">
        <w:rPr>
          <w:rFonts w:ascii="Times New Roman" w:eastAsia="Times New Roman" w:hAnsi="Times New Roman" w:cs="Times New Roman"/>
          <w:sz w:val="28"/>
          <w:szCs w:val="28"/>
          <w:lang w:eastAsia="ru-RU"/>
        </w:rPr>
        <w:t>в умовах європейської інтеграції.</w:t>
      </w:r>
    </w:p>
    <w:p w14:paraId="6AEC837D" w14:textId="77777777" w:rsidR="0054613F" w:rsidRPr="0054613F" w:rsidRDefault="0054613F" w:rsidP="0054613F">
      <w:pPr>
        <w:spacing w:line="360" w:lineRule="auto"/>
        <w:ind w:firstLine="709"/>
        <w:jc w:val="both"/>
        <w:rPr>
          <w:rFonts w:ascii="Times New Roman" w:eastAsia="Times New Roman" w:hAnsi="Times New Roman" w:cs="Times New Roman"/>
          <w:sz w:val="28"/>
          <w:szCs w:val="28"/>
          <w:lang w:eastAsia="ru-RU"/>
        </w:rPr>
      </w:pPr>
      <w:r w:rsidRPr="0054613F">
        <w:rPr>
          <w:rFonts w:ascii="Times New Roman" w:eastAsia="Times New Roman" w:hAnsi="Times New Roman" w:cs="Times New Roman"/>
          <w:sz w:val="28"/>
          <w:szCs w:val="28"/>
          <w:lang w:eastAsia="ru-RU"/>
        </w:rPr>
        <w:t>Кваліфікаційна робота складається з вступу, трьох розділів, висновків і списку використаних джерел.</w:t>
      </w:r>
    </w:p>
    <w:p w14:paraId="1E1F09C4" w14:textId="77777777" w:rsidR="00F30B51" w:rsidRPr="00807CE7" w:rsidRDefault="00F30B51" w:rsidP="00F30B51">
      <w:pPr>
        <w:spacing w:line="360" w:lineRule="auto"/>
        <w:ind w:firstLine="709"/>
        <w:jc w:val="both"/>
        <w:rPr>
          <w:rFonts w:ascii="Times New Roman" w:hAnsi="Times New Roman" w:cs="Times New Roman"/>
          <w:sz w:val="28"/>
          <w:szCs w:val="28"/>
        </w:rPr>
      </w:pPr>
      <w:r w:rsidRPr="00807CE7">
        <w:rPr>
          <w:rFonts w:ascii="Times New Roman" w:hAnsi="Times New Roman" w:cs="Times New Roman"/>
          <w:b/>
          <w:bCs/>
          <w:sz w:val="28"/>
          <w:szCs w:val="28"/>
        </w:rPr>
        <w:t>Теоретичною та методологічною основою дослідження</w:t>
      </w:r>
      <w:r w:rsidRPr="00807CE7">
        <w:rPr>
          <w:rFonts w:ascii="Times New Roman" w:hAnsi="Times New Roman" w:cs="Times New Roman"/>
          <w:sz w:val="28"/>
          <w:szCs w:val="28"/>
        </w:rPr>
        <w:t xml:space="preserve"> є дані та матеріали з таких джерел: сайти Центральних банків країн, сайт Міжнародного валютного фонду (МВФ), наукова література.</w:t>
      </w:r>
    </w:p>
    <w:p w14:paraId="60E6F7BF" w14:textId="27C66338" w:rsidR="00AD52A6" w:rsidRDefault="00F30B51" w:rsidP="00F30B51">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При написанні роботи були використані теоретико-критичний аналіз джерел за темою дослідження, зіставлення, узагальнення і синтезування отриманої інформації, графічний метод.</w:t>
      </w:r>
    </w:p>
    <w:p w14:paraId="34A7F4BB" w14:textId="77777777" w:rsidR="0054613F" w:rsidRDefault="0054613F" w:rsidP="00F30B51">
      <w:pPr>
        <w:spacing w:line="360" w:lineRule="auto"/>
        <w:ind w:firstLine="709"/>
        <w:jc w:val="both"/>
        <w:rPr>
          <w:rFonts w:ascii="Times New Roman" w:hAnsi="Times New Roman" w:cs="Times New Roman"/>
          <w:sz w:val="28"/>
          <w:szCs w:val="28"/>
        </w:rPr>
      </w:pPr>
    </w:p>
    <w:p w14:paraId="2A648559" w14:textId="77777777" w:rsidR="0054613F" w:rsidRDefault="0054613F" w:rsidP="00F30B51">
      <w:pPr>
        <w:spacing w:line="360" w:lineRule="auto"/>
        <w:ind w:firstLine="709"/>
        <w:jc w:val="both"/>
        <w:rPr>
          <w:rFonts w:ascii="Times New Roman" w:hAnsi="Times New Roman" w:cs="Times New Roman"/>
          <w:sz w:val="28"/>
          <w:szCs w:val="28"/>
        </w:rPr>
      </w:pPr>
    </w:p>
    <w:p w14:paraId="6D5C71E2" w14:textId="77777777" w:rsidR="0054613F" w:rsidRPr="00807CE7" w:rsidRDefault="0054613F" w:rsidP="00F30B51">
      <w:pPr>
        <w:spacing w:line="360" w:lineRule="auto"/>
        <w:ind w:firstLine="709"/>
        <w:jc w:val="both"/>
        <w:rPr>
          <w:rFonts w:ascii="Times New Roman" w:hAnsi="Times New Roman" w:cs="Times New Roman"/>
          <w:sz w:val="28"/>
          <w:szCs w:val="28"/>
        </w:rPr>
      </w:pPr>
    </w:p>
    <w:p w14:paraId="03B587E9" w14:textId="38D643D0" w:rsidR="00AD52A6" w:rsidRPr="00807CE7" w:rsidRDefault="006503E5" w:rsidP="00807CE7">
      <w:pPr>
        <w:spacing w:line="360" w:lineRule="auto"/>
        <w:jc w:val="center"/>
        <w:rPr>
          <w:rFonts w:ascii="Times New Roman" w:hAnsi="Times New Roman" w:cs="Times New Roman"/>
          <w:b/>
          <w:bCs/>
          <w:sz w:val="28"/>
          <w:szCs w:val="28"/>
        </w:rPr>
      </w:pPr>
      <w:r w:rsidRPr="00807CE7">
        <w:rPr>
          <w:rFonts w:ascii="Times New Roman" w:hAnsi="Times New Roman" w:cs="Times New Roman"/>
          <w:b/>
          <w:bCs/>
          <w:sz w:val="28"/>
          <w:szCs w:val="28"/>
        </w:rPr>
        <w:lastRenderedPageBreak/>
        <w:t>РОЗДІЛ 1</w:t>
      </w:r>
    </w:p>
    <w:p w14:paraId="6F63B370" w14:textId="464A4F15" w:rsidR="00834E02" w:rsidRPr="00807CE7" w:rsidRDefault="006503E5" w:rsidP="00807CE7">
      <w:pPr>
        <w:spacing w:line="360" w:lineRule="auto"/>
        <w:jc w:val="center"/>
        <w:rPr>
          <w:rFonts w:ascii="Times New Roman" w:hAnsi="Times New Roman" w:cs="Times New Roman"/>
          <w:b/>
          <w:bCs/>
          <w:sz w:val="28"/>
          <w:szCs w:val="28"/>
        </w:rPr>
      </w:pPr>
      <w:r w:rsidRPr="00807CE7">
        <w:rPr>
          <w:rFonts w:ascii="Times New Roman" w:hAnsi="Times New Roman" w:cs="Times New Roman"/>
          <w:b/>
          <w:bCs/>
          <w:sz w:val="28"/>
          <w:szCs w:val="28"/>
        </w:rPr>
        <w:t>ТЕОРЕТИЧНІ ОСНОВИ АНАЛІЗУ ЗОВНІШНЬОЕКОНОМІЧНИХ ЗВ’ЯЗКІВ РУМУНІЇ ТА БОЛГАРІЇ В УМОВАХ ЄВРОПЕЙСЬКОЇ ІНТЕГРАЦІЇ</w:t>
      </w:r>
    </w:p>
    <w:p w14:paraId="09244BA8" w14:textId="77777777" w:rsidR="00B13B4E" w:rsidRPr="00807CE7" w:rsidRDefault="00B13B4E" w:rsidP="00807CE7">
      <w:pPr>
        <w:spacing w:line="360" w:lineRule="auto"/>
        <w:jc w:val="center"/>
        <w:rPr>
          <w:rFonts w:ascii="Times New Roman" w:hAnsi="Times New Roman" w:cs="Times New Roman"/>
          <w:sz w:val="28"/>
          <w:szCs w:val="28"/>
        </w:rPr>
      </w:pPr>
    </w:p>
    <w:p w14:paraId="6085512E" w14:textId="77777777" w:rsidR="00BF26E2" w:rsidRPr="00807CE7" w:rsidRDefault="00BF26E2"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На основі статті "Румунія: зростання дефіциту поточного рахунку у 2022 році", написаної Синтією Каласопатан Антуан, можна зробити такі висновки. </w:t>
      </w:r>
    </w:p>
    <w:p w14:paraId="758830DE" w14:textId="77777777" w:rsidR="00BF26E2" w:rsidRPr="00807CE7" w:rsidRDefault="00BF26E2"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Протягом кількох років Румунія має структурний дефіцит поточного рахунку. Дефіцит сягнув 20,2 мільярда євро за перші дев'ять місяців 2022 року, що значно вище за показник 2021 року загалом. Дефіцит Румунії є найбільшим серед країн Центральної Європи. </w:t>
      </w:r>
    </w:p>
    <w:p w14:paraId="04C7A8B7" w14:textId="1FCA06F0" w:rsidR="00BF26E2" w:rsidRPr="00807CE7" w:rsidRDefault="00BF26E2"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Основна причина пов'язана з погіршенням балансу торгівлі </w:t>
      </w:r>
      <w:r w:rsidR="00F34DD4" w:rsidRPr="00807CE7">
        <w:rPr>
          <w:rFonts w:ascii="Times New Roman" w:hAnsi="Times New Roman" w:cs="Times New Roman"/>
          <w:sz w:val="28"/>
          <w:szCs w:val="28"/>
        </w:rPr>
        <w:t>енергоносіями</w:t>
      </w:r>
      <w:r w:rsidRPr="00807CE7">
        <w:rPr>
          <w:rFonts w:ascii="Times New Roman" w:hAnsi="Times New Roman" w:cs="Times New Roman"/>
          <w:sz w:val="28"/>
          <w:szCs w:val="28"/>
        </w:rPr>
        <w:t>, який, за останніми даними, сягнув -4,5 мільярда євро за січень-липень. Імпорт продовольства і промислових товарів також сприяв, але меншою мірою порівняно з енергетикою. Навпаки, імпорт споживчих товарів тривалого користування залишається м'яким.</w:t>
      </w:r>
    </w:p>
    <w:p w14:paraId="7AA035E4" w14:textId="77777777" w:rsidR="00BF26E2" w:rsidRPr="00807CE7" w:rsidRDefault="00BF26E2"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Експорт все ще був відносно динамічним (підвищився порівняно з попереднім роком на 26,2% порівняно із січнем-вереснем 2021 року), але цього недостатньо для запобігання розширенню торговельного дефіциту (23,8 мільярда євро з січня по вересень 2022 року). Баланс первинного доходу також погіршився. Навпаки, баланс послуг залишився в позитивному сальдо і дав змогу стримати торговельний дефіцит тільки в незначному масштабі. Проте погіршення поточного рахунку не призвело до підвищення сприйняття ризику, судячи з невеликого підвищення румунського лея по відношенню до євро з січня 2022 року. Румунія навіть зафіксувала позитивні чисті потоки портфельних інвестицій протягом перших трьох кварталів на тлі відпливу цього типу капіталу до низки країн, що розвиваються.</w:t>
      </w:r>
    </w:p>
    <w:p w14:paraId="44C4EF0C" w14:textId="4063B066" w:rsidR="00067A37" w:rsidRPr="00807CE7" w:rsidRDefault="00BF26E2"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Фінансування розриву за поточними рахунками не є серйозною проблемою. Він здебільшого покриватиметься потоками прямих іноземних </w:t>
      </w:r>
      <w:r w:rsidRPr="00807CE7">
        <w:rPr>
          <w:rFonts w:ascii="Times New Roman" w:hAnsi="Times New Roman" w:cs="Times New Roman"/>
          <w:sz w:val="28"/>
          <w:szCs w:val="28"/>
        </w:rPr>
        <w:lastRenderedPageBreak/>
        <w:t>інвестицій (ПІІ), стабільним компонентом потоків капіталу та європейськими фондами. ПІІ досягли 6,2 мільярда євро за перші дев'ять місяців 2022 року</w:t>
      </w:r>
      <w:r w:rsidR="004D1779" w:rsidRPr="00807CE7">
        <w:rPr>
          <w:rFonts w:ascii="Times New Roman" w:hAnsi="Times New Roman" w:cs="Times New Roman"/>
          <w:sz w:val="28"/>
          <w:szCs w:val="28"/>
        </w:rPr>
        <w:t xml:space="preserve"> [</w:t>
      </w:r>
      <w:r w:rsidR="00F221F8" w:rsidRPr="00807CE7">
        <w:rPr>
          <w:rFonts w:ascii="Times New Roman" w:hAnsi="Times New Roman" w:cs="Times New Roman"/>
          <w:sz w:val="28"/>
          <w:szCs w:val="28"/>
        </w:rPr>
        <w:t>1</w:t>
      </w:r>
      <w:r w:rsidR="004D1779" w:rsidRPr="00807CE7">
        <w:rPr>
          <w:rFonts w:ascii="Times New Roman" w:hAnsi="Times New Roman" w:cs="Times New Roman"/>
          <w:sz w:val="28"/>
          <w:szCs w:val="28"/>
        </w:rPr>
        <w:t>].</w:t>
      </w:r>
    </w:p>
    <w:p w14:paraId="3EA10485" w14:textId="040A5B14" w:rsidR="00BF26E2" w:rsidRPr="00807CE7" w:rsidRDefault="00BA7D6B" w:rsidP="00BF26E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статтю "</w:t>
      </w:r>
      <w:r w:rsidR="00BF26E2" w:rsidRPr="00807CE7">
        <w:rPr>
          <w:rFonts w:ascii="Times New Roman" w:hAnsi="Times New Roman" w:cs="Times New Roman"/>
          <w:sz w:val="28"/>
          <w:szCs w:val="28"/>
        </w:rPr>
        <w:t xml:space="preserve">Баланс рахунку поточних операцій Румунії", опубліковану Міжнародним валютним фондом, були винесені наступні основні положення. </w:t>
      </w:r>
    </w:p>
    <w:p w14:paraId="5D1CAFEA" w14:textId="768A6BA4" w:rsidR="00BF26E2" w:rsidRPr="00807CE7" w:rsidRDefault="00BF26E2"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Зменшення товарного балансу відображає збільшення чистого імпорту споживчих та проміжних товарів, що є зміною порівняно з дефіцитом торгового балансу у 2000-х роках. Протягом більшої частини попереднього періоду зростання зовнішнього дефіциту Румунія все ще була чистим експортером споживчих товарів, а чистий імпорт капітальних товарів був значним. Однак, починаючи з 2014 року, близько половини змін у торговельному балансі товарів було зумовлено чистим імпортом споживчих товарів, за винятком автомобілів та газу. Більша частина решти припадає на збільшення імпорту проміжних товарів, які у випадку Румунії складаються здебільшого з промислових матеріалів та комплектуючих. Тим часом, імпорт капітального обладнання залишався практично незмінним як частка ВВП протягом останнього десятиліття і був значно нижчим за пікові значення, що спостерігалися у 2000-х роках. В останній період інвестиції в капітальне обладнання допомогли Румунії стати значним експортером автомобілів, і цей сектор все ще отримує значну частку внутрішніх інвестицій.</w:t>
      </w:r>
    </w:p>
    <w:p w14:paraId="2AE6B12D" w14:textId="4B731A63" w:rsidR="00BF26E2" w:rsidRPr="00807CE7" w:rsidRDefault="00BF26E2"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Однак модель поточного рахунку платіжного балансу ЄБА може не відображати повний вплив фіскального дефіциту на зростання дисбалансу поточного рахунку. Зростання дефіциту поточного рахунку в останні роки тісно пов'язане зі структурним дефіцитом бюджету, причому обидва показники перейшли від майже збалансованого стану у 2014-2015 роках до стабільно зростаючого дефіциту до 2021 року. Відносно низький рівень перенесення фіскального дефіциту на рахунок поточних операцій, який передбачається стандартними моделями, може бути неприйнятним для Румунії з огляду на її відкритість та тісну інтеграцію в ЄС. Особливий характер фіскальних послаблень в Румунії протягом останніх кількох років </w:t>
      </w:r>
      <w:r w:rsidRPr="00807CE7">
        <w:rPr>
          <w:rFonts w:ascii="Times New Roman" w:hAnsi="Times New Roman" w:cs="Times New Roman"/>
          <w:sz w:val="28"/>
          <w:szCs w:val="28"/>
        </w:rPr>
        <w:lastRenderedPageBreak/>
        <w:t>міг призвести до подальшого збільшення перенесення дефіциту на поточний рахунок за рахунок збільшення частки домогосподарств у національному доході. Альтернативна специфікація цього переходу зменшує залишок у моделі і припускає, що бажана фіскальна політика може усунути близько половини зовнішнього дисбалансу Румунії у 2021 році, а інша половина, можливо, буде зумовлена тимчасовими факторами, пов'язаними з COVID-19, перебоями в ланцюгах поставок та трансфертами ЄС</w:t>
      </w:r>
      <w:r w:rsidR="004D1779" w:rsidRPr="00807CE7">
        <w:rPr>
          <w:rFonts w:ascii="Times New Roman" w:hAnsi="Times New Roman" w:cs="Times New Roman"/>
          <w:sz w:val="28"/>
          <w:szCs w:val="28"/>
        </w:rPr>
        <w:t xml:space="preserve"> [</w:t>
      </w:r>
      <w:r w:rsidR="00F221F8" w:rsidRPr="00807CE7">
        <w:rPr>
          <w:rFonts w:ascii="Times New Roman" w:hAnsi="Times New Roman" w:cs="Times New Roman"/>
          <w:sz w:val="28"/>
          <w:szCs w:val="28"/>
        </w:rPr>
        <w:t>2</w:t>
      </w:r>
      <w:r w:rsidR="004D1779" w:rsidRPr="00807CE7">
        <w:rPr>
          <w:rFonts w:ascii="Times New Roman" w:hAnsi="Times New Roman" w:cs="Times New Roman"/>
          <w:sz w:val="28"/>
          <w:szCs w:val="28"/>
        </w:rPr>
        <w:t>].</w:t>
      </w:r>
    </w:p>
    <w:p w14:paraId="4057806E" w14:textId="20D32A0F" w:rsidR="00BF26E2" w:rsidRPr="00807CE7" w:rsidRDefault="00807CE7" w:rsidP="00CD779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статті "</w:t>
      </w:r>
      <w:r w:rsidR="00CD779D" w:rsidRPr="00807CE7">
        <w:rPr>
          <w:rFonts w:ascii="Times New Roman" w:hAnsi="Times New Roman" w:cs="Times New Roman"/>
          <w:sz w:val="28"/>
          <w:szCs w:val="28"/>
        </w:rPr>
        <w:t xml:space="preserve">Дефіцити поточного рахунку та наслідки для румунської економіки", написаної Сорін Крістіан Ніцэ, Маріленою Іонікою Радуліче та Міхаєм Дорнеану, можна зробити такі висновки. </w:t>
      </w:r>
      <w:r w:rsidR="00BF26E2" w:rsidRPr="00807CE7">
        <w:rPr>
          <w:rFonts w:ascii="Times New Roman" w:hAnsi="Times New Roman" w:cs="Times New Roman"/>
          <w:sz w:val="28"/>
          <w:szCs w:val="28"/>
        </w:rPr>
        <w:t xml:space="preserve">Державам зі значним дефіцитом слід прагнути до фіскальної трансформації, заохочувати заощадження та підвищувати конкурентоспроможність. Водночас, структурні реформи повинні відігравати більш важливу роль у виправленні зовнішніх дисбалансів. Для того, щоб дефіцит торгового балансу не призвів до знецінення лея, необхідний приплив неборгового капіталу, переважно ПІІ та європейських інвестиційних фондів.  Паралельно вони могли б вирішити проблему низьких виробничих потужностей Румунії.  Загалом, дефіцит поточного рахунку можна утримувати на сталому рівні, заохочуючи спрямування державних і приватних коштів на інвестиції, а не на споживання, що сприятиме сталому довгостроковому економічному зростанню. Для зменшення дефіциту поточного рахунку </w:t>
      </w:r>
      <w:r w:rsidR="00DF75F1" w:rsidRPr="00807CE7">
        <w:rPr>
          <w:rFonts w:ascii="Times New Roman" w:hAnsi="Times New Roman" w:cs="Times New Roman"/>
          <w:sz w:val="28"/>
          <w:szCs w:val="28"/>
        </w:rPr>
        <w:t xml:space="preserve">на думку вчених </w:t>
      </w:r>
      <w:r w:rsidR="00BF26E2" w:rsidRPr="00807CE7">
        <w:rPr>
          <w:rFonts w:ascii="Times New Roman" w:hAnsi="Times New Roman" w:cs="Times New Roman"/>
          <w:sz w:val="28"/>
          <w:szCs w:val="28"/>
        </w:rPr>
        <w:t>можна вжити наступних заходів:</w:t>
      </w:r>
    </w:p>
    <w:p w14:paraId="77E6D473" w14:textId="5128202C" w:rsidR="00BF26E2" w:rsidRPr="00807CE7" w:rsidRDefault="00BF26E2"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 </w:t>
      </w:r>
      <w:r w:rsidR="00DF75F1" w:rsidRPr="00807CE7">
        <w:rPr>
          <w:rFonts w:ascii="Times New Roman" w:hAnsi="Times New Roman" w:cs="Times New Roman"/>
          <w:sz w:val="28"/>
          <w:szCs w:val="28"/>
        </w:rPr>
        <w:t>с</w:t>
      </w:r>
      <w:r w:rsidRPr="00807CE7">
        <w:rPr>
          <w:rFonts w:ascii="Times New Roman" w:hAnsi="Times New Roman" w:cs="Times New Roman"/>
          <w:sz w:val="28"/>
          <w:szCs w:val="28"/>
        </w:rPr>
        <w:t>тимулювання експорту товарів довгострокового споживання, головним чином шляхом відновлення структурних реформ та підвищення конкурентоспроможності економіки: у сільському господарстві та промисловості шляхом підтримки розвитку повних виробничих ланцюжків та переробки вітчизняної сільськогосподарської продукції у готову про</w:t>
      </w:r>
      <w:r w:rsidR="00DF75F1" w:rsidRPr="00807CE7">
        <w:rPr>
          <w:rFonts w:ascii="Times New Roman" w:hAnsi="Times New Roman" w:cs="Times New Roman"/>
          <w:sz w:val="28"/>
          <w:szCs w:val="28"/>
        </w:rPr>
        <w:t>дукцію з вищою доданою вартістю;</w:t>
      </w:r>
    </w:p>
    <w:p w14:paraId="6D714479" w14:textId="3A54C5B1" w:rsidR="00BF26E2" w:rsidRPr="00807CE7" w:rsidRDefault="00BF26E2"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 xml:space="preserve">- </w:t>
      </w:r>
      <w:r w:rsidR="00DF75F1" w:rsidRPr="00807CE7">
        <w:rPr>
          <w:rFonts w:ascii="Times New Roman" w:hAnsi="Times New Roman" w:cs="Times New Roman"/>
          <w:sz w:val="28"/>
          <w:szCs w:val="28"/>
        </w:rPr>
        <w:t>с</w:t>
      </w:r>
      <w:r w:rsidRPr="00807CE7">
        <w:rPr>
          <w:rFonts w:ascii="Times New Roman" w:hAnsi="Times New Roman" w:cs="Times New Roman"/>
          <w:sz w:val="28"/>
          <w:szCs w:val="28"/>
        </w:rPr>
        <w:t>тимулювання сільськогосподарського виробництва дозволить зменшити або навіть ліквідувати дефіцит балансу агропродовольчих товар</w:t>
      </w:r>
      <w:r w:rsidR="00DF75F1" w:rsidRPr="00807CE7">
        <w:rPr>
          <w:rFonts w:ascii="Times New Roman" w:hAnsi="Times New Roman" w:cs="Times New Roman"/>
          <w:sz w:val="28"/>
          <w:szCs w:val="28"/>
        </w:rPr>
        <w:t>ів і може бути досягнуто шляхом;</w:t>
      </w:r>
    </w:p>
    <w:p w14:paraId="2D5CCA2C" w14:textId="6654E77C" w:rsidR="00BF26E2" w:rsidRPr="00807CE7" w:rsidRDefault="00DF75F1"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 </w:t>
      </w:r>
      <w:r w:rsidR="00BF26E2" w:rsidRPr="00807CE7">
        <w:rPr>
          <w:rFonts w:ascii="Times New Roman" w:hAnsi="Times New Roman" w:cs="Times New Roman"/>
          <w:sz w:val="28"/>
          <w:szCs w:val="28"/>
        </w:rPr>
        <w:t>відновлення та модернізації основної іригаційної інфраструктури та вжиття заходів з управління ризиками в сільському госпо</w:t>
      </w:r>
      <w:r w:rsidRPr="00807CE7">
        <w:rPr>
          <w:rFonts w:ascii="Times New Roman" w:hAnsi="Times New Roman" w:cs="Times New Roman"/>
          <w:sz w:val="28"/>
          <w:szCs w:val="28"/>
        </w:rPr>
        <w:t>дарстві внаслідок зміни клімату;</w:t>
      </w:r>
    </w:p>
    <w:p w14:paraId="5BC4C955" w14:textId="528D93C7" w:rsidR="00BF26E2" w:rsidRPr="00807CE7" w:rsidRDefault="00DF75F1"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 </w:t>
      </w:r>
      <w:r w:rsidR="00BF26E2" w:rsidRPr="00807CE7">
        <w:rPr>
          <w:rFonts w:ascii="Times New Roman" w:hAnsi="Times New Roman" w:cs="Times New Roman"/>
          <w:sz w:val="28"/>
          <w:szCs w:val="28"/>
        </w:rPr>
        <w:t>стимулювання об'єднання фермерів, що матиме численні переваги: збільшення ефекту масштабу, полегшення доступу до іригаційних систем, кооперація на коротких ланцюгах для спільного постачання агропродовольчої продукції безпосеред</w:t>
      </w:r>
      <w:r w:rsidRPr="00807CE7">
        <w:rPr>
          <w:rFonts w:ascii="Times New Roman" w:hAnsi="Times New Roman" w:cs="Times New Roman"/>
          <w:sz w:val="28"/>
          <w:szCs w:val="28"/>
        </w:rPr>
        <w:t>ньо до мереж супермаркетів тощо;</w:t>
      </w:r>
    </w:p>
    <w:p w14:paraId="276CA96E" w14:textId="55C38EC0" w:rsidR="00BF26E2" w:rsidRPr="00807CE7" w:rsidRDefault="00BF26E2"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 </w:t>
      </w:r>
      <w:r w:rsidR="00DF75F1" w:rsidRPr="00807CE7">
        <w:rPr>
          <w:rFonts w:ascii="Times New Roman" w:hAnsi="Times New Roman" w:cs="Times New Roman"/>
          <w:sz w:val="28"/>
          <w:szCs w:val="28"/>
        </w:rPr>
        <w:t>і</w:t>
      </w:r>
      <w:r w:rsidRPr="00807CE7">
        <w:rPr>
          <w:rFonts w:ascii="Times New Roman" w:hAnsi="Times New Roman" w:cs="Times New Roman"/>
          <w:sz w:val="28"/>
          <w:szCs w:val="28"/>
        </w:rPr>
        <w:t>нвестиції, спрямовані на експортно-орієнтовані галузі, такі як автомобілебудування, хімічна промисловість тощо, з одночасною підтримкою внутрішніх секторів, де спостерігається від'ємне сальдо експорту (агропродовольча продукція, фармацевтична промисловість, туристичні послуги тощо).</w:t>
      </w:r>
    </w:p>
    <w:p w14:paraId="0EACBBDA" w14:textId="523C30FF" w:rsidR="00BF26E2" w:rsidRPr="00807CE7" w:rsidRDefault="00BF26E2"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 </w:t>
      </w:r>
      <w:r w:rsidR="00DF75F1" w:rsidRPr="00807CE7">
        <w:rPr>
          <w:rFonts w:ascii="Times New Roman" w:hAnsi="Times New Roman" w:cs="Times New Roman"/>
          <w:sz w:val="28"/>
          <w:szCs w:val="28"/>
        </w:rPr>
        <w:t>д</w:t>
      </w:r>
      <w:r w:rsidRPr="00807CE7">
        <w:rPr>
          <w:rFonts w:ascii="Times New Roman" w:hAnsi="Times New Roman" w:cs="Times New Roman"/>
          <w:sz w:val="28"/>
          <w:szCs w:val="28"/>
        </w:rPr>
        <w:t>ержавні інвестиції в транспортну, енергетичну та освітню інфраструктуру можуть підвищити витратну конкурентоспроможність всієї економіки та створити нові економічні можливості, включаючи залучення нових прямих іноземних інвестицій в експортні сектори. Водночас, інвестиції в інфраструктуру підвищать енергоефективність Румунії, що призведе до скорочення споживання палива і, відповідно, імпорту нафти.</w:t>
      </w:r>
    </w:p>
    <w:p w14:paraId="13AF5A56" w14:textId="660E8C68" w:rsidR="00BF26E2" w:rsidRPr="00807CE7" w:rsidRDefault="00DF75F1"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К</w:t>
      </w:r>
      <w:r w:rsidR="00BF26E2" w:rsidRPr="00807CE7">
        <w:rPr>
          <w:rFonts w:ascii="Times New Roman" w:hAnsi="Times New Roman" w:cs="Times New Roman"/>
          <w:sz w:val="28"/>
          <w:szCs w:val="28"/>
        </w:rPr>
        <w:t xml:space="preserve">рім того, підвищення енергоефективності може бути реалізовано за рахунок заходів, які визначають зменшення споживання енергії на рівні домогосподарств та на рівні підприємств: </w:t>
      </w:r>
    </w:p>
    <w:p w14:paraId="49295B4D" w14:textId="0EACE2EC" w:rsidR="00BF26E2" w:rsidRPr="00807CE7" w:rsidRDefault="00DF75F1"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1. </w:t>
      </w:r>
      <w:r w:rsidR="00BF26E2" w:rsidRPr="00807CE7">
        <w:rPr>
          <w:rFonts w:ascii="Times New Roman" w:hAnsi="Times New Roman" w:cs="Times New Roman"/>
          <w:sz w:val="28"/>
          <w:szCs w:val="28"/>
        </w:rPr>
        <w:t>Впровадження довгострокової стратегії енергетичної санації будівель</w:t>
      </w:r>
      <w:r w:rsidRPr="00807CE7">
        <w:rPr>
          <w:rFonts w:ascii="Times New Roman" w:hAnsi="Times New Roman" w:cs="Times New Roman"/>
          <w:sz w:val="28"/>
          <w:szCs w:val="28"/>
        </w:rPr>
        <w:t>.</w:t>
      </w:r>
      <w:r w:rsidR="00BF26E2" w:rsidRPr="00807CE7">
        <w:rPr>
          <w:rFonts w:ascii="Times New Roman" w:hAnsi="Times New Roman" w:cs="Times New Roman"/>
          <w:sz w:val="28"/>
          <w:szCs w:val="28"/>
        </w:rPr>
        <w:t xml:space="preserve"> </w:t>
      </w:r>
    </w:p>
    <w:p w14:paraId="52A06C71" w14:textId="19AB74B1" w:rsidR="00BF26E2" w:rsidRPr="00807CE7" w:rsidRDefault="00DF75F1"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2. </w:t>
      </w:r>
      <w:r w:rsidR="00BF26E2" w:rsidRPr="00807CE7">
        <w:rPr>
          <w:rFonts w:ascii="Times New Roman" w:hAnsi="Times New Roman" w:cs="Times New Roman"/>
          <w:sz w:val="28"/>
          <w:szCs w:val="28"/>
        </w:rPr>
        <w:t>Сприяння програмам встановлення систем опалення з використанн</w:t>
      </w:r>
      <w:r w:rsidRPr="00807CE7">
        <w:rPr>
          <w:rFonts w:ascii="Times New Roman" w:hAnsi="Times New Roman" w:cs="Times New Roman"/>
          <w:sz w:val="28"/>
          <w:szCs w:val="28"/>
        </w:rPr>
        <w:t>ям відновлюваних джерел енергії.</w:t>
      </w:r>
    </w:p>
    <w:p w14:paraId="23CEDA4D" w14:textId="36BE1B89" w:rsidR="00BF26E2" w:rsidRPr="00807CE7" w:rsidRDefault="00DF75F1" w:rsidP="00BF26E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3. </w:t>
      </w:r>
      <w:r w:rsidR="00BF26E2" w:rsidRPr="00807CE7">
        <w:rPr>
          <w:rFonts w:ascii="Times New Roman" w:hAnsi="Times New Roman" w:cs="Times New Roman"/>
          <w:sz w:val="28"/>
          <w:szCs w:val="28"/>
        </w:rPr>
        <w:t>Зменшення енергоспоживання на рівні підприємств шляхом проведення систематичного аудиту, інформаційних заходів з енергоменеджменту та заохочення діяльності енергозберігаючих компаній</w:t>
      </w:r>
      <w:r w:rsidR="004D1779" w:rsidRPr="00807CE7">
        <w:rPr>
          <w:rFonts w:ascii="Times New Roman" w:hAnsi="Times New Roman" w:cs="Times New Roman"/>
          <w:sz w:val="28"/>
          <w:szCs w:val="28"/>
        </w:rPr>
        <w:t xml:space="preserve"> [</w:t>
      </w:r>
      <w:r w:rsidR="00F221F8" w:rsidRPr="00807CE7">
        <w:rPr>
          <w:rFonts w:ascii="Times New Roman" w:hAnsi="Times New Roman" w:cs="Times New Roman"/>
          <w:sz w:val="28"/>
          <w:szCs w:val="28"/>
        </w:rPr>
        <w:t>3</w:t>
      </w:r>
      <w:r w:rsidR="004D1779" w:rsidRPr="00807CE7">
        <w:rPr>
          <w:rFonts w:ascii="Times New Roman" w:hAnsi="Times New Roman" w:cs="Times New Roman"/>
          <w:sz w:val="28"/>
          <w:szCs w:val="28"/>
        </w:rPr>
        <w:t>].</w:t>
      </w:r>
    </w:p>
    <w:p w14:paraId="134EFE23" w14:textId="3B235040" w:rsidR="00B75A2E" w:rsidRPr="00807CE7" w:rsidRDefault="00B842EF" w:rsidP="00E46F3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Стосовно Болгарії, д</w:t>
      </w:r>
      <w:r w:rsidR="00B75A2E" w:rsidRPr="00807CE7">
        <w:rPr>
          <w:rFonts w:ascii="Times New Roman" w:hAnsi="Times New Roman" w:cs="Times New Roman"/>
          <w:sz w:val="28"/>
          <w:szCs w:val="28"/>
        </w:rPr>
        <w:t>алі буде проаналізовано статтю "</w:t>
      </w:r>
      <w:r w:rsidRPr="00807CE7">
        <w:rPr>
          <w:rFonts w:ascii="Times New Roman" w:hAnsi="Times New Roman" w:cs="Times New Roman"/>
          <w:sz w:val="28"/>
          <w:szCs w:val="28"/>
        </w:rPr>
        <w:t>Можливості зовнішньої торгівлі ЄС з країнами Азії: випадок Болгарії, Чеської Республіки та Словенської Республіки</w:t>
      </w:r>
      <w:r w:rsidR="00E46F32" w:rsidRPr="00807CE7">
        <w:rPr>
          <w:rFonts w:ascii="Times New Roman" w:hAnsi="Times New Roman" w:cs="Times New Roman"/>
          <w:sz w:val="28"/>
          <w:szCs w:val="28"/>
        </w:rPr>
        <w:t xml:space="preserve"> з Китаєм, Індією та Японією»</w:t>
      </w:r>
      <w:r w:rsidR="00B75A2E" w:rsidRPr="00807CE7">
        <w:rPr>
          <w:rFonts w:ascii="Times New Roman" w:hAnsi="Times New Roman" w:cs="Times New Roman"/>
          <w:sz w:val="28"/>
          <w:szCs w:val="28"/>
        </w:rPr>
        <w:t xml:space="preserve"> від автора Ірени Ніколової. На основі статті, я зробила наступні висновки щодо Болгарії. У статті розглядаються торговельні відносини між ЄС-27 з особливим акцентом на Чеській Республіці, Словацькій Республіці та Болгарії і трьома найбільшими економіками Азії - Китаєм, Японією та Індією. Увесь світ постраждав від коронавірусної хвороби, і наслідки пандемії досі не подолані як у системі охорони здоров'я, так і в економіці. Через пандемію різко впала торгівля, і більшість країн були заблоковані. До пандемії торговельні відносини в усьому світі стикалися з різними викликами, включаючи переговори щодо деяких вже існуючих двосторонніх і регіональних угод і навіть їхнє призупинення. Крім того, виникли торгові війни, зумовлені необхідністю досягнення кращих конкурентних позицій, особливо у сфері нових технологій. Таким чином, відбувається трансформація міжнародної торгівлі від глобалізації та лібералізації до протекціонізму та зростання нетарифних бар'єрів і кількісних обмежень. А пандемія COVID-19 суттєво висвітлила всі процеси, що відбуваються. </w:t>
      </w:r>
    </w:p>
    <w:p w14:paraId="5878435B" w14:textId="77777777" w:rsidR="00B75A2E" w:rsidRPr="00807CE7" w:rsidRDefault="00B75A2E" w:rsidP="00B75A2E">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За останні роки Болгарія збільшила свої торговельні відносини з Китаєм, і це пов'язано зі зростанням експорту сировинних товарів, таких як метали, а також машини та обладнання. У 2018 році болгарський експорт до Китаю становив лише 2,67% від загального експорту країни, але все ж таки це найбільший торговельний партнер в Азії. Частка експорту до Індії та Японії в загальному експорті Болгарії становить менше 1%. У 2018 році болгарський експортний потік до Індії склав близько 0,34% від загального експорту, а до Японії - 0,15%.</w:t>
      </w:r>
    </w:p>
    <w:p w14:paraId="3E8A9C84" w14:textId="2D7DD0BE" w:rsidR="00B75A2E" w:rsidRPr="00807CE7" w:rsidRDefault="00B75A2E" w:rsidP="00B75A2E">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За останні десять років спостерігається тенденція до зростання потоку імпорту з Китаю. Частка імпорту з Китаю коливається в різні роки, але з 2010 року вона стабільно становить близько 3% і вище. У 2018 році частка імпорту з Китаю становила 4,1% від загального імпорту Болгарії. Інтенсивність </w:t>
      </w:r>
      <w:r w:rsidRPr="00807CE7">
        <w:rPr>
          <w:rFonts w:ascii="Times New Roman" w:hAnsi="Times New Roman" w:cs="Times New Roman"/>
          <w:sz w:val="28"/>
          <w:szCs w:val="28"/>
        </w:rPr>
        <w:lastRenderedPageBreak/>
        <w:t>імпорту з Індії та Японії є меншою, і їхня частка імпорту є нижчою за 1%, наприклад, у 2018 році частка Індії становила 0,61%, а Японії - 0,43% від загального імпорту Болгарії</w:t>
      </w:r>
      <w:r w:rsidR="004D1779" w:rsidRPr="00807CE7">
        <w:rPr>
          <w:rFonts w:ascii="Times New Roman" w:hAnsi="Times New Roman" w:cs="Times New Roman"/>
          <w:sz w:val="28"/>
          <w:szCs w:val="28"/>
        </w:rPr>
        <w:t xml:space="preserve"> [</w:t>
      </w:r>
      <w:r w:rsidR="00F221F8" w:rsidRPr="00807CE7">
        <w:rPr>
          <w:rFonts w:ascii="Times New Roman" w:hAnsi="Times New Roman" w:cs="Times New Roman"/>
          <w:sz w:val="28"/>
          <w:szCs w:val="28"/>
        </w:rPr>
        <w:t>4</w:t>
      </w:r>
      <w:r w:rsidR="004D1779" w:rsidRPr="00807CE7">
        <w:rPr>
          <w:rFonts w:ascii="Times New Roman" w:hAnsi="Times New Roman" w:cs="Times New Roman"/>
          <w:sz w:val="28"/>
          <w:szCs w:val="28"/>
        </w:rPr>
        <w:t>].</w:t>
      </w:r>
    </w:p>
    <w:p w14:paraId="3DF903E5" w14:textId="05AAD23E" w:rsidR="009F3B8F" w:rsidRPr="00807CE7" w:rsidRDefault="00DF75F1" w:rsidP="009F3B8F">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На основі статті "</w:t>
      </w:r>
      <w:r w:rsidR="009F3B8F" w:rsidRPr="00807CE7">
        <w:rPr>
          <w:rFonts w:ascii="Times New Roman" w:hAnsi="Times New Roman" w:cs="Times New Roman"/>
          <w:sz w:val="28"/>
          <w:szCs w:val="28"/>
        </w:rPr>
        <w:t xml:space="preserve">Болгарія: 2022 Стаття IV Консультації - Прес-реліз; та Звіт персоналу для Болгарії" від авторів Міжнародного валютного фонду, можна зробити наступні висновки. Пандемія COVID-19 перервала вражаючий прогрес. Відкрита економіка з великим виробничим сектором, інтегрованим у глобальні ланцюги доданої вартості, Болгарія досягла значного зростання доходів за останні два десятиліття. Надійна макроекономічна база та поглиблення інтеграції з Європейським Союзом дозволили досягти прогресу на шляху до вступу в єврозону. До пандемії безробіття досягло історичного мінімуму, а заробітна плата суттєво зросла. Були проведені вражаючі структурні реформи, спрямовані на підвищення продуктивності, збільшення конвергенції доходів і вирішення соціальних проблем. Пандемія COVID-19 перервала цей прогрес, і падіння виробництва не спостерігалося з часів банківської кризи 1996-97 років. </w:t>
      </w:r>
    </w:p>
    <w:p w14:paraId="15172DCE" w14:textId="77777777" w:rsidR="009F3B8F" w:rsidRPr="00807CE7" w:rsidRDefault="009F3B8F" w:rsidP="009F3B8F">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Економічна активність різко скоротилася, коли вперше були запроваджені обмежувальні заходи для стримування пандемії. Значного падіння зазнали туристичні, готельні та харчові послуги. Переробна промисловість здебільшого орієнтована на експорт і постраждала від початкового значного падіння обсягів і цін. Рубцеві наслідки шоку, спричиненого COVID-19, можуть бути довготривалими. </w:t>
      </w:r>
    </w:p>
    <w:p w14:paraId="3544E17F" w14:textId="77777777" w:rsidR="009F3B8F" w:rsidRPr="00807CE7" w:rsidRDefault="009F3B8F" w:rsidP="009F3B8F">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Зайнятість скоротилася, розмиваючи нещодавні здобутки. Найбільше від втрати робочих місць постраждали чоловіки та молодь. Хоча урядова програма субсидування заробітної плати захистила значну частку робочих місць, відновлення зайнятості потребуватиме більш активної політики на ринку праці. Робоча сила старіє, і економіка не може дозволити собі широкомасштабне скорочення зайнятості. </w:t>
      </w:r>
    </w:p>
    <w:p w14:paraId="066FBBA4" w14:textId="4EBDD659" w:rsidR="00B75A2E" w:rsidRPr="00807CE7" w:rsidRDefault="009F3B8F" w:rsidP="009F3B8F">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У липні 2020 року Болгарія приєдналася до Європейського механізму обмінного курсу II, а Європейський центральний банк і Болгарський </w:t>
      </w:r>
      <w:r w:rsidRPr="00807CE7">
        <w:rPr>
          <w:rFonts w:ascii="Times New Roman" w:hAnsi="Times New Roman" w:cs="Times New Roman"/>
          <w:sz w:val="28"/>
          <w:szCs w:val="28"/>
        </w:rPr>
        <w:lastRenderedPageBreak/>
        <w:t>національний банк налагодили співпрацю у сфері банківського нагляду. Понад двадцять років у країні діє валютна рада з фіксованим обмінним курсом лева до євро. Виклик полягає в тому, що заробітна плата, яка наразі є набагато нижчою, ніж в інших країнах, зростатиме в міру наближення Болгарії до єврозони. Щоб забезпечити конкурентоспроможність і уникнути макроекономічних дисбалансів, продуктивність праці повинна йти в ногу з тиском на реальну заробітну плату</w:t>
      </w:r>
      <w:r w:rsidR="004D1779" w:rsidRPr="00807CE7">
        <w:rPr>
          <w:rFonts w:ascii="Times New Roman" w:hAnsi="Times New Roman" w:cs="Times New Roman"/>
          <w:sz w:val="28"/>
          <w:szCs w:val="28"/>
        </w:rPr>
        <w:t xml:space="preserve"> [</w:t>
      </w:r>
      <w:r w:rsidR="00F221F8" w:rsidRPr="00807CE7">
        <w:rPr>
          <w:rFonts w:ascii="Times New Roman" w:hAnsi="Times New Roman" w:cs="Times New Roman"/>
          <w:sz w:val="28"/>
          <w:szCs w:val="28"/>
        </w:rPr>
        <w:t>5</w:t>
      </w:r>
      <w:r w:rsidR="004D1779" w:rsidRPr="00807CE7">
        <w:rPr>
          <w:rFonts w:ascii="Times New Roman" w:hAnsi="Times New Roman" w:cs="Times New Roman"/>
          <w:sz w:val="28"/>
          <w:szCs w:val="28"/>
        </w:rPr>
        <w:t>].</w:t>
      </w:r>
    </w:p>
    <w:p w14:paraId="5250C58F" w14:textId="7220CE1A" w:rsidR="00DF484F" w:rsidRPr="00807CE7" w:rsidRDefault="00DF75F1" w:rsidP="00DF484F">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Після аналізу статті "</w:t>
      </w:r>
      <w:r w:rsidR="00DF484F" w:rsidRPr="00807CE7">
        <w:rPr>
          <w:rFonts w:ascii="Times New Roman" w:hAnsi="Times New Roman" w:cs="Times New Roman"/>
          <w:sz w:val="28"/>
          <w:szCs w:val="28"/>
        </w:rPr>
        <w:t xml:space="preserve">Прямі іноземні інвестиції та економічне зростання: Приклад Болгарії" від автора Ірени Ніколової, можна зробити наступні висновки. Вплив ПІІ на економічне зростання та розвиток є однією з найбільш обговорюваних тем у сфері міжнародної економіки та фінансів. Безумовно, існує позитивний зв'язок між економічним зростанням та потоками ПІІ, особливо коли країна не має достатніх ресурсів, як, наприклад, країни з перехідною економікою та Болгарія. </w:t>
      </w:r>
    </w:p>
    <w:p w14:paraId="4B356CDB" w14:textId="0EDE266A" w:rsidR="00DF484F" w:rsidRPr="00807CE7" w:rsidRDefault="00DF484F" w:rsidP="00DF484F">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Коли світова економіка переживає кризу або, навпаки, економічне зростання, потоки ПІІ є можливістю для підприємств реалізувати свої бізнес-плани. Фактично, ПІІ та фінансування ЄС є єдиним джерелом інвестиційних надходжень для болгарської економіки під час кризи. Однак залучення ПІІ в Болгарію залежить не лише від економічного зростання у світі та регіоні, але й від ма</w:t>
      </w:r>
      <w:r w:rsidR="00DF75F1" w:rsidRPr="00807CE7">
        <w:rPr>
          <w:rFonts w:ascii="Times New Roman" w:hAnsi="Times New Roman" w:cs="Times New Roman"/>
          <w:sz w:val="28"/>
          <w:szCs w:val="28"/>
        </w:rPr>
        <w:t>кроекономічної політики країни [6].</w:t>
      </w:r>
    </w:p>
    <w:p w14:paraId="07FFEC3F" w14:textId="7663C688" w:rsidR="00E46F32" w:rsidRPr="00807CE7" w:rsidRDefault="00DF484F" w:rsidP="00E46F3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Основними проблемами у залученні ПІІ в країну є бізнес-середовище та адміністративний тягар, пов'язаний із започаткуванням та подальшим розвитком діяльності вітчизняних підприємств. Світова фінансово-економічна криза, а згодом і боргова криза в країнах Єврозони сприяли уповільненню економічного зростання країни і навіть збільшенню відтоку інвестицій з країни. Можливості для залучення більшого обсягу ПІІ в економіку пов'язані з реалізацією передбачуваної фінансово-економічної політики на макроекономічному рівні та стабільним бізнес-середовищем</w:t>
      </w:r>
      <w:r w:rsidR="004D1779" w:rsidRPr="00807CE7">
        <w:rPr>
          <w:rFonts w:ascii="Times New Roman" w:hAnsi="Times New Roman" w:cs="Times New Roman"/>
          <w:sz w:val="28"/>
          <w:szCs w:val="28"/>
        </w:rPr>
        <w:t>.</w:t>
      </w:r>
    </w:p>
    <w:p w14:paraId="5F51448D" w14:textId="77777777" w:rsidR="00E46F32" w:rsidRPr="00807CE7" w:rsidRDefault="00E46F32">
      <w:pPr>
        <w:rPr>
          <w:rFonts w:ascii="Times New Roman" w:hAnsi="Times New Roman" w:cs="Times New Roman"/>
          <w:sz w:val="28"/>
          <w:szCs w:val="28"/>
        </w:rPr>
      </w:pPr>
      <w:r w:rsidRPr="00807CE7">
        <w:rPr>
          <w:rFonts w:ascii="Times New Roman" w:hAnsi="Times New Roman" w:cs="Times New Roman"/>
          <w:sz w:val="28"/>
          <w:szCs w:val="28"/>
        </w:rPr>
        <w:br w:type="page"/>
      </w:r>
    </w:p>
    <w:p w14:paraId="00745F81" w14:textId="4CF4828F" w:rsidR="009F3B8F" w:rsidRPr="00807CE7" w:rsidRDefault="00DF75F1" w:rsidP="00807CE7">
      <w:pPr>
        <w:spacing w:line="360" w:lineRule="auto"/>
        <w:jc w:val="center"/>
        <w:rPr>
          <w:rFonts w:ascii="Times New Roman" w:hAnsi="Times New Roman" w:cs="Times New Roman"/>
          <w:b/>
          <w:bCs/>
          <w:sz w:val="28"/>
          <w:szCs w:val="28"/>
        </w:rPr>
      </w:pPr>
      <w:r w:rsidRPr="00807CE7">
        <w:rPr>
          <w:rFonts w:ascii="Times New Roman" w:hAnsi="Times New Roman" w:cs="Times New Roman"/>
          <w:b/>
          <w:bCs/>
          <w:sz w:val="28"/>
          <w:szCs w:val="28"/>
        </w:rPr>
        <w:lastRenderedPageBreak/>
        <w:t>РОЗДІЛ 2</w:t>
      </w:r>
    </w:p>
    <w:p w14:paraId="458B8EC6" w14:textId="13E96AA6" w:rsidR="00F24A9A" w:rsidRPr="00807CE7" w:rsidRDefault="00DF75F1" w:rsidP="00807CE7">
      <w:pPr>
        <w:spacing w:line="360" w:lineRule="auto"/>
        <w:jc w:val="center"/>
        <w:rPr>
          <w:rFonts w:ascii="Times New Roman" w:hAnsi="Times New Roman" w:cs="Times New Roman"/>
          <w:b/>
          <w:bCs/>
          <w:sz w:val="28"/>
          <w:szCs w:val="28"/>
        </w:rPr>
      </w:pPr>
      <w:r w:rsidRPr="00807CE7">
        <w:rPr>
          <w:rFonts w:ascii="Times New Roman" w:hAnsi="Times New Roman" w:cs="Times New Roman"/>
          <w:b/>
          <w:bCs/>
          <w:sz w:val="28"/>
          <w:szCs w:val="28"/>
        </w:rPr>
        <w:t>ПОРІВНЯЛЬНИЙ АНАЛІЗ ОСНОВНИХ СКЛАДОВИХ ЗОВНІШНЬОЕКОНОМІЧНИХ ЗВ’Я</w:t>
      </w:r>
      <w:bookmarkStart w:id="1" w:name="_GoBack"/>
      <w:bookmarkEnd w:id="1"/>
      <w:r w:rsidRPr="00807CE7">
        <w:rPr>
          <w:rFonts w:ascii="Times New Roman" w:hAnsi="Times New Roman" w:cs="Times New Roman"/>
          <w:b/>
          <w:bCs/>
          <w:sz w:val="28"/>
          <w:szCs w:val="28"/>
        </w:rPr>
        <w:t>ЗКІВ РУМУНІЇ ТА БОЛГАРІЇ</w:t>
      </w:r>
    </w:p>
    <w:p w14:paraId="3F6E994F" w14:textId="77777777" w:rsidR="00F24A9A" w:rsidRPr="00807CE7" w:rsidRDefault="00F24A9A" w:rsidP="00E46F32">
      <w:pPr>
        <w:spacing w:line="360" w:lineRule="auto"/>
        <w:ind w:firstLine="709"/>
        <w:jc w:val="both"/>
        <w:rPr>
          <w:rFonts w:ascii="Times New Roman" w:hAnsi="Times New Roman" w:cs="Times New Roman"/>
          <w:sz w:val="28"/>
          <w:szCs w:val="28"/>
        </w:rPr>
      </w:pPr>
    </w:p>
    <w:p w14:paraId="3BA1C18A" w14:textId="188B06ED" w:rsidR="00F24A9A" w:rsidRPr="00807CE7" w:rsidRDefault="00F24A9A" w:rsidP="00F24A9A">
      <w:pPr>
        <w:spacing w:line="360" w:lineRule="auto"/>
        <w:ind w:firstLine="709"/>
        <w:jc w:val="both"/>
        <w:rPr>
          <w:rFonts w:ascii="Times New Roman" w:hAnsi="Times New Roman" w:cs="Times New Roman"/>
          <w:b/>
          <w:bCs/>
          <w:sz w:val="28"/>
          <w:szCs w:val="28"/>
        </w:rPr>
      </w:pPr>
      <w:r w:rsidRPr="00807CE7">
        <w:rPr>
          <w:rFonts w:ascii="Times New Roman" w:hAnsi="Times New Roman" w:cs="Times New Roman"/>
          <w:b/>
          <w:bCs/>
          <w:sz w:val="28"/>
          <w:szCs w:val="28"/>
        </w:rPr>
        <w:t xml:space="preserve">2.1. </w:t>
      </w:r>
      <w:r w:rsidR="00DF75F1" w:rsidRPr="00807CE7">
        <w:rPr>
          <w:rFonts w:ascii="Times New Roman" w:hAnsi="Times New Roman" w:cs="Times New Roman"/>
          <w:b/>
          <w:bCs/>
          <w:sz w:val="28"/>
          <w:szCs w:val="28"/>
        </w:rPr>
        <w:t>Динаміка та структура</w:t>
      </w:r>
      <w:r w:rsidRPr="00807CE7">
        <w:rPr>
          <w:rFonts w:ascii="Times New Roman" w:hAnsi="Times New Roman" w:cs="Times New Roman"/>
          <w:b/>
          <w:bCs/>
          <w:sz w:val="28"/>
          <w:szCs w:val="28"/>
        </w:rPr>
        <w:t xml:space="preserve"> поточних рахунків Румунії та Болгарії</w:t>
      </w:r>
    </w:p>
    <w:p w14:paraId="29669509" w14:textId="1CCCEB8C" w:rsidR="00F24A9A" w:rsidRPr="00807CE7" w:rsidRDefault="00B9598D"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Рахунок поточних операцій складається з торгового балансу, балансу послуг, первинних та вторинних доходів (див.</w:t>
      </w:r>
      <w:r w:rsidR="00DF75F1" w:rsidRPr="00807CE7">
        <w:rPr>
          <w:rFonts w:ascii="Times New Roman" w:hAnsi="Times New Roman" w:cs="Times New Roman"/>
          <w:sz w:val="28"/>
          <w:szCs w:val="28"/>
        </w:rPr>
        <w:t xml:space="preserve"> </w:t>
      </w:r>
      <w:r w:rsidRPr="00807CE7">
        <w:rPr>
          <w:rFonts w:ascii="Times New Roman" w:hAnsi="Times New Roman" w:cs="Times New Roman"/>
          <w:sz w:val="28"/>
          <w:szCs w:val="28"/>
        </w:rPr>
        <w:t xml:space="preserve">додаток А). Також було взято дані з оплати праці та доходів від інвестицій Румунії </w:t>
      </w:r>
      <w:r w:rsidR="00DF75F1" w:rsidRPr="00807CE7">
        <w:rPr>
          <w:rFonts w:ascii="Times New Roman" w:hAnsi="Times New Roman" w:cs="Times New Roman"/>
          <w:sz w:val="28"/>
          <w:szCs w:val="28"/>
        </w:rPr>
        <w:t>т</w:t>
      </w:r>
      <w:r w:rsidRPr="00807CE7">
        <w:rPr>
          <w:rFonts w:ascii="Times New Roman" w:hAnsi="Times New Roman" w:cs="Times New Roman"/>
          <w:sz w:val="28"/>
          <w:szCs w:val="28"/>
        </w:rPr>
        <w:t xml:space="preserve">а Болгарії. </w:t>
      </w:r>
      <w:r w:rsidR="00D253EB" w:rsidRPr="00807CE7">
        <w:rPr>
          <w:rFonts w:ascii="Times New Roman" w:hAnsi="Times New Roman" w:cs="Times New Roman"/>
          <w:sz w:val="28"/>
          <w:szCs w:val="28"/>
        </w:rPr>
        <w:t>Далі будуть проаналізовані основні статті поточних рахунків обох країн</w:t>
      </w:r>
      <w:r w:rsidR="005D14FE" w:rsidRPr="00807CE7">
        <w:rPr>
          <w:rFonts w:ascii="Times New Roman" w:hAnsi="Times New Roman" w:cs="Times New Roman"/>
          <w:sz w:val="28"/>
          <w:szCs w:val="28"/>
        </w:rPr>
        <w:t xml:space="preserve"> за 2017-2021 роки (на жаль, дані за 2022 рік в обох країн відсутні)</w:t>
      </w:r>
      <w:r w:rsidR="00D253EB" w:rsidRPr="00807CE7">
        <w:rPr>
          <w:rFonts w:ascii="Times New Roman" w:hAnsi="Times New Roman" w:cs="Times New Roman"/>
          <w:sz w:val="28"/>
          <w:szCs w:val="28"/>
        </w:rPr>
        <w:t>.</w:t>
      </w:r>
      <w:r w:rsidR="002A0067" w:rsidRPr="00807CE7">
        <w:rPr>
          <w:rFonts w:ascii="Times New Roman" w:hAnsi="Times New Roman" w:cs="Times New Roman"/>
          <w:sz w:val="28"/>
          <w:szCs w:val="28"/>
        </w:rPr>
        <w:t xml:space="preserve"> Далі у таблиці будуть наведені дані щодо торгівлі товарами та послугами Румунії та Болгарії. </w:t>
      </w:r>
    </w:p>
    <w:p w14:paraId="14745625" w14:textId="045760D4" w:rsidR="00DE7505" w:rsidRPr="00807CE7" w:rsidRDefault="00DF75F1" w:rsidP="00DE7505">
      <w:pPr>
        <w:spacing w:line="360" w:lineRule="auto"/>
        <w:ind w:firstLine="709"/>
        <w:jc w:val="right"/>
        <w:rPr>
          <w:rFonts w:ascii="Times New Roman" w:hAnsi="Times New Roman" w:cs="Times New Roman"/>
          <w:sz w:val="28"/>
          <w:szCs w:val="28"/>
        </w:rPr>
      </w:pPr>
      <w:r w:rsidRPr="00807CE7">
        <w:rPr>
          <w:rFonts w:ascii="Times New Roman" w:hAnsi="Times New Roman" w:cs="Times New Roman"/>
          <w:sz w:val="28"/>
          <w:szCs w:val="28"/>
        </w:rPr>
        <w:t>Таблиця 2.1</w:t>
      </w:r>
    </w:p>
    <w:p w14:paraId="2454AD4C" w14:textId="6D5688F6" w:rsidR="00DE7505" w:rsidRPr="00807CE7" w:rsidRDefault="00DE7505" w:rsidP="00DE7505">
      <w:pPr>
        <w:spacing w:line="360" w:lineRule="auto"/>
        <w:ind w:firstLine="709"/>
        <w:jc w:val="center"/>
        <w:rPr>
          <w:rFonts w:ascii="Times New Roman" w:hAnsi="Times New Roman" w:cs="Times New Roman"/>
          <w:b/>
          <w:bCs/>
          <w:sz w:val="28"/>
          <w:szCs w:val="28"/>
        </w:rPr>
      </w:pPr>
      <w:r w:rsidRPr="00807CE7">
        <w:rPr>
          <w:rFonts w:ascii="Times New Roman" w:hAnsi="Times New Roman" w:cs="Times New Roman"/>
          <w:b/>
          <w:bCs/>
          <w:sz w:val="28"/>
          <w:szCs w:val="28"/>
        </w:rPr>
        <w:t>Торгівля товарами та послугами Румунії та Болгарії за 2017-2021 рр.</w:t>
      </w:r>
    </w:p>
    <w:tbl>
      <w:tblPr>
        <w:tblW w:w="85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1"/>
        <w:gridCol w:w="1134"/>
        <w:gridCol w:w="1134"/>
        <w:gridCol w:w="1134"/>
        <w:gridCol w:w="1134"/>
        <w:gridCol w:w="1134"/>
      </w:tblGrid>
      <w:tr w:rsidR="00DF75F1" w:rsidRPr="00807CE7" w14:paraId="2B747A44" w14:textId="77777777" w:rsidTr="00DF75F1">
        <w:trPr>
          <w:trHeight w:val="340"/>
          <w:tblHeader/>
          <w:jc w:val="center"/>
        </w:trPr>
        <w:tc>
          <w:tcPr>
            <w:tcW w:w="2891" w:type="dxa"/>
            <w:shd w:val="clear" w:color="auto" w:fill="A5A5A5"/>
            <w:vAlign w:val="center"/>
          </w:tcPr>
          <w:p w14:paraId="168333CE" w14:textId="77777777" w:rsidR="00DF75F1" w:rsidRPr="00807CE7" w:rsidRDefault="00DF75F1" w:rsidP="002A0067">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Показник</w:t>
            </w:r>
          </w:p>
        </w:tc>
        <w:tc>
          <w:tcPr>
            <w:tcW w:w="1134" w:type="dxa"/>
            <w:shd w:val="clear" w:color="auto" w:fill="A5A5A5"/>
            <w:vAlign w:val="center"/>
          </w:tcPr>
          <w:p w14:paraId="42671604" w14:textId="77777777" w:rsidR="00DF75F1" w:rsidRPr="00807CE7" w:rsidRDefault="00DF75F1" w:rsidP="002A0067">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2017</w:t>
            </w:r>
          </w:p>
        </w:tc>
        <w:tc>
          <w:tcPr>
            <w:tcW w:w="1134" w:type="dxa"/>
            <w:shd w:val="clear" w:color="auto" w:fill="A5A5A5"/>
            <w:vAlign w:val="center"/>
          </w:tcPr>
          <w:p w14:paraId="07C4696E" w14:textId="77777777" w:rsidR="00DF75F1" w:rsidRPr="00807CE7" w:rsidRDefault="00DF75F1" w:rsidP="002A0067">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2018</w:t>
            </w:r>
          </w:p>
        </w:tc>
        <w:tc>
          <w:tcPr>
            <w:tcW w:w="1134" w:type="dxa"/>
            <w:shd w:val="clear" w:color="auto" w:fill="A5A5A5"/>
          </w:tcPr>
          <w:p w14:paraId="150D4980" w14:textId="77777777" w:rsidR="00DF75F1" w:rsidRPr="00807CE7" w:rsidRDefault="00DF75F1" w:rsidP="002A0067">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2019</w:t>
            </w:r>
          </w:p>
        </w:tc>
        <w:tc>
          <w:tcPr>
            <w:tcW w:w="1134" w:type="dxa"/>
            <w:shd w:val="clear" w:color="auto" w:fill="A5A5A5"/>
          </w:tcPr>
          <w:p w14:paraId="39C9713E" w14:textId="77777777" w:rsidR="00DF75F1" w:rsidRPr="00807CE7" w:rsidRDefault="00DF75F1" w:rsidP="002A0067">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2020</w:t>
            </w:r>
          </w:p>
        </w:tc>
        <w:tc>
          <w:tcPr>
            <w:tcW w:w="1134" w:type="dxa"/>
            <w:shd w:val="clear" w:color="auto" w:fill="A5A5A5"/>
          </w:tcPr>
          <w:p w14:paraId="000A24C7" w14:textId="77777777" w:rsidR="00DF75F1" w:rsidRPr="00807CE7" w:rsidRDefault="00DF75F1" w:rsidP="002A0067">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2021</w:t>
            </w:r>
          </w:p>
        </w:tc>
      </w:tr>
      <w:tr w:rsidR="00DF75F1" w:rsidRPr="00807CE7" w14:paraId="7EA3A83A" w14:textId="77777777" w:rsidTr="00DF75F1">
        <w:trPr>
          <w:trHeight w:val="340"/>
          <w:jc w:val="center"/>
        </w:trPr>
        <w:tc>
          <w:tcPr>
            <w:tcW w:w="2891" w:type="dxa"/>
            <w:shd w:val="clear" w:color="auto" w:fill="FFFFFF"/>
            <w:vAlign w:val="center"/>
          </w:tcPr>
          <w:p w14:paraId="2E8345FD"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Експорт товарів Румунії</w:t>
            </w:r>
          </w:p>
        </w:tc>
        <w:tc>
          <w:tcPr>
            <w:tcW w:w="1134" w:type="dxa"/>
            <w:shd w:val="clear" w:color="auto" w:fill="auto"/>
            <w:vAlign w:val="center"/>
          </w:tcPr>
          <w:p w14:paraId="7D20D917"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64 585,3</w:t>
            </w:r>
          </w:p>
        </w:tc>
        <w:tc>
          <w:tcPr>
            <w:tcW w:w="1134" w:type="dxa"/>
            <w:shd w:val="clear" w:color="auto" w:fill="auto"/>
            <w:vAlign w:val="center"/>
          </w:tcPr>
          <w:p w14:paraId="703553EB"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73 050,4</w:t>
            </w:r>
          </w:p>
        </w:tc>
        <w:tc>
          <w:tcPr>
            <w:tcW w:w="1134" w:type="dxa"/>
            <w:vAlign w:val="center"/>
          </w:tcPr>
          <w:p w14:paraId="48E15548"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70 622,1</w:t>
            </w:r>
          </w:p>
        </w:tc>
        <w:tc>
          <w:tcPr>
            <w:tcW w:w="1134" w:type="dxa"/>
            <w:vAlign w:val="center"/>
          </w:tcPr>
          <w:p w14:paraId="07918F30"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65 859,4</w:t>
            </w:r>
          </w:p>
        </w:tc>
        <w:tc>
          <w:tcPr>
            <w:tcW w:w="1134" w:type="dxa"/>
            <w:vAlign w:val="center"/>
          </w:tcPr>
          <w:p w14:paraId="762EEAB8"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82 964,9</w:t>
            </w:r>
          </w:p>
        </w:tc>
      </w:tr>
      <w:tr w:rsidR="00DF75F1" w:rsidRPr="00807CE7" w14:paraId="347A8DB9" w14:textId="77777777" w:rsidTr="00DF75F1">
        <w:trPr>
          <w:trHeight w:val="340"/>
          <w:jc w:val="center"/>
        </w:trPr>
        <w:tc>
          <w:tcPr>
            <w:tcW w:w="2891" w:type="dxa"/>
            <w:shd w:val="clear" w:color="auto" w:fill="FFFFFF"/>
            <w:vAlign w:val="center"/>
          </w:tcPr>
          <w:p w14:paraId="6779C5EF"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Імпорт товарів Румунії</w:t>
            </w:r>
          </w:p>
        </w:tc>
        <w:tc>
          <w:tcPr>
            <w:tcW w:w="1134" w:type="dxa"/>
            <w:shd w:val="clear" w:color="auto" w:fill="auto"/>
            <w:vAlign w:val="center"/>
          </w:tcPr>
          <w:p w14:paraId="45AB59C9"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79 135,9</w:t>
            </w:r>
          </w:p>
        </w:tc>
        <w:tc>
          <w:tcPr>
            <w:tcW w:w="1134" w:type="dxa"/>
            <w:shd w:val="clear" w:color="auto" w:fill="auto"/>
            <w:vAlign w:val="center"/>
          </w:tcPr>
          <w:p w14:paraId="59A04670"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91 069,1</w:t>
            </w:r>
          </w:p>
        </w:tc>
        <w:tc>
          <w:tcPr>
            <w:tcW w:w="1134" w:type="dxa"/>
            <w:vAlign w:val="center"/>
          </w:tcPr>
          <w:p w14:paraId="74BB2F65"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90 582,1</w:t>
            </w:r>
          </w:p>
        </w:tc>
        <w:tc>
          <w:tcPr>
            <w:tcW w:w="1134" w:type="dxa"/>
            <w:vAlign w:val="center"/>
          </w:tcPr>
          <w:p w14:paraId="4C16276F"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87 535,3</w:t>
            </w:r>
          </w:p>
        </w:tc>
        <w:tc>
          <w:tcPr>
            <w:tcW w:w="1134" w:type="dxa"/>
            <w:vAlign w:val="center"/>
          </w:tcPr>
          <w:p w14:paraId="08F39CFA"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110 256,1</w:t>
            </w:r>
          </w:p>
        </w:tc>
      </w:tr>
      <w:tr w:rsidR="00DF75F1" w:rsidRPr="00807CE7" w14:paraId="43E8703A" w14:textId="77777777" w:rsidTr="00DF75F1">
        <w:trPr>
          <w:trHeight w:val="340"/>
          <w:jc w:val="center"/>
        </w:trPr>
        <w:tc>
          <w:tcPr>
            <w:tcW w:w="2891" w:type="dxa"/>
            <w:shd w:val="clear" w:color="auto" w:fill="FFFFFF"/>
            <w:vAlign w:val="center"/>
          </w:tcPr>
          <w:p w14:paraId="5C9BB3D8"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Торговий баланс Румунії</w:t>
            </w:r>
          </w:p>
        </w:tc>
        <w:tc>
          <w:tcPr>
            <w:tcW w:w="1134" w:type="dxa"/>
            <w:shd w:val="clear" w:color="auto" w:fill="auto"/>
            <w:vAlign w:val="center"/>
          </w:tcPr>
          <w:p w14:paraId="5C4F43CD"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-14 550,6</w:t>
            </w:r>
          </w:p>
        </w:tc>
        <w:tc>
          <w:tcPr>
            <w:tcW w:w="1134" w:type="dxa"/>
            <w:shd w:val="clear" w:color="auto" w:fill="auto"/>
            <w:vAlign w:val="center"/>
          </w:tcPr>
          <w:p w14:paraId="67E9039C"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-18 018,6</w:t>
            </w:r>
          </w:p>
        </w:tc>
        <w:tc>
          <w:tcPr>
            <w:tcW w:w="1134" w:type="dxa"/>
            <w:vAlign w:val="center"/>
          </w:tcPr>
          <w:p w14:paraId="713C6657"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-19 960,0</w:t>
            </w:r>
          </w:p>
        </w:tc>
        <w:tc>
          <w:tcPr>
            <w:tcW w:w="1134" w:type="dxa"/>
            <w:vAlign w:val="center"/>
          </w:tcPr>
          <w:p w14:paraId="352EFC4F"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-21 675,9</w:t>
            </w:r>
          </w:p>
        </w:tc>
        <w:tc>
          <w:tcPr>
            <w:tcW w:w="1134" w:type="dxa"/>
            <w:vAlign w:val="center"/>
          </w:tcPr>
          <w:p w14:paraId="66924155"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-27 291,3</w:t>
            </w:r>
          </w:p>
        </w:tc>
      </w:tr>
      <w:tr w:rsidR="00DF75F1" w:rsidRPr="00807CE7" w14:paraId="4213DC0C" w14:textId="77777777" w:rsidTr="00DF75F1">
        <w:trPr>
          <w:trHeight w:val="340"/>
          <w:jc w:val="center"/>
        </w:trPr>
        <w:tc>
          <w:tcPr>
            <w:tcW w:w="2891" w:type="dxa"/>
            <w:shd w:val="clear" w:color="auto" w:fill="FFFFFF"/>
            <w:vAlign w:val="center"/>
          </w:tcPr>
          <w:p w14:paraId="47264746"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Експорт товарів Болгарії</w:t>
            </w:r>
          </w:p>
        </w:tc>
        <w:tc>
          <w:tcPr>
            <w:tcW w:w="1134" w:type="dxa"/>
            <w:shd w:val="clear" w:color="auto" w:fill="auto"/>
            <w:vAlign w:val="center"/>
          </w:tcPr>
          <w:p w14:paraId="228918FB"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30 498,4</w:t>
            </w:r>
          </w:p>
        </w:tc>
        <w:tc>
          <w:tcPr>
            <w:tcW w:w="1134" w:type="dxa"/>
            <w:shd w:val="clear" w:color="auto" w:fill="auto"/>
            <w:vAlign w:val="center"/>
          </w:tcPr>
          <w:p w14:paraId="009012C7"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32 721,8</w:t>
            </w:r>
          </w:p>
        </w:tc>
        <w:tc>
          <w:tcPr>
            <w:tcW w:w="1134" w:type="dxa"/>
            <w:vAlign w:val="center"/>
          </w:tcPr>
          <w:p w14:paraId="322D1B9C"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32 592,0</w:t>
            </w:r>
          </w:p>
        </w:tc>
        <w:tc>
          <w:tcPr>
            <w:tcW w:w="1134" w:type="dxa"/>
            <w:vAlign w:val="center"/>
          </w:tcPr>
          <w:p w14:paraId="0788F5CF"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31 160,9</w:t>
            </w:r>
          </w:p>
        </w:tc>
        <w:tc>
          <w:tcPr>
            <w:tcW w:w="1134" w:type="dxa"/>
            <w:vAlign w:val="center"/>
          </w:tcPr>
          <w:p w14:paraId="2C4AC5C7"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40 647,3</w:t>
            </w:r>
          </w:p>
        </w:tc>
      </w:tr>
      <w:tr w:rsidR="00DF75F1" w:rsidRPr="00807CE7" w14:paraId="7FAD26BE" w14:textId="77777777" w:rsidTr="00DF75F1">
        <w:trPr>
          <w:trHeight w:val="340"/>
          <w:jc w:val="center"/>
        </w:trPr>
        <w:tc>
          <w:tcPr>
            <w:tcW w:w="2891" w:type="dxa"/>
            <w:shd w:val="clear" w:color="auto" w:fill="FFFFFF"/>
            <w:vAlign w:val="center"/>
          </w:tcPr>
          <w:p w14:paraId="0EED9CC4"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Імпорт товарів Болгарії</w:t>
            </w:r>
          </w:p>
        </w:tc>
        <w:tc>
          <w:tcPr>
            <w:tcW w:w="1134" w:type="dxa"/>
            <w:shd w:val="clear" w:color="auto" w:fill="auto"/>
            <w:vAlign w:val="center"/>
          </w:tcPr>
          <w:p w14:paraId="4CA3CDF7"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31 364,9</w:t>
            </w:r>
          </w:p>
        </w:tc>
        <w:tc>
          <w:tcPr>
            <w:tcW w:w="1134" w:type="dxa"/>
            <w:shd w:val="clear" w:color="auto" w:fill="auto"/>
            <w:vAlign w:val="center"/>
          </w:tcPr>
          <w:p w14:paraId="43215080"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35 922,6</w:t>
            </w:r>
          </w:p>
        </w:tc>
        <w:tc>
          <w:tcPr>
            <w:tcW w:w="1134" w:type="dxa"/>
            <w:vAlign w:val="center"/>
          </w:tcPr>
          <w:p w14:paraId="701A1B2F"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35 847,6</w:t>
            </w:r>
          </w:p>
        </w:tc>
        <w:tc>
          <w:tcPr>
            <w:tcW w:w="1134" w:type="dxa"/>
            <w:vAlign w:val="center"/>
          </w:tcPr>
          <w:p w14:paraId="3491CE5D"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33 416,9</w:t>
            </w:r>
          </w:p>
        </w:tc>
        <w:tc>
          <w:tcPr>
            <w:tcW w:w="1134" w:type="dxa"/>
            <w:vAlign w:val="center"/>
          </w:tcPr>
          <w:p w14:paraId="58A69C07"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44 026,0</w:t>
            </w:r>
          </w:p>
        </w:tc>
      </w:tr>
      <w:tr w:rsidR="00DF75F1" w:rsidRPr="00807CE7" w14:paraId="2FDEF32B" w14:textId="77777777" w:rsidTr="00DF75F1">
        <w:trPr>
          <w:trHeight w:val="340"/>
          <w:jc w:val="center"/>
        </w:trPr>
        <w:tc>
          <w:tcPr>
            <w:tcW w:w="2891" w:type="dxa"/>
            <w:shd w:val="clear" w:color="auto" w:fill="FFFFFF"/>
            <w:vAlign w:val="center"/>
          </w:tcPr>
          <w:p w14:paraId="30B44FFE"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Торговий баланс Болгарії</w:t>
            </w:r>
          </w:p>
        </w:tc>
        <w:tc>
          <w:tcPr>
            <w:tcW w:w="1134" w:type="dxa"/>
            <w:shd w:val="clear" w:color="auto" w:fill="auto"/>
            <w:vAlign w:val="center"/>
          </w:tcPr>
          <w:p w14:paraId="106D9E9D"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-866,6</w:t>
            </w:r>
          </w:p>
        </w:tc>
        <w:tc>
          <w:tcPr>
            <w:tcW w:w="1134" w:type="dxa"/>
            <w:shd w:val="clear" w:color="auto" w:fill="auto"/>
            <w:vAlign w:val="center"/>
          </w:tcPr>
          <w:p w14:paraId="586AB09F"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-3 200,7</w:t>
            </w:r>
          </w:p>
        </w:tc>
        <w:tc>
          <w:tcPr>
            <w:tcW w:w="1134" w:type="dxa"/>
            <w:vAlign w:val="center"/>
          </w:tcPr>
          <w:p w14:paraId="10069776"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-3 255,6</w:t>
            </w:r>
          </w:p>
        </w:tc>
        <w:tc>
          <w:tcPr>
            <w:tcW w:w="1134" w:type="dxa"/>
            <w:vAlign w:val="center"/>
          </w:tcPr>
          <w:p w14:paraId="67ED3938"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-2 256,0</w:t>
            </w:r>
          </w:p>
        </w:tc>
        <w:tc>
          <w:tcPr>
            <w:tcW w:w="1134" w:type="dxa"/>
            <w:vAlign w:val="center"/>
          </w:tcPr>
          <w:p w14:paraId="12B911C2"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-3 378,7</w:t>
            </w:r>
          </w:p>
        </w:tc>
      </w:tr>
      <w:tr w:rsidR="00DF75F1" w:rsidRPr="00807CE7" w14:paraId="1012809F" w14:textId="77777777" w:rsidTr="00DF75F1">
        <w:trPr>
          <w:trHeight w:val="340"/>
          <w:jc w:val="center"/>
        </w:trPr>
        <w:tc>
          <w:tcPr>
            <w:tcW w:w="2891" w:type="dxa"/>
            <w:shd w:val="clear" w:color="auto" w:fill="FFFFFF"/>
            <w:vAlign w:val="center"/>
          </w:tcPr>
          <w:p w14:paraId="17238640"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Експорт послуг Румунії</w:t>
            </w:r>
          </w:p>
        </w:tc>
        <w:tc>
          <w:tcPr>
            <w:tcW w:w="1134" w:type="dxa"/>
            <w:shd w:val="clear" w:color="auto" w:fill="auto"/>
            <w:vAlign w:val="center"/>
          </w:tcPr>
          <w:p w14:paraId="48E1FF9E"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24 594,6</w:t>
            </w:r>
          </w:p>
        </w:tc>
        <w:tc>
          <w:tcPr>
            <w:tcW w:w="1134" w:type="dxa"/>
            <w:shd w:val="clear" w:color="auto" w:fill="auto"/>
            <w:vAlign w:val="center"/>
          </w:tcPr>
          <w:p w14:paraId="21183D59"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28 055,1</w:t>
            </w:r>
          </w:p>
        </w:tc>
        <w:tc>
          <w:tcPr>
            <w:tcW w:w="1134" w:type="dxa"/>
            <w:vAlign w:val="center"/>
          </w:tcPr>
          <w:p w14:paraId="39F636DB"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30 279,4</w:t>
            </w:r>
          </w:p>
        </w:tc>
        <w:tc>
          <w:tcPr>
            <w:tcW w:w="1134" w:type="dxa"/>
            <w:vAlign w:val="center"/>
          </w:tcPr>
          <w:p w14:paraId="35A339E3"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27 164,9</w:t>
            </w:r>
          </w:p>
        </w:tc>
        <w:tc>
          <w:tcPr>
            <w:tcW w:w="1134" w:type="dxa"/>
            <w:vAlign w:val="center"/>
          </w:tcPr>
          <w:p w14:paraId="51F09A7F"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32 914,2</w:t>
            </w:r>
          </w:p>
        </w:tc>
      </w:tr>
      <w:tr w:rsidR="00DF75F1" w:rsidRPr="00807CE7" w14:paraId="3146DA83" w14:textId="77777777" w:rsidTr="00DF75F1">
        <w:trPr>
          <w:trHeight w:val="340"/>
          <w:jc w:val="center"/>
        </w:trPr>
        <w:tc>
          <w:tcPr>
            <w:tcW w:w="2891" w:type="dxa"/>
            <w:shd w:val="clear" w:color="auto" w:fill="FFFFFF"/>
            <w:vAlign w:val="center"/>
          </w:tcPr>
          <w:p w14:paraId="30DD1F97"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Імпорт послуг Румунії</w:t>
            </w:r>
          </w:p>
        </w:tc>
        <w:tc>
          <w:tcPr>
            <w:tcW w:w="1134" w:type="dxa"/>
            <w:shd w:val="clear" w:color="auto" w:fill="auto"/>
            <w:vAlign w:val="center"/>
          </w:tcPr>
          <w:p w14:paraId="2E11B6CD"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15 347,6</w:t>
            </w:r>
          </w:p>
        </w:tc>
        <w:tc>
          <w:tcPr>
            <w:tcW w:w="1134" w:type="dxa"/>
            <w:shd w:val="clear" w:color="auto" w:fill="auto"/>
            <w:vAlign w:val="center"/>
          </w:tcPr>
          <w:p w14:paraId="789EB33B"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18 193,7</w:t>
            </w:r>
          </w:p>
        </w:tc>
        <w:tc>
          <w:tcPr>
            <w:tcW w:w="1134" w:type="dxa"/>
            <w:vAlign w:val="center"/>
          </w:tcPr>
          <w:p w14:paraId="7B4ED9B0"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20 601,9</w:t>
            </w:r>
          </w:p>
        </w:tc>
        <w:tc>
          <w:tcPr>
            <w:tcW w:w="1134" w:type="dxa"/>
            <w:vAlign w:val="center"/>
          </w:tcPr>
          <w:p w14:paraId="1B022D80"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16 363,9</w:t>
            </w:r>
          </w:p>
        </w:tc>
        <w:tc>
          <w:tcPr>
            <w:tcW w:w="1134" w:type="dxa"/>
            <w:vAlign w:val="center"/>
          </w:tcPr>
          <w:p w14:paraId="3D984504"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21 800,1</w:t>
            </w:r>
          </w:p>
        </w:tc>
      </w:tr>
      <w:tr w:rsidR="00DF75F1" w:rsidRPr="00807CE7" w14:paraId="5F5F6032" w14:textId="77777777" w:rsidTr="00DF75F1">
        <w:trPr>
          <w:trHeight w:val="340"/>
          <w:jc w:val="center"/>
        </w:trPr>
        <w:tc>
          <w:tcPr>
            <w:tcW w:w="2891" w:type="dxa"/>
            <w:shd w:val="clear" w:color="auto" w:fill="FFFFFF"/>
            <w:vAlign w:val="center"/>
          </w:tcPr>
          <w:p w14:paraId="0639ADA8"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Баланс послуг Румунії</w:t>
            </w:r>
          </w:p>
        </w:tc>
        <w:tc>
          <w:tcPr>
            <w:tcW w:w="1134" w:type="dxa"/>
            <w:shd w:val="clear" w:color="auto" w:fill="auto"/>
            <w:vAlign w:val="center"/>
          </w:tcPr>
          <w:p w14:paraId="6DC7C63E"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9 247,2</w:t>
            </w:r>
          </w:p>
        </w:tc>
        <w:tc>
          <w:tcPr>
            <w:tcW w:w="1134" w:type="dxa"/>
            <w:shd w:val="clear" w:color="auto" w:fill="auto"/>
            <w:vAlign w:val="center"/>
          </w:tcPr>
          <w:p w14:paraId="240D2BEA"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9 861,5</w:t>
            </w:r>
          </w:p>
        </w:tc>
        <w:tc>
          <w:tcPr>
            <w:tcW w:w="1134" w:type="dxa"/>
            <w:vAlign w:val="center"/>
          </w:tcPr>
          <w:p w14:paraId="285A7F5C"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9 677,5</w:t>
            </w:r>
          </w:p>
        </w:tc>
        <w:tc>
          <w:tcPr>
            <w:tcW w:w="1134" w:type="dxa"/>
            <w:vAlign w:val="center"/>
          </w:tcPr>
          <w:p w14:paraId="32D4AD9C"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10 801,3</w:t>
            </w:r>
          </w:p>
        </w:tc>
        <w:tc>
          <w:tcPr>
            <w:tcW w:w="1134" w:type="dxa"/>
            <w:vAlign w:val="center"/>
          </w:tcPr>
          <w:p w14:paraId="24151490"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11 114,3</w:t>
            </w:r>
          </w:p>
        </w:tc>
      </w:tr>
      <w:tr w:rsidR="00DF75F1" w:rsidRPr="00807CE7" w14:paraId="0A6482A8" w14:textId="77777777" w:rsidTr="00DF75F1">
        <w:trPr>
          <w:trHeight w:val="340"/>
          <w:jc w:val="center"/>
        </w:trPr>
        <w:tc>
          <w:tcPr>
            <w:tcW w:w="2891" w:type="dxa"/>
            <w:shd w:val="clear" w:color="auto" w:fill="FFFFFF"/>
            <w:vAlign w:val="center"/>
          </w:tcPr>
          <w:p w14:paraId="68FA57FF"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Експорт послуг Болгарії</w:t>
            </w:r>
          </w:p>
        </w:tc>
        <w:tc>
          <w:tcPr>
            <w:tcW w:w="1134" w:type="dxa"/>
            <w:shd w:val="clear" w:color="auto" w:fill="auto"/>
            <w:vAlign w:val="center"/>
          </w:tcPr>
          <w:p w14:paraId="670EB8D0"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9 375,0</w:t>
            </w:r>
          </w:p>
        </w:tc>
        <w:tc>
          <w:tcPr>
            <w:tcW w:w="1134" w:type="dxa"/>
            <w:shd w:val="clear" w:color="auto" w:fill="auto"/>
            <w:vAlign w:val="center"/>
          </w:tcPr>
          <w:p w14:paraId="3AD4E1F9"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10 799,8</w:t>
            </w:r>
          </w:p>
        </w:tc>
        <w:tc>
          <w:tcPr>
            <w:tcW w:w="1134" w:type="dxa"/>
            <w:vAlign w:val="center"/>
          </w:tcPr>
          <w:p w14:paraId="13EDE234"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11 449,2</w:t>
            </w:r>
          </w:p>
        </w:tc>
        <w:tc>
          <w:tcPr>
            <w:tcW w:w="1134" w:type="dxa"/>
            <w:vAlign w:val="center"/>
          </w:tcPr>
          <w:p w14:paraId="280BA914"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8 380,4</w:t>
            </w:r>
          </w:p>
        </w:tc>
        <w:tc>
          <w:tcPr>
            <w:tcW w:w="1134" w:type="dxa"/>
            <w:vAlign w:val="center"/>
          </w:tcPr>
          <w:p w14:paraId="626222FB"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10 857,9</w:t>
            </w:r>
          </w:p>
        </w:tc>
      </w:tr>
      <w:tr w:rsidR="00DF75F1" w:rsidRPr="00807CE7" w14:paraId="3651688F" w14:textId="77777777" w:rsidTr="00DF75F1">
        <w:trPr>
          <w:trHeight w:val="340"/>
          <w:jc w:val="center"/>
        </w:trPr>
        <w:tc>
          <w:tcPr>
            <w:tcW w:w="2891" w:type="dxa"/>
            <w:shd w:val="clear" w:color="auto" w:fill="FFFFFF"/>
            <w:vAlign w:val="center"/>
          </w:tcPr>
          <w:p w14:paraId="4CF520BA"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Імпорт послуг Болгарії</w:t>
            </w:r>
          </w:p>
        </w:tc>
        <w:tc>
          <w:tcPr>
            <w:tcW w:w="1134" w:type="dxa"/>
            <w:shd w:val="clear" w:color="auto" w:fill="auto"/>
            <w:vAlign w:val="center"/>
          </w:tcPr>
          <w:p w14:paraId="72F55429"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5 899,6</w:t>
            </w:r>
          </w:p>
        </w:tc>
        <w:tc>
          <w:tcPr>
            <w:tcW w:w="1134" w:type="dxa"/>
            <w:shd w:val="clear" w:color="auto" w:fill="auto"/>
            <w:vAlign w:val="center"/>
          </w:tcPr>
          <w:p w14:paraId="48AAABDE"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5 986,7</w:t>
            </w:r>
          </w:p>
        </w:tc>
        <w:tc>
          <w:tcPr>
            <w:tcW w:w="1134" w:type="dxa"/>
            <w:vAlign w:val="center"/>
          </w:tcPr>
          <w:p w14:paraId="569050F8"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5 995,0</w:t>
            </w:r>
          </w:p>
        </w:tc>
        <w:tc>
          <w:tcPr>
            <w:tcW w:w="1134" w:type="dxa"/>
            <w:vAlign w:val="center"/>
          </w:tcPr>
          <w:p w14:paraId="797F1474"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4 780,4</w:t>
            </w:r>
          </w:p>
        </w:tc>
        <w:tc>
          <w:tcPr>
            <w:tcW w:w="1134" w:type="dxa"/>
            <w:vAlign w:val="center"/>
          </w:tcPr>
          <w:p w14:paraId="1B40A898" w14:textId="77777777" w:rsidR="00DF75F1" w:rsidRPr="00807CE7" w:rsidRDefault="00DF75F1" w:rsidP="002A0067">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6 033,4</w:t>
            </w:r>
          </w:p>
        </w:tc>
      </w:tr>
      <w:tr w:rsidR="00DF75F1" w:rsidRPr="00807CE7" w14:paraId="67982D8C" w14:textId="77777777" w:rsidTr="00DF75F1">
        <w:trPr>
          <w:trHeight w:val="340"/>
          <w:jc w:val="center"/>
        </w:trPr>
        <w:tc>
          <w:tcPr>
            <w:tcW w:w="2891" w:type="dxa"/>
            <w:shd w:val="clear" w:color="auto" w:fill="FFFFFF"/>
            <w:vAlign w:val="center"/>
          </w:tcPr>
          <w:p w14:paraId="6C250B4A" w14:textId="77777777" w:rsidR="00DF75F1" w:rsidRPr="00807CE7" w:rsidRDefault="00DF75F1" w:rsidP="002A0067">
            <w:pPr>
              <w:widowControl w:val="0"/>
              <w:suppressAutoHyphens/>
              <w:jc w:val="center"/>
              <w:rPr>
                <w:rFonts w:ascii="Times New Roman" w:eastAsia="Times New Roman" w:hAnsi="Times New Roman" w:cs="Times New Roman"/>
                <w:b/>
                <w:bCs/>
                <w:color w:val="202124"/>
              </w:rPr>
            </w:pPr>
            <w:r w:rsidRPr="00807CE7">
              <w:rPr>
                <w:rFonts w:ascii="Times New Roman" w:eastAsia="Times New Roman" w:hAnsi="Times New Roman" w:cs="Times New Roman"/>
                <w:b/>
                <w:bCs/>
                <w:color w:val="000000"/>
              </w:rPr>
              <w:t>Баланс послуг Болгарії</w:t>
            </w:r>
          </w:p>
        </w:tc>
        <w:tc>
          <w:tcPr>
            <w:tcW w:w="1134" w:type="dxa"/>
            <w:shd w:val="clear" w:color="auto" w:fill="auto"/>
            <w:vAlign w:val="center"/>
          </w:tcPr>
          <w:p w14:paraId="642F11D0"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3 475,4</w:t>
            </w:r>
          </w:p>
        </w:tc>
        <w:tc>
          <w:tcPr>
            <w:tcW w:w="1134" w:type="dxa"/>
            <w:shd w:val="clear" w:color="auto" w:fill="auto"/>
            <w:vAlign w:val="center"/>
          </w:tcPr>
          <w:p w14:paraId="7CCB432F"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4 813,0</w:t>
            </w:r>
          </w:p>
        </w:tc>
        <w:tc>
          <w:tcPr>
            <w:tcW w:w="1134" w:type="dxa"/>
            <w:vAlign w:val="center"/>
          </w:tcPr>
          <w:p w14:paraId="1CDD4E20"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5 454,3</w:t>
            </w:r>
          </w:p>
        </w:tc>
        <w:tc>
          <w:tcPr>
            <w:tcW w:w="1134" w:type="dxa"/>
            <w:vAlign w:val="center"/>
          </w:tcPr>
          <w:p w14:paraId="710AD267"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3 599,9</w:t>
            </w:r>
          </w:p>
        </w:tc>
        <w:tc>
          <w:tcPr>
            <w:tcW w:w="1134" w:type="dxa"/>
            <w:vAlign w:val="center"/>
          </w:tcPr>
          <w:p w14:paraId="47369CC6" w14:textId="77777777" w:rsidR="00DF75F1" w:rsidRPr="00807CE7" w:rsidRDefault="00DF75F1" w:rsidP="002A0067">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4 824,4</w:t>
            </w:r>
          </w:p>
        </w:tc>
      </w:tr>
    </w:tbl>
    <w:p w14:paraId="010E6CB8" w14:textId="140BC3D3" w:rsidR="00C41576" w:rsidRPr="00807CE7" w:rsidRDefault="00C41576" w:rsidP="003D625C">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[7].</w:t>
      </w:r>
    </w:p>
    <w:p w14:paraId="272A6681" w14:textId="77777777" w:rsidR="00DF75F1" w:rsidRPr="00807CE7" w:rsidRDefault="00DF75F1" w:rsidP="003D625C">
      <w:pPr>
        <w:spacing w:line="360" w:lineRule="auto"/>
        <w:ind w:firstLine="709"/>
        <w:jc w:val="both"/>
        <w:rPr>
          <w:rFonts w:ascii="Times New Roman" w:hAnsi="Times New Roman" w:cs="Times New Roman"/>
          <w:sz w:val="28"/>
          <w:szCs w:val="28"/>
        </w:rPr>
      </w:pPr>
    </w:p>
    <w:p w14:paraId="797ED227" w14:textId="747E5D8F" w:rsidR="003D625C" w:rsidRPr="00807CE7" w:rsidRDefault="003D625C" w:rsidP="003D625C">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Аналізуючи таблицю, можна побачити, що торгові баланси обох країн є від’ємними. </w:t>
      </w:r>
      <w:r w:rsidR="00E01F4A" w:rsidRPr="00807CE7">
        <w:rPr>
          <w:rFonts w:ascii="Times New Roman" w:hAnsi="Times New Roman" w:cs="Times New Roman"/>
          <w:sz w:val="28"/>
          <w:szCs w:val="28"/>
        </w:rPr>
        <w:t xml:space="preserve">Що ж стосується балансу послуг, то і в Румунії, і в Болгарії він є додатнім. </w:t>
      </w:r>
    </w:p>
    <w:p w14:paraId="062DC1C7" w14:textId="28064C3C" w:rsidR="00D253EB" w:rsidRPr="00807CE7" w:rsidRDefault="00D253EB" w:rsidP="00F24A9A">
      <w:pPr>
        <w:spacing w:line="360" w:lineRule="auto"/>
        <w:ind w:firstLine="709"/>
        <w:jc w:val="both"/>
        <w:rPr>
          <w:rFonts w:ascii="Times New Roman" w:hAnsi="Times New Roman" w:cs="Times New Roman"/>
          <w:sz w:val="28"/>
          <w:szCs w:val="28"/>
        </w:rPr>
      </w:pPr>
      <w:r w:rsidRPr="00807CE7">
        <w:rPr>
          <w:lang w:eastAsia="uk-UA"/>
        </w:rPr>
        <w:lastRenderedPageBreak/>
        <w:drawing>
          <wp:inline distT="0" distB="0" distL="0" distR="0" wp14:anchorId="14A75E22" wp14:editId="77AE22A6">
            <wp:extent cx="4140000" cy="2160000"/>
            <wp:effectExtent l="0" t="0" r="13335" b="12065"/>
            <wp:docPr id="927290856"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0FD89615-C2BE-957C-C978-27CAF8A89C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52F2A8C" w14:textId="307A696F" w:rsidR="00D253EB" w:rsidRPr="00807CE7" w:rsidRDefault="00DF75F1"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2.1</w:t>
      </w:r>
      <w:r w:rsidR="00D253EB" w:rsidRPr="00807CE7">
        <w:rPr>
          <w:rFonts w:ascii="Times New Roman" w:hAnsi="Times New Roman" w:cs="Times New Roman"/>
          <w:sz w:val="28"/>
          <w:szCs w:val="28"/>
        </w:rPr>
        <w:t xml:space="preserve">. </w:t>
      </w:r>
      <w:r w:rsidR="00604AD5" w:rsidRPr="00807CE7">
        <w:rPr>
          <w:rFonts w:ascii="Times New Roman" w:hAnsi="Times New Roman" w:cs="Times New Roman"/>
          <w:sz w:val="28"/>
          <w:szCs w:val="28"/>
        </w:rPr>
        <w:t>Порівня</w:t>
      </w:r>
      <w:r w:rsidR="005D14FE" w:rsidRPr="00807CE7">
        <w:rPr>
          <w:rFonts w:ascii="Times New Roman" w:hAnsi="Times New Roman" w:cs="Times New Roman"/>
          <w:sz w:val="28"/>
          <w:szCs w:val="28"/>
        </w:rPr>
        <w:t>ння торгових балансів Румунії та Болгарії за 2017-2021 рр.</w:t>
      </w:r>
      <w:r w:rsidR="00E577DE" w:rsidRPr="00807CE7">
        <w:rPr>
          <w:rFonts w:ascii="Times New Roman" w:hAnsi="Times New Roman" w:cs="Times New Roman"/>
          <w:sz w:val="28"/>
          <w:szCs w:val="28"/>
        </w:rPr>
        <w:t>, млн.</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440955C4" w14:textId="7AC323BA" w:rsidR="00BD18A3" w:rsidRPr="00807CE7" w:rsidRDefault="00BD18A3"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6A7248"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632BA25C" w14:textId="77777777" w:rsidR="00DF75F1" w:rsidRPr="00807CE7" w:rsidRDefault="00DF75F1" w:rsidP="00434CC5">
      <w:pPr>
        <w:spacing w:line="360" w:lineRule="auto"/>
        <w:ind w:firstLine="709"/>
        <w:jc w:val="both"/>
        <w:rPr>
          <w:rFonts w:ascii="Times New Roman" w:hAnsi="Times New Roman" w:cs="Times New Roman"/>
          <w:sz w:val="28"/>
          <w:szCs w:val="28"/>
        </w:rPr>
      </w:pPr>
    </w:p>
    <w:p w14:paraId="7001CE40" w14:textId="2053D581" w:rsidR="00F24A9A" w:rsidRPr="00807CE7" w:rsidRDefault="00642CAD" w:rsidP="00434CC5">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Аналізуючи графік, можна побачити</w:t>
      </w:r>
      <w:r w:rsidR="005B0F92" w:rsidRPr="00807CE7">
        <w:rPr>
          <w:rFonts w:ascii="Times New Roman" w:hAnsi="Times New Roman" w:cs="Times New Roman"/>
          <w:sz w:val="28"/>
          <w:szCs w:val="28"/>
        </w:rPr>
        <w:t xml:space="preserve">, що в Румунії та Болгарії схожа тенденція. </w:t>
      </w:r>
      <w:r w:rsidR="00152C47" w:rsidRPr="00807CE7">
        <w:rPr>
          <w:rFonts w:ascii="Times New Roman" w:hAnsi="Times New Roman" w:cs="Times New Roman"/>
          <w:sz w:val="28"/>
          <w:szCs w:val="28"/>
        </w:rPr>
        <w:t xml:space="preserve">Починаючи з 2017 року ми бачимо </w:t>
      </w:r>
      <w:r w:rsidR="00216E1C" w:rsidRPr="00807CE7">
        <w:rPr>
          <w:rFonts w:ascii="Times New Roman" w:hAnsi="Times New Roman" w:cs="Times New Roman"/>
          <w:sz w:val="28"/>
          <w:szCs w:val="28"/>
        </w:rPr>
        <w:t>зменшення показників торгового балансу</w:t>
      </w:r>
      <w:r w:rsidR="00630146" w:rsidRPr="00807CE7">
        <w:rPr>
          <w:rFonts w:ascii="Times New Roman" w:hAnsi="Times New Roman" w:cs="Times New Roman"/>
          <w:sz w:val="28"/>
          <w:szCs w:val="28"/>
        </w:rPr>
        <w:t xml:space="preserve"> в обох країнах, однак в Болгарії динаміка менш помітна. </w:t>
      </w:r>
      <w:r w:rsidR="009D2AC5" w:rsidRPr="00807CE7">
        <w:rPr>
          <w:rFonts w:ascii="Times New Roman" w:hAnsi="Times New Roman" w:cs="Times New Roman"/>
          <w:sz w:val="28"/>
          <w:szCs w:val="28"/>
        </w:rPr>
        <w:t xml:space="preserve">Якщо подивитися на експорт та імпорт товарів Румунії, можна помітити, що такий </w:t>
      </w:r>
      <w:r w:rsidR="00F34DD4" w:rsidRPr="00807CE7">
        <w:rPr>
          <w:rFonts w:ascii="Times New Roman" w:hAnsi="Times New Roman" w:cs="Times New Roman"/>
          <w:sz w:val="28"/>
          <w:szCs w:val="28"/>
        </w:rPr>
        <w:t>різкий</w:t>
      </w:r>
      <w:r w:rsidR="009D2AC5" w:rsidRPr="00807CE7">
        <w:rPr>
          <w:rFonts w:ascii="Times New Roman" w:hAnsi="Times New Roman" w:cs="Times New Roman"/>
          <w:sz w:val="28"/>
          <w:szCs w:val="28"/>
        </w:rPr>
        <w:t xml:space="preserve"> спад у </w:t>
      </w:r>
      <w:r w:rsidR="00D72353" w:rsidRPr="00807CE7">
        <w:rPr>
          <w:rFonts w:ascii="Times New Roman" w:hAnsi="Times New Roman" w:cs="Times New Roman"/>
          <w:sz w:val="28"/>
          <w:szCs w:val="28"/>
        </w:rPr>
        <w:t xml:space="preserve">2017-2020 роках, а у 2020-2021 показники зменшилися балансу ще більше, пов’язаний зі значним зростанням імпорту країни. </w:t>
      </w:r>
      <w:r w:rsidR="004F2BFA" w:rsidRPr="00807CE7">
        <w:rPr>
          <w:rFonts w:ascii="Times New Roman" w:hAnsi="Times New Roman" w:cs="Times New Roman"/>
          <w:sz w:val="28"/>
          <w:szCs w:val="28"/>
        </w:rPr>
        <w:t xml:space="preserve">Теж саме стосується й Болгарії: через </w:t>
      </w:r>
      <w:r w:rsidR="003E5050" w:rsidRPr="00807CE7">
        <w:rPr>
          <w:rFonts w:ascii="Times New Roman" w:hAnsi="Times New Roman" w:cs="Times New Roman"/>
          <w:sz w:val="28"/>
          <w:szCs w:val="28"/>
        </w:rPr>
        <w:t xml:space="preserve">перевищуюче зростання </w:t>
      </w:r>
      <w:r w:rsidR="00F34DD4" w:rsidRPr="00807CE7">
        <w:rPr>
          <w:rFonts w:ascii="Times New Roman" w:hAnsi="Times New Roman" w:cs="Times New Roman"/>
          <w:sz w:val="28"/>
          <w:szCs w:val="28"/>
        </w:rPr>
        <w:t>імпорту</w:t>
      </w:r>
      <w:r w:rsidR="003E5050" w:rsidRPr="00807CE7">
        <w:rPr>
          <w:rFonts w:ascii="Times New Roman" w:hAnsi="Times New Roman" w:cs="Times New Roman"/>
          <w:sz w:val="28"/>
          <w:szCs w:val="28"/>
        </w:rPr>
        <w:t xml:space="preserve"> над експортом, показники торгового балансу країни </w:t>
      </w:r>
      <w:r w:rsidR="00434CC5" w:rsidRPr="00807CE7">
        <w:rPr>
          <w:rFonts w:ascii="Times New Roman" w:hAnsi="Times New Roman" w:cs="Times New Roman"/>
          <w:sz w:val="28"/>
          <w:szCs w:val="28"/>
        </w:rPr>
        <w:t xml:space="preserve">зменшуються. Отже, за вказаний період баланс і Румунії, і Болгарії був від’ємним, тобто можна зробити висновок, що обидві країни є чистими імпортерами. </w:t>
      </w:r>
    </w:p>
    <w:p w14:paraId="43595D11" w14:textId="03899447" w:rsidR="00D1454E" w:rsidRPr="00807CE7" w:rsidRDefault="00D1454E" w:rsidP="00D1454E">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Основними статтями румунського експорту є транспортні засоби; їх частини та приладдя, автомобілі, ізольований дріт, електричні плати управління та пшениця, що експортуються переважно до Німеччини, Італії, Франції, Угорщини та Польщі. Основні статті румунського імпорту - транспортні засоби; їх частини та приладдя, упаковані лікарські засоби, автомобілі, ізольований дріт та нафтопродукти, що імпортуються переважно з Німеччини, Італії, Угорщини, Польщі та Китаю</w:t>
      </w:r>
      <w:r w:rsidR="007C3D97" w:rsidRPr="00807CE7">
        <w:rPr>
          <w:rFonts w:ascii="Times New Roman" w:hAnsi="Times New Roman" w:cs="Times New Roman"/>
          <w:sz w:val="28"/>
          <w:szCs w:val="28"/>
        </w:rPr>
        <w:t xml:space="preserve"> [</w:t>
      </w:r>
      <w:r w:rsidR="005D04D7" w:rsidRPr="00807CE7">
        <w:rPr>
          <w:rFonts w:ascii="Times New Roman" w:hAnsi="Times New Roman" w:cs="Times New Roman"/>
          <w:sz w:val="28"/>
          <w:szCs w:val="28"/>
        </w:rPr>
        <w:t>8</w:t>
      </w:r>
      <w:r w:rsidR="007C3D97" w:rsidRPr="00807CE7">
        <w:rPr>
          <w:rFonts w:ascii="Times New Roman" w:hAnsi="Times New Roman" w:cs="Times New Roman"/>
          <w:sz w:val="28"/>
          <w:szCs w:val="28"/>
        </w:rPr>
        <w:t>].</w:t>
      </w:r>
    </w:p>
    <w:p w14:paraId="6164FBCE" w14:textId="500A0923" w:rsidR="00BD18A3" w:rsidRPr="00807CE7" w:rsidRDefault="00BD18A3" w:rsidP="00BD18A3">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Основними статтями експорту Болгарії є рафінована мідь, пшениця, електроенергія, рафінована нафта та упаковані лікарські засоби, що </w:t>
      </w:r>
      <w:r w:rsidRPr="00807CE7">
        <w:rPr>
          <w:rFonts w:ascii="Times New Roman" w:hAnsi="Times New Roman" w:cs="Times New Roman"/>
          <w:sz w:val="28"/>
          <w:szCs w:val="28"/>
        </w:rPr>
        <w:lastRenderedPageBreak/>
        <w:t>експортуються переважно до Німеччини, Румунії, Греції, Італії та Туреччини. Основними статтями імпорту Болгарії є мідна руда, нафтовий газ, сира нафта, автомобілі та упаковані лікарські засоби, що імпортуються переважно з Німеччини, Туреччини, Греції, Румунії та Італії</w:t>
      </w:r>
      <w:r w:rsidR="007C3D97" w:rsidRPr="00807CE7">
        <w:rPr>
          <w:rFonts w:ascii="Times New Roman" w:hAnsi="Times New Roman" w:cs="Times New Roman"/>
          <w:sz w:val="28"/>
          <w:szCs w:val="28"/>
        </w:rPr>
        <w:t xml:space="preserve"> [</w:t>
      </w:r>
      <w:r w:rsidR="005D04D7" w:rsidRPr="00807CE7">
        <w:rPr>
          <w:rFonts w:ascii="Times New Roman" w:hAnsi="Times New Roman" w:cs="Times New Roman"/>
          <w:sz w:val="28"/>
          <w:szCs w:val="28"/>
        </w:rPr>
        <w:t>8</w:t>
      </w:r>
      <w:r w:rsidR="007C3D97" w:rsidRPr="00807CE7">
        <w:rPr>
          <w:rFonts w:ascii="Times New Roman" w:hAnsi="Times New Roman" w:cs="Times New Roman"/>
          <w:sz w:val="28"/>
          <w:szCs w:val="28"/>
        </w:rPr>
        <w:t>].</w:t>
      </w:r>
    </w:p>
    <w:p w14:paraId="4B60FD71" w14:textId="1653A4FD" w:rsidR="00642CAD" w:rsidRPr="00807CE7" w:rsidRDefault="007C3D97" w:rsidP="00F24A9A">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21ED3715" wp14:editId="3654B3AF">
            <wp:extent cx="4140000" cy="2160000"/>
            <wp:effectExtent l="0" t="0" r="13335" b="12065"/>
            <wp:docPr id="488044996"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052974BE-2520-E46B-A024-28B09BAE37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B12FC5B" w14:textId="3225E7D2" w:rsidR="007C3D97" w:rsidRPr="00807CE7" w:rsidRDefault="00DF75F1"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w:t>
      </w:r>
      <w:r w:rsidR="007C3D97" w:rsidRPr="00807CE7">
        <w:rPr>
          <w:rFonts w:ascii="Times New Roman" w:hAnsi="Times New Roman" w:cs="Times New Roman"/>
          <w:sz w:val="28"/>
          <w:szCs w:val="28"/>
        </w:rPr>
        <w:t xml:space="preserve">2. Порівняння балансу послуг Румунії та Болгарії за </w:t>
      </w:r>
      <w:r w:rsidR="007C0880" w:rsidRPr="00807CE7">
        <w:rPr>
          <w:rFonts w:ascii="Times New Roman" w:hAnsi="Times New Roman" w:cs="Times New Roman"/>
          <w:sz w:val="28"/>
          <w:szCs w:val="28"/>
        </w:rPr>
        <w:t>2017-2021 рр.</w:t>
      </w:r>
      <w:r w:rsidR="00E577DE" w:rsidRPr="00807CE7">
        <w:rPr>
          <w:rFonts w:ascii="Times New Roman" w:hAnsi="Times New Roman" w:cs="Times New Roman"/>
          <w:sz w:val="28"/>
          <w:szCs w:val="28"/>
        </w:rPr>
        <w:t>, млн.</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0236A315" w14:textId="2B3E864A" w:rsidR="007C0880" w:rsidRPr="00807CE7" w:rsidRDefault="007C0880" w:rsidP="007C0880">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6A7248"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733B2AB1" w14:textId="77777777" w:rsidR="00DF75F1" w:rsidRPr="00807CE7" w:rsidRDefault="00DF75F1" w:rsidP="00F24A9A">
      <w:pPr>
        <w:spacing w:line="360" w:lineRule="auto"/>
        <w:ind w:firstLine="709"/>
        <w:jc w:val="both"/>
        <w:rPr>
          <w:rFonts w:ascii="Times New Roman" w:hAnsi="Times New Roman" w:cs="Times New Roman"/>
          <w:sz w:val="28"/>
          <w:szCs w:val="28"/>
        </w:rPr>
      </w:pPr>
    </w:p>
    <w:p w14:paraId="0B02B717" w14:textId="4901F259" w:rsidR="007C0880" w:rsidRPr="00807CE7" w:rsidRDefault="007C0880"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Аналізуючи графік, можна помітити, що</w:t>
      </w:r>
      <w:r w:rsidR="008B2259" w:rsidRPr="00807CE7">
        <w:rPr>
          <w:rFonts w:ascii="Times New Roman" w:hAnsi="Times New Roman" w:cs="Times New Roman"/>
          <w:sz w:val="28"/>
          <w:szCs w:val="28"/>
        </w:rPr>
        <w:t xml:space="preserve"> баланс Румунії</w:t>
      </w:r>
      <w:r w:rsidR="00DE3DD6" w:rsidRPr="00807CE7">
        <w:rPr>
          <w:rFonts w:ascii="Times New Roman" w:hAnsi="Times New Roman" w:cs="Times New Roman"/>
          <w:sz w:val="28"/>
          <w:szCs w:val="28"/>
        </w:rPr>
        <w:t>,</w:t>
      </w:r>
      <w:r w:rsidRPr="00807CE7">
        <w:rPr>
          <w:rFonts w:ascii="Times New Roman" w:hAnsi="Times New Roman" w:cs="Times New Roman"/>
          <w:sz w:val="28"/>
          <w:szCs w:val="28"/>
        </w:rPr>
        <w:t xml:space="preserve"> </w:t>
      </w:r>
      <w:r w:rsidR="008B2259" w:rsidRPr="00807CE7">
        <w:rPr>
          <w:rFonts w:ascii="Times New Roman" w:hAnsi="Times New Roman" w:cs="Times New Roman"/>
          <w:sz w:val="28"/>
          <w:szCs w:val="28"/>
        </w:rPr>
        <w:t xml:space="preserve">порівняно з балансом </w:t>
      </w:r>
      <w:r w:rsidR="00DE3DD6" w:rsidRPr="00807CE7">
        <w:rPr>
          <w:rFonts w:ascii="Times New Roman" w:hAnsi="Times New Roman" w:cs="Times New Roman"/>
          <w:sz w:val="28"/>
          <w:szCs w:val="28"/>
        </w:rPr>
        <w:t xml:space="preserve">Болгарії, має більш плавну динаміку зміни. </w:t>
      </w:r>
      <w:r w:rsidR="00FD04FE" w:rsidRPr="00807CE7">
        <w:rPr>
          <w:rFonts w:ascii="Times New Roman" w:hAnsi="Times New Roman" w:cs="Times New Roman"/>
          <w:sz w:val="28"/>
          <w:szCs w:val="28"/>
        </w:rPr>
        <w:t>За 2017-2021 роки</w:t>
      </w:r>
      <w:r w:rsidR="00355172" w:rsidRPr="00807CE7">
        <w:rPr>
          <w:rFonts w:ascii="Times New Roman" w:hAnsi="Times New Roman" w:cs="Times New Roman"/>
          <w:sz w:val="28"/>
          <w:szCs w:val="28"/>
        </w:rPr>
        <w:t xml:space="preserve"> показники балансу послуг зростали. Це пов’язано з </w:t>
      </w:r>
      <w:r w:rsidR="00CF404C" w:rsidRPr="00807CE7">
        <w:rPr>
          <w:rFonts w:ascii="Times New Roman" w:hAnsi="Times New Roman" w:cs="Times New Roman"/>
          <w:sz w:val="28"/>
          <w:szCs w:val="28"/>
        </w:rPr>
        <w:t xml:space="preserve">помітним зростанням експорту країни. Щодо Болгарії, то ситуація трохи відрізняється. </w:t>
      </w:r>
      <w:r w:rsidR="000C5C4C" w:rsidRPr="00807CE7">
        <w:rPr>
          <w:rFonts w:ascii="Times New Roman" w:hAnsi="Times New Roman" w:cs="Times New Roman"/>
          <w:sz w:val="28"/>
          <w:szCs w:val="28"/>
        </w:rPr>
        <w:t>У період з 2017 по 2019 помітно стрімке з</w:t>
      </w:r>
      <w:r w:rsidR="00642952" w:rsidRPr="00807CE7">
        <w:rPr>
          <w:rFonts w:ascii="Times New Roman" w:hAnsi="Times New Roman" w:cs="Times New Roman"/>
          <w:sz w:val="28"/>
          <w:szCs w:val="28"/>
        </w:rPr>
        <w:t>більшення</w:t>
      </w:r>
      <w:r w:rsidR="000C5C4C" w:rsidRPr="00807CE7">
        <w:rPr>
          <w:rFonts w:ascii="Times New Roman" w:hAnsi="Times New Roman" w:cs="Times New Roman"/>
          <w:sz w:val="28"/>
          <w:szCs w:val="28"/>
        </w:rPr>
        <w:t xml:space="preserve"> показників балансу послуг, що зумовлено </w:t>
      </w:r>
      <w:r w:rsidR="00642952" w:rsidRPr="00807CE7">
        <w:rPr>
          <w:rFonts w:ascii="Times New Roman" w:hAnsi="Times New Roman" w:cs="Times New Roman"/>
          <w:sz w:val="28"/>
          <w:szCs w:val="28"/>
        </w:rPr>
        <w:t>зростанням експорту</w:t>
      </w:r>
      <w:r w:rsidR="00782C9D" w:rsidRPr="00807CE7">
        <w:rPr>
          <w:rFonts w:ascii="Times New Roman" w:hAnsi="Times New Roman" w:cs="Times New Roman"/>
          <w:sz w:val="28"/>
          <w:szCs w:val="28"/>
        </w:rPr>
        <w:t xml:space="preserve"> й майже непомітною зміною імпортом. Однак вже у 2019-2020 рр. </w:t>
      </w:r>
      <w:r w:rsidR="009F1085" w:rsidRPr="00807CE7">
        <w:rPr>
          <w:rFonts w:ascii="Times New Roman" w:hAnsi="Times New Roman" w:cs="Times New Roman"/>
          <w:sz w:val="28"/>
          <w:szCs w:val="28"/>
        </w:rPr>
        <w:t xml:space="preserve">відбулося різке падіння показників </w:t>
      </w:r>
      <w:r w:rsidR="00F34DD4" w:rsidRPr="00807CE7">
        <w:rPr>
          <w:rFonts w:ascii="Times New Roman" w:hAnsi="Times New Roman" w:cs="Times New Roman"/>
          <w:sz w:val="28"/>
          <w:szCs w:val="28"/>
        </w:rPr>
        <w:t>балансу</w:t>
      </w:r>
      <w:r w:rsidR="009F1085" w:rsidRPr="00807CE7">
        <w:rPr>
          <w:rFonts w:ascii="Times New Roman" w:hAnsi="Times New Roman" w:cs="Times New Roman"/>
          <w:sz w:val="28"/>
          <w:szCs w:val="28"/>
        </w:rPr>
        <w:t xml:space="preserve"> послуг (експорт помітно зменшився), але у 2020-2021 рр. країна почала реабілітуватися. Отже, можна зробити висновок, що обидві країни є </w:t>
      </w:r>
      <w:r w:rsidR="006F7FCD" w:rsidRPr="00807CE7">
        <w:rPr>
          <w:rFonts w:ascii="Times New Roman" w:hAnsi="Times New Roman" w:cs="Times New Roman"/>
          <w:sz w:val="28"/>
          <w:szCs w:val="28"/>
        </w:rPr>
        <w:t xml:space="preserve">чистими експортерами: баланс послуг обох країн є додатнім. </w:t>
      </w:r>
    </w:p>
    <w:p w14:paraId="5161844C" w14:textId="37856AE5" w:rsidR="006F7FCD" w:rsidRPr="00807CE7" w:rsidRDefault="00BC6220" w:rsidP="00BC6220">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Найбільше Румунія експортувала інших транспортних послуг, різних ділових, професійних та технічних послуг, інформаційних послуг, телекомунікаційних послуг та ділових поїздок. Найбільше Румунія імпортувала різні ділові, професійні та технічні послуги, особисті подорожі, інший транспорт, ділові подорожі та повітряний транспорт</w:t>
      </w:r>
      <w:r w:rsidR="007853A6" w:rsidRPr="00807CE7">
        <w:rPr>
          <w:rFonts w:ascii="Times New Roman" w:hAnsi="Times New Roman" w:cs="Times New Roman"/>
          <w:sz w:val="28"/>
          <w:szCs w:val="28"/>
        </w:rPr>
        <w:t xml:space="preserve"> [8].</w:t>
      </w:r>
    </w:p>
    <w:p w14:paraId="219160E3" w14:textId="121A08BB" w:rsidR="00BC6220" w:rsidRPr="00807CE7" w:rsidRDefault="007D1558" w:rsidP="007D155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Найбільше Болгарія експортувала різних ділових, професійних та технічних послуг, інших транспортних послуг, особистих подорожей, перестрахування та ділових поїздок. Найбільше Болгарія імпортувала різні ділові, професійні та технічні послуги, особисті подорожі, ділові подорожі, морський транспорт та інший транспорт</w:t>
      </w:r>
      <w:r w:rsidR="007853A6" w:rsidRPr="00807CE7">
        <w:rPr>
          <w:rFonts w:ascii="Times New Roman" w:hAnsi="Times New Roman" w:cs="Times New Roman"/>
          <w:sz w:val="28"/>
          <w:szCs w:val="28"/>
        </w:rPr>
        <w:t xml:space="preserve"> [8].</w:t>
      </w:r>
    </w:p>
    <w:p w14:paraId="2E8D8671" w14:textId="775A88DD" w:rsidR="001E0AA3" w:rsidRPr="00807CE7" w:rsidRDefault="00DF75F1" w:rsidP="00F13587">
      <w:pPr>
        <w:spacing w:line="360" w:lineRule="auto"/>
        <w:ind w:firstLine="709"/>
        <w:jc w:val="right"/>
        <w:rPr>
          <w:rFonts w:ascii="Times New Roman" w:hAnsi="Times New Roman" w:cs="Times New Roman"/>
          <w:sz w:val="28"/>
          <w:szCs w:val="28"/>
        </w:rPr>
      </w:pPr>
      <w:r w:rsidRPr="00807CE7">
        <w:rPr>
          <w:rFonts w:ascii="Times New Roman" w:hAnsi="Times New Roman" w:cs="Times New Roman"/>
          <w:sz w:val="28"/>
          <w:szCs w:val="28"/>
        </w:rPr>
        <w:t>Таблиця 2.</w:t>
      </w:r>
      <w:r w:rsidR="001E0AA3" w:rsidRPr="00807CE7">
        <w:rPr>
          <w:rFonts w:ascii="Times New Roman" w:hAnsi="Times New Roman" w:cs="Times New Roman"/>
          <w:sz w:val="28"/>
          <w:szCs w:val="28"/>
        </w:rPr>
        <w:t>2</w:t>
      </w:r>
    </w:p>
    <w:p w14:paraId="3752F0C4" w14:textId="14394417" w:rsidR="001E0AA3" w:rsidRPr="00807CE7" w:rsidRDefault="00F13587" w:rsidP="007D1558">
      <w:pPr>
        <w:spacing w:line="360" w:lineRule="auto"/>
        <w:ind w:firstLine="709"/>
        <w:jc w:val="both"/>
        <w:rPr>
          <w:rFonts w:ascii="Times New Roman" w:hAnsi="Times New Roman" w:cs="Times New Roman"/>
          <w:b/>
          <w:bCs/>
          <w:sz w:val="28"/>
          <w:szCs w:val="28"/>
        </w:rPr>
      </w:pPr>
      <w:r w:rsidRPr="00807CE7">
        <w:rPr>
          <w:rFonts w:ascii="Times New Roman" w:hAnsi="Times New Roman" w:cs="Times New Roman"/>
          <w:b/>
          <w:bCs/>
          <w:sz w:val="28"/>
          <w:szCs w:val="28"/>
        </w:rPr>
        <w:t xml:space="preserve">Первинні та вторинні доходи Румунії та Болгарії за 2017-2021 рр. </w:t>
      </w:r>
    </w:p>
    <w:tbl>
      <w:tblPr>
        <w:tblW w:w="85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1"/>
        <w:gridCol w:w="1134"/>
        <w:gridCol w:w="1134"/>
        <w:gridCol w:w="1134"/>
        <w:gridCol w:w="1134"/>
        <w:gridCol w:w="1134"/>
      </w:tblGrid>
      <w:tr w:rsidR="00DF75F1" w:rsidRPr="00807CE7" w14:paraId="412119D6" w14:textId="77777777" w:rsidTr="00DF75F1">
        <w:trPr>
          <w:trHeight w:val="340"/>
          <w:tblHeader/>
          <w:jc w:val="center"/>
        </w:trPr>
        <w:tc>
          <w:tcPr>
            <w:tcW w:w="2891" w:type="dxa"/>
            <w:shd w:val="clear" w:color="auto" w:fill="A5A5A5"/>
            <w:vAlign w:val="center"/>
          </w:tcPr>
          <w:p w14:paraId="223456A0" w14:textId="77777777" w:rsidR="00DF75F1" w:rsidRPr="00807CE7" w:rsidRDefault="00DF75F1" w:rsidP="00483B2B">
            <w:pPr>
              <w:jc w:val="center"/>
              <w:rPr>
                <w:rFonts w:ascii="Times New Roman" w:hAnsi="Times New Roman" w:cs="Times New Roman"/>
                <w:b/>
                <w:bCs/>
                <w:color w:val="FFFFFF"/>
              </w:rPr>
            </w:pPr>
            <w:r w:rsidRPr="00807CE7">
              <w:rPr>
                <w:rFonts w:ascii="Times New Roman" w:hAnsi="Times New Roman" w:cs="Times New Roman"/>
                <w:b/>
                <w:bCs/>
                <w:color w:val="FFFFFF"/>
              </w:rPr>
              <w:t>Показник</w:t>
            </w:r>
          </w:p>
        </w:tc>
        <w:tc>
          <w:tcPr>
            <w:tcW w:w="1134" w:type="dxa"/>
            <w:shd w:val="clear" w:color="auto" w:fill="A5A5A5"/>
            <w:vAlign w:val="center"/>
          </w:tcPr>
          <w:p w14:paraId="4CEC0D65" w14:textId="77777777" w:rsidR="00DF75F1" w:rsidRPr="00807CE7" w:rsidRDefault="00DF75F1" w:rsidP="00483B2B">
            <w:pPr>
              <w:jc w:val="center"/>
              <w:rPr>
                <w:rFonts w:ascii="Times New Roman" w:hAnsi="Times New Roman" w:cs="Times New Roman"/>
                <w:b/>
                <w:bCs/>
                <w:color w:val="FFFFFF"/>
              </w:rPr>
            </w:pPr>
            <w:r w:rsidRPr="00807CE7">
              <w:rPr>
                <w:rFonts w:ascii="Times New Roman" w:hAnsi="Times New Roman" w:cs="Times New Roman"/>
                <w:b/>
                <w:bCs/>
                <w:color w:val="FFFFFF"/>
              </w:rPr>
              <w:t>2017</w:t>
            </w:r>
          </w:p>
        </w:tc>
        <w:tc>
          <w:tcPr>
            <w:tcW w:w="1134" w:type="dxa"/>
            <w:shd w:val="clear" w:color="auto" w:fill="A5A5A5"/>
            <w:vAlign w:val="center"/>
          </w:tcPr>
          <w:p w14:paraId="16CAAA4B" w14:textId="77777777" w:rsidR="00DF75F1" w:rsidRPr="00807CE7" w:rsidRDefault="00DF75F1" w:rsidP="00483B2B">
            <w:pPr>
              <w:jc w:val="center"/>
              <w:rPr>
                <w:rFonts w:ascii="Times New Roman" w:hAnsi="Times New Roman" w:cs="Times New Roman"/>
                <w:b/>
                <w:bCs/>
                <w:color w:val="FFFFFF"/>
              </w:rPr>
            </w:pPr>
            <w:r w:rsidRPr="00807CE7">
              <w:rPr>
                <w:rFonts w:ascii="Times New Roman" w:hAnsi="Times New Roman" w:cs="Times New Roman"/>
                <w:b/>
                <w:bCs/>
                <w:color w:val="FFFFFF"/>
              </w:rPr>
              <w:t>2018</w:t>
            </w:r>
          </w:p>
        </w:tc>
        <w:tc>
          <w:tcPr>
            <w:tcW w:w="1134" w:type="dxa"/>
            <w:shd w:val="clear" w:color="auto" w:fill="A5A5A5"/>
          </w:tcPr>
          <w:p w14:paraId="77F3C779" w14:textId="77777777" w:rsidR="00DF75F1" w:rsidRPr="00807CE7" w:rsidRDefault="00DF75F1" w:rsidP="00483B2B">
            <w:pPr>
              <w:jc w:val="center"/>
              <w:rPr>
                <w:rFonts w:ascii="Times New Roman" w:hAnsi="Times New Roman" w:cs="Times New Roman"/>
                <w:b/>
                <w:bCs/>
                <w:color w:val="FFFFFF"/>
              </w:rPr>
            </w:pPr>
            <w:r w:rsidRPr="00807CE7">
              <w:rPr>
                <w:rFonts w:ascii="Times New Roman" w:hAnsi="Times New Roman" w:cs="Times New Roman"/>
                <w:b/>
                <w:bCs/>
                <w:color w:val="FFFFFF"/>
              </w:rPr>
              <w:t>2019</w:t>
            </w:r>
          </w:p>
        </w:tc>
        <w:tc>
          <w:tcPr>
            <w:tcW w:w="1134" w:type="dxa"/>
            <w:shd w:val="clear" w:color="auto" w:fill="A5A5A5"/>
          </w:tcPr>
          <w:p w14:paraId="5E38710E" w14:textId="77777777" w:rsidR="00DF75F1" w:rsidRPr="00807CE7" w:rsidRDefault="00DF75F1" w:rsidP="00483B2B">
            <w:pPr>
              <w:jc w:val="center"/>
              <w:rPr>
                <w:rFonts w:ascii="Times New Roman" w:hAnsi="Times New Roman" w:cs="Times New Roman"/>
                <w:b/>
                <w:bCs/>
                <w:color w:val="FFFFFF"/>
              </w:rPr>
            </w:pPr>
            <w:r w:rsidRPr="00807CE7">
              <w:rPr>
                <w:rFonts w:ascii="Times New Roman" w:hAnsi="Times New Roman" w:cs="Times New Roman"/>
                <w:b/>
                <w:bCs/>
                <w:color w:val="FFFFFF"/>
              </w:rPr>
              <w:t>2020</w:t>
            </w:r>
          </w:p>
        </w:tc>
        <w:tc>
          <w:tcPr>
            <w:tcW w:w="1134" w:type="dxa"/>
            <w:shd w:val="clear" w:color="auto" w:fill="A5A5A5"/>
          </w:tcPr>
          <w:p w14:paraId="365608EB" w14:textId="77777777" w:rsidR="00DF75F1" w:rsidRPr="00807CE7" w:rsidRDefault="00DF75F1" w:rsidP="00483B2B">
            <w:pPr>
              <w:jc w:val="center"/>
              <w:rPr>
                <w:rFonts w:ascii="Times New Roman" w:hAnsi="Times New Roman" w:cs="Times New Roman"/>
                <w:b/>
                <w:bCs/>
                <w:color w:val="FFFFFF"/>
              </w:rPr>
            </w:pPr>
            <w:r w:rsidRPr="00807CE7">
              <w:rPr>
                <w:rFonts w:ascii="Times New Roman" w:hAnsi="Times New Roman" w:cs="Times New Roman"/>
                <w:b/>
                <w:bCs/>
                <w:color w:val="FFFFFF"/>
              </w:rPr>
              <w:t>2021</w:t>
            </w:r>
          </w:p>
        </w:tc>
      </w:tr>
      <w:tr w:rsidR="00DF75F1" w:rsidRPr="00807CE7" w14:paraId="07A3D2A8" w14:textId="77777777" w:rsidTr="00DF75F1">
        <w:trPr>
          <w:trHeight w:val="340"/>
          <w:jc w:val="center"/>
        </w:trPr>
        <w:tc>
          <w:tcPr>
            <w:tcW w:w="2891" w:type="dxa"/>
            <w:shd w:val="clear" w:color="auto" w:fill="FFFFFF"/>
            <w:vAlign w:val="center"/>
          </w:tcPr>
          <w:p w14:paraId="2DE8FB90"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color w:val="000000"/>
              </w:rPr>
              <w:t>Вторинні доходи, надходження Румунія</w:t>
            </w:r>
          </w:p>
        </w:tc>
        <w:tc>
          <w:tcPr>
            <w:tcW w:w="1134" w:type="dxa"/>
            <w:shd w:val="clear" w:color="auto" w:fill="auto"/>
            <w:vAlign w:val="center"/>
          </w:tcPr>
          <w:p w14:paraId="5E078E77"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5 153,6</w:t>
            </w:r>
          </w:p>
        </w:tc>
        <w:tc>
          <w:tcPr>
            <w:tcW w:w="1134" w:type="dxa"/>
            <w:shd w:val="clear" w:color="auto" w:fill="auto"/>
            <w:vAlign w:val="center"/>
          </w:tcPr>
          <w:p w14:paraId="62F14C30"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5 178,7</w:t>
            </w:r>
          </w:p>
        </w:tc>
        <w:tc>
          <w:tcPr>
            <w:tcW w:w="1134" w:type="dxa"/>
            <w:vAlign w:val="center"/>
          </w:tcPr>
          <w:p w14:paraId="5E04A8EC"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6 211,2</w:t>
            </w:r>
          </w:p>
        </w:tc>
        <w:tc>
          <w:tcPr>
            <w:tcW w:w="1134" w:type="dxa"/>
            <w:vAlign w:val="center"/>
          </w:tcPr>
          <w:p w14:paraId="73D15D9E"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6 679,4</w:t>
            </w:r>
          </w:p>
        </w:tc>
        <w:tc>
          <w:tcPr>
            <w:tcW w:w="1134" w:type="dxa"/>
            <w:vAlign w:val="center"/>
          </w:tcPr>
          <w:p w14:paraId="42016837"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6 731,3</w:t>
            </w:r>
          </w:p>
        </w:tc>
      </w:tr>
      <w:tr w:rsidR="00DF75F1" w:rsidRPr="00807CE7" w14:paraId="1832C9B5" w14:textId="77777777" w:rsidTr="00DF75F1">
        <w:trPr>
          <w:trHeight w:val="340"/>
          <w:jc w:val="center"/>
        </w:trPr>
        <w:tc>
          <w:tcPr>
            <w:tcW w:w="2891" w:type="dxa"/>
            <w:shd w:val="clear" w:color="auto" w:fill="FFFFFF"/>
            <w:vAlign w:val="center"/>
          </w:tcPr>
          <w:p w14:paraId="32D51F92"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color w:val="000000"/>
              </w:rPr>
              <w:t>Вторинні доходи, виплати Румунія</w:t>
            </w:r>
          </w:p>
        </w:tc>
        <w:tc>
          <w:tcPr>
            <w:tcW w:w="1134" w:type="dxa"/>
            <w:shd w:val="clear" w:color="auto" w:fill="auto"/>
            <w:vAlign w:val="center"/>
          </w:tcPr>
          <w:p w14:paraId="3528E1C8"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3 463,8</w:t>
            </w:r>
          </w:p>
        </w:tc>
        <w:tc>
          <w:tcPr>
            <w:tcW w:w="1134" w:type="dxa"/>
            <w:shd w:val="clear" w:color="auto" w:fill="auto"/>
            <w:vAlign w:val="center"/>
          </w:tcPr>
          <w:p w14:paraId="7C6A82E7"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3 716,6</w:t>
            </w:r>
          </w:p>
        </w:tc>
        <w:tc>
          <w:tcPr>
            <w:tcW w:w="1134" w:type="dxa"/>
            <w:vAlign w:val="center"/>
          </w:tcPr>
          <w:p w14:paraId="1D2CE28A"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4 560,7</w:t>
            </w:r>
          </w:p>
        </w:tc>
        <w:tc>
          <w:tcPr>
            <w:tcW w:w="1134" w:type="dxa"/>
            <w:vAlign w:val="center"/>
          </w:tcPr>
          <w:p w14:paraId="5DFB7D1B"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4 449,0</w:t>
            </w:r>
          </w:p>
        </w:tc>
        <w:tc>
          <w:tcPr>
            <w:tcW w:w="1134" w:type="dxa"/>
            <w:vAlign w:val="center"/>
          </w:tcPr>
          <w:p w14:paraId="13FB5EC3"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5 468,2</w:t>
            </w:r>
          </w:p>
        </w:tc>
      </w:tr>
      <w:tr w:rsidR="00DF75F1" w:rsidRPr="00807CE7" w14:paraId="73DA6521" w14:textId="77777777" w:rsidTr="00DF75F1">
        <w:trPr>
          <w:trHeight w:val="340"/>
          <w:jc w:val="center"/>
        </w:trPr>
        <w:tc>
          <w:tcPr>
            <w:tcW w:w="2891" w:type="dxa"/>
            <w:shd w:val="clear" w:color="auto" w:fill="FFFFFF"/>
            <w:vAlign w:val="center"/>
          </w:tcPr>
          <w:p w14:paraId="6F70D06F"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color w:val="000000"/>
              </w:rPr>
              <w:t>Сальдо вторинних доходів Румунія</w:t>
            </w:r>
          </w:p>
        </w:tc>
        <w:tc>
          <w:tcPr>
            <w:tcW w:w="1134" w:type="dxa"/>
            <w:shd w:val="clear" w:color="auto" w:fill="auto"/>
            <w:vAlign w:val="center"/>
          </w:tcPr>
          <w:p w14:paraId="55F92E8E"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1 689,8</w:t>
            </w:r>
          </w:p>
        </w:tc>
        <w:tc>
          <w:tcPr>
            <w:tcW w:w="1134" w:type="dxa"/>
            <w:shd w:val="clear" w:color="auto" w:fill="auto"/>
            <w:vAlign w:val="center"/>
          </w:tcPr>
          <w:p w14:paraId="537BDDB8"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1 462,1</w:t>
            </w:r>
          </w:p>
        </w:tc>
        <w:tc>
          <w:tcPr>
            <w:tcW w:w="1134" w:type="dxa"/>
            <w:vAlign w:val="center"/>
          </w:tcPr>
          <w:p w14:paraId="51F5B768"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1 650,3</w:t>
            </w:r>
          </w:p>
        </w:tc>
        <w:tc>
          <w:tcPr>
            <w:tcW w:w="1134" w:type="dxa"/>
            <w:vAlign w:val="center"/>
          </w:tcPr>
          <w:p w14:paraId="5A89E945"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2 230,2</w:t>
            </w:r>
          </w:p>
        </w:tc>
        <w:tc>
          <w:tcPr>
            <w:tcW w:w="1134" w:type="dxa"/>
            <w:vAlign w:val="center"/>
          </w:tcPr>
          <w:p w14:paraId="77C6E9C2"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1 263,0</w:t>
            </w:r>
          </w:p>
        </w:tc>
      </w:tr>
      <w:tr w:rsidR="00DF75F1" w:rsidRPr="00807CE7" w14:paraId="36A9C7BA" w14:textId="77777777" w:rsidTr="00DF75F1">
        <w:trPr>
          <w:trHeight w:val="340"/>
          <w:jc w:val="center"/>
        </w:trPr>
        <w:tc>
          <w:tcPr>
            <w:tcW w:w="2891" w:type="dxa"/>
            <w:shd w:val="clear" w:color="auto" w:fill="FFFFFF"/>
            <w:vAlign w:val="center"/>
          </w:tcPr>
          <w:p w14:paraId="1C668EBD"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color w:val="000000"/>
              </w:rPr>
              <w:t>Вторинні доходи, надходження Болгарія</w:t>
            </w:r>
          </w:p>
        </w:tc>
        <w:tc>
          <w:tcPr>
            <w:tcW w:w="1134" w:type="dxa"/>
            <w:shd w:val="clear" w:color="auto" w:fill="auto"/>
            <w:vAlign w:val="center"/>
          </w:tcPr>
          <w:p w14:paraId="257EA3EE"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2 956,1</w:t>
            </w:r>
          </w:p>
        </w:tc>
        <w:tc>
          <w:tcPr>
            <w:tcW w:w="1134" w:type="dxa"/>
            <w:shd w:val="clear" w:color="auto" w:fill="auto"/>
            <w:vAlign w:val="center"/>
          </w:tcPr>
          <w:p w14:paraId="0663AEF1"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3 513,4</w:t>
            </w:r>
          </w:p>
        </w:tc>
        <w:tc>
          <w:tcPr>
            <w:tcW w:w="1134" w:type="dxa"/>
            <w:vAlign w:val="center"/>
          </w:tcPr>
          <w:p w14:paraId="393AFFFC"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3 424,7</w:t>
            </w:r>
          </w:p>
        </w:tc>
        <w:tc>
          <w:tcPr>
            <w:tcW w:w="1134" w:type="dxa"/>
            <w:vAlign w:val="center"/>
          </w:tcPr>
          <w:p w14:paraId="277B3560"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2 495,9</w:t>
            </w:r>
          </w:p>
        </w:tc>
        <w:tc>
          <w:tcPr>
            <w:tcW w:w="1134" w:type="dxa"/>
            <w:vAlign w:val="center"/>
          </w:tcPr>
          <w:p w14:paraId="3CBB5AA6"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2 688,4</w:t>
            </w:r>
          </w:p>
        </w:tc>
      </w:tr>
      <w:tr w:rsidR="00DF75F1" w:rsidRPr="00807CE7" w14:paraId="54B78605" w14:textId="77777777" w:rsidTr="00DF75F1">
        <w:trPr>
          <w:trHeight w:val="340"/>
          <w:jc w:val="center"/>
        </w:trPr>
        <w:tc>
          <w:tcPr>
            <w:tcW w:w="2891" w:type="dxa"/>
            <w:shd w:val="clear" w:color="auto" w:fill="FFFFFF"/>
            <w:vAlign w:val="center"/>
          </w:tcPr>
          <w:p w14:paraId="2A60095B"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color w:val="000000"/>
              </w:rPr>
              <w:t>Вторинні доходи, виплати Болгарія</w:t>
            </w:r>
          </w:p>
        </w:tc>
        <w:tc>
          <w:tcPr>
            <w:tcW w:w="1134" w:type="dxa"/>
            <w:shd w:val="clear" w:color="auto" w:fill="auto"/>
            <w:vAlign w:val="center"/>
          </w:tcPr>
          <w:p w14:paraId="4153B948"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1 031,8</w:t>
            </w:r>
          </w:p>
        </w:tc>
        <w:tc>
          <w:tcPr>
            <w:tcW w:w="1134" w:type="dxa"/>
            <w:shd w:val="clear" w:color="auto" w:fill="auto"/>
            <w:vAlign w:val="center"/>
          </w:tcPr>
          <w:p w14:paraId="43F7D519"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1 387,2</w:t>
            </w:r>
          </w:p>
        </w:tc>
        <w:tc>
          <w:tcPr>
            <w:tcW w:w="1134" w:type="dxa"/>
            <w:vAlign w:val="center"/>
          </w:tcPr>
          <w:p w14:paraId="15B70709"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1 435,0</w:t>
            </w:r>
          </w:p>
        </w:tc>
        <w:tc>
          <w:tcPr>
            <w:tcW w:w="1134" w:type="dxa"/>
            <w:vAlign w:val="center"/>
          </w:tcPr>
          <w:p w14:paraId="2995ADC7"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1 367,3</w:t>
            </w:r>
          </w:p>
        </w:tc>
        <w:tc>
          <w:tcPr>
            <w:tcW w:w="1134" w:type="dxa"/>
            <w:vAlign w:val="center"/>
          </w:tcPr>
          <w:p w14:paraId="6E386609"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1 706,5</w:t>
            </w:r>
          </w:p>
        </w:tc>
      </w:tr>
      <w:tr w:rsidR="00DF75F1" w:rsidRPr="00807CE7" w14:paraId="1E83A7E7" w14:textId="77777777" w:rsidTr="00DF75F1">
        <w:trPr>
          <w:trHeight w:val="340"/>
          <w:jc w:val="center"/>
        </w:trPr>
        <w:tc>
          <w:tcPr>
            <w:tcW w:w="2891" w:type="dxa"/>
            <w:shd w:val="clear" w:color="auto" w:fill="FFFFFF"/>
            <w:vAlign w:val="center"/>
          </w:tcPr>
          <w:p w14:paraId="1F9D40FD"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color w:val="000000"/>
              </w:rPr>
              <w:t>Сальдо вторинних доходів Болгарія</w:t>
            </w:r>
          </w:p>
        </w:tc>
        <w:tc>
          <w:tcPr>
            <w:tcW w:w="1134" w:type="dxa"/>
            <w:shd w:val="clear" w:color="auto" w:fill="auto"/>
            <w:vAlign w:val="center"/>
          </w:tcPr>
          <w:p w14:paraId="6ED2F536"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1 924,3</w:t>
            </w:r>
          </w:p>
        </w:tc>
        <w:tc>
          <w:tcPr>
            <w:tcW w:w="1134" w:type="dxa"/>
            <w:shd w:val="clear" w:color="auto" w:fill="auto"/>
            <w:vAlign w:val="center"/>
          </w:tcPr>
          <w:p w14:paraId="2E160783"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2 126,2</w:t>
            </w:r>
          </w:p>
        </w:tc>
        <w:tc>
          <w:tcPr>
            <w:tcW w:w="1134" w:type="dxa"/>
            <w:vAlign w:val="center"/>
          </w:tcPr>
          <w:p w14:paraId="1E2AFFD6"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1 989,7</w:t>
            </w:r>
          </w:p>
        </w:tc>
        <w:tc>
          <w:tcPr>
            <w:tcW w:w="1134" w:type="dxa"/>
            <w:vAlign w:val="center"/>
          </w:tcPr>
          <w:p w14:paraId="72A58703"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1 128,7</w:t>
            </w:r>
          </w:p>
        </w:tc>
        <w:tc>
          <w:tcPr>
            <w:tcW w:w="1134" w:type="dxa"/>
            <w:vAlign w:val="center"/>
          </w:tcPr>
          <w:p w14:paraId="533968DD"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982,0</w:t>
            </w:r>
          </w:p>
        </w:tc>
      </w:tr>
      <w:tr w:rsidR="00DF75F1" w:rsidRPr="00807CE7" w14:paraId="041FA552" w14:textId="77777777" w:rsidTr="00DF75F1">
        <w:trPr>
          <w:trHeight w:val="340"/>
          <w:jc w:val="center"/>
        </w:trPr>
        <w:tc>
          <w:tcPr>
            <w:tcW w:w="2891" w:type="dxa"/>
            <w:shd w:val="clear" w:color="auto" w:fill="FFFFFF"/>
            <w:vAlign w:val="center"/>
          </w:tcPr>
          <w:p w14:paraId="3BCD1AF7"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color w:val="000000"/>
              </w:rPr>
              <w:t>Первинні доходи, надходження Румунія</w:t>
            </w:r>
          </w:p>
        </w:tc>
        <w:tc>
          <w:tcPr>
            <w:tcW w:w="1134" w:type="dxa"/>
            <w:shd w:val="clear" w:color="auto" w:fill="auto"/>
            <w:vAlign w:val="center"/>
          </w:tcPr>
          <w:p w14:paraId="46904B99"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5 864,6</w:t>
            </w:r>
          </w:p>
        </w:tc>
        <w:tc>
          <w:tcPr>
            <w:tcW w:w="1134" w:type="dxa"/>
            <w:shd w:val="clear" w:color="auto" w:fill="auto"/>
            <w:vAlign w:val="center"/>
          </w:tcPr>
          <w:p w14:paraId="28B10C91"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6 276,5</w:t>
            </w:r>
          </w:p>
        </w:tc>
        <w:tc>
          <w:tcPr>
            <w:tcW w:w="1134" w:type="dxa"/>
            <w:vAlign w:val="center"/>
          </w:tcPr>
          <w:p w14:paraId="2B3BE44E"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7 067,8</w:t>
            </w:r>
          </w:p>
        </w:tc>
        <w:tc>
          <w:tcPr>
            <w:tcW w:w="1134" w:type="dxa"/>
            <w:vAlign w:val="center"/>
          </w:tcPr>
          <w:p w14:paraId="33B23EB5"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6 759,6</w:t>
            </w:r>
          </w:p>
        </w:tc>
        <w:tc>
          <w:tcPr>
            <w:tcW w:w="1134" w:type="dxa"/>
            <w:vAlign w:val="center"/>
          </w:tcPr>
          <w:p w14:paraId="581C6C56"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7 769,0</w:t>
            </w:r>
          </w:p>
        </w:tc>
      </w:tr>
      <w:tr w:rsidR="00DF75F1" w:rsidRPr="00807CE7" w14:paraId="0333D5B5" w14:textId="77777777" w:rsidTr="00DF75F1">
        <w:trPr>
          <w:trHeight w:val="340"/>
          <w:jc w:val="center"/>
        </w:trPr>
        <w:tc>
          <w:tcPr>
            <w:tcW w:w="2891" w:type="dxa"/>
            <w:shd w:val="clear" w:color="auto" w:fill="FFFFFF"/>
            <w:vAlign w:val="center"/>
          </w:tcPr>
          <w:p w14:paraId="4D15F575"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color w:val="000000"/>
              </w:rPr>
              <w:t>Первинні доходи, виплати Румунія</w:t>
            </w:r>
          </w:p>
        </w:tc>
        <w:tc>
          <w:tcPr>
            <w:tcW w:w="1134" w:type="dxa"/>
            <w:shd w:val="clear" w:color="auto" w:fill="auto"/>
            <w:vAlign w:val="center"/>
          </w:tcPr>
          <w:p w14:paraId="5E766BF5"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8 835,0</w:t>
            </w:r>
          </w:p>
        </w:tc>
        <w:tc>
          <w:tcPr>
            <w:tcW w:w="1134" w:type="dxa"/>
            <w:shd w:val="clear" w:color="auto" w:fill="auto"/>
            <w:vAlign w:val="center"/>
          </w:tcPr>
          <w:p w14:paraId="001889C6"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10 717,2</w:t>
            </w:r>
          </w:p>
        </w:tc>
        <w:tc>
          <w:tcPr>
            <w:tcW w:w="1134" w:type="dxa"/>
            <w:vAlign w:val="center"/>
          </w:tcPr>
          <w:p w14:paraId="486A1665"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10 620,1</w:t>
            </w:r>
          </w:p>
        </w:tc>
        <w:tc>
          <w:tcPr>
            <w:tcW w:w="1134" w:type="dxa"/>
            <w:vAlign w:val="center"/>
          </w:tcPr>
          <w:p w14:paraId="28E9F3A4"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10 649,3</w:t>
            </w:r>
          </w:p>
        </w:tc>
        <w:tc>
          <w:tcPr>
            <w:tcW w:w="1134" w:type="dxa"/>
            <w:vAlign w:val="center"/>
          </w:tcPr>
          <w:p w14:paraId="32349E9D"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13 482,5</w:t>
            </w:r>
          </w:p>
        </w:tc>
      </w:tr>
      <w:tr w:rsidR="00DF75F1" w:rsidRPr="00807CE7" w14:paraId="25CBD624" w14:textId="77777777" w:rsidTr="00DF75F1">
        <w:trPr>
          <w:trHeight w:val="340"/>
          <w:jc w:val="center"/>
        </w:trPr>
        <w:tc>
          <w:tcPr>
            <w:tcW w:w="2891" w:type="dxa"/>
            <w:shd w:val="clear" w:color="auto" w:fill="FFFFFF"/>
            <w:vAlign w:val="center"/>
          </w:tcPr>
          <w:p w14:paraId="769A2EAF"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color w:val="000000"/>
              </w:rPr>
              <w:t>Сальдо первинних доходів Румунія</w:t>
            </w:r>
          </w:p>
        </w:tc>
        <w:tc>
          <w:tcPr>
            <w:tcW w:w="1134" w:type="dxa"/>
            <w:shd w:val="clear" w:color="auto" w:fill="auto"/>
            <w:vAlign w:val="center"/>
          </w:tcPr>
          <w:p w14:paraId="13FDD6AE"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-2 970,3</w:t>
            </w:r>
          </w:p>
        </w:tc>
        <w:tc>
          <w:tcPr>
            <w:tcW w:w="1134" w:type="dxa"/>
            <w:shd w:val="clear" w:color="auto" w:fill="auto"/>
            <w:vAlign w:val="center"/>
          </w:tcPr>
          <w:p w14:paraId="0C21995F"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-4 441,2</w:t>
            </w:r>
          </w:p>
        </w:tc>
        <w:tc>
          <w:tcPr>
            <w:tcW w:w="1134" w:type="dxa"/>
            <w:vAlign w:val="center"/>
          </w:tcPr>
          <w:p w14:paraId="000581EB"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-3 552,5</w:t>
            </w:r>
          </w:p>
        </w:tc>
        <w:tc>
          <w:tcPr>
            <w:tcW w:w="1134" w:type="dxa"/>
            <w:vAlign w:val="center"/>
          </w:tcPr>
          <w:p w14:paraId="6E55D4E2"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-3 889,7</w:t>
            </w:r>
          </w:p>
        </w:tc>
        <w:tc>
          <w:tcPr>
            <w:tcW w:w="1134" w:type="dxa"/>
            <w:vAlign w:val="center"/>
          </w:tcPr>
          <w:p w14:paraId="6DD4CB00"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-5 713,3</w:t>
            </w:r>
          </w:p>
        </w:tc>
      </w:tr>
      <w:tr w:rsidR="00DF75F1" w:rsidRPr="00807CE7" w14:paraId="30042AE2" w14:textId="77777777" w:rsidTr="00DF75F1">
        <w:trPr>
          <w:trHeight w:val="340"/>
          <w:jc w:val="center"/>
        </w:trPr>
        <w:tc>
          <w:tcPr>
            <w:tcW w:w="2891" w:type="dxa"/>
            <w:shd w:val="clear" w:color="auto" w:fill="FFFFFF"/>
            <w:vAlign w:val="center"/>
          </w:tcPr>
          <w:p w14:paraId="17E2F79A"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color w:val="000000"/>
              </w:rPr>
              <w:t>Первинні доходи, надходження Болгарія</w:t>
            </w:r>
          </w:p>
        </w:tc>
        <w:tc>
          <w:tcPr>
            <w:tcW w:w="1134" w:type="dxa"/>
            <w:shd w:val="clear" w:color="auto" w:fill="auto"/>
            <w:vAlign w:val="center"/>
          </w:tcPr>
          <w:p w14:paraId="79417E39"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1 577,2</w:t>
            </w:r>
          </w:p>
        </w:tc>
        <w:tc>
          <w:tcPr>
            <w:tcW w:w="1134" w:type="dxa"/>
            <w:shd w:val="clear" w:color="auto" w:fill="auto"/>
            <w:vAlign w:val="center"/>
          </w:tcPr>
          <w:p w14:paraId="60944226"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1 342,2</w:t>
            </w:r>
          </w:p>
        </w:tc>
        <w:tc>
          <w:tcPr>
            <w:tcW w:w="1134" w:type="dxa"/>
            <w:vAlign w:val="center"/>
          </w:tcPr>
          <w:p w14:paraId="32BA85F2"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1 464,0</w:t>
            </w:r>
          </w:p>
        </w:tc>
        <w:tc>
          <w:tcPr>
            <w:tcW w:w="1134" w:type="dxa"/>
            <w:vAlign w:val="center"/>
          </w:tcPr>
          <w:p w14:paraId="38B15C19"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1 953,8</w:t>
            </w:r>
          </w:p>
        </w:tc>
        <w:tc>
          <w:tcPr>
            <w:tcW w:w="1134" w:type="dxa"/>
            <w:vAlign w:val="center"/>
          </w:tcPr>
          <w:p w14:paraId="0726F3FE"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2 710,2</w:t>
            </w:r>
          </w:p>
        </w:tc>
      </w:tr>
      <w:tr w:rsidR="00DF75F1" w:rsidRPr="00807CE7" w14:paraId="25312CE9" w14:textId="77777777" w:rsidTr="00DF75F1">
        <w:trPr>
          <w:trHeight w:val="340"/>
          <w:jc w:val="center"/>
        </w:trPr>
        <w:tc>
          <w:tcPr>
            <w:tcW w:w="2891" w:type="dxa"/>
            <w:shd w:val="clear" w:color="auto" w:fill="FFFFFF"/>
            <w:vAlign w:val="center"/>
          </w:tcPr>
          <w:p w14:paraId="2AEDE676"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color w:val="000000"/>
              </w:rPr>
              <w:t>Первинні доходи, виплати Болгарія</w:t>
            </w:r>
          </w:p>
        </w:tc>
        <w:tc>
          <w:tcPr>
            <w:tcW w:w="1134" w:type="dxa"/>
            <w:shd w:val="clear" w:color="auto" w:fill="auto"/>
            <w:vAlign w:val="center"/>
          </w:tcPr>
          <w:p w14:paraId="03AF05DA"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4 123,1</w:t>
            </w:r>
          </w:p>
        </w:tc>
        <w:tc>
          <w:tcPr>
            <w:tcW w:w="1134" w:type="dxa"/>
            <w:shd w:val="clear" w:color="auto" w:fill="auto"/>
            <w:vAlign w:val="center"/>
          </w:tcPr>
          <w:p w14:paraId="6C802C86"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4 521,4</w:t>
            </w:r>
          </w:p>
        </w:tc>
        <w:tc>
          <w:tcPr>
            <w:tcW w:w="1134" w:type="dxa"/>
            <w:vAlign w:val="center"/>
          </w:tcPr>
          <w:p w14:paraId="0C38F097"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4 388,7</w:t>
            </w:r>
          </w:p>
        </w:tc>
        <w:tc>
          <w:tcPr>
            <w:tcW w:w="1134" w:type="dxa"/>
            <w:vAlign w:val="center"/>
          </w:tcPr>
          <w:p w14:paraId="7F729782"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4 457,6</w:t>
            </w:r>
          </w:p>
        </w:tc>
        <w:tc>
          <w:tcPr>
            <w:tcW w:w="1134" w:type="dxa"/>
            <w:vAlign w:val="center"/>
          </w:tcPr>
          <w:p w14:paraId="6A2B6171" w14:textId="77777777" w:rsidR="00DF75F1" w:rsidRPr="00807CE7" w:rsidRDefault="00DF75F1" w:rsidP="00483B2B">
            <w:pPr>
              <w:jc w:val="center"/>
              <w:rPr>
                <w:rFonts w:ascii="Times New Roman" w:hAnsi="Times New Roman" w:cs="Times New Roman"/>
              </w:rPr>
            </w:pPr>
            <w:r w:rsidRPr="00807CE7">
              <w:rPr>
                <w:rFonts w:ascii="Times New Roman" w:hAnsi="Times New Roman" w:cs="Times New Roman"/>
              </w:rPr>
              <w:t>5 511,6</w:t>
            </w:r>
          </w:p>
        </w:tc>
      </w:tr>
      <w:tr w:rsidR="00DF75F1" w:rsidRPr="00807CE7" w14:paraId="48F7DCCF" w14:textId="77777777" w:rsidTr="00DF75F1">
        <w:trPr>
          <w:trHeight w:val="340"/>
          <w:jc w:val="center"/>
        </w:trPr>
        <w:tc>
          <w:tcPr>
            <w:tcW w:w="2891" w:type="dxa"/>
            <w:shd w:val="clear" w:color="auto" w:fill="FFFFFF"/>
            <w:vAlign w:val="center"/>
          </w:tcPr>
          <w:p w14:paraId="6A94BD56"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color w:val="000000"/>
              </w:rPr>
              <w:t>Сальдо первинних доходів Болгарія</w:t>
            </w:r>
          </w:p>
        </w:tc>
        <w:tc>
          <w:tcPr>
            <w:tcW w:w="1134" w:type="dxa"/>
            <w:shd w:val="clear" w:color="auto" w:fill="auto"/>
            <w:vAlign w:val="center"/>
          </w:tcPr>
          <w:p w14:paraId="67306C26"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-2 545,8</w:t>
            </w:r>
          </w:p>
        </w:tc>
        <w:tc>
          <w:tcPr>
            <w:tcW w:w="1134" w:type="dxa"/>
            <w:shd w:val="clear" w:color="auto" w:fill="auto"/>
            <w:vAlign w:val="center"/>
          </w:tcPr>
          <w:p w14:paraId="47B1DAD3"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-3 179,2</w:t>
            </w:r>
          </w:p>
        </w:tc>
        <w:tc>
          <w:tcPr>
            <w:tcW w:w="1134" w:type="dxa"/>
            <w:vAlign w:val="center"/>
          </w:tcPr>
          <w:p w14:paraId="0D24B582"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-2 924,8</w:t>
            </w:r>
          </w:p>
        </w:tc>
        <w:tc>
          <w:tcPr>
            <w:tcW w:w="1134" w:type="dxa"/>
            <w:vAlign w:val="center"/>
          </w:tcPr>
          <w:p w14:paraId="5454026F"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-2 503,8</w:t>
            </w:r>
          </w:p>
        </w:tc>
        <w:tc>
          <w:tcPr>
            <w:tcW w:w="1134" w:type="dxa"/>
            <w:vAlign w:val="center"/>
          </w:tcPr>
          <w:p w14:paraId="35EE3DBB" w14:textId="77777777" w:rsidR="00DF75F1" w:rsidRPr="00807CE7" w:rsidRDefault="00DF75F1" w:rsidP="00483B2B">
            <w:pPr>
              <w:jc w:val="center"/>
              <w:rPr>
                <w:rFonts w:ascii="Times New Roman" w:hAnsi="Times New Roman" w:cs="Times New Roman"/>
                <w:b/>
                <w:bCs/>
              </w:rPr>
            </w:pPr>
            <w:r w:rsidRPr="00807CE7">
              <w:rPr>
                <w:rFonts w:ascii="Times New Roman" w:hAnsi="Times New Roman" w:cs="Times New Roman"/>
                <w:b/>
                <w:bCs/>
              </w:rPr>
              <w:t>-2 801,4</w:t>
            </w:r>
          </w:p>
        </w:tc>
      </w:tr>
    </w:tbl>
    <w:p w14:paraId="337316D6" w14:textId="16A5D875" w:rsidR="00E01F4A" w:rsidRPr="00807CE7" w:rsidRDefault="00F13587" w:rsidP="00F13587">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[7].</w:t>
      </w:r>
    </w:p>
    <w:p w14:paraId="76F4BD31" w14:textId="77777777" w:rsidR="00DF75F1" w:rsidRPr="00807CE7" w:rsidRDefault="00DF75F1" w:rsidP="00F13587">
      <w:pPr>
        <w:spacing w:line="360" w:lineRule="auto"/>
        <w:ind w:firstLine="709"/>
        <w:jc w:val="both"/>
        <w:rPr>
          <w:rFonts w:ascii="Times New Roman" w:hAnsi="Times New Roman" w:cs="Times New Roman"/>
          <w:sz w:val="28"/>
          <w:szCs w:val="28"/>
        </w:rPr>
      </w:pPr>
    </w:p>
    <w:p w14:paraId="0F54D390" w14:textId="3A5D244F" w:rsidR="00DF75F1" w:rsidRPr="00807CE7" w:rsidRDefault="00DF75F1" w:rsidP="00F13587">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Аналізуючи графік 2.3, можна побачити, що сальдо в обох країнах має схожу динаміку.</w:t>
      </w:r>
    </w:p>
    <w:p w14:paraId="45E8AA74" w14:textId="3CE6C956" w:rsidR="001E5D5D" w:rsidRPr="00807CE7" w:rsidRDefault="0092281A" w:rsidP="007D1558">
      <w:pPr>
        <w:spacing w:line="360" w:lineRule="auto"/>
        <w:ind w:firstLine="709"/>
        <w:jc w:val="both"/>
        <w:rPr>
          <w:rFonts w:ascii="Times New Roman" w:hAnsi="Times New Roman" w:cs="Times New Roman"/>
          <w:sz w:val="28"/>
          <w:szCs w:val="28"/>
        </w:rPr>
      </w:pPr>
      <w:r w:rsidRPr="00807CE7">
        <w:rPr>
          <w:lang w:eastAsia="uk-UA"/>
        </w:rPr>
        <w:lastRenderedPageBreak/>
        <w:drawing>
          <wp:inline distT="0" distB="0" distL="0" distR="0" wp14:anchorId="7CC6BA49" wp14:editId="05B5939A">
            <wp:extent cx="4140000" cy="2160000"/>
            <wp:effectExtent l="0" t="0" r="13335" b="12065"/>
            <wp:docPr id="57573857"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DD7B7634-8539-928F-24F1-73DE4DA063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E1AD411" w14:textId="57CE780B" w:rsidR="0092281A" w:rsidRPr="00807CE7" w:rsidRDefault="00DF75F1" w:rsidP="0092281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w:t>
      </w:r>
      <w:r w:rsidR="0092281A" w:rsidRPr="00807CE7">
        <w:rPr>
          <w:rFonts w:ascii="Times New Roman" w:hAnsi="Times New Roman" w:cs="Times New Roman"/>
          <w:sz w:val="28"/>
          <w:szCs w:val="28"/>
        </w:rPr>
        <w:t>3. Порівняння сальдо первинних доходів Румунії та Болгарії за 2017-2021 рр.</w:t>
      </w:r>
      <w:r w:rsidR="00E577DE" w:rsidRPr="00807CE7">
        <w:rPr>
          <w:rFonts w:ascii="Times New Roman" w:hAnsi="Times New Roman" w:cs="Times New Roman"/>
          <w:sz w:val="28"/>
          <w:szCs w:val="28"/>
        </w:rPr>
        <w:t>, млн.</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4215DB6C" w14:textId="18B29822" w:rsidR="001E5D5D" w:rsidRPr="00807CE7" w:rsidRDefault="0092281A" w:rsidP="0092281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6A7248"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26E01943" w14:textId="77777777" w:rsidR="00DF75F1" w:rsidRPr="00807CE7" w:rsidRDefault="00DF75F1" w:rsidP="0092281A">
      <w:pPr>
        <w:spacing w:line="360" w:lineRule="auto"/>
        <w:ind w:firstLine="709"/>
        <w:jc w:val="both"/>
        <w:rPr>
          <w:rFonts w:ascii="Times New Roman" w:hAnsi="Times New Roman" w:cs="Times New Roman"/>
          <w:sz w:val="28"/>
          <w:szCs w:val="28"/>
        </w:rPr>
      </w:pPr>
    </w:p>
    <w:p w14:paraId="2314B68C" w14:textId="2D03897C" w:rsidR="00B456ED" w:rsidRPr="00807CE7" w:rsidRDefault="00B456ED" w:rsidP="0092281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Аналізуючи графік, можна побачити, що </w:t>
      </w:r>
      <w:r w:rsidR="00913E7A" w:rsidRPr="00807CE7">
        <w:rPr>
          <w:rFonts w:ascii="Times New Roman" w:hAnsi="Times New Roman" w:cs="Times New Roman"/>
          <w:sz w:val="28"/>
          <w:szCs w:val="28"/>
        </w:rPr>
        <w:t xml:space="preserve">сальдо в обох країнах має схожу динаміку. У 2018 році був </w:t>
      </w:r>
      <w:r w:rsidR="00F34DD4" w:rsidRPr="00807CE7">
        <w:rPr>
          <w:rFonts w:ascii="Times New Roman" w:hAnsi="Times New Roman" w:cs="Times New Roman"/>
          <w:sz w:val="28"/>
          <w:szCs w:val="28"/>
        </w:rPr>
        <w:t>різкий</w:t>
      </w:r>
      <w:r w:rsidR="00913E7A" w:rsidRPr="00807CE7">
        <w:rPr>
          <w:rFonts w:ascii="Times New Roman" w:hAnsi="Times New Roman" w:cs="Times New Roman"/>
          <w:sz w:val="28"/>
          <w:szCs w:val="28"/>
        </w:rPr>
        <w:t xml:space="preserve"> спад числових значень, однак в період </w:t>
      </w:r>
      <w:r w:rsidR="00BC45EC" w:rsidRPr="00807CE7">
        <w:rPr>
          <w:rFonts w:ascii="Times New Roman" w:hAnsi="Times New Roman" w:cs="Times New Roman"/>
          <w:sz w:val="28"/>
          <w:szCs w:val="28"/>
        </w:rPr>
        <w:t xml:space="preserve">з 2018 року показники почали зростати. У 2021 році в обох країнах числові значення сальдо первинних доходів знову почали зменшуватися. </w:t>
      </w:r>
      <w:r w:rsidR="00E12E9B" w:rsidRPr="00807CE7">
        <w:rPr>
          <w:rFonts w:ascii="Times New Roman" w:hAnsi="Times New Roman" w:cs="Times New Roman"/>
          <w:sz w:val="28"/>
          <w:szCs w:val="28"/>
        </w:rPr>
        <w:t>Отже, можна зробити висновок, що і в Румунії, і в Болгарії сальдо первинних доходів за 2017-2021 рр. було від’ємним. Це означає, що виплати перевищували надходження.</w:t>
      </w:r>
      <w:r w:rsidR="0098108D" w:rsidRPr="00807CE7">
        <w:rPr>
          <w:rFonts w:ascii="Times New Roman" w:hAnsi="Times New Roman" w:cs="Times New Roman"/>
          <w:sz w:val="28"/>
          <w:szCs w:val="28"/>
        </w:rPr>
        <w:t xml:space="preserve"> Це означає, що резиденти отримують доходів менше від активів за кордоном, ніж нерезиденти вивозять доходів з країн.</w:t>
      </w:r>
    </w:p>
    <w:p w14:paraId="3EACAA48" w14:textId="1F0E628B" w:rsidR="00B4616D" w:rsidRPr="00807CE7" w:rsidRDefault="003A2C36" w:rsidP="00F24A9A">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05E7207A" wp14:editId="071D77A8">
            <wp:extent cx="4140000" cy="2160000"/>
            <wp:effectExtent l="0" t="0" r="13335" b="12065"/>
            <wp:docPr id="573383129"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999BC239-FE70-D211-124A-70A1A712B6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889AD3C" w14:textId="166D3C94" w:rsidR="003A2C36" w:rsidRPr="00807CE7" w:rsidRDefault="00DF75F1" w:rsidP="003A2C3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w:t>
      </w:r>
      <w:r w:rsidR="0092281A" w:rsidRPr="00807CE7">
        <w:rPr>
          <w:rFonts w:ascii="Times New Roman" w:hAnsi="Times New Roman" w:cs="Times New Roman"/>
          <w:sz w:val="28"/>
          <w:szCs w:val="28"/>
        </w:rPr>
        <w:t>4</w:t>
      </w:r>
      <w:r w:rsidR="003A2C36" w:rsidRPr="00807CE7">
        <w:rPr>
          <w:rFonts w:ascii="Times New Roman" w:hAnsi="Times New Roman" w:cs="Times New Roman"/>
          <w:sz w:val="28"/>
          <w:szCs w:val="28"/>
        </w:rPr>
        <w:t>. Порівняння сальдо доходів від інвестицій Румунії та Болгарії за 2017-2021 рр.</w:t>
      </w:r>
      <w:r w:rsidR="00E577DE" w:rsidRPr="00807CE7">
        <w:rPr>
          <w:rFonts w:ascii="Times New Roman" w:hAnsi="Times New Roman" w:cs="Times New Roman"/>
          <w:sz w:val="28"/>
          <w:szCs w:val="28"/>
        </w:rPr>
        <w:t>, млн.</w:t>
      </w:r>
      <w:r w:rsidR="00F34DD4"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00F34DD4"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3ACCF94C" w14:textId="1682FC43" w:rsidR="003A2C36" w:rsidRPr="00807CE7" w:rsidRDefault="003A2C36" w:rsidP="003A2C3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6A7248"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644E99F4" w14:textId="4F6747A8" w:rsidR="00BF6E2C" w:rsidRPr="00807CE7" w:rsidRDefault="00452A37" w:rsidP="000F32AE">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Аналізуючи графік, можна побачити, що в обох країн</w:t>
      </w:r>
      <w:r w:rsidR="00476455" w:rsidRPr="00807CE7">
        <w:rPr>
          <w:rFonts w:ascii="Times New Roman" w:hAnsi="Times New Roman" w:cs="Times New Roman"/>
          <w:sz w:val="28"/>
          <w:szCs w:val="28"/>
        </w:rPr>
        <w:t>ах</w:t>
      </w:r>
      <w:r w:rsidRPr="00807CE7">
        <w:rPr>
          <w:rFonts w:ascii="Times New Roman" w:hAnsi="Times New Roman" w:cs="Times New Roman"/>
          <w:sz w:val="28"/>
          <w:szCs w:val="28"/>
        </w:rPr>
        <w:t xml:space="preserve"> сальдо доходів від інвестицій є від’ємним, тобто виплати перевищували надходження. </w:t>
      </w:r>
      <w:r w:rsidR="00BF6E2C" w:rsidRPr="00807CE7">
        <w:rPr>
          <w:rFonts w:ascii="Times New Roman" w:hAnsi="Times New Roman" w:cs="Times New Roman"/>
          <w:sz w:val="28"/>
          <w:szCs w:val="28"/>
        </w:rPr>
        <w:t xml:space="preserve">Стосовно Болгарії, </w:t>
      </w:r>
      <w:r w:rsidR="00476455" w:rsidRPr="00807CE7">
        <w:rPr>
          <w:rFonts w:ascii="Times New Roman" w:hAnsi="Times New Roman" w:cs="Times New Roman"/>
          <w:sz w:val="28"/>
          <w:szCs w:val="28"/>
        </w:rPr>
        <w:t xml:space="preserve">то </w:t>
      </w:r>
      <w:r w:rsidR="007F36CC" w:rsidRPr="00807CE7">
        <w:rPr>
          <w:rFonts w:ascii="Times New Roman" w:hAnsi="Times New Roman" w:cs="Times New Roman"/>
          <w:sz w:val="28"/>
          <w:szCs w:val="28"/>
        </w:rPr>
        <w:t xml:space="preserve">її показники є </w:t>
      </w:r>
      <w:r w:rsidR="00DF75F1" w:rsidRPr="00807CE7">
        <w:rPr>
          <w:rFonts w:ascii="Times New Roman" w:hAnsi="Times New Roman" w:cs="Times New Roman"/>
          <w:sz w:val="28"/>
          <w:szCs w:val="28"/>
        </w:rPr>
        <w:t>відносно</w:t>
      </w:r>
      <w:r w:rsidR="007F36CC" w:rsidRPr="00807CE7">
        <w:rPr>
          <w:rFonts w:ascii="Times New Roman" w:hAnsi="Times New Roman" w:cs="Times New Roman"/>
          <w:sz w:val="28"/>
          <w:szCs w:val="28"/>
        </w:rPr>
        <w:t xml:space="preserve"> стабільними. Не стрімко, однак</w:t>
      </w:r>
      <w:r w:rsidR="000F32AE" w:rsidRPr="00807CE7">
        <w:rPr>
          <w:rFonts w:ascii="Times New Roman" w:hAnsi="Times New Roman" w:cs="Times New Roman"/>
          <w:sz w:val="28"/>
          <w:szCs w:val="28"/>
        </w:rPr>
        <w:t xml:space="preserve"> показники</w:t>
      </w:r>
      <w:r w:rsidR="007F36CC" w:rsidRPr="00807CE7">
        <w:rPr>
          <w:rFonts w:ascii="Times New Roman" w:hAnsi="Times New Roman" w:cs="Times New Roman"/>
          <w:sz w:val="28"/>
          <w:szCs w:val="28"/>
        </w:rPr>
        <w:t xml:space="preserve"> сальдо доходів від інвестицій зменшувал</w:t>
      </w:r>
      <w:r w:rsidR="000F32AE" w:rsidRPr="00807CE7">
        <w:rPr>
          <w:rFonts w:ascii="Times New Roman" w:hAnsi="Times New Roman" w:cs="Times New Roman"/>
          <w:sz w:val="28"/>
          <w:szCs w:val="28"/>
        </w:rPr>
        <w:t>и</w:t>
      </w:r>
      <w:r w:rsidR="007F36CC" w:rsidRPr="00807CE7">
        <w:rPr>
          <w:rFonts w:ascii="Times New Roman" w:hAnsi="Times New Roman" w:cs="Times New Roman"/>
          <w:sz w:val="28"/>
          <w:szCs w:val="28"/>
        </w:rPr>
        <w:t xml:space="preserve">ся. </w:t>
      </w:r>
      <w:r w:rsidR="009E7B32" w:rsidRPr="00807CE7">
        <w:rPr>
          <w:rFonts w:ascii="Times New Roman" w:hAnsi="Times New Roman" w:cs="Times New Roman"/>
          <w:sz w:val="28"/>
          <w:szCs w:val="28"/>
        </w:rPr>
        <w:t xml:space="preserve">Показники Румунії за цією </w:t>
      </w:r>
      <w:r w:rsidR="00DF75F1" w:rsidRPr="00807CE7">
        <w:rPr>
          <w:rFonts w:ascii="Times New Roman" w:hAnsi="Times New Roman" w:cs="Times New Roman"/>
          <w:sz w:val="28"/>
          <w:szCs w:val="28"/>
        </w:rPr>
        <w:t>статтею</w:t>
      </w:r>
      <w:r w:rsidR="009E7B32" w:rsidRPr="00807CE7">
        <w:rPr>
          <w:rFonts w:ascii="Times New Roman" w:hAnsi="Times New Roman" w:cs="Times New Roman"/>
          <w:sz w:val="28"/>
          <w:szCs w:val="28"/>
        </w:rPr>
        <w:t xml:space="preserve"> </w:t>
      </w:r>
      <w:r w:rsidR="00BF6E2C" w:rsidRPr="00807CE7">
        <w:rPr>
          <w:rFonts w:ascii="Times New Roman" w:hAnsi="Times New Roman" w:cs="Times New Roman"/>
          <w:sz w:val="28"/>
          <w:szCs w:val="28"/>
        </w:rPr>
        <w:t xml:space="preserve">є трохи нестабільними. У 2017-2018 рр. було </w:t>
      </w:r>
      <w:r w:rsidR="00DF75F1" w:rsidRPr="00807CE7">
        <w:rPr>
          <w:rFonts w:ascii="Times New Roman" w:hAnsi="Times New Roman" w:cs="Times New Roman"/>
          <w:sz w:val="28"/>
          <w:szCs w:val="28"/>
        </w:rPr>
        <w:t>ризьке</w:t>
      </w:r>
      <w:r w:rsidR="00BF6E2C" w:rsidRPr="00807CE7">
        <w:rPr>
          <w:rFonts w:ascii="Times New Roman" w:hAnsi="Times New Roman" w:cs="Times New Roman"/>
          <w:sz w:val="28"/>
          <w:szCs w:val="28"/>
        </w:rPr>
        <w:t xml:space="preserve"> падіння, так само як і в 2020-2021</w:t>
      </w:r>
      <w:r w:rsidR="000F32AE" w:rsidRPr="00807CE7">
        <w:rPr>
          <w:rFonts w:ascii="Times New Roman" w:hAnsi="Times New Roman" w:cs="Times New Roman"/>
          <w:sz w:val="28"/>
          <w:szCs w:val="28"/>
        </w:rPr>
        <w:t xml:space="preserve"> р</w:t>
      </w:r>
      <w:r w:rsidR="00BF6E2C" w:rsidRPr="00807CE7">
        <w:rPr>
          <w:rFonts w:ascii="Times New Roman" w:hAnsi="Times New Roman" w:cs="Times New Roman"/>
          <w:sz w:val="28"/>
          <w:szCs w:val="28"/>
        </w:rPr>
        <w:t xml:space="preserve">р. </w:t>
      </w:r>
    </w:p>
    <w:p w14:paraId="19510447" w14:textId="4F8DD9D1" w:rsidR="009E7B32" w:rsidRPr="00807CE7" w:rsidRDefault="009E7B32" w:rsidP="00BF6E2C">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Дохід від інвестицій складається з доходів, які отриму</w:t>
      </w:r>
      <w:r w:rsidR="00BF6E2C" w:rsidRPr="00807CE7">
        <w:rPr>
          <w:rFonts w:ascii="Times New Roman" w:hAnsi="Times New Roman" w:cs="Times New Roman"/>
          <w:sz w:val="28"/>
          <w:szCs w:val="28"/>
        </w:rPr>
        <w:t>ють</w:t>
      </w:r>
      <w:r w:rsidRPr="00807CE7">
        <w:rPr>
          <w:rFonts w:ascii="Times New Roman" w:hAnsi="Times New Roman" w:cs="Times New Roman"/>
          <w:sz w:val="28"/>
          <w:szCs w:val="28"/>
        </w:rPr>
        <w:t xml:space="preserve"> резидент</w:t>
      </w:r>
      <w:r w:rsidR="00BF6E2C" w:rsidRPr="00807CE7">
        <w:rPr>
          <w:rFonts w:ascii="Times New Roman" w:hAnsi="Times New Roman" w:cs="Times New Roman"/>
          <w:sz w:val="28"/>
          <w:szCs w:val="28"/>
        </w:rPr>
        <w:t>и Румунії</w:t>
      </w:r>
      <w:r w:rsidRPr="00807CE7">
        <w:rPr>
          <w:rFonts w:ascii="Times New Roman" w:hAnsi="Times New Roman" w:cs="Times New Roman"/>
          <w:sz w:val="28"/>
          <w:szCs w:val="28"/>
        </w:rPr>
        <w:t xml:space="preserve"> </w:t>
      </w:r>
      <w:r w:rsidR="00BF6E2C" w:rsidRPr="00807CE7">
        <w:rPr>
          <w:rFonts w:ascii="Times New Roman" w:hAnsi="Times New Roman" w:cs="Times New Roman"/>
          <w:sz w:val="28"/>
          <w:szCs w:val="28"/>
        </w:rPr>
        <w:t>та Болгарії</w:t>
      </w:r>
      <w:r w:rsidRPr="00807CE7">
        <w:rPr>
          <w:rFonts w:ascii="Times New Roman" w:hAnsi="Times New Roman" w:cs="Times New Roman"/>
          <w:sz w:val="28"/>
          <w:szCs w:val="28"/>
        </w:rPr>
        <w:t>, інвестуючи зовнішні фінансові активи. Такими видами доходу є: дивіденди за акціями, облігаціями, іншими цінними паперами, відсотки за банківськими депозитами, рента від володіння землею на економічній території іншої країни тощо.</w:t>
      </w:r>
    </w:p>
    <w:p w14:paraId="59291D2C" w14:textId="58DD7520" w:rsidR="007D1558" w:rsidRPr="00807CE7" w:rsidRDefault="000F32AE" w:rsidP="00F24A9A">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42E33154" wp14:editId="525717D0">
            <wp:extent cx="4140000" cy="2160000"/>
            <wp:effectExtent l="0" t="0" r="13335" b="12065"/>
            <wp:docPr id="212630795"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D9D331D-36E0-9419-A8CB-F928054C9B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BB5AC55" w14:textId="3A82465E" w:rsidR="000F32AE" w:rsidRPr="00807CE7" w:rsidRDefault="00DF75F1" w:rsidP="000F32AE">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w:t>
      </w:r>
      <w:r w:rsidR="0092281A" w:rsidRPr="00807CE7">
        <w:rPr>
          <w:rFonts w:ascii="Times New Roman" w:hAnsi="Times New Roman" w:cs="Times New Roman"/>
          <w:sz w:val="28"/>
          <w:szCs w:val="28"/>
        </w:rPr>
        <w:t>5</w:t>
      </w:r>
      <w:r w:rsidR="000F32AE" w:rsidRPr="00807CE7">
        <w:rPr>
          <w:rFonts w:ascii="Times New Roman" w:hAnsi="Times New Roman" w:cs="Times New Roman"/>
          <w:sz w:val="28"/>
          <w:szCs w:val="28"/>
        </w:rPr>
        <w:t>. Порівняння сальдо оплати праці Румунії та Болгарії за 2017-2021 рр.</w:t>
      </w:r>
      <w:r w:rsidR="00E577DE" w:rsidRPr="00807CE7">
        <w:rPr>
          <w:rFonts w:ascii="Times New Roman" w:hAnsi="Times New Roman" w:cs="Times New Roman"/>
          <w:sz w:val="28"/>
          <w:szCs w:val="28"/>
        </w:rPr>
        <w:t>, млн.</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5C2406B0" w14:textId="3A145AC0" w:rsidR="000F32AE" w:rsidRPr="00807CE7" w:rsidRDefault="000F32AE" w:rsidP="000F32AE">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6A7248"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32D24F3A" w14:textId="77777777" w:rsidR="00DF75F1" w:rsidRPr="00807CE7" w:rsidRDefault="00DF75F1" w:rsidP="000F32AE">
      <w:pPr>
        <w:spacing w:line="360" w:lineRule="auto"/>
        <w:ind w:firstLine="709"/>
        <w:jc w:val="both"/>
        <w:rPr>
          <w:rFonts w:ascii="Times New Roman" w:hAnsi="Times New Roman" w:cs="Times New Roman"/>
          <w:sz w:val="28"/>
          <w:szCs w:val="28"/>
        </w:rPr>
      </w:pPr>
    </w:p>
    <w:p w14:paraId="53A41F26" w14:textId="1567C109" w:rsidR="00762502" w:rsidRPr="00807CE7" w:rsidRDefault="00762502" w:rsidP="00DF75F1">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Дивлячись на графік, можна зробити висновок, що за зазначений період сальдо оплати праці в обох країнах було додатнім. Це пов’язано </w:t>
      </w:r>
      <w:r w:rsidR="004965EC" w:rsidRPr="00807CE7">
        <w:rPr>
          <w:rFonts w:ascii="Times New Roman" w:hAnsi="Times New Roman" w:cs="Times New Roman"/>
          <w:sz w:val="28"/>
          <w:szCs w:val="28"/>
        </w:rPr>
        <w:t xml:space="preserve">з тим, що надходження значно перевищували виплати. За 2017-2019 рр. показники Болгарії були відносно стабільні, однак у </w:t>
      </w:r>
      <w:r w:rsidR="003C4587" w:rsidRPr="00807CE7">
        <w:rPr>
          <w:rFonts w:ascii="Times New Roman" w:hAnsi="Times New Roman" w:cs="Times New Roman"/>
          <w:sz w:val="28"/>
          <w:szCs w:val="28"/>
        </w:rPr>
        <w:t xml:space="preserve">2020 році було </w:t>
      </w:r>
      <w:r w:rsidR="00DF75F1" w:rsidRPr="00807CE7">
        <w:rPr>
          <w:rFonts w:ascii="Times New Roman" w:hAnsi="Times New Roman" w:cs="Times New Roman"/>
          <w:sz w:val="28"/>
          <w:szCs w:val="28"/>
        </w:rPr>
        <w:t>різке падіння</w:t>
      </w:r>
      <w:r w:rsidR="003C4587" w:rsidRPr="00807CE7">
        <w:rPr>
          <w:rFonts w:ascii="Times New Roman" w:hAnsi="Times New Roman" w:cs="Times New Roman"/>
          <w:sz w:val="28"/>
          <w:szCs w:val="28"/>
        </w:rPr>
        <w:t xml:space="preserve">. Щодо Румунії, то показники сальдо оплати праці досить </w:t>
      </w:r>
      <w:r w:rsidR="00DF75F1" w:rsidRPr="00807CE7">
        <w:rPr>
          <w:rFonts w:ascii="Times New Roman" w:hAnsi="Times New Roman" w:cs="Times New Roman"/>
          <w:sz w:val="28"/>
          <w:szCs w:val="28"/>
        </w:rPr>
        <w:t>нестабільні</w:t>
      </w:r>
      <w:r w:rsidR="003C4587" w:rsidRPr="00807CE7">
        <w:rPr>
          <w:rFonts w:ascii="Times New Roman" w:hAnsi="Times New Roman" w:cs="Times New Roman"/>
          <w:sz w:val="28"/>
          <w:szCs w:val="28"/>
        </w:rPr>
        <w:t xml:space="preserve">. Спочатку </w:t>
      </w:r>
      <w:r w:rsidR="00DF75F1" w:rsidRPr="00807CE7">
        <w:rPr>
          <w:rFonts w:ascii="Times New Roman" w:hAnsi="Times New Roman" w:cs="Times New Roman"/>
          <w:sz w:val="28"/>
          <w:szCs w:val="28"/>
        </w:rPr>
        <w:t>можна</w:t>
      </w:r>
      <w:r w:rsidR="003C4587" w:rsidRPr="00807CE7">
        <w:rPr>
          <w:rFonts w:ascii="Times New Roman" w:hAnsi="Times New Roman" w:cs="Times New Roman"/>
          <w:sz w:val="28"/>
          <w:szCs w:val="28"/>
        </w:rPr>
        <w:t xml:space="preserve"> спостерігати </w:t>
      </w:r>
      <w:r w:rsidR="0098293A" w:rsidRPr="00807CE7">
        <w:rPr>
          <w:rFonts w:ascii="Times New Roman" w:hAnsi="Times New Roman" w:cs="Times New Roman"/>
          <w:sz w:val="28"/>
          <w:szCs w:val="28"/>
        </w:rPr>
        <w:t>значне зростання числових значень за період 2017-2019 років, потім у 2019-2020 роках різке падіння, й у 2020 році поча</w:t>
      </w:r>
      <w:r w:rsidR="001E5D5D" w:rsidRPr="00807CE7">
        <w:rPr>
          <w:rFonts w:ascii="Times New Roman" w:hAnsi="Times New Roman" w:cs="Times New Roman"/>
          <w:sz w:val="28"/>
          <w:szCs w:val="28"/>
        </w:rPr>
        <w:t>лося</w:t>
      </w:r>
      <w:r w:rsidR="0098293A" w:rsidRPr="00807CE7">
        <w:rPr>
          <w:rFonts w:ascii="Times New Roman" w:hAnsi="Times New Roman" w:cs="Times New Roman"/>
          <w:sz w:val="28"/>
          <w:szCs w:val="28"/>
        </w:rPr>
        <w:t xml:space="preserve"> стрім</w:t>
      </w:r>
      <w:r w:rsidR="001E5D5D" w:rsidRPr="00807CE7">
        <w:rPr>
          <w:rFonts w:ascii="Times New Roman" w:hAnsi="Times New Roman" w:cs="Times New Roman"/>
          <w:sz w:val="28"/>
          <w:szCs w:val="28"/>
        </w:rPr>
        <w:t>ке</w:t>
      </w:r>
      <w:r w:rsidR="0098293A" w:rsidRPr="00807CE7">
        <w:rPr>
          <w:rFonts w:ascii="Times New Roman" w:hAnsi="Times New Roman" w:cs="Times New Roman"/>
          <w:sz w:val="28"/>
          <w:szCs w:val="28"/>
        </w:rPr>
        <w:t xml:space="preserve"> </w:t>
      </w:r>
      <w:r w:rsidR="001E5D5D" w:rsidRPr="00807CE7">
        <w:rPr>
          <w:rFonts w:ascii="Times New Roman" w:hAnsi="Times New Roman" w:cs="Times New Roman"/>
          <w:sz w:val="28"/>
          <w:szCs w:val="28"/>
        </w:rPr>
        <w:t xml:space="preserve">зростання. </w:t>
      </w:r>
    </w:p>
    <w:p w14:paraId="48237554" w14:textId="508EE08F" w:rsidR="000F32AE" w:rsidRPr="00807CE7" w:rsidRDefault="00B3794A" w:rsidP="00F24A9A">
      <w:pPr>
        <w:spacing w:line="360" w:lineRule="auto"/>
        <w:ind w:firstLine="709"/>
        <w:jc w:val="both"/>
        <w:rPr>
          <w:rFonts w:ascii="Times New Roman" w:hAnsi="Times New Roman" w:cs="Times New Roman"/>
          <w:sz w:val="28"/>
          <w:szCs w:val="28"/>
        </w:rPr>
      </w:pPr>
      <w:r w:rsidRPr="00807CE7">
        <w:rPr>
          <w:lang w:eastAsia="uk-UA"/>
        </w:rPr>
        <w:lastRenderedPageBreak/>
        <w:drawing>
          <wp:inline distT="0" distB="0" distL="0" distR="0" wp14:anchorId="1449BE92" wp14:editId="6993F3D9">
            <wp:extent cx="4140000" cy="2160000"/>
            <wp:effectExtent l="0" t="0" r="13335" b="12065"/>
            <wp:docPr id="1889491080"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FC63F1E6-90A6-E2E1-F65F-3AD321F0EF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F7889BB" w14:textId="58A7D452" w:rsidR="00B3794A" w:rsidRPr="00807CE7" w:rsidRDefault="00DF75F1" w:rsidP="00B3794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w:t>
      </w:r>
      <w:r w:rsidR="00B3794A" w:rsidRPr="00807CE7">
        <w:rPr>
          <w:rFonts w:ascii="Times New Roman" w:hAnsi="Times New Roman" w:cs="Times New Roman"/>
          <w:sz w:val="28"/>
          <w:szCs w:val="28"/>
        </w:rPr>
        <w:t>6. Порівняння сальдо вторинних доходів Румунії та Болгарії за 2017-2021 рр.</w:t>
      </w:r>
      <w:r w:rsidR="00E577DE" w:rsidRPr="00807CE7">
        <w:rPr>
          <w:rFonts w:ascii="Times New Roman" w:hAnsi="Times New Roman" w:cs="Times New Roman"/>
          <w:sz w:val="28"/>
          <w:szCs w:val="28"/>
        </w:rPr>
        <w:t>, млн.</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58C80ECD" w14:textId="39EA4B5F" w:rsidR="00B3794A" w:rsidRPr="00807CE7" w:rsidRDefault="00B3794A" w:rsidP="00B3794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6A7248"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48654505" w14:textId="77777777" w:rsidR="00DF75F1" w:rsidRPr="00807CE7" w:rsidRDefault="00DF75F1" w:rsidP="00B3794A">
      <w:pPr>
        <w:spacing w:line="360" w:lineRule="auto"/>
        <w:ind w:firstLine="709"/>
        <w:jc w:val="both"/>
        <w:rPr>
          <w:rFonts w:ascii="Times New Roman" w:hAnsi="Times New Roman" w:cs="Times New Roman"/>
          <w:sz w:val="28"/>
          <w:szCs w:val="28"/>
        </w:rPr>
      </w:pPr>
    </w:p>
    <w:p w14:paraId="37DB28CF" w14:textId="568A4EF1" w:rsidR="00E13541" w:rsidRPr="00807CE7" w:rsidRDefault="00E13541" w:rsidP="00B3794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Аналізуючи графік, можна побачити, що за вказаний період сальдо вторинних доходів в обох країнах було нестабіль</w:t>
      </w:r>
      <w:r w:rsidR="00F34DD4" w:rsidRPr="00807CE7">
        <w:rPr>
          <w:rFonts w:ascii="Times New Roman" w:hAnsi="Times New Roman" w:cs="Times New Roman"/>
          <w:sz w:val="28"/>
          <w:szCs w:val="28"/>
        </w:rPr>
        <w:t>ни</w:t>
      </w:r>
      <w:r w:rsidRPr="00807CE7">
        <w:rPr>
          <w:rFonts w:ascii="Times New Roman" w:hAnsi="Times New Roman" w:cs="Times New Roman"/>
          <w:sz w:val="28"/>
          <w:szCs w:val="28"/>
        </w:rPr>
        <w:t xml:space="preserve">м. Більш того, можна помітити, що </w:t>
      </w:r>
      <w:r w:rsidR="007260D3" w:rsidRPr="00807CE7">
        <w:rPr>
          <w:rFonts w:ascii="Times New Roman" w:hAnsi="Times New Roman" w:cs="Times New Roman"/>
          <w:sz w:val="28"/>
          <w:szCs w:val="28"/>
        </w:rPr>
        <w:t>у 2017-2019 роках, показники сальдо Болгарії є дзеркальним відображенням показників сальдо Румунії. Однак у 2019 році</w:t>
      </w:r>
      <w:r w:rsidR="00672E63" w:rsidRPr="00807CE7">
        <w:rPr>
          <w:rFonts w:ascii="Times New Roman" w:hAnsi="Times New Roman" w:cs="Times New Roman"/>
          <w:sz w:val="28"/>
          <w:szCs w:val="28"/>
        </w:rPr>
        <w:t xml:space="preserve"> в Болгарії, а в Румунії в 2020 році, </w:t>
      </w:r>
      <w:r w:rsidR="007260D3" w:rsidRPr="00807CE7">
        <w:rPr>
          <w:rFonts w:ascii="Times New Roman" w:hAnsi="Times New Roman" w:cs="Times New Roman"/>
          <w:sz w:val="28"/>
          <w:szCs w:val="28"/>
        </w:rPr>
        <w:t xml:space="preserve">числові значення </w:t>
      </w:r>
      <w:r w:rsidR="00F34DD4" w:rsidRPr="00807CE7">
        <w:rPr>
          <w:rFonts w:ascii="Times New Roman" w:hAnsi="Times New Roman" w:cs="Times New Roman"/>
          <w:sz w:val="28"/>
          <w:szCs w:val="28"/>
        </w:rPr>
        <w:t>даної</w:t>
      </w:r>
      <w:r w:rsidR="007260D3" w:rsidRPr="00807CE7">
        <w:rPr>
          <w:rFonts w:ascii="Times New Roman" w:hAnsi="Times New Roman" w:cs="Times New Roman"/>
          <w:sz w:val="28"/>
          <w:szCs w:val="28"/>
        </w:rPr>
        <w:t xml:space="preserve"> статі платіжного балансу почали </w:t>
      </w:r>
      <w:r w:rsidR="005E213C" w:rsidRPr="00807CE7">
        <w:rPr>
          <w:rFonts w:ascii="Times New Roman" w:hAnsi="Times New Roman" w:cs="Times New Roman"/>
          <w:sz w:val="28"/>
          <w:szCs w:val="28"/>
        </w:rPr>
        <w:t xml:space="preserve">стрімко зменшуватися. Отже, можна зробити висновок, що за 2017-2021 роки сальдо обох країн було додатнім. </w:t>
      </w:r>
      <w:r w:rsidR="00F34DD4" w:rsidRPr="00807CE7">
        <w:rPr>
          <w:rFonts w:ascii="Times New Roman" w:hAnsi="Times New Roman" w:cs="Times New Roman"/>
          <w:sz w:val="28"/>
          <w:szCs w:val="28"/>
        </w:rPr>
        <w:t>Додатне</w:t>
      </w:r>
      <w:r w:rsidR="005E213C" w:rsidRPr="00807CE7">
        <w:rPr>
          <w:rFonts w:ascii="Times New Roman" w:hAnsi="Times New Roman" w:cs="Times New Roman"/>
          <w:sz w:val="28"/>
          <w:szCs w:val="28"/>
        </w:rPr>
        <w:t xml:space="preserve"> сальдо вторинних доходів означає, що надходження перевищували виплати. </w:t>
      </w:r>
    </w:p>
    <w:p w14:paraId="51CCA37F" w14:textId="5B99C926" w:rsidR="0098108D" w:rsidRPr="00807CE7" w:rsidRDefault="004A6782" w:rsidP="00F24A9A">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35C69F55" wp14:editId="3630E84D">
            <wp:extent cx="4140000" cy="2160000"/>
            <wp:effectExtent l="0" t="0" r="13335" b="12065"/>
            <wp:docPr id="577263045"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B2ABAF00-9C95-AB0D-EB91-594C00B907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B417715" w14:textId="207DB881" w:rsidR="004A6782" w:rsidRPr="00807CE7" w:rsidRDefault="00F34DD4" w:rsidP="004A678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w:t>
      </w:r>
      <w:r w:rsidR="004A6782" w:rsidRPr="00807CE7">
        <w:rPr>
          <w:rFonts w:ascii="Times New Roman" w:hAnsi="Times New Roman" w:cs="Times New Roman"/>
          <w:sz w:val="28"/>
          <w:szCs w:val="28"/>
        </w:rPr>
        <w:t>7. Порівняння рахунку поточних операцій Румунії та Болгарії за 2017-2021 рр.</w:t>
      </w:r>
      <w:r w:rsidR="00E577DE" w:rsidRPr="00807CE7">
        <w:rPr>
          <w:rFonts w:ascii="Times New Roman" w:hAnsi="Times New Roman" w:cs="Times New Roman"/>
          <w:sz w:val="28"/>
          <w:szCs w:val="28"/>
        </w:rPr>
        <w:t>, млн.</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629E36EC" w14:textId="6C5A4A42" w:rsidR="004A6782" w:rsidRPr="00807CE7" w:rsidRDefault="004A6782" w:rsidP="004A6782">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6A7248"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121BFB77" w14:textId="517835F4" w:rsidR="00F34DD4" w:rsidRPr="00807CE7" w:rsidRDefault="00F34DD4"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Це означає, що резидентам з Румунії та Болгарії було відправлено менше односторонніх платежів (грантів, допомоги тощо), ніж отримано таких переказів від нерезидентів з-за кордону.</w:t>
      </w:r>
    </w:p>
    <w:p w14:paraId="174C85E8" w14:textId="7746BC64" w:rsidR="004A6782" w:rsidRPr="00807CE7" w:rsidRDefault="00EA00FA"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Аналізуючи графік, можна побачити, що дана стаття платіжного балансу в Болгарії є </w:t>
      </w:r>
      <w:r w:rsidR="00F34DD4" w:rsidRPr="00807CE7">
        <w:rPr>
          <w:rFonts w:ascii="Times New Roman" w:hAnsi="Times New Roman" w:cs="Times New Roman"/>
          <w:sz w:val="28"/>
          <w:szCs w:val="28"/>
        </w:rPr>
        <w:t>додатною</w:t>
      </w:r>
      <w:r w:rsidR="00CC7ABD" w:rsidRPr="00807CE7">
        <w:rPr>
          <w:rFonts w:ascii="Times New Roman" w:hAnsi="Times New Roman" w:cs="Times New Roman"/>
          <w:sz w:val="28"/>
          <w:szCs w:val="28"/>
        </w:rPr>
        <w:t>, до 2020 року. Стосовно Румунії, то за зазначений період рахунок поточних операцій цієї країни є від’ємним</w:t>
      </w:r>
      <w:r w:rsidR="00D92CBC" w:rsidRPr="00807CE7">
        <w:rPr>
          <w:rFonts w:ascii="Times New Roman" w:hAnsi="Times New Roman" w:cs="Times New Roman"/>
          <w:sz w:val="28"/>
          <w:szCs w:val="28"/>
        </w:rPr>
        <w:t xml:space="preserve">, й має </w:t>
      </w:r>
      <w:r w:rsidR="00F34DD4" w:rsidRPr="00807CE7">
        <w:rPr>
          <w:rFonts w:ascii="Times New Roman" w:hAnsi="Times New Roman" w:cs="Times New Roman"/>
          <w:sz w:val="28"/>
          <w:szCs w:val="28"/>
        </w:rPr>
        <w:t>різке</w:t>
      </w:r>
      <w:r w:rsidR="00D92CBC" w:rsidRPr="00807CE7">
        <w:rPr>
          <w:rFonts w:ascii="Times New Roman" w:hAnsi="Times New Roman" w:cs="Times New Roman"/>
          <w:sz w:val="28"/>
          <w:szCs w:val="28"/>
        </w:rPr>
        <w:t xml:space="preserve"> падіння у 2020-2021 рр. Дефіцит балансу поточних операцій Румунії відображає збільшення заборгованості країни іншим країнам.</w:t>
      </w:r>
    </w:p>
    <w:p w14:paraId="5F615795" w14:textId="77777777" w:rsidR="004A6782" w:rsidRPr="00807CE7" w:rsidRDefault="004A6782" w:rsidP="00F24A9A">
      <w:pPr>
        <w:spacing w:line="360" w:lineRule="auto"/>
        <w:ind w:firstLine="709"/>
        <w:jc w:val="both"/>
        <w:rPr>
          <w:rFonts w:ascii="Times New Roman" w:hAnsi="Times New Roman" w:cs="Times New Roman"/>
          <w:sz w:val="28"/>
          <w:szCs w:val="28"/>
        </w:rPr>
      </w:pPr>
    </w:p>
    <w:p w14:paraId="478AA785" w14:textId="2222A35C" w:rsidR="00F24A9A" w:rsidRPr="00807CE7" w:rsidRDefault="00F24A9A" w:rsidP="00F24A9A">
      <w:pPr>
        <w:spacing w:line="360" w:lineRule="auto"/>
        <w:ind w:firstLine="709"/>
        <w:jc w:val="both"/>
        <w:rPr>
          <w:rFonts w:ascii="Times New Roman" w:hAnsi="Times New Roman" w:cs="Times New Roman"/>
          <w:b/>
          <w:bCs/>
          <w:sz w:val="28"/>
          <w:szCs w:val="28"/>
        </w:rPr>
      </w:pPr>
      <w:r w:rsidRPr="00807CE7">
        <w:rPr>
          <w:rFonts w:ascii="Times New Roman" w:hAnsi="Times New Roman" w:cs="Times New Roman"/>
          <w:b/>
          <w:bCs/>
          <w:sz w:val="28"/>
          <w:szCs w:val="28"/>
        </w:rPr>
        <w:t>2.2. Порівняльний аналіз фінансових рахунків Румунії та Болгарії</w:t>
      </w:r>
    </w:p>
    <w:p w14:paraId="6D286AFE" w14:textId="2C0B0D95" w:rsidR="009D6D79" w:rsidRPr="00807CE7" w:rsidRDefault="00C86097" w:rsidP="009D6D79">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Фінансовий рахунок складається з прямих, портфельних та інших </w:t>
      </w:r>
      <w:r w:rsidR="00F34DD4" w:rsidRPr="00807CE7">
        <w:rPr>
          <w:rFonts w:ascii="Times New Roman" w:hAnsi="Times New Roman" w:cs="Times New Roman"/>
          <w:sz w:val="28"/>
          <w:szCs w:val="28"/>
        </w:rPr>
        <w:t>інвестицій</w:t>
      </w:r>
      <w:r w:rsidRPr="00807CE7">
        <w:rPr>
          <w:rFonts w:ascii="Times New Roman" w:hAnsi="Times New Roman" w:cs="Times New Roman"/>
          <w:sz w:val="28"/>
          <w:szCs w:val="28"/>
        </w:rPr>
        <w:t xml:space="preserve">. Далі буде </w:t>
      </w:r>
      <w:r w:rsidR="00F34DD4" w:rsidRPr="00807CE7">
        <w:rPr>
          <w:rFonts w:ascii="Times New Roman" w:hAnsi="Times New Roman" w:cs="Times New Roman"/>
          <w:sz w:val="28"/>
          <w:szCs w:val="28"/>
        </w:rPr>
        <w:t>проведено</w:t>
      </w:r>
      <w:r w:rsidRPr="00807CE7">
        <w:rPr>
          <w:rFonts w:ascii="Times New Roman" w:hAnsi="Times New Roman" w:cs="Times New Roman"/>
          <w:sz w:val="28"/>
          <w:szCs w:val="28"/>
        </w:rPr>
        <w:t xml:space="preserve"> більш детальний аналіз. На жаль дані за 2022 рік за обома країнами відсутні. </w:t>
      </w:r>
    </w:p>
    <w:p w14:paraId="308235A8" w14:textId="1F52C14A" w:rsidR="009D6D79" w:rsidRPr="00807CE7" w:rsidRDefault="00F34DD4" w:rsidP="009D6D79">
      <w:pPr>
        <w:spacing w:line="360" w:lineRule="auto"/>
        <w:ind w:firstLine="709"/>
        <w:jc w:val="right"/>
        <w:rPr>
          <w:rFonts w:ascii="Times New Roman" w:hAnsi="Times New Roman" w:cs="Times New Roman"/>
          <w:sz w:val="28"/>
          <w:szCs w:val="28"/>
        </w:rPr>
      </w:pPr>
      <w:r w:rsidRPr="00807CE7">
        <w:rPr>
          <w:rFonts w:ascii="Times New Roman" w:hAnsi="Times New Roman" w:cs="Times New Roman"/>
          <w:sz w:val="28"/>
          <w:szCs w:val="28"/>
        </w:rPr>
        <w:t>Таблиця 2.3</w:t>
      </w:r>
    </w:p>
    <w:p w14:paraId="5FEC153A" w14:textId="0CC67610" w:rsidR="009D6D79" w:rsidRPr="00F37F4E" w:rsidRDefault="009D6D79" w:rsidP="0005752D">
      <w:pPr>
        <w:spacing w:line="360" w:lineRule="auto"/>
        <w:jc w:val="center"/>
        <w:rPr>
          <w:rFonts w:ascii="Times New Roman Полужирный" w:hAnsi="Times New Roman Полужирный" w:cs="Times New Roman"/>
          <w:b/>
          <w:bCs/>
          <w:spacing w:val="-6"/>
          <w:sz w:val="28"/>
          <w:szCs w:val="28"/>
        </w:rPr>
      </w:pPr>
      <w:r w:rsidRPr="00F37F4E">
        <w:rPr>
          <w:rFonts w:ascii="Times New Roman Полужирный" w:hAnsi="Times New Roman Полужирный" w:cs="Times New Roman"/>
          <w:b/>
          <w:bCs/>
          <w:spacing w:val="-6"/>
          <w:sz w:val="28"/>
          <w:szCs w:val="28"/>
        </w:rPr>
        <w:t>Складові фінансового рахунку Румунії та Болгарії за 2017-2021 рр.</w:t>
      </w:r>
      <w:r w:rsidR="0005752D" w:rsidRPr="00F37F4E">
        <w:rPr>
          <w:rFonts w:ascii="Times New Roman Полужирный" w:hAnsi="Times New Roman Полужирный" w:cs="Times New Roman"/>
          <w:b/>
          <w:bCs/>
          <w:spacing w:val="-6"/>
          <w:sz w:val="28"/>
          <w:szCs w:val="28"/>
        </w:rPr>
        <w:t xml:space="preserve"> в млн. дол.</w:t>
      </w:r>
    </w:p>
    <w:tbl>
      <w:tblPr>
        <w:tblW w:w="85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1"/>
        <w:gridCol w:w="1134"/>
        <w:gridCol w:w="1134"/>
        <w:gridCol w:w="1134"/>
        <w:gridCol w:w="1134"/>
        <w:gridCol w:w="1134"/>
      </w:tblGrid>
      <w:tr w:rsidR="00F34DD4" w:rsidRPr="00807CE7" w14:paraId="7A661A38" w14:textId="77777777" w:rsidTr="00F34DD4">
        <w:trPr>
          <w:trHeight w:val="340"/>
          <w:tblHeader/>
          <w:jc w:val="center"/>
        </w:trPr>
        <w:tc>
          <w:tcPr>
            <w:tcW w:w="2891" w:type="dxa"/>
            <w:shd w:val="clear" w:color="auto" w:fill="A5A5A5"/>
            <w:vAlign w:val="center"/>
          </w:tcPr>
          <w:p w14:paraId="506224C5" w14:textId="77777777" w:rsidR="00F34DD4" w:rsidRPr="00807CE7" w:rsidRDefault="00F34DD4" w:rsidP="008C4FC1">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Показник</w:t>
            </w:r>
          </w:p>
        </w:tc>
        <w:tc>
          <w:tcPr>
            <w:tcW w:w="1134" w:type="dxa"/>
            <w:shd w:val="clear" w:color="auto" w:fill="A5A5A5"/>
            <w:vAlign w:val="center"/>
          </w:tcPr>
          <w:p w14:paraId="6029799F" w14:textId="77777777" w:rsidR="00F34DD4" w:rsidRPr="00807CE7" w:rsidRDefault="00F34DD4" w:rsidP="008C4FC1">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2017</w:t>
            </w:r>
          </w:p>
        </w:tc>
        <w:tc>
          <w:tcPr>
            <w:tcW w:w="1134" w:type="dxa"/>
            <w:shd w:val="clear" w:color="auto" w:fill="A5A5A5"/>
            <w:vAlign w:val="center"/>
          </w:tcPr>
          <w:p w14:paraId="322BC3B8" w14:textId="77777777" w:rsidR="00F34DD4" w:rsidRPr="00807CE7" w:rsidRDefault="00F34DD4" w:rsidP="008C4FC1">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2018</w:t>
            </w:r>
          </w:p>
        </w:tc>
        <w:tc>
          <w:tcPr>
            <w:tcW w:w="1134" w:type="dxa"/>
            <w:shd w:val="clear" w:color="auto" w:fill="A5A5A5"/>
          </w:tcPr>
          <w:p w14:paraId="54004674" w14:textId="77777777" w:rsidR="00F34DD4" w:rsidRPr="00807CE7" w:rsidRDefault="00F34DD4" w:rsidP="008C4FC1">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2019</w:t>
            </w:r>
          </w:p>
        </w:tc>
        <w:tc>
          <w:tcPr>
            <w:tcW w:w="1134" w:type="dxa"/>
            <w:shd w:val="clear" w:color="auto" w:fill="A5A5A5"/>
          </w:tcPr>
          <w:p w14:paraId="299BBD76" w14:textId="77777777" w:rsidR="00F34DD4" w:rsidRPr="00807CE7" w:rsidRDefault="00F34DD4" w:rsidP="008C4FC1">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2020</w:t>
            </w:r>
          </w:p>
        </w:tc>
        <w:tc>
          <w:tcPr>
            <w:tcW w:w="1134" w:type="dxa"/>
            <w:shd w:val="clear" w:color="auto" w:fill="A5A5A5"/>
          </w:tcPr>
          <w:p w14:paraId="56C0323B" w14:textId="77777777" w:rsidR="00F34DD4" w:rsidRPr="00807CE7" w:rsidRDefault="00F34DD4" w:rsidP="008C4FC1">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2021</w:t>
            </w:r>
          </w:p>
        </w:tc>
      </w:tr>
      <w:tr w:rsidR="00F34DD4" w:rsidRPr="00807CE7" w14:paraId="61DC5B02" w14:textId="77777777" w:rsidTr="00F34DD4">
        <w:trPr>
          <w:trHeight w:val="340"/>
          <w:jc w:val="center"/>
        </w:trPr>
        <w:tc>
          <w:tcPr>
            <w:tcW w:w="2891" w:type="dxa"/>
            <w:shd w:val="clear" w:color="auto" w:fill="FFFFFF"/>
            <w:vAlign w:val="center"/>
          </w:tcPr>
          <w:p w14:paraId="3A08CD8E"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Прямі інвестиції активи, Румунія</w:t>
            </w:r>
          </w:p>
        </w:tc>
        <w:tc>
          <w:tcPr>
            <w:tcW w:w="1134" w:type="dxa"/>
            <w:shd w:val="clear" w:color="auto" w:fill="auto"/>
            <w:vAlign w:val="center"/>
          </w:tcPr>
          <w:p w14:paraId="7EC29A1F"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386,3</w:t>
            </w:r>
          </w:p>
        </w:tc>
        <w:tc>
          <w:tcPr>
            <w:tcW w:w="1134" w:type="dxa"/>
            <w:shd w:val="clear" w:color="auto" w:fill="auto"/>
            <w:vAlign w:val="center"/>
          </w:tcPr>
          <w:p w14:paraId="0A9F99CA"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1 503,4</w:t>
            </w:r>
          </w:p>
        </w:tc>
        <w:tc>
          <w:tcPr>
            <w:tcW w:w="1134" w:type="dxa"/>
            <w:vAlign w:val="center"/>
          </w:tcPr>
          <w:p w14:paraId="27DB9E0B"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1 923,6</w:t>
            </w:r>
          </w:p>
        </w:tc>
        <w:tc>
          <w:tcPr>
            <w:tcW w:w="1134" w:type="dxa"/>
            <w:vAlign w:val="center"/>
          </w:tcPr>
          <w:p w14:paraId="2F4AE6A9"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198,6</w:t>
            </w:r>
          </w:p>
        </w:tc>
        <w:tc>
          <w:tcPr>
            <w:tcW w:w="1134" w:type="dxa"/>
            <w:vAlign w:val="center"/>
          </w:tcPr>
          <w:p w14:paraId="677FB2FD"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1 339,5</w:t>
            </w:r>
          </w:p>
        </w:tc>
      </w:tr>
      <w:tr w:rsidR="00F34DD4" w:rsidRPr="00807CE7" w14:paraId="4650CBC5" w14:textId="77777777" w:rsidTr="00F34DD4">
        <w:trPr>
          <w:trHeight w:val="340"/>
          <w:jc w:val="center"/>
        </w:trPr>
        <w:tc>
          <w:tcPr>
            <w:tcW w:w="2891" w:type="dxa"/>
            <w:shd w:val="clear" w:color="auto" w:fill="FFFFFF"/>
            <w:vAlign w:val="center"/>
          </w:tcPr>
          <w:p w14:paraId="5D9C4D77"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Прямі інвестиції зобов'язання, Румунія</w:t>
            </w:r>
          </w:p>
        </w:tc>
        <w:tc>
          <w:tcPr>
            <w:tcW w:w="1134" w:type="dxa"/>
            <w:shd w:val="clear" w:color="auto" w:fill="auto"/>
            <w:vAlign w:val="center"/>
          </w:tcPr>
          <w:p w14:paraId="5054C418"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5 952,9</w:t>
            </w:r>
          </w:p>
        </w:tc>
        <w:tc>
          <w:tcPr>
            <w:tcW w:w="1134" w:type="dxa"/>
            <w:shd w:val="clear" w:color="auto" w:fill="auto"/>
            <w:vAlign w:val="center"/>
          </w:tcPr>
          <w:p w14:paraId="5EF39BD7"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7 343,6</w:t>
            </w:r>
          </w:p>
        </w:tc>
        <w:tc>
          <w:tcPr>
            <w:tcW w:w="1134" w:type="dxa"/>
            <w:vAlign w:val="center"/>
          </w:tcPr>
          <w:p w14:paraId="42AE801D"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7 365,4</w:t>
            </w:r>
          </w:p>
        </w:tc>
        <w:tc>
          <w:tcPr>
            <w:tcW w:w="1134" w:type="dxa"/>
            <w:vAlign w:val="center"/>
          </w:tcPr>
          <w:p w14:paraId="3B75BFC9"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3 602,4</w:t>
            </w:r>
          </w:p>
        </w:tc>
        <w:tc>
          <w:tcPr>
            <w:tcW w:w="1134" w:type="dxa"/>
            <w:vAlign w:val="center"/>
          </w:tcPr>
          <w:p w14:paraId="2F4B6766"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11 738,2</w:t>
            </w:r>
          </w:p>
        </w:tc>
      </w:tr>
      <w:tr w:rsidR="00F34DD4" w:rsidRPr="00807CE7" w14:paraId="795103F0" w14:textId="77777777" w:rsidTr="00F34DD4">
        <w:trPr>
          <w:trHeight w:val="340"/>
          <w:jc w:val="center"/>
        </w:trPr>
        <w:tc>
          <w:tcPr>
            <w:tcW w:w="2891" w:type="dxa"/>
            <w:shd w:val="clear" w:color="auto" w:fill="FFFFFF"/>
            <w:vAlign w:val="center"/>
          </w:tcPr>
          <w:p w14:paraId="24A62633"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прямих інвестицій, Румунія</w:t>
            </w:r>
          </w:p>
        </w:tc>
        <w:tc>
          <w:tcPr>
            <w:tcW w:w="1134" w:type="dxa"/>
            <w:shd w:val="clear" w:color="auto" w:fill="auto"/>
            <w:vAlign w:val="center"/>
          </w:tcPr>
          <w:p w14:paraId="15144002"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-5 566,6</w:t>
            </w:r>
          </w:p>
        </w:tc>
        <w:tc>
          <w:tcPr>
            <w:tcW w:w="1134" w:type="dxa"/>
            <w:shd w:val="clear" w:color="auto" w:fill="auto"/>
            <w:vAlign w:val="center"/>
          </w:tcPr>
          <w:p w14:paraId="44E83929"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-5 840,1</w:t>
            </w:r>
          </w:p>
        </w:tc>
        <w:tc>
          <w:tcPr>
            <w:tcW w:w="1134" w:type="dxa"/>
            <w:vAlign w:val="center"/>
          </w:tcPr>
          <w:p w14:paraId="1BE5A8B9"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-5 441,6</w:t>
            </w:r>
          </w:p>
        </w:tc>
        <w:tc>
          <w:tcPr>
            <w:tcW w:w="1134" w:type="dxa"/>
            <w:vAlign w:val="center"/>
          </w:tcPr>
          <w:p w14:paraId="548677FB"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-3 403,8</w:t>
            </w:r>
          </w:p>
        </w:tc>
        <w:tc>
          <w:tcPr>
            <w:tcW w:w="1134" w:type="dxa"/>
            <w:vAlign w:val="center"/>
          </w:tcPr>
          <w:p w14:paraId="45B5A98E"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-10 398,7</w:t>
            </w:r>
          </w:p>
        </w:tc>
      </w:tr>
      <w:tr w:rsidR="00F34DD4" w:rsidRPr="00807CE7" w14:paraId="172257B5" w14:textId="77777777" w:rsidTr="00F34DD4">
        <w:trPr>
          <w:trHeight w:val="340"/>
          <w:jc w:val="center"/>
        </w:trPr>
        <w:tc>
          <w:tcPr>
            <w:tcW w:w="2891" w:type="dxa"/>
            <w:shd w:val="clear" w:color="auto" w:fill="FFFFFF"/>
            <w:vAlign w:val="center"/>
          </w:tcPr>
          <w:p w14:paraId="3410FECE"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Прямі інвестиції активи, Болгарія</w:t>
            </w:r>
          </w:p>
        </w:tc>
        <w:tc>
          <w:tcPr>
            <w:tcW w:w="1134" w:type="dxa"/>
            <w:shd w:val="clear" w:color="auto" w:fill="auto"/>
            <w:vAlign w:val="center"/>
          </w:tcPr>
          <w:p w14:paraId="0B0BFEFA"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495,8</w:t>
            </w:r>
          </w:p>
        </w:tc>
        <w:tc>
          <w:tcPr>
            <w:tcW w:w="1134" w:type="dxa"/>
            <w:shd w:val="clear" w:color="auto" w:fill="auto"/>
            <w:vAlign w:val="center"/>
          </w:tcPr>
          <w:p w14:paraId="66418400"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924,4</w:t>
            </w:r>
          </w:p>
        </w:tc>
        <w:tc>
          <w:tcPr>
            <w:tcW w:w="1134" w:type="dxa"/>
            <w:vAlign w:val="center"/>
          </w:tcPr>
          <w:p w14:paraId="7A71E344"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829,1</w:t>
            </w:r>
          </w:p>
        </w:tc>
        <w:tc>
          <w:tcPr>
            <w:tcW w:w="1134" w:type="dxa"/>
            <w:vAlign w:val="center"/>
          </w:tcPr>
          <w:p w14:paraId="7E289DC9"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437,3</w:t>
            </w:r>
          </w:p>
        </w:tc>
        <w:tc>
          <w:tcPr>
            <w:tcW w:w="1134" w:type="dxa"/>
            <w:vAlign w:val="center"/>
          </w:tcPr>
          <w:p w14:paraId="773A3269"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928,4</w:t>
            </w:r>
          </w:p>
        </w:tc>
      </w:tr>
      <w:tr w:rsidR="00F34DD4" w:rsidRPr="00807CE7" w14:paraId="2806C032" w14:textId="77777777" w:rsidTr="00F34DD4">
        <w:trPr>
          <w:trHeight w:val="340"/>
          <w:jc w:val="center"/>
        </w:trPr>
        <w:tc>
          <w:tcPr>
            <w:tcW w:w="2891" w:type="dxa"/>
            <w:shd w:val="clear" w:color="auto" w:fill="FFFFFF"/>
            <w:vAlign w:val="center"/>
          </w:tcPr>
          <w:p w14:paraId="1B8B720E"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Прямі інвестиції зобов'язання, Болгарія</w:t>
            </w:r>
          </w:p>
        </w:tc>
        <w:tc>
          <w:tcPr>
            <w:tcW w:w="1134" w:type="dxa"/>
            <w:shd w:val="clear" w:color="auto" w:fill="auto"/>
            <w:vAlign w:val="center"/>
          </w:tcPr>
          <w:p w14:paraId="4FA33882"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2 007,3</w:t>
            </w:r>
          </w:p>
        </w:tc>
        <w:tc>
          <w:tcPr>
            <w:tcW w:w="1134" w:type="dxa"/>
            <w:shd w:val="clear" w:color="auto" w:fill="auto"/>
            <w:vAlign w:val="center"/>
          </w:tcPr>
          <w:p w14:paraId="43BBC09F"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1 809,9</w:t>
            </w:r>
          </w:p>
        </w:tc>
        <w:tc>
          <w:tcPr>
            <w:tcW w:w="1134" w:type="dxa"/>
            <w:vAlign w:val="center"/>
          </w:tcPr>
          <w:p w14:paraId="14D97519"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2 221,3</w:t>
            </w:r>
          </w:p>
        </w:tc>
        <w:tc>
          <w:tcPr>
            <w:tcW w:w="1134" w:type="dxa"/>
            <w:vAlign w:val="center"/>
          </w:tcPr>
          <w:p w14:paraId="756DF1AE"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3 599,7</w:t>
            </w:r>
          </w:p>
        </w:tc>
        <w:tc>
          <w:tcPr>
            <w:tcW w:w="1134" w:type="dxa"/>
            <w:vAlign w:val="center"/>
          </w:tcPr>
          <w:p w14:paraId="15DDA9DB"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2 124,3</w:t>
            </w:r>
          </w:p>
        </w:tc>
      </w:tr>
      <w:tr w:rsidR="00F34DD4" w:rsidRPr="00807CE7" w14:paraId="27E04F90" w14:textId="77777777" w:rsidTr="00F34DD4">
        <w:trPr>
          <w:trHeight w:val="340"/>
          <w:jc w:val="center"/>
        </w:trPr>
        <w:tc>
          <w:tcPr>
            <w:tcW w:w="2891" w:type="dxa"/>
            <w:shd w:val="clear" w:color="auto" w:fill="FFFFFF"/>
            <w:vAlign w:val="center"/>
          </w:tcPr>
          <w:p w14:paraId="2608111D"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прямих інвестицій, Болгарія</w:t>
            </w:r>
          </w:p>
        </w:tc>
        <w:tc>
          <w:tcPr>
            <w:tcW w:w="1134" w:type="dxa"/>
            <w:shd w:val="clear" w:color="auto" w:fill="auto"/>
            <w:vAlign w:val="center"/>
          </w:tcPr>
          <w:p w14:paraId="1E853BEF"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-1 511,5</w:t>
            </w:r>
          </w:p>
        </w:tc>
        <w:tc>
          <w:tcPr>
            <w:tcW w:w="1134" w:type="dxa"/>
            <w:shd w:val="clear" w:color="auto" w:fill="auto"/>
            <w:vAlign w:val="center"/>
          </w:tcPr>
          <w:p w14:paraId="785914B7"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-885,5</w:t>
            </w:r>
          </w:p>
        </w:tc>
        <w:tc>
          <w:tcPr>
            <w:tcW w:w="1134" w:type="dxa"/>
            <w:vAlign w:val="center"/>
          </w:tcPr>
          <w:p w14:paraId="0C7CA8F8"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-1 392,1</w:t>
            </w:r>
          </w:p>
        </w:tc>
        <w:tc>
          <w:tcPr>
            <w:tcW w:w="1134" w:type="dxa"/>
            <w:vAlign w:val="center"/>
          </w:tcPr>
          <w:p w14:paraId="256AE892"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-3 162,4</w:t>
            </w:r>
          </w:p>
        </w:tc>
        <w:tc>
          <w:tcPr>
            <w:tcW w:w="1134" w:type="dxa"/>
            <w:vAlign w:val="center"/>
          </w:tcPr>
          <w:p w14:paraId="1168DE8B"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-1 195,9</w:t>
            </w:r>
          </w:p>
        </w:tc>
      </w:tr>
      <w:tr w:rsidR="00F34DD4" w:rsidRPr="00807CE7" w14:paraId="7D652361" w14:textId="77777777" w:rsidTr="00F34DD4">
        <w:trPr>
          <w:trHeight w:val="340"/>
          <w:jc w:val="center"/>
        </w:trPr>
        <w:tc>
          <w:tcPr>
            <w:tcW w:w="2891" w:type="dxa"/>
            <w:shd w:val="clear" w:color="auto" w:fill="FFFFFF"/>
            <w:vAlign w:val="center"/>
          </w:tcPr>
          <w:p w14:paraId="63591FA7"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Портфельні інвестиції активи, Румунія</w:t>
            </w:r>
          </w:p>
        </w:tc>
        <w:tc>
          <w:tcPr>
            <w:tcW w:w="1134" w:type="dxa"/>
            <w:shd w:val="clear" w:color="auto" w:fill="auto"/>
            <w:vAlign w:val="center"/>
          </w:tcPr>
          <w:p w14:paraId="6D20296D"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569,7</w:t>
            </w:r>
          </w:p>
        </w:tc>
        <w:tc>
          <w:tcPr>
            <w:tcW w:w="1134" w:type="dxa"/>
            <w:shd w:val="clear" w:color="auto" w:fill="auto"/>
            <w:vAlign w:val="center"/>
          </w:tcPr>
          <w:p w14:paraId="05E219AF"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493,0</w:t>
            </w:r>
          </w:p>
        </w:tc>
        <w:tc>
          <w:tcPr>
            <w:tcW w:w="1134" w:type="dxa"/>
            <w:vAlign w:val="center"/>
          </w:tcPr>
          <w:p w14:paraId="4E001562"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1 542,1</w:t>
            </w:r>
          </w:p>
        </w:tc>
        <w:tc>
          <w:tcPr>
            <w:tcW w:w="1134" w:type="dxa"/>
            <w:vAlign w:val="center"/>
          </w:tcPr>
          <w:p w14:paraId="74411D07"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42,1</w:t>
            </w:r>
          </w:p>
        </w:tc>
        <w:tc>
          <w:tcPr>
            <w:tcW w:w="1134" w:type="dxa"/>
            <w:vAlign w:val="center"/>
          </w:tcPr>
          <w:p w14:paraId="010379E0"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1 853,9</w:t>
            </w:r>
          </w:p>
        </w:tc>
      </w:tr>
      <w:tr w:rsidR="00F34DD4" w:rsidRPr="00807CE7" w14:paraId="70693FAD" w14:textId="77777777" w:rsidTr="00F34DD4">
        <w:trPr>
          <w:trHeight w:val="340"/>
          <w:jc w:val="center"/>
        </w:trPr>
        <w:tc>
          <w:tcPr>
            <w:tcW w:w="2891" w:type="dxa"/>
            <w:shd w:val="clear" w:color="auto" w:fill="FFFFFF"/>
            <w:vAlign w:val="center"/>
          </w:tcPr>
          <w:p w14:paraId="2C0B4A55"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Портфельні інвестиції зобов'язання, Румунія</w:t>
            </w:r>
          </w:p>
        </w:tc>
        <w:tc>
          <w:tcPr>
            <w:tcW w:w="1134" w:type="dxa"/>
            <w:shd w:val="clear" w:color="auto" w:fill="auto"/>
            <w:vAlign w:val="center"/>
          </w:tcPr>
          <w:p w14:paraId="482F6FBA"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3 928,0</w:t>
            </w:r>
          </w:p>
        </w:tc>
        <w:tc>
          <w:tcPr>
            <w:tcW w:w="1134" w:type="dxa"/>
            <w:shd w:val="clear" w:color="auto" w:fill="auto"/>
            <w:vAlign w:val="center"/>
          </w:tcPr>
          <w:p w14:paraId="5EDE0C08"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3 907,5</w:t>
            </w:r>
          </w:p>
        </w:tc>
        <w:tc>
          <w:tcPr>
            <w:tcW w:w="1134" w:type="dxa"/>
            <w:vAlign w:val="center"/>
          </w:tcPr>
          <w:p w14:paraId="07808A77"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4 255,3</w:t>
            </w:r>
          </w:p>
        </w:tc>
        <w:tc>
          <w:tcPr>
            <w:tcW w:w="1134" w:type="dxa"/>
            <w:vAlign w:val="center"/>
          </w:tcPr>
          <w:p w14:paraId="694CBEDC"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15 315,7</w:t>
            </w:r>
          </w:p>
        </w:tc>
        <w:tc>
          <w:tcPr>
            <w:tcW w:w="1134" w:type="dxa"/>
            <w:vAlign w:val="center"/>
          </w:tcPr>
          <w:p w14:paraId="4042F0A3"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6 006,3</w:t>
            </w:r>
          </w:p>
        </w:tc>
      </w:tr>
      <w:tr w:rsidR="00F34DD4" w:rsidRPr="00807CE7" w14:paraId="0587A123" w14:textId="77777777" w:rsidTr="00F34DD4">
        <w:trPr>
          <w:trHeight w:val="340"/>
          <w:jc w:val="center"/>
        </w:trPr>
        <w:tc>
          <w:tcPr>
            <w:tcW w:w="2891" w:type="dxa"/>
            <w:shd w:val="clear" w:color="auto" w:fill="FFFFFF"/>
            <w:vAlign w:val="center"/>
          </w:tcPr>
          <w:p w14:paraId="10BCCDBB"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портфельних інвестицій, Румунія</w:t>
            </w:r>
          </w:p>
        </w:tc>
        <w:tc>
          <w:tcPr>
            <w:tcW w:w="1134" w:type="dxa"/>
            <w:shd w:val="clear" w:color="auto" w:fill="auto"/>
            <w:vAlign w:val="center"/>
          </w:tcPr>
          <w:p w14:paraId="362D3868"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-3 358,3</w:t>
            </w:r>
          </w:p>
        </w:tc>
        <w:tc>
          <w:tcPr>
            <w:tcW w:w="1134" w:type="dxa"/>
            <w:shd w:val="clear" w:color="auto" w:fill="auto"/>
            <w:vAlign w:val="center"/>
          </w:tcPr>
          <w:p w14:paraId="7FD9AD77"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-3 414,5</w:t>
            </w:r>
          </w:p>
        </w:tc>
        <w:tc>
          <w:tcPr>
            <w:tcW w:w="1134" w:type="dxa"/>
            <w:vAlign w:val="center"/>
          </w:tcPr>
          <w:p w14:paraId="5CE0BD91"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-2 713,0</w:t>
            </w:r>
          </w:p>
        </w:tc>
        <w:tc>
          <w:tcPr>
            <w:tcW w:w="1134" w:type="dxa"/>
            <w:vAlign w:val="center"/>
          </w:tcPr>
          <w:p w14:paraId="34D54FF3"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-15 273,6</w:t>
            </w:r>
          </w:p>
        </w:tc>
        <w:tc>
          <w:tcPr>
            <w:tcW w:w="1134" w:type="dxa"/>
            <w:vAlign w:val="center"/>
          </w:tcPr>
          <w:p w14:paraId="7668E2CF"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-4 152,2</w:t>
            </w:r>
          </w:p>
        </w:tc>
      </w:tr>
      <w:tr w:rsidR="00F34DD4" w:rsidRPr="00807CE7" w14:paraId="5513CD46" w14:textId="77777777" w:rsidTr="00F34DD4">
        <w:trPr>
          <w:trHeight w:val="340"/>
          <w:jc w:val="center"/>
        </w:trPr>
        <w:tc>
          <w:tcPr>
            <w:tcW w:w="2891" w:type="dxa"/>
            <w:shd w:val="clear" w:color="auto" w:fill="FFFFFF"/>
            <w:vAlign w:val="center"/>
          </w:tcPr>
          <w:p w14:paraId="3F3D781C"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Портфельні інвестиції активи, Болгарія</w:t>
            </w:r>
          </w:p>
        </w:tc>
        <w:tc>
          <w:tcPr>
            <w:tcW w:w="1134" w:type="dxa"/>
            <w:shd w:val="clear" w:color="auto" w:fill="auto"/>
            <w:vAlign w:val="center"/>
          </w:tcPr>
          <w:p w14:paraId="34358D15"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2 101,0</w:t>
            </w:r>
          </w:p>
        </w:tc>
        <w:tc>
          <w:tcPr>
            <w:tcW w:w="1134" w:type="dxa"/>
            <w:shd w:val="clear" w:color="auto" w:fill="auto"/>
            <w:vAlign w:val="center"/>
          </w:tcPr>
          <w:p w14:paraId="05724057"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1 063,5</w:t>
            </w:r>
          </w:p>
        </w:tc>
        <w:tc>
          <w:tcPr>
            <w:tcW w:w="1134" w:type="dxa"/>
            <w:vAlign w:val="center"/>
          </w:tcPr>
          <w:p w14:paraId="0B1AF7B1"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1 697,3</w:t>
            </w:r>
          </w:p>
        </w:tc>
        <w:tc>
          <w:tcPr>
            <w:tcW w:w="1134" w:type="dxa"/>
            <w:vAlign w:val="center"/>
          </w:tcPr>
          <w:p w14:paraId="249CE99D"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2 708,1</w:t>
            </w:r>
          </w:p>
        </w:tc>
        <w:tc>
          <w:tcPr>
            <w:tcW w:w="1134" w:type="dxa"/>
            <w:vAlign w:val="center"/>
          </w:tcPr>
          <w:p w14:paraId="32BAFB3C"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2 904,4</w:t>
            </w:r>
          </w:p>
        </w:tc>
      </w:tr>
      <w:tr w:rsidR="00F34DD4" w:rsidRPr="00807CE7" w14:paraId="58D737BF" w14:textId="77777777" w:rsidTr="00F34DD4">
        <w:trPr>
          <w:trHeight w:val="340"/>
          <w:jc w:val="center"/>
        </w:trPr>
        <w:tc>
          <w:tcPr>
            <w:tcW w:w="2891" w:type="dxa"/>
            <w:shd w:val="clear" w:color="auto" w:fill="FFFFFF"/>
            <w:vAlign w:val="center"/>
          </w:tcPr>
          <w:p w14:paraId="73B6DC2E"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Портфельні інвестиції зобов'язання, Болгарія</w:t>
            </w:r>
          </w:p>
        </w:tc>
        <w:tc>
          <w:tcPr>
            <w:tcW w:w="1134" w:type="dxa"/>
            <w:shd w:val="clear" w:color="auto" w:fill="auto"/>
            <w:vAlign w:val="center"/>
          </w:tcPr>
          <w:p w14:paraId="4929C42D"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-1 156,1</w:t>
            </w:r>
          </w:p>
        </w:tc>
        <w:tc>
          <w:tcPr>
            <w:tcW w:w="1134" w:type="dxa"/>
            <w:shd w:val="clear" w:color="auto" w:fill="auto"/>
            <w:vAlign w:val="center"/>
          </w:tcPr>
          <w:p w14:paraId="6257C8BD"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-777,6</w:t>
            </w:r>
          </w:p>
        </w:tc>
        <w:tc>
          <w:tcPr>
            <w:tcW w:w="1134" w:type="dxa"/>
            <w:vAlign w:val="center"/>
          </w:tcPr>
          <w:p w14:paraId="5CBCE50F"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-95,5</w:t>
            </w:r>
          </w:p>
        </w:tc>
        <w:tc>
          <w:tcPr>
            <w:tcW w:w="1134" w:type="dxa"/>
            <w:vAlign w:val="center"/>
          </w:tcPr>
          <w:p w14:paraId="55AC4797"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1 895,2</w:t>
            </w:r>
          </w:p>
        </w:tc>
        <w:tc>
          <w:tcPr>
            <w:tcW w:w="1134" w:type="dxa"/>
            <w:vAlign w:val="center"/>
          </w:tcPr>
          <w:p w14:paraId="4D434F36"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166,5</w:t>
            </w:r>
          </w:p>
        </w:tc>
      </w:tr>
      <w:tr w:rsidR="00F34DD4" w:rsidRPr="00807CE7" w14:paraId="68D26883" w14:textId="77777777" w:rsidTr="00F34DD4">
        <w:trPr>
          <w:trHeight w:val="340"/>
          <w:jc w:val="center"/>
        </w:trPr>
        <w:tc>
          <w:tcPr>
            <w:tcW w:w="2891" w:type="dxa"/>
            <w:shd w:val="clear" w:color="auto" w:fill="FFFFFF"/>
            <w:vAlign w:val="center"/>
          </w:tcPr>
          <w:p w14:paraId="538271D4" w14:textId="77777777" w:rsidR="00F34DD4" w:rsidRPr="00807CE7" w:rsidRDefault="00F34DD4" w:rsidP="008C4FC1">
            <w:pPr>
              <w:widowControl w:val="0"/>
              <w:suppressAutoHyphens/>
              <w:jc w:val="center"/>
              <w:rPr>
                <w:rFonts w:ascii="Times New Roman" w:eastAsia="Times New Roman" w:hAnsi="Times New Roman" w:cs="Times New Roman"/>
                <w:b/>
                <w:bCs/>
                <w:color w:val="202124"/>
              </w:rPr>
            </w:pPr>
            <w:r w:rsidRPr="00807CE7">
              <w:rPr>
                <w:rFonts w:ascii="Times New Roman" w:eastAsia="Times New Roman" w:hAnsi="Times New Roman" w:cs="Times New Roman"/>
                <w:b/>
                <w:bCs/>
                <w:color w:val="000000"/>
              </w:rPr>
              <w:t>Сальдо портфельних інвестицій, Болгарія</w:t>
            </w:r>
          </w:p>
        </w:tc>
        <w:tc>
          <w:tcPr>
            <w:tcW w:w="1134" w:type="dxa"/>
            <w:shd w:val="clear" w:color="auto" w:fill="auto"/>
            <w:vAlign w:val="center"/>
          </w:tcPr>
          <w:p w14:paraId="4E55AAE1"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3 257,1</w:t>
            </w:r>
          </w:p>
        </w:tc>
        <w:tc>
          <w:tcPr>
            <w:tcW w:w="1134" w:type="dxa"/>
            <w:shd w:val="clear" w:color="auto" w:fill="auto"/>
            <w:vAlign w:val="center"/>
          </w:tcPr>
          <w:p w14:paraId="478963E9"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1 841,1</w:t>
            </w:r>
          </w:p>
        </w:tc>
        <w:tc>
          <w:tcPr>
            <w:tcW w:w="1134" w:type="dxa"/>
            <w:vAlign w:val="center"/>
          </w:tcPr>
          <w:p w14:paraId="7CCACA3E"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1 792,8</w:t>
            </w:r>
          </w:p>
        </w:tc>
        <w:tc>
          <w:tcPr>
            <w:tcW w:w="1134" w:type="dxa"/>
            <w:vAlign w:val="center"/>
          </w:tcPr>
          <w:p w14:paraId="0ABD9C3F"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812,9</w:t>
            </w:r>
          </w:p>
        </w:tc>
        <w:tc>
          <w:tcPr>
            <w:tcW w:w="1134" w:type="dxa"/>
            <w:vAlign w:val="center"/>
          </w:tcPr>
          <w:p w14:paraId="271FC9C5"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2 737,9</w:t>
            </w:r>
          </w:p>
        </w:tc>
      </w:tr>
      <w:tr w:rsidR="00F34DD4" w:rsidRPr="00807CE7" w14:paraId="1C6FB259" w14:textId="77777777" w:rsidTr="00F34DD4">
        <w:trPr>
          <w:trHeight w:val="340"/>
          <w:jc w:val="center"/>
        </w:trPr>
        <w:tc>
          <w:tcPr>
            <w:tcW w:w="2891" w:type="dxa"/>
            <w:shd w:val="clear" w:color="auto" w:fill="FFFFFF"/>
            <w:vAlign w:val="center"/>
          </w:tcPr>
          <w:p w14:paraId="6B006392"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lastRenderedPageBreak/>
              <w:t>Інші інвестиції активи, Румунія</w:t>
            </w:r>
          </w:p>
        </w:tc>
        <w:tc>
          <w:tcPr>
            <w:tcW w:w="1134" w:type="dxa"/>
            <w:shd w:val="clear" w:color="auto" w:fill="auto"/>
            <w:vAlign w:val="center"/>
          </w:tcPr>
          <w:p w14:paraId="08F8CD28"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3 660,5</w:t>
            </w:r>
          </w:p>
        </w:tc>
        <w:tc>
          <w:tcPr>
            <w:tcW w:w="1134" w:type="dxa"/>
            <w:shd w:val="clear" w:color="auto" w:fill="auto"/>
            <w:vAlign w:val="center"/>
          </w:tcPr>
          <w:p w14:paraId="4BE32769"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2 277,0</w:t>
            </w:r>
          </w:p>
        </w:tc>
        <w:tc>
          <w:tcPr>
            <w:tcW w:w="1134" w:type="dxa"/>
            <w:vAlign w:val="center"/>
          </w:tcPr>
          <w:p w14:paraId="646BC39B"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788,1</w:t>
            </w:r>
          </w:p>
        </w:tc>
        <w:tc>
          <w:tcPr>
            <w:tcW w:w="1134" w:type="dxa"/>
            <w:vAlign w:val="center"/>
          </w:tcPr>
          <w:p w14:paraId="153BF0B2"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6 900,8</w:t>
            </w:r>
          </w:p>
        </w:tc>
        <w:tc>
          <w:tcPr>
            <w:tcW w:w="1134" w:type="dxa"/>
            <w:vAlign w:val="center"/>
          </w:tcPr>
          <w:p w14:paraId="378D98E8"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-1 473,9</w:t>
            </w:r>
          </w:p>
        </w:tc>
      </w:tr>
      <w:tr w:rsidR="00F34DD4" w:rsidRPr="00807CE7" w14:paraId="3990D4C9" w14:textId="77777777" w:rsidTr="00F34DD4">
        <w:trPr>
          <w:trHeight w:val="340"/>
          <w:jc w:val="center"/>
        </w:trPr>
        <w:tc>
          <w:tcPr>
            <w:tcW w:w="2891" w:type="dxa"/>
            <w:shd w:val="clear" w:color="auto" w:fill="FFFFFF"/>
            <w:vAlign w:val="center"/>
          </w:tcPr>
          <w:p w14:paraId="0419D408" w14:textId="77777777" w:rsidR="00F34DD4" w:rsidRPr="00807CE7" w:rsidRDefault="00F34DD4" w:rsidP="008C4FC1">
            <w:pPr>
              <w:widowControl w:val="0"/>
              <w:suppressAutoHyphens/>
              <w:jc w:val="center"/>
              <w:rPr>
                <w:rFonts w:ascii="Times New Roman" w:eastAsia="Times New Roman" w:hAnsi="Times New Roman" w:cs="Times New Roman"/>
                <w:color w:val="202124"/>
              </w:rPr>
            </w:pPr>
            <w:r w:rsidRPr="00807CE7">
              <w:rPr>
                <w:rFonts w:ascii="Times New Roman" w:eastAsia="Times New Roman" w:hAnsi="Times New Roman" w:cs="Times New Roman"/>
                <w:color w:val="000000"/>
              </w:rPr>
              <w:t>Інші інвестиції зобов'язання, Румунія</w:t>
            </w:r>
          </w:p>
        </w:tc>
        <w:tc>
          <w:tcPr>
            <w:tcW w:w="1134" w:type="dxa"/>
            <w:shd w:val="clear" w:color="auto" w:fill="auto"/>
            <w:vAlign w:val="center"/>
          </w:tcPr>
          <w:p w14:paraId="6DE7E642"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-1 522,3</w:t>
            </w:r>
          </w:p>
        </w:tc>
        <w:tc>
          <w:tcPr>
            <w:tcW w:w="1134" w:type="dxa"/>
            <w:shd w:val="clear" w:color="auto" w:fill="auto"/>
            <w:vAlign w:val="center"/>
          </w:tcPr>
          <w:p w14:paraId="74796A62"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-1 774,5</w:t>
            </w:r>
          </w:p>
        </w:tc>
        <w:tc>
          <w:tcPr>
            <w:tcW w:w="1134" w:type="dxa"/>
            <w:vAlign w:val="center"/>
          </w:tcPr>
          <w:p w14:paraId="70F32DE8"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-1 983,1</w:t>
            </w:r>
          </w:p>
        </w:tc>
        <w:tc>
          <w:tcPr>
            <w:tcW w:w="1134" w:type="dxa"/>
            <w:vAlign w:val="center"/>
          </w:tcPr>
          <w:p w14:paraId="3C35044F"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3 679,4</w:t>
            </w:r>
          </w:p>
        </w:tc>
        <w:tc>
          <w:tcPr>
            <w:tcW w:w="1134" w:type="dxa"/>
            <w:vAlign w:val="center"/>
          </w:tcPr>
          <w:p w14:paraId="58F31B3F"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4 149,2</w:t>
            </w:r>
          </w:p>
        </w:tc>
      </w:tr>
      <w:tr w:rsidR="00F34DD4" w:rsidRPr="00807CE7" w14:paraId="0E840050" w14:textId="77777777" w:rsidTr="00F34DD4">
        <w:trPr>
          <w:trHeight w:val="340"/>
          <w:jc w:val="center"/>
        </w:trPr>
        <w:tc>
          <w:tcPr>
            <w:tcW w:w="2891" w:type="dxa"/>
            <w:shd w:val="clear" w:color="auto" w:fill="FFFFFF"/>
            <w:vAlign w:val="center"/>
          </w:tcPr>
          <w:p w14:paraId="043FE928"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інших інвестицій, Румунія</w:t>
            </w:r>
          </w:p>
        </w:tc>
        <w:tc>
          <w:tcPr>
            <w:tcW w:w="1134" w:type="dxa"/>
            <w:shd w:val="clear" w:color="auto" w:fill="auto"/>
            <w:vAlign w:val="center"/>
          </w:tcPr>
          <w:p w14:paraId="22E06313"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5 182,8</w:t>
            </w:r>
          </w:p>
        </w:tc>
        <w:tc>
          <w:tcPr>
            <w:tcW w:w="1134" w:type="dxa"/>
            <w:shd w:val="clear" w:color="auto" w:fill="auto"/>
            <w:vAlign w:val="center"/>
          </w:tcPr>
          <w:p w14:paraId="15458494"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4 051,4</w:t>
            </w:r>
          </w:p>
        </w:tc>
        <w:tc>
          <w:tcPr>
            <w:tcW w:w="1134" w:type="dxa"/>
            <w:vAlign w:val="center"/>
          </w:tcPr>
          <w:p w14:paraId="26FBEFD8"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2 771,4</w:t>
            </w:r>
          </w:p>
        </w:tc>
        <w:tc>
          <w:tcPr>
            <w:tcW w:w="1134" w:type="dxa"/>
            <w:vAlign w:val="center"/>
          </w:tcPr>
          <w:p w14:paraId="2A2CEF49"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3 221,2</w:t>
            </w:r>
          </w:p>
        </w:tc>
        <w:tc>
          <w:tcPr>
            <w:tcW w:w="1134" w:type="dxa"/>
            <w:vAlign w:val="center"/>
          </w:tcPr>
          <w:p w14:paraId="18E497BE"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-5 623,1</w:t>
            </w:r>
          </w:p>
        </w:tc>
      </w:tr>
      <w:tr w:rsidR="00F34DD4" w:rsidRPr="00807CE7" w14:paraId="50FBED7B" w14:textId="77777777" w:rsidTr="00F34DD4">
        <w:trPr>
          <w:trHeight w:val="340"/>
          <w:jc w:val="center"/>
        </w:trPr>
        <w:tc>
          <w:tcPr>
            <w:tcW w:w="2891" w:type="dxa"/>
            <w:shd w:val="clear" w:color="auto" w:fill="FFFFFF"/>
            <w:vAlign w:val="center"/>
          </w:tcPr>
          <w:p w14:paraId="790CAF30" w14:textId="77777777" w:rsidR="00F34DD4" w:rsidRPr="00807CE7" w:rsidRDefault="00F34DD4" w:rsidP="008C4FC1">
            <w:pPr>
              <w:widowControl w:val="0"/>
              <w:suppressAutoHyphens/>
              <w:jc w:val="center"/>
              <w:rPr>
                <w:rFonts w:ascii="Times New Roman" w:eastAsia="Times New Roman" w:hAnsi="Times New Roman" w:cs="Times New Roman"/>
                <w:color w:val="202124"/>
              </w:rPr>
            </w:pPr>
            <w:r w:rsidRPr="00807CE7">
              <w:rPr>
                <w:rFonts w:ascii="Times New Roman" w:eastAsia="Times New Roman" w:hAnsi="Times New Roman" w:cs="Times New Roman"/>
                <w:color w:val="000000"/>
              </w:rPr>
              <w:t>Інші інвестиції активи, Болгарія</w:t>
            </w:r>
          </w:p>
        </w:tc>
        <w:tc>
          <w:tcPr>
            <w:tcW w:w="1134" w:type="dxa"/>
            <w:shd w:val="clear" w:color="auto" w:fill="auto"/>
            <w:vAlign w:val="center"/>
          </w:tcPr>
          <w:p w14:paraId="76A9B221"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562,8</w:t>
            </w:r>
          </w:p>
        </w:tc>
        <w:tc>
          <w:tcPr>
            <w:tcW w:w="1134" w:type="dxa"/>
            <w:shd w:val="clear" w:color="auto" w:fill="auto"/>
            <w:vAlign w:val="center"/>
          </w:tcPr>
          <w:p w14:paraId="67239931"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1 262,2</w:t>
            </w:r>
          </w:p>
        </w:tc>
        <w:tc>
          <w:tcPr>
            <w:tcW w:w="1134" w:type="dxa"/>
            <w:vAlign w:val="center"/>
          </w:tcPr>
          <w:p w14:paraId="5BB8DAB8"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2 725,3</w:t>
            </w:r>
          </w:p>
        </w:tc>
        <w:tc>
          <w:tcPr>
            <w:tcW w:w="1134" w:type="dxa"/>
            <w:vAlign w:val="center"/>
          </w:tcPr>
          <w:p w14:paraId="5DABB097"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-2 249,2</w:t>
            </w:r>
          </w:p>
        </w:tc>
        <w:tc>
          <w:tcPr>
            <w:tcW w:w="1134" w:type="dxa"/>
            <w:vAlign w:val="center"/>
          </w:tcPr>
          <w:p w14:paraId="1EA27257"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1 147,2</w:t>
            </w:r>
          </w:p>
        </w:tc>
      </w:tr>
      <w:tr w:rsidR="00F34DD4" w:rsidRPr="00807CE7" w14:paraId="1DB494C0" w14:textId="77777777" w:rsidTr="00F34DD4">
        <w:trPr>
          <w:trHeight w:val="340"/>
          <w:jc w:val="center"/>
        </w:trPr>
        <w:tc>
          <w:tcPr>
            <w:tcW w:w="2891" w:type="dxa"/>
            <w:shd w:val="clear" w:color="auto" w:fill="FFFFFF"/>
            <w:vAlign w:val="center"/>
          </w:tcPr>
          <w:p w14:paraId="6BD255C2"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Інші інвестиції зобов'язання, Болгарія</w:t>
            </w:r>
          </w:p>
        </w:tc>
        <w:tc>
          <w:tcPr>
            <w:tcW w:w="1134" w:type="dxa"/>
            <w:shd w:val="clear" w:color="auto" w:fill="auto"/>
            <w:vAlign w:val="center"/>
          </w:tcPr>
          <w:p w14:paraId="7F30D7A7"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-222,5</w:t>
            </w:r>
          </w:p>
        </w:tc>
        <w:tc>
          <w:tcPr>
            <w:tcW w:w="1134" w:type="dxa"/>
            <w:shd w:val="clear" w:color="auto" w:fill="auto"/>
            <w:vAlign w:val="center"/>
          </w:tcPr>
          <w:p w14:paraId="0FCE1C54"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148,9</w:t>
            </w:r>
          </w:p>
        </w:tc>
        <w:tc>
          <w:tcPr>
            <w:tcW w:w="1134" w:type="dxa"/>
            <w:vAlign w:val="center"/>
          </w:tcPr>
          <w:p w14:paraId="71218353"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-214,4</w:t>
            </w:r>
          </w:p>
        </w:tc>
        <w:tc>
          <w:tcPr>
            <w:tcW w:w="1134" w:type="dxa"/>
            <w:vAlign w:val="center"/>
          </w:tcPr>
          <w:p w14:paraId="2DB80BED"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-358,7</w:t>
            </w:r>
          </w:p>
        </w:tc>
        <w:tc>
          <w:tcPr>
            <w:tcW w:w="1134" w:type="dxa"/>
            <w:vAlign w:val="center"/>
          </w:tcPr>
          <w:p w14:paraId="08AE57D8" w14:textId="77777777" w:rsidR="00F34DD4" w:rsidRPr="00807CE7" w:rsidRDefault="00F34DD4" w:rsidP="008C4FC1">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2 880,3</w:t>
            </w:r>
          </w:p>
        </w:tc>
      </w:tr>
      <w:tr w:rsidR="00F34DD4" w:rsidRPr="00807CE7" w14:paraId="433B94DB" w14:textId="77777777" w:rsidTr="00F34DD4">
        <w:trPr>
          <w:trHeight w:val="340"/>
          <w:jc w:val="center"/>
        </w:trPr>
        <w:tc>
          <w:tcPr>
            <w:tcW w:w="2891" w:type="dxa"/>
            <w:shd w:val="clear" w:color="auto" w:fill="FFFFFF"/>
            <w:vAlign w:val="center"/>
          </w:tcPr>
          <w:p w14:paraId="33BB3E80"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інших інвестицій, Болгарія</w:t>
            </w:r>
          </w:p>
        </w:tc>
        <w:tc>
          <w:tcPr>
            <w:tcW w:w="1134" w:type="dxa"/>
            <w:shd w:val="clear" w:color="auto" w:fill="auto"/>
            <w:vAlign w:val="center"/>
          </w:tcPr>
          <w:p w14:paraId="3159898B"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785,3</w:t>
            </w:r>
          </w:p>
        </w:tc>
        <w:tc>
          <w:tcPr>
            <w:tcW w:w="1134" w:type="dxa"/>
            <w:shd w:val="clear" w:color="auto" w:fill="auto"/>
            <w:vAlign w:val="center"/>
          </w:tcPr>
          <w:p w14:paraId="52FE798E"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1 113,3</w:t>
            </w:r>
          </w:p>
        </w:tc>
        <w:tc>
          <w:tcPr>
            <w:tcW w:w="1134" w:type="dxa"/>
            <w:vAlign w:val="center"/>
          </w:tcPr>
          <w:p w14:paraId="078A112F"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2 939,7</w:t>
            </w:r>
          </w:p>
        </w:tc>
        <w:tc>
          <w:tcPr>
            <w:tcW w:w="1134" w:type="dxa"/>
            <w:vAlign w:val="center"/>
          </w:tcPr>
          <w:p w14:paraId="56C1EE52"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-1 890,5</w:t>
            </w:r>
          </w:p>
        </w:tc>
        <w:tc>
          <w:tcPr>
            <w:tcW w:w="1134" w:type="dxa"/>
            <w:vAlign w:val="center"/>
          </w:tcPr>
          <w:p w14:paraId="68E0AD1B" w14:textId="77777777" w:rsidR="00F34DD4" w:rsidRPr="00807CE7" w:rsidRDefault="00F34DD4" w:rsidP="008C4FC1">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-1 733,1</w:t>
            </w:r>
          </w:p>
        </w:tc>
      </w:tr>
    </w:tbl>
    <w:p w14:paraId="1304D6EC" w14:textId="77777777" w:rsidR="009D6D79" w:rsidRPr="00807CE7" w:rsidRDefault="009D6D79" w:rsidP="009D6D79">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[7].</w:t>
      </w:r>
    </w:p>
    <w:p w14:paraId="1F1B0B43" w14:textId="6C7A52A9" w:rsidR="008C4FC1" w:rsidRPr="00807CE7" w:rsidRDefault="009D6D79"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Аналізуючи таблицю, можна побачити</w:t>
      </w:r>
      <w:r w:rsidR="00333039" w:rsidRPr="00807CE7">
        <w:rPr>
          <w:rFonts w:ascii="Times New Roman" w:hAnsi="Times New Roman" w:cs="Times New Roman"/>
          <w:sz w:val="28"/>
          <w:szCs w:val="28"/>
        </w:rPr>
        <w:t xml:space="preserve">, що сальдо прямих інвестиції і Румунії, і Болгарії були від’ємними за вказаний період. Стосовно сальдо портфельних інвестицій, то в Румуніє воно є від’ємним, </w:t>
      </w:r>
      <w:r w:rsidR="00897E78" w:rsidRPr="00807CE7">
        <w:rPr>
          <w:rFonts w:ascii="Times New Roman" w:hAnsi="Times New Roman" w:cs="Times New Roman"/>
          <w:sz w:val="28"/>
          <w:szCs w:val="28"/>
        </w:rPr>
        <w:t xml:space="preserve">а в Болгарії – додатнім. Щодо сальдо інших інвестицій, то в обох країн воно є додатнім. </w:t>
      </w:r>
    </w:p>
    <w:p w14:paraId="3AC36547" w14:textId="142CFBBA" w:rsidR="00C86097" w:rsidRPr="00807CE7" w:rsidRDefault="00C86097" w:rsidP="00F24A9A">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1CC1D754" wp14:editId="1FC818C9">
            <wp:extent cx="4140000" cy="2160000"/>
            <wp:effectExtent l="0" t="0" r="13335" b="12065"/>
            <wp:docPr id="465193935"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48FC1F80-B177-CFF5-3D10-D594D2CD39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B8B0A8F" w14:textId="67143D6A" w:rsidR="00C86097" w:rsidRPr="00807CE7" w:rsidRDefault="00C86097" w:rsidP="00C86097">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w:t>
      </w:r>
      <w:r w:rsidR="0005752D" w:rsidRPr="00807CE7">
        <w:rPr>
          <w:rFonts w:ascii="Times New Roman" w:hAnsi="Times New Roman" w:cs="Times New Roman"/>
          <w:sz w:val="28"/>
          <w:szCs w:val="28"/>
        </w:rPr>
        <w:t>8</w:t>
      </w:r>
      <w:r w:rsidRPr="00807CE7">
        <w:rPr>
          <w:rFonts w:ascii="Times New Roman" w:hAnsi="Times New Roman" w:cs="Times New Roman"/>
          <w:sz w:val="28"/>
          <w:szCs w:val="28"/>
        </w:rPr>
        <w:t>. Порівняння сальдо прямих інвестицій Румунії та Болгарії за 2017-2021 рр.</w:t>
      </w:r>
      <w:r w:rsidR="00E577DE" w:rsidRPr="00807CE7">
        <w:rPr>
          <w:rFonts w:ascii="Times New Roman" w:hAnsi="Times New Roman" w:cs="Times New Roman"/>
          <w:sz w:val="28"/>
          <w:szCs w:val="28"/>
        </w:rPr>
        <w:t>, млн.</w:t>
      </w:r>
      <w:r w:rsidR="0005752D"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0005752D"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4020D4E2" w14:textId="65AFF7B0" w:rsidR="00C86097" w:rsidRPr="00807CE7" w:rsidRDefault="00C86097" w:rsidP="00C86097">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201CBB"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0E84F10A" w14:textId="77777777" w:rsidR="0005752D" w:rsidRPr="00807CE7" w:rsidRDefault="0005752D" w:rsidP="00C86097">
      <w:pPr>
        <w:spacing w:line="360" w:lineRule="auto"/>
        <w:ind w:firstLine="709"/>
        <w:jc w:val="both"/>
        <w:rPr>
          <w:rFonts w:ascii="Times New Roman" w:hAnsi="Times New Roman" w:cs="Times New Roman"/>
          <w:sz w:val="28"/>
          <w:szCs w:val="28"/>
        </w:rPr>
      </w:pPr>
    </w:p>
    <w:p w14:paraId="1F4EF534" w14:textId="71A0616D" w:rsidR="00C86097" w:rsidRPr="00807CE7" w:rsidRDefault="001C5D41"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Аналізуючи графік, можна побачити</w:t>
      </w:r>
      <w:r w:rsidR="002664F1" w:rsidRPr="00807CE7">
        <w:rPr>
          <w:rFonts w:ascii="Times New Roman" w:hAnsi="Times New Roman" w:cs="Times New Roman"/>
          <w:sz w:val="28"/>
          <w:szCs w:val="28"/>
        </w:rPr>
        <w:t xml:space="preserve">, що </w:t>
      </w:r>
      <w:r w:rsidR="00F32A6E" w:rsidRPr="00807CE7">
        <w:rPr>
          <w:rFonts w:ascii="Times New Roman" w:hAnsi="Times New Roman" w:cs="Times New Roman"/>
          <w:sz w:val="28"/>
          <w:szCs w:val="28"/>
        </w:rPr>
        <w:t xml:space="preserve">криві Румунії та Болгарії є дзеркальним </w:t>
      </w:r>
      <w:r w:rsidR="0005752D" w:rsidRPr="00807CE7">
        <w:rPr>
          <w:rFonts w:ascii="Times New Roman" w:hAnsi="Times New Roman" w:cs="Times New Roman"/>
          <w:sz w:val="28"/>
          <w:szCs w:val="28"/>
        </w:rPr>
        <w:t>відображенням</w:t>
      </w:r>
      <w:r w:rsidR="00F32A6E" w:rsidRPr="00807CE7">
        <w:rPr>
          <w:rFonts w:ascii="Times New Roman" w:hAnsi="Times New Roman" w:cs="Times New Roman"/>
          <w:sz w:val="28"/>
          <w:szCs w:val="28"/>
        </w:rPr>
        <w:t xml:space="preserve"> одна одної: </w:t>
      </w:r>
      <w:r w:rsidR="00701C3F" w:rsidRPr="00807CE7">
        <w:rPr>
          <w:rFonts w:ascii="Times New Roman" w:hAnsi="Times New Roman" w:cs="Times New Roman"/>
          <w:sz w:val="28"/>
          <w:szCs w:val="28"/>
        </w:rPr>
        <w:t xml:space="preserve">показники сальдо прямих інвестицій Болгарії до 2018 року збільшилися, а вже у період 2018-2020 років </w:t>
      </w:r>
      <w:r w:rsidR="00E42179" w:rsidRPr="00807CE7">
        <w:rPr>
          <w:rFonts w:ascii="Times New Roman" w:hAnsi="Times New Roman" w:cs="Times New Roman"/>
          <w:sz w:val="28"/>
          <w:szCs w:val="28"/>
        </w:rPr>
        <w:t xml:space="preserve">зменшувалися. В Румунії ж ситуація протилежна: до 2018 року числові значення сальдо прямих </w:t>
      </w:r>
      <w:r w:rsidR="0005752D" w:rsidRPr="00807CE7">
        <w:rPr>
          <w:rFonts w:ascii="Times New Roman" w:hAnsi="Times New Roman" w:cs="Times New Roman"/>
          <w:sz w:val="28"/>
          <w:szCs w:val="28"/>
        </w:rPr>
        <w:t>інвестицій</w:t>
      </w:r>
      <w:r w:rsidR="00E42179" w:rsidRPr="00807CE7">
        <w:rPr>
          <w:rFonts w:ascii="Times New Roman" w:hAnsi="Times New Roman" w:cs="Times New Roman"/>
          <w:sz w:val="28"/>
          <w:szCs w:val="28"/>
        </w:rPr>
        <w:t xml:space="preserve"> ледве помітно зменшилися, а у 2018-2020 роках </w:t>
      </w:r>
      <w:r w:rsidR="0005752D" w:rsidRPr="00807CE7">
        <w:rPr>
          <w:rFonts w:ascii="Times New Roman" w:hAnsi="Times New Roman" w:cs="Times New Roman"/>
          <w:sz w:val="28"/>
          <w:szCs w:val="28"/>
        </w:rPr>
        <w:t>можна спостерігати ї</w:t>
      </w:r>
      <w:r w:rsidR="00E42179" w:rsidRPr="00807CE7">
        <w:rPr>
          <w:rFonts w:ascii="Times New Roman" w:hAnsi="Times New Roman" w:cs="Times New Roman"/>
          <w:sz w:val="28"/>
          <w:szCs w:val="28"/>
        </w:rPr>
        <w:t xml:space="preserve">х зріст. У </w:t>
      </w:r>
      <w:r w:rsidR="00BD24B3" w:rsidRPr="00807CE7">
        <w:rPr>
          <w:rFonts w:ascii="Times New Roman" w:hAnsi="Times New Roman" w:cs="Times New Roman"/>
          <w:sz w:val="28"/>
          <w:szCs w:val="28"/>
        </w:rPr>
        <w:t xml:space="preserve">2020-2021 роках був різких спад та ріст </w:t>
      </w:r>
      <w:r w:rsidR="00BD24B3" w:rsidRPr="00807CE7">
        <w:rPr>
          <w:rFonts w:ascii="Times New Roman" w:hAnsi="Times New Roman" w:cs="Times New Roman"/>
          <w:sz w:val="28"/>
          <w:szCs w:val="28"/>
        </w:rPr>
        <w:lastRenderedPageBreak/>
        <w:t xml:space="preserve">показників у Румунії та Болгарії відповідно. </w:t>
      </w:r>
      <w:r w:rsidR="007B2B50" w:rsidRPr="00807CE7">
        <w:rPr>
          <w:rFonts w:ascii="Times New Roman" w:hAnsi="Times New Roman" w:cs="Times New Roman"/>
          <w:sz w:val="28"/>
          <w:szCs w:val="28"/>
        </w:rPr>
        <w:t>Отже, можна зробити висновок, що за вказаний період сальдо прямих інвестицій обох країн було від’ємним. Це означає, що зобов’язань в країнах більше, ніж активів, тобто інші країни інвестували в Румунію та Болгарію більше, ніж інвестувал</w:t>
      </w:r>
      <w:r w:rsidR="0005752D" w:rsidRPr="00807CE7">
        <w:rPr>
          <w:rFonts w:ascii="Times New Roman" w:hAnsi="Times New Roman" w:cs="Times New Roman"/>
          <w:sz w:val="28"/>
          <w:szCs w:val="28"/>
        </w:rPr>
        <w:t>и</w:t>
      </w:r>
      <w:r w:rsidR="007B2B50" w:rsidRPr="00807CE7">
        <w:rPr>
          <w:rFonts w:ascii="Times New Roman" w:hAnsi="Times New Roman" w:cs="Times New Roman"/>
          <w:sz w:val="28"/>
          <w:szCs w:val="28"/>
        </w:rPr>
        <w:t xml:space="preserve"> вон</w:t>
      </w:r>
      <w:r w:rsidR="0005752D" w:rsidRPr="00807CE7">
        <w:rPr>
          <w:rFonts w:ascii="Times New Roman" w:hAnsi="Times New Roman" w:cs="Times New Roman"/>
          <w:sz w:val="28"/>
          <w:szCs w:val="28"/>
        </w:rPr>
        <w:t>и</w:t>
      </w:r>
      <w:r w:rsidR="007B2B50" w:rsidRPr="00807CE7">
        <w:rPr>
          <w:rFonts w:ascii="Times New Roman" w:hAnsi="Times New Roman" w:cs="Times New Roman"/>
          <w:sz w:val="28"/>
          <w:szCs w:val="28"/>
        </w:rPr>
        <w:t>.</w:t>
      </w:r>
    </w:p>
    <w:p w14:paraId="3A065FFD" w14:textId="490FB879" w:rsidR="00A73038" w:rsidRPr="00807CE7" w:rsidRDefault="00A73038"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За даними Національного банку Румунії, основними секторами, що </w:t>
      </w:r>
      <w:r w:rsidR="0005752D" w:rsidRPr="00807CE7">
        <w:rPr>
          <w:rFonts w:ascii="Times New Roman" w:hAnsi="Times New Roman" w:cs="Times New Roman"/>
          <w:sz w:val="28"/>
          <w:szCs w:val="28"/>
        </w:rPr>
        <w:t>залучають</w:t>
      </w:r>
      <w:r w:rsidRPr="00807CE7">
        <w:rPr>
          <w:rFonts w:ascii="Times New Roman" w:hAnsi="Times New Roman" w:cs="Times New Roman"/>
          <w:sz w:val="28"/>
          <w:szCs w:val="28"/>
        </w:rPr>
        <w:t xml:space="preserve"> ПІІ, є виробництво, будівництво та операції з нерухомістю, торгівля, фінансове посередництво і страхування. Основними країнами-інвест</w:t>
      </w:r>
      <w:r w:rsidR="0005752D" w:rsidRPr="00807CE7">
        <w:rPr>
          <w:rFonts w:ascii="Times New Roman" w:hAnsi="Times New Roman" w:cs="Times New Roman"/>
          <w:sz w:val="28"/>
          <w:szCs w:val="28"/>
        </w:rPr>
        <w:t>орами</w:t>
      </w:r>
      <w:r w:rsidRPr="00807CE7">
        <w:rPr>
          <w:rFonts w:ascii="Times New Roman" w:hAnsi="Times New Roman" w:cs="Times New Roman"/>
          <w:sz w:val="28"/>
          <w:szCs w:val="28"/>
        </w:rPr>
        <w:t xml:space="preserve"> є Нідерланди, Німеччина, Австрія, Італія та Кіпр. Бухарест - це регіон, який приваблює найбільший іноземний капітал у всій країні</w:t>
      </w:r>
      <w:r w:rsidR="00EE3C96" w:rsidRPr="00807CE7">
        <w:rPr>
          <w:rFonts w:ascii="Times New Roman" w:hAnsi="Times New Roman" w:cs="Times New Roman"/>
          <w:sz w:val="28"/>
          <w:szCs w:val="28"/>
        </w:rPr>
        <w:t xml:space="preserve"> [</w:t>
      </w:r>
      <w:r w:rsidR="00B85454" w:rsidRPr="00807CE7">
        <w:rPr>
          <w:rFonts w:ascii="Times New Roman" w:hAnsi="Times New Roman" w:cs="Times New Roman"/>
          <w:sz w:val="28"/>
          <w:szCs w:val="28"/>
        </w:rPr>
        <w:t>9</w:t>
      </w:r>
      <w:r w:rsidR="00EE3C96" w:rsidRPr="00807CE7">
        <w:rPr>
          <w:rFonts w:ascii="Times New Roman" w:hAnsi="Times New Roman" w:cs="Times New Roman"/>
          <w:sz w:val="28"/>
          <w:szCs w:val="28"/>
        </w:rPr>
        <w:t>].</w:t>
      </w:r>
    </w:p>
    <w:p w14:paraId="2F18151F" w14:textId="09B72AFF" w:rsidR="00A73038" w:rsidRPr="00807CE7" w:rsidRDefault="00EE3C96"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За країнами найбільші прямі інвестиції надійшли зі Швейцарії, Кіпру та Австрії. Помітний чистий відтік було зареєстровано в Нідерланди та Велику Британію. ПІІ спрямовують переважно в сектори нерухомості, обробної промисловості, фінансової та страхової діяльності [</w:t>
      </w:r>
      <w:r w:rsidR="00B85454" w:rsidRPr="00807CE7">
        <w:rPr>
          <w:rFonts w:ascii="Times New Roman" w:hAnsi="Times New Roman" w:cs="Times New Roman"/>
          <w:sz w:val="28"/>
          <w:szCs w:val="28"/>
        </w:rPr>
        <w:t>10</w:t>
      </w:r>
      <w:r w:rsidRPr="00807CE7">
        <w:rPr>
          <w:rFonts w:ascii="Times New Roman" w:hAnsi="Times New Roman" w:cs="Times New Roman"/>
          <w:sz w:val="28"/>
          <w:szCs w:val="28"/>
        </w:rPr>
        <w:t>].</w:t>
      </w:r>
    </w:p>
    <w:p w14:paraId="5F204714" w14:textId="10AB8E5A" w:rsidR="00EE3C96" w:rsidRPr="00807CE7" w:rsidRDefault="00EE3C96" w:rsidP="00F24A9A">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2080CA85" wp14:editId="1142A9C1">
            <wp:extent cx="4140000" cy="2160000"/>
            <wp:effectExtent l="0" t="0" r="13335" b="12065"/>
            <wp:docPr id="1896123293"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D28F09F-6B70-2852-1C60-54059E2158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D8334BF" w14:textId="06690F34" w:rsidR="00EE3C96" w:rsidRPr="00807CE7" w:rsidRDefault="00EE3C96" w:rsidP="00EE3C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w:t>
      </w:r>
      <w:r w:rsidR="0005752D" w:rsidRPr="00807CE7">
        <w:rPr>
          <w:rFonts w:ascii="Times New Roman" w:hAnsi="Times New Roman" w:cs="Times New Roman"/>
          <w:sz w:val="28"/>
          <w:szCs w:val="28"/>
        </w:rPr>
        <w:t>9</w:t>
      </w:r>
      <w:r w:rsidRPr="00807CE7">
        <w:rPr>
          <w:rFonts w:ascii="Times New Roman" w:hAnsi="Times New Roman" w:cs="Times New Roman"/>
          <w:sz w:val="28"/>
          <w:szCs w:val="28"/>
        </w:rPr>
        <w:t>. Порівняння сальдо портфельних інвестицій Румунії та Болгарії за 2017-2021 рр.</w:t>
      </w:r>
      <w:r w:rsidR="00E577DE" w:rsidRPr="00807CE7">
        <w:rPr>
          <w:rFonts w:ascii="Times New Roman" w:hAnsi="Times New Roman" w:cs="Times New Roman"/>
          <w:sz w:val="28"/>
          <w:szCs w:val="28"/>
        </w:rPr>
        <w:t>, млн.</w:t>
      </w:r>
      <w:r w:rsidR="0005752D"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0005752D"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0D8B69AB" w14:textId="2ABE197E" w:rsidR="00EE3C96" w:rsidRPr="00807CE7" w:rsidRDefault="00EE3C96" w:rsidP="00EE3C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201CBB"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0778FC29" w14:textId="77777777" w:rsidR="0005752D" w:rsidRPr="00807CE7" w:rsidRDefault="0005752D" w:rsidP="00F24A9A">
      <w:pPr>
        <w:spacing w:line="360" w:lineRule="auto"/>
        <w:ind w:firstLine="709"/>
        <w:jc w:val="both"/>
        <w:rPr>
          <w:rFonts w:ascii="Times New Roman" w:hAnsi="Times New Roman" w:cs="Times New Roman"/>
          <w:sz w:val="28"/>
          <w:szCs w:val="28"/>
        </w:rPr>
      </w:pPr>
    </w:p>
    <w:p w14:paraId="0F199A76" w14:textId="48675393" w:rsidR="00EE3C96" w:rsidRPr="00807CE7" w:rsidRDefault="00EE3C96"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Аналізуючи графік, можна побачити, що динаміка кривих дуже відрізняється. За вказаний період сальдо портфельних інвестицій Болгарії майже не змінювалося. З 2017 року до 2020 року помітно зменшення числових значень даної статті, а в 2020-2021 рр. – збільшення. Щодо Румунії, то ситуація зовсім відрізняється. У 2017-2019 рр. динаміка досить стабільна, та помітно зростання показників, у 2019 році відбулося </w:t>
      </w:r>
      <w:r w:rsidR="0005752D" w:rsidRPr="00807CE7">
        <w:rPr>
          <w:rFonts w:ascii="Times New Roman" w:hAnsi="Times New Roman" w:cs="Times New Roman"/>
          <w:sz w:val="28"/>
          <w:szCs w:val="28"/>
        </w:rPr>
        <w:t>різке</w:t>
      </w:r>
      <w:r w:rsidRPr="00807CE7">
        <w:rPr>
          <w:rFonts w:ascii="Times New Roman" w:hAnsi="Times New Roman" w:cs="Times New Roman"/>
          <w:sz w:val="28"/>
          <w:szCs w:val="28"/>
        </w:rPr>
        <w:t xml:space="preserve"> падіння, а у 2020 </w:t>
      </w:r>
      <w:r w:rsidRPr="00807CE7">
        <w:rPr>
          <w:rFonts w:ascii="Times New Roman" w:hAnsi="Times New Roman" w:cs="Times New Roman"/>
          <w:sz w:val="28"/>
          <w:szCs w:val="28"/>
        </w:rPr>
        <w:lastRenderedPageBreak/>
        <w:t xml:space="preserve">році </w:t>
      </w:r>
      <w:r w:rsidR="0005752D" w:rsidRPr="00807CE7">
        <w:rPr>
          <w:rFonts w:ascii="Times New Roman" w:hAnsi="Times New Roman" w:cs="Times New Roman"/>
          <w:sz w:val="28"/>
          <w:szCs w:val="28"/>
        </w:rPr>
        <w:t>різке</w:t>
      </w:r>
      <w:r w:rsidRPr="00807CE7">
        <w:rPr>
          <w:rFonts w:ascii="Times New Roman" w:hAnsi="Times New Roman" w:cs="Times New Roman"/>
          <w:sz w:val="28"/>
          <w:szCs w:val="28"/>
        </w:rPr>
        <w:t xml:space="preserve"> зростання. Отже, за вказаний період, сальдо портфельних інвестицій Болгарії було додатнім, а Румунії – від’ємним. </w:t>
      </w:r>
    </w:p>
    <w:p w14:paraId="59E78053" w14:textId="69257AD0" w:rsidR="00EE3C96" w:rsidRPr="00807CE7" w:rsidRDefault="00EE3C96" w:rsidP="00F24A9A">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5DE578AB" wp14:editId="581F7B57">
            <wp:extent cx="4140000" cy="2160000"/>
            <wp:effectExtent l="0" t="0" r="13335" b="12065"/>
            <wp:docPr id="123976334"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940348B-FEB2-A768-EB68-7CF9ADDB28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8B01261" w14:textId="1D3EAEC5" w:rsidR="00EE3C96" w:rsidRPr="00807CE7" w:rsidRDefault="00EE3C96" w:rsidP="00EE3C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w:t>
      </w:r>
      <w:r w:rsidR="0005752D" w:rsidRPr="00807CE7">
        <w:rPr>
          <w:rFonts w:ascii="Times New Roman" w:hAnsi="Times New Roman" w:cs="Times New Roman"/>
          <w:sz w:val="28"/>
          <w:szCs w:val="28"/>
        </w:rPr>
        <w:t>10</w:t>
      </w:r>
      <w:r w:rsidRPr="00807CE7">
        <w:rPr>
          <w:rFonts w:ascii="Times New Roman" w:hAnsi="Times New Roman" w:cs="Times New Roman"/>
          <w:sz w:val="28"/>
          <w:szCs w:val="28"/>
        </w:rPr>
        <w:t>. Порівняння сальдо інших інвестицій Румунії та Болгарії за 2017-2021 рр.</w:t>
      </w:r>
      <w:r w:rsidR="00E577DE" w:rsidRPr="00807CE7">
        <w:rPr>
          <w:rFonts w:ascii="Times New Roman" w:hAnsi="Times New Roman" w:cs="Times New Roman"/>
          <w:sz w:val="28"/>
          <w:szCs w:val="28"/>
        </w:rPr>
        <w:t>, млн.</w:t>
      </w:r>
      <w:r w:rsidR="0005752D"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0005752D"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35BDCBCF" w14:textId="59E4C898" w:rsidR="00EE3C96" w:rsidRPr="00807CE7" w:rsidRDefault="00EE3C96" w:rsidP="00EE3C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201CBB"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3F29410B" w14:textId="77777777" w:rsidR="0005752D" w:rsidRPr="00807CE7" w:rsidRDefault="0005752D" w:rsidP="00F24A9A">
      <w:pPr>
        <w:spacing w:line="360" w:lineRule="auto"/>
        <w:ind w:firstLine="709"/>
        <w:jc w:val="both"/>
        <w:rPr>
          <w:rFonts w:ascii="Times New Roman" w:hAnsi="Times New Roman" w:cs="Times New Roman"/>
          <w:sz w:val="28"/>
          <w:szCs w:val="28"/>
        </w:rPr>
      </w:pPr>
    </w:p>
    <w:p w14:paraId="458154BB" w14:textId="2C9761AA" w:rsidR="00EE3C96" w:rsidRPr="00807CE7" w:rsidRDefault="00EE3C96" w:rsidP="00F24A9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Аналізуючи графік, можна побачити, що динаміки кривих обох країн є дзеркальним відображенням одна одної. У період 2017-2019 рр. це помітно досить добре: числові значення Болгарії зростають, а Румунії – зменшуються. Далі в Болгарії спостерігається </w:t>
      </w:r>
      <w:r w:rsidR="0005752D" w:rsidRPr="00807CE7">
        <w:rPr>
          <w:rFonts w:ascii="Times New Roman" w:hAnsi="Times New Roman" w:cs="Times New Roman"/>
          <w:sz w:val="28"/>
          <w:szCs w:val="28"/>
        </w:rPr>
        <w:t>різке</w:t>
      </w:r>
      <w:r w:rsidRPr="00807CE7">
        <w:rPr>
          <w:rFonts w:ascii="Times New Roman" w:hAnsi="Times New Roman" w:cs="Times New Roman"/>
          <w:sz w:val="28"/>
          <w:szCs w:val="28"/>
        </w:rPr>
        <w:t xml:space="preserve"> падіння показника, а в Румунії навпаки – можна помітити ріст. Однак вже в 2020 році в останній країні </w:t>
      </w:r>
      <w:r w:rsidR="0005752D" w:rsidRPr="00807CE7">
        <w:rPr>
          <w:rFonts w:ascii="Times New Roman" w:hAnsi="Times New Roman" w:cs="Times New Roman"/>
          <w:sz w:val="28"/>
          <w:szCs w:val="28"/>
        </w:rPr>
        <w:t>помітне</w:t>
      </w:r>
      <w:r w:rsidRPr="00807CE7">
        <w:rPr>
          <w:rFonts w:ascii="Times New Roman" w:hAnsi="Times New Roman" w:cs="Times New Roman"/>
          <w:sz w:val="28"/>
          <w:szCs w:val="28"/>
        </w:rPr>
        <w:t xml:space="preserve"> </w:t>
      </w:r>
      <w:r w:rsidR="0005752D" w:rsidRPr="00807CE7">
        <w:rPr>
          <w:rFonts w:ascii="Times New Roman" w:hAnsi="Times New Roman" w:cs="Times New Roman"/>
          <w:sz w:val="28"/>
          <w:szCs w:val="28"/>
        </w:rPr>
        <w:t>різке падіння</w:t>
      </w:r>
      <w:r w:rsidRPr="00807CE7">
        <w:rPr>
          <w:rFonts w:ascii="Times New Roman" w:hAnsi="Times New Roman" w:cs="Times New Roman"/>
          <w:sz w:val="28"/>
          <w:szCs w:val="28"/>
        </w:rPr>
        <w:t xml:space="preserve">. </w:t>
      </w:r>
    </w:p>
    <w:p w14:paraId="0302806B" w14:textId="3695920C" w:rsidR="00EE3C96" w:rsidRPr="00807CE7" w:rsidRDefault="00EE3C96" w:rsidP="00F24A9A">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2310B7EB" wp14:editId="6094BA69">
            <wp:extent cx="4140000" cy="2160000"/>
            <wp:effectExtent l="0" t="0" r="13335" b="12065"/>
            <wp:docPr id="504967415"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2067C50D-33B0-DFF1-F4B7-2D0AD0993F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32627C9" w14:textId="762DA276" w:rsidR="00EE3C96" w:rsidRPr="00807CE7" w:rsidRDefault="00EE3C96" w:rsidP="00EE3C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w:t>
      </w:r>
      <w:r w:rsidR="0005752D" w:rsidRPr="00807CE7">
        <w:rPr>
          <w:rFonts w:ascii="Times New Roman" w:hAnsi="Times New Roman" w:cs="Times New Roman"/>
          <w:sz w:val="28"/>
          <w:szCs w:val="28"/>
        </w:rPr>
        <w:t>11</w:t>
      </w:r>
      <w:r w:rsidRPr="00807CE7">
        <w:rPr>
          <w:rFonts w:ascii="Times New Roman" w:hAnsi="Times New Roman" w:cs="Times New Roman"/>
          <w:sz w:val="28"/>
          <w:szCs w:val="28"/>
        </w:rPr>
        <w:t>. Порівняння фінансового рахунку Румунії та Болгарії за 2017-2021 рр.</w:t>
      </w:r>
      <w:r w:rsidR="00E577DE" w:rsidRPr="00807CE7">
        <w:rPr>
          <w:rFonts w:ascii="Times New Roman" w:hAnsi="Times New Roman" w:cs="Times New Roman"/>
          <w:sz w:val="28"/>
          <w:szCs w:val="28"/>
        </w:rPr>
        <w:t>, млн.</w:t>
      </w:r>
      <w:r w:rsidR="0005752D"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0005752D"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39D10C1B" w14:textId="38F0568C" w:rsidR="00EE3C96" w:rsidRPr="00807CE7" w:rsidRDefault="00EE3C96" w:rsidP="00EE3C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201CBB"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6BAFB758" w14:textId="5B808A94" w:rsidR="00EE3C96" w:rsidRPr="00807CE7" w:rsidRDefault="00EE3C96" w:rsidP="00EE3C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 xml:space="preserve">Аналізуючи графік, можна побачити, що динаміка </w:t>
      </w:r>
      <w:r w:rsidR="0005752D" w:rsidRPr="00807CE7">
        <w:rPr>
          <w:rFonts w:ascii="Times New Roman" w:hAnsi="Times New Roman" w:cs="Times New Roman"/>
          <w:sz w:val="28"/>
          <w:szCs w:val="28"/>
        </w:rPr>
        <w:t>даної</w:t>
      </w:r>
      <w:r w:rsidRPr="00807CE7">
        <w:rPr>
          <w:rFonts w:ascii="Times New Roman" w:hAnsi="Times New Roman" w:cs="Times New Roman"/>
          <w:sz w:val="28"/>
          <w:szCs w:val="28"/>
        </w:rPr>
        <w:t xml:space="preserve"> статті платіжного балансу Болгарії є досить стабільною. Стосовно Румунії, то ситуація трохи інша: за період 2017-2021 років спостерігається зменшення числових значень. Отже, можна зробити висновок, що за вказаний період фінансовий рахунок Румунії був від’ємним, а Болгарії – додатнім. Сальдо фінансового рахунку зі знаком “плюс”, означає, що чисте збільшення активів перевищує чисте збільшення зобов’язань, від’ємне сальдо показує перевищення обсягів чистого збільшення зобов’язань над чистим збільшенням активів.</w:t>
      </w:r>
    </w:p>
    <w:p w14:paraId="11D4B132" w14:textId="610E29A8" w:rsidR="00EE3C96" w:rsidRPr="00807CE7" w:rsidRDefault="00EE3C96" w:rsidP="00EE3C96">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7760F30F" wp14:editId="3B0789A8">
            <wp:extent cx="4140000" cy="2160000"/>
            <wp:effectExtent l="0" t="0" r="13335" b="12065"/>
            <wp:docPr id="49647474"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ABEDB71-4068-3B99-59C5-CBBB097DBF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8D31760" w14:textId="2BA25763" w:rsidR="00EE3C96" w:rsidRPr="00807CE7" w:rsidRDefault="00EE3C96" w:rsidP="00EE3C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2.</w:t>
      </w:r>
      <w:r w:rsidR="0005752D" w:rsidRPr="00807CE7">
        <w:rPr>
          <w:rFonts w:ascii="Times New Roman" w:hAnsi="Times New Roman" w:cs="Times New Roman"/>
          <w:sz w:val="28"/>
          <w:szCs w:val="28"/>
        </w:rPr>
        <w:t>12</w:t>
      </w:r>
      <w:r w:rsidRPr="00807CE7">
        <w:rPr>
          <w:rFonts w:ascii="Times New Roman" w:hAnsi="Times New Roman" w:cs="Times New Roman"/>
          <w:sz w:val="28"/>
          <w:szCs w:val="28"/>
        </w:rPr>
        <w:t>. Порівняння резервних активів Румунії та Болгарії за 2017-2021 рр.</w:t>
      </w:r>
      <w:r w:rsidR="00E577DE" w:rsidRPr="00807CE7">
        <w:rPr>
          <w:rFonts w:ascii="Times New Roman" w:hAnsi="Times New Roman" w:cs="Times New Roman"/>
          <w:sz w:val="28"/>
          <w:szCs w:val="28"/>
        </w:rPr>
        <w:t>, млн.</w:t>
      </w:r>
      <w:r w:rsidR="0005752D"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дол.</w:t>
      </w:r>
      <w:r w:rsidR="0005752D" w:rsidRPr="00807CE7">
        <w:rPr>
          <w:rFonts w:ascii="Times New Roman" w:hAnsi="Times New Roman" w:cs="Times New Roman"/>
          <w:sz w:val="28"/>
          <w:szCs w:val="28"/>
        </w:rPr>
        <w:t xml:space="preserve"> </w:t>
      </w:r>
      <w:r w:rsidR="00E577DE" w:rsidRPr="00807CE7">
        <w:rPr>
          <w:rFonts w:ascii="Times New Roman" w:hAnsi="Times New Roman" w:cs="Times New Roman"/>
          <w:sz w:val="28"/>
          <w:szCs w:val="28"/>
        </w:rPr>
        <w:t>США</w:t>
      </w:r>
    </w:p>
    <w:p w14:paraId="5534B89B" w14:textId="7734FED7" w:rsidR="00EE3C96" w:rsidRPr="00807CE7" w:rsidRDefault="00EE3C96" w:rsidP="00EE3C96">
      <w:pPr>
        <w:spacing w:line="360" w:lineRule="auto"/>
        <w:ind w:firstLine="709"/>
        <w:jc w:val="both"/>
        <w:rPr>
          <w:rFonts w:ascii="Times New Roman" w:hAnsi="Times New Roman" w:cs="Times New Roman"/>
          <w:sz w:val="28"/>
          <w:szCs w:val="28"/>
        </w:rPr>
      </w:pPr>
      <w:bookmarkStart w:id="2" w:name="OLE_LINK1"/>
      <w:r w:rsidRPr="00807CE7">
        <w:rPr>
          <w:rFonts w:ascii="Times New Roman" w:hAnsi="Times New Roman" w:cs="Times New Roman"/>
          <w:sz w:val="28"/>
          <w:szCs w:val="28"/>
        </w:rPr>
        <w:t>Джерело: складено автором на основі даних [</w:t>
      </w:r>
      <w:r w:rsidR="00201CBB" w:rsidRPr="00807CE7">
        <w:rPr>
          <w:rFonts w:ascii="Times New Roman" w:hAnsi="Times New Roman" w:cs="Times New Roman"/>
          <w:sz w:val="28"/>
          <w:szCs w:val="28"/>
        </w:rPr>
        <w:t>7</w:t>
      </w:r>
      <w:r w:rsidRPr="00807CE7">
        <w:rPr>
          <w:rFonts w:ascii="Times New Roman" w:hAnsi="Times New Roman" w:cs="Times New Roman"/>
          <w:sz w:val="28"/>
          <w:szCs w:val="28"/>
        </w:rPr>
        <w:t>].</w:t>
      </w:r>
    </w:p>
    <w:bookmarkEnd w:id="2"/>
    <w:p w14:paraId="0DFF3E38" w14:textId="77777777" w:rsidR="0005752D" w:rsidRPr="00807CE7" w:rsidRDefault="0005752D" w:rsidP="00EE3C96">
      <w:pPr>
        <w:spacing w:line="360" w:lineRule="auto"/>
        <w:ind w:firstLine="709"/>
        <w:jc w:val="both"/>
        <w:rPr>
          <w:rFonts w:ascii="Times New Roman" w:hAnsi="Times New Roman" w:cs="Times New Roman"/>
          <w:sz w:val="28"/>
          <w:szCs w:val="28"/>
        </w:rPr>
      </w:pPr>
    </w:p>
    <w:p w14:paraId="6ADC4021" w14:textId="7C0BECE2" w:rsidR="00EE3C96" w:rsidRPr="00807CE7" w:rsidRDefault="00EE3C96" w:rsidP="00EE3C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Аналізуючи графік, можна побачити досить складну ситуацію. У період 2017-2019 рр. криві є дзеркальним відображенням одна одної, а вже починаючи з 2019 року ситуація змінилася: показники резервних активів</w:t>
      </w:r>
      <w:r w:rsidR="0005752D" w:rsidRPr="00807CE7">
        <w:rPr>
          <w:rFonts w:ascii="Times New Roman" w:hAnsi="Times New Roman" w:cs="Times New Roman"/>
          <w:sz w:val="28"/>
          <w:szCs w:val="28"/>
        </w:rPr>
        <w:t xml:space="preserve"> обох країн майже відповідають</w:t>
      </w:r>
      <w:r w:rsidRPr="00807CE7">
        <w:rPr>
          <w:rFonts w:ascii="Times New Roman" w:hAnsi="Times New Roman" w:cs="Times New Roman"/>
          <w:sz w:val="28"/>
          <w:szCs w:val="28"/>
        </w:rPr>
        <w:t xml:space="preserve"> один одному. </w:t>
      </w:r>
    </w:p>
    <w:p w14:paraId="1A6A705D" w14:textId="2BBD75F2" w:rsidR="00EE3C96" w:rsidRPr="00807CE7" w:rsidRDefault="00EE3C96" w:rsidP="00EE3C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Резервні активи включають ліквідні валютні активи Національного банку в банках-нерезидентах, у золотих запасах Національного банку, активах у МВФ у вигляді резервної позиції та спеціальних прав запозичень, що коригуються на величину курсової різниці. </w:t>
      </w:r>
    </w:p>
    <w:p w14:paraId="4CEC198A" w14:textId="77777777" w:rsidR="00F24A9A" w:rsidRPr="00807CE7" w:rsidRDefault="00F24A9A" w:rsidP="00F24A9A">
      <w:pPr>
        <w:spacing w:line="360" w:lineRule="auto"/>
        <w:ind w:firstLine="709"/>
        <w:jc w:val="both"/>
        <w:rPr>
          <w:rFonts w:ascii="Times New Roman" w:hAnsi="Times New Roman" w:cs="Times New Roman"/>
          <w:sz w:val="28"/>
          <w:szCs w:val="28"/>
        </w:rPr>
      </w:pPr>
    </w:p>
    <w:p w14:paraId="2D926549" w14:textId="77777777" w:rsidR="0005752D" w:rsidRPr="00807CE7" w:rsidRDefault="0005752D" w:rsidP="00EE3C96">
      <w:pPr>
        <w:spacing w:line="360" w:lineRule="auto"/>
        <w:ind w:firstLine="709"/>
        <w:jc w:val="both"/>
        <w:rPr>
          <w:rFonts w:ascii="Times New Roman" w:hAnsi="Times New Roman" w:cs="Times New Roman"/>
          <w:b/>
          <w:bCs/>
          <w:sz w:val="28"/>
          <w:szCs w:val="28"/>
        </w:rPr>
      </w:pPr>
    </w:p>
    <w:p w14:paraId="26DB9421" w14:textId="6A8CE258" w:rsidR="0005752D" w:rsidRPr="00807CE7" w:rsidRDefault="00F24A9A" w:rsidP="00EE3C96">
      <w:pPr>
        <w:spacing w:line="360" w:lineRule="auto"/>
        <w:ind w:firstLine="709"/>
        <w:jc w:val="both"/>
        <w:rPr>
          <w:rFonts w:ascii="Times New Roman" w:hAnsi="Times New Roman" w:cs="Times New Roman"/>
          <w:b/>
          <w:bCs/>
          <w:sz w:val="28"/>
          <w:szCs w:val="28"/>
        </w:rPr>
      </w:pPr>
      <w:r w:rsidRPr="00807CE7">
        <w:rPr>
          <w:rFonts w:ascii="Times New Roman" w:hAnsi="Times New Roman" w:cs="Times New Roman"/>
          <w:b/>
          <w:bCs/>
          <w:sz w:val="28"/>
          <w:szCs w:val="28"/>
        </w:rPr>
        <w:lastRenderedPageBreak/>
        <w:t xml:space="preserve">2.3. </w:t>
      </w:r>
      <w:r w:rsidR="0005752D" w:rsidRPr="00807CE7">
        <w:rPr>
          <w:rFonts w:ascii="Times New Roman" w:hAnsi="Times New Roman" w:cs="Times New Roman"/>
          <w:b/>
          <w:bCs/>
          <w:sz w:val="28"/>
          <w:szCs w:val="28"/>
        </w:rPr>
        <w:t>Моделювання та результат операцій «Carry Trade» з державними облігаціями Румунії та Болгарії</w:t>
      </w:r>
    </w:p>
    <w:p w14:paraId="468ED449" w14:textId="14D4FC94" w:rsidR="00957F48" w:rsidRPr="00807CE7" w:rsidRDefault="00957F48" w:rsidP="00957F4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Операції Carry Trade є позики однієї валюти під мінімальну відсоткову ставку, а потім конвертація в іншу валюту і депонування під вищу ставку, або ж відбувається купівля доходного активу, прикладом якого можуть бути облігації з високим рівнем доходу, акції компаній або товарні ф’ючерси.</w:t>
      </w:r>
    </w:p>
    <w:p w14:paraId="595320EE" w14:textId="1378B551" w:rsidR="00495D1E" w:rsidRPr="00807CE7" w:rsidRDefault="00495D1E" w:rsidP="00495D1E">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Якщо на ринку активний інтерес щодо заробітку за операціями керрі-трейд, зростає обсяг торгів, що проводяться, що в свою чергу може призвести до зростання курсу більш дохідної валюти і до зниження курсу валюти фондування. Ці тенденції продовжуватимуться доти, доки учасники ринку впевнені в тому, що різниця у прибутковості активів у двох валютах збережеться і не буде суттєвої зміни валютного курсу між ними. У разі закриття операцій Carry Trade виникне зворотна ситуація з валютним курсом. Курс більш прибуткової валюти знижується, а курс валюти фондування зростає.</w:t>
      </w:r>
    </w:p>
    <w:p w14:paraId="1840297C" w14:textId="781FC862" w:rsidR="00495D1E" w:rsidRPr="00807CE7" w:rsidRDefault="00495D1E" w:rsidP="00495D1E">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Далі будуть проаналізовані </w:t>
      </w:r>
      <w:r w:rsidR="00FD1E59" w:rsidRPr="00807CE7">
        <w:rPr>
          <w:rFonts w:ascii="Times New Roman" w:hAnsi="Times New Roman" w:cs="Times New Roman"/>
          <w:sz w:val="28"/>
          <w:szCs w:val="28"/>
        </w:rPr>
        <w:t>операції з Carry Trade з державними облігаціями Румунії, Болгарії та України. У якост</w:t>
      </w:r>
      <w:r w:rsidR="00F33CA8" w:rsidRPr="00807CE7">
        <w:rPr>
          <w:rFonts w:ascii="Times New Roman" w:hAnsi="Times New Roman" w:cs="Times New Roman"/>
          <w:sz w:val="28"/>
          <w:szCs w:val="28"/>
        </w:rPr>
        <w:t xml:space="preserve">і валюти фондування була обрана данська крона (DKK) зі ставкою 2,75% на рік. </w:t>
      </w:r>
    </w:p>
    <w:p w14:paraId="640FB4DE" w14:textId="77777777" w:rsidR="00F33CA8" w:rsidRPr="00807CE7" w:rsidRDefault="00F33CA8" w:rsidP="00F33CA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На 1 квітня 2022 року 1 данська крона = 0,62 румунських лей (RON). </w:t>
      </w:r>
    </w:p>
    <w:p w14:paraId="3E196B33" w14:textId="77777777" w:rsidR="00F33CA8" w:rsidRPr="00807CE7" w:rsidRDefault="00F33CA8" w:rsidP="00F33CA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На 1 квітня 2023 року 1 данська крона = 0,57 румунських лей (RON).</w:t>
      </w:r>
    </w:p>
    <w:p w14:paraId="2B66BA9E" w14:textId="1471BFBB" w:rsidR="00F33CA8" w:rsidRPr="00807CE7" w:rsidRDefault="00F33CA8" w:rsidP="00F33CA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Дохідність облігацій внутрішньої державної позики в Румунії на 13.04.2023 р. = 6,131. </w:t>
      </w:r>
    </w:p>
    <w:p w14:paraId="5C2BF567" w14:textId="77777777" w:rsidR="00F33CA8" w:rsidRPr="00807CE7" w:rsidRDefault="00F33CA8" w:rsidP="00F33CA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Ставка кредитування в Данії = 2,75%. </w:t>
      </w:r>
    </w:p>
    <w:p w14:paraId="39401320" w14:textId="1D725712" w:rsidR="00F33CA8" w:rsidRPr="00807CE7" w:rsidRDefault="00F33CA8" w:rsidP="00F33CA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Реалізація для стратегії в Румунії:</w:t>
      </w:r>
    </w:p>
    <w:p w14:paraId="6A2A8B1D" w14:textId="77777777" w:rsidR="00F33CA8" w:rsidRPr="00807CE7" w:rsidRDefault="00F33CA8" w:rsidP="00F33CA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Беремо на рік 1 млн. данських крон під відсоткову ставку 2,75% річних. Обмінюємо 1 млн. данських крон на румунський лей за курсом 0,62 і отримуємо 620 000 румунських лей. Купуємо на них румунські облігації з прибутковістю 6,131% річних. Через рік облігації погашаються, і інвестор також отримує відсотковий прибуток, тобто = 620 000 RON + (6,131/100)  від 620 000 RON = 620 000 + 38 012 = 658 012 RON. </w:t>
      </w:r>
    </w:p>
    <w:p w14:paraId="7D27C53A" w14:textId="77777777" w:rsidR="00F33CA8" w:rsidRPr="00807CE7" w:rsidRDefault="00F33CA8" w:rsidP="00F33CA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 xml:space="preserve">Обмінюємо цю суму на крони, тобто 658 012 RON ділимо на 0,57 = 1 154 407 DKK. </w:t>
      </w:r>
    </w:p>
    <w:p w14:paraId="79C63F46" w14:textId="77777777" w:rsidR="00F33CA8" w:rsidRPr="00807CE7" w:rsidRDefault="00F33CA8" w:rsidP="00F33CA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Віддаємо кредит із відсотком (2,75%) = 1 154 407 DKK – 1 000 000 DKK – (0,0275 * 1 000 000) = 154 407 – 27 500 = 126 907 DKK – чистий прибуток. </w:t>
      </w:r>
    </w:p>
    <w:p w14:paraId="03EAC5E1" w14:textId="45764E59" w:rsidR="00F33CA8" w:rsidRPr="00807CE7" w:rsidRDefault="00F33CA8" w:rsidP="00F33CA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У реальності прибутковість операції під час використання повністю позикових ресурсів становила 12,7 %.</w:t>
      </w:r>
    </w:p>
    <w:p w14:paraId="24CF7F49" w14:textId="77777777"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На 1 квітня 2022 року 1 данська крона = 0,263 болгарських левів (BGN). </w:t>
      </w:r>
    </w:p>
    <w:p w14:paraId="3DE926A1" w14:textId="77777777"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На 1 квітня 2023 року 1 данська крона = 0,262 болгарських левів (BGN).</w:t>
      </w:r>
    </w:p>
    <w:p w14:paraId="31974F8E" w14:textId="1312F8E9"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Дохідність облігацій внутрішньої державної позики в Болгарії на 13.04.2023 р. = 2,75. </w:t>
      </w:r>
    </w:p>
    <w:p w14:paraId="1E6C410E" w14:textId="59E3BF09"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Ставка кредитування в Данії = 2,75%. </w:t>
      </w:r>
    </w:p>
    <w:p w14:paraId="72A949BF" w14:textId="1D542C82"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Реалізація для стратегії в </w:t>
      </w:r>
      <w:r w:rsidR="0005752D" w:rsidRPr="00807CE7">
        <w:rPr>
          <w:rFonts w:ascii="Times New Roman" w:hAnsi="Times New Roman" w:cs="Times New Roman"/>
          <w:sz w:val="28"/>
          <w:szCs w:val="28"/>
        </w:rPr>
        <w:t>Болгарії</w:t>
      </w:r>
      <w:r w:rsidRPr="00807CE7">
        <w:rPr>
          <w:rFonts w:ascii="Times New Roman" w:hAnsi="Times New Roman" w:cs="Times New Roman"/>
          <w:sz w:val="28"/>
          <w:szCs w:val="28"/>
        </w:rPr>
        <w:t>:</w:t>
      </w:r>
    </w:p>
    <w:p w14:paraId="637F0CD6" w14:textId="77777777"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Беремо на рік 1 млн. данських крон під відсоткову ставку 2,75% річних. Обмінюємо 1 млн. данських крон на болгарські леви за курсом 0,263 і отримуємо 263 000 болгарських левів. Купуємо на них болгарські облігації з прибутковістю 2,75% річних. Через рік облігації погашаються, і інвестор також отримує відсотковий прибуток, тобто = 263 000 BGN + (2,75/100)  від 263 000 BGN = 263 000 + 7 233 = 270 233 BGN. </w:t>
      </w:r>
    </w:p>
    <w:p w14:paraId="1C1C4FAD" w14:textId="77777777"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Обмінюємо цю суму на крони, тобто 270 233 BGN ділимо на 0,262 = 1 031 424 DKK. </w:t>
      </w:r>
    </w:p>
    <w:p w14:paraId="052962D6" w14:textId="77777777"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Віддаємо кредит із відсотком (2,75%) = 1 031 424 DKK – 1 000 000 DKK – (0,0275 * 1 000 000) = 31 424 – 27 500 = 3 924 DKK – чистий прибуток. </w:t>
      </w:r>
    </w:p>
    <w:p w14:paraId="2FAA5000" w14:textId="1FC16E0E" w:rsidR="00F33CA8"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У реальності прибутковість операції під час використання повністю позикових ресурсів становила 0,4%.</w:t>
      </w:r>
    </w:p>
    <w:p w14:paraId="6DFA890A" w14:textId="77777777"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На 1 квітня 2022 року 1 данська крона = 4,32 українських гривень (UAH). </w:t>
      </w:r>
    </w:p>
    <w:p w14:paraId="0F06D10F" w14:textId="77777777"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На 1 квітня 2023 року 1 данська крона = 5,44 українських гривень (UAH).</w:t>
      </w:r>
    </w:p>
    <w:p w14:paraId="4303C86B" w14:textId="0660DAC6"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Дохідність облігацій внутрішньої державної позики в Українії на 13.04.2023 р. = 70,515;</w:t>
      </w:r>
    </w:p>
    <w:p w14:paraId="6070272A" w14:textId="4CB58724" w:rsidR="003D0BFB" w:rsidRPr="00807CE7" w:rsidRDefault="003D0BFB" w:rsidP="003D0BF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 xml:space="preserve">Ставка кредитування в Данії = 2,75%. </w:t>
      </w:r>
    </w:p>
    <w:p w14:paraId="28BE8F0C" w14:textId="77777777" w:rsidR="00C65836" w:rsidRPr="00807CE7" w:rsidRDefault="00C65836" w:rsidP="00C6583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Реалізація для стратегії в Україні:</w:t>
      </w:r>
    </w:p>
    <w:p w14:paraId="31828F75" w14:textId="77777777" w:rsidR="00C65836" w:rsidRPr="00807CE7" w:rsidRDefault="00C65836" w:rsidP="00C6583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Беремо на рік 1 млн. данських крон під відсоткову ставку 2,75% річних.</w:t>
      </w:r>
    </w:p>
    <w:p w14:paraId="78C65C02" w14:textId="77777777" w:rsidR="00C65836" w:rsidRPr="00807CE7" w:rsidRDefault="00C65836" w:rsidP="00C6583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Обмінюємо 1 млн. данських крон на українські гривні за курсом 4,32 і отримуємо 4 320 000 гривень. Купуємо на них українські облігації з прибутковістю 70,515% річних. Через рік облігації погашаються, і інвестор також отримує відсотковий прибуток, тобто = 4 320 000 UAH + (70,515/100) від 4 320 000 UAH = 4 320 000 + 3 046 248 =  7 366 248 UAH.</w:t>
      </w:r>
    </w:p>
    <w:p w14:paraId="6CC4B721" w14:textId="77777777" w:rsidR="00C65836" w:rsidRPr="00807CE7" w:rsidRDefault="00C65836" w:rsidP="00C6583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Обмінюємо цю суму на крони, тобто 3 046 248 UAH ділимо на 5,44 = 1 354 090 DKK.</w:t>
      </w:r>
    </w:p>
    <w:p w14:paraId="51B25750" w14:textId="77777777" w:rsidR="00C65836" w:rsidRPr="00807CE7" w:rsidRDefault="00C65836" w:rsidP="00C6583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Віддаємо кредит із відсотком (2,75%) = 1 354 090 DKK – 1 000 000 DKK – (0,0275 * 1 000 000) = 354 090 – 27 500 = 326 590 DKK – чистий прибуток.</w:t>
      </w:r>
    </w:p>
    <w:p w14:paraId="59CA8D24" w14:textId="6764D328" w:rsidR="00C65836" w:rsidRPr="00807CE7" w:rsidRDefault="00C65836" w:rsidP="00C6583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У реальності прибутковість операції під час використання повністю позикових ресурсів становила (32,66)%.</w:t>
      </w:r>
    </w:p>
    <w:p w14:paraId="27C1A1B2" w14:textId="48175F4F" w:rsidR="00E1677D" w:rsidRPr="00807CE7" w:rsidRDefault="00C65836" w:rsidP="00C6583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Отже, за результатами проведених розрахунків бачимо, що в даному випадку найбільш високу дохідність при здійсненні операції carry trade мають українські цінні папери, це сталося насамперед завдяки сприятливим валютному курсу та відсотковій ставці. Українські державні облігації були б привабливими для румунських та болгарських інвесторів. Якщо б вони їх придбали, у 2023 році вони б отримали приблизно 326 590 датських крон. Також слід зазначити, що найнижчу дохідність мають державні облігації Болгарії – румунські та українські інвестори отримали б одні збитки, якщо вирішать придбати іх. Після розрахунків, можна побачити, що болгарські </w:t>
      </w:r>
      <w:r w:rsidR="0005752D" w:rsidRPr="00807CE7">
        <w:rPr>
          <w:rFonts w:ascii="Times New Roman" w:hAnsi="Times New Roman" w:cs="Times New Roman"/>
          <w:sz w:val="28"/>
          <w:szCs w:val="28"/>
        </w:rPr>
        <w:t>облігації</w:t>
      </w:r>
      <w:r w:rsidRPr="00807CE7">
        <w:rPr>
          <w:rFonts w:ascii="Times New Roman" w:hAnsi="Times New Roman" w:cs="Times New Roman"/>
          <w:sz w:val="28"/>
          <w:szCs w:val="28"/>
        </w:rPr>
        <w:t xml:space="preserve"> є непривабливими і неприбутковими.</w:t>
      </w:r>
    </w:p>
    <w:p w14:paraId="29E0CD3A" w14:textId="3DD17AF5" w:rsidR="009E5FF1" w:rsidRPr="00807CE7" w:rsidRDefault="0005752D" w:rsidP="009E5FF1">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Далі</w:t>
      </w:r>
      <w:r w:rsidR="009329A1" w:rsidRPr="00807CE7">
        <w:rPr>
          <w:rFonts w:ascii="Times New Roman" w:hAnsi="Times New Roman" w:cs="Times New Roman"/>
          <w:sz w:val="28"/>
          <w:szCs w:val="28"/>
        </w:rPr>
        <w:t xml:space="preserve"> буде проаналізований вплив макроекономічних показників на торговий баланс Румунії та Болгарії </w:t>
      </w:r>
      <w:r w:rsidR="009E5FF1" w:rsidRPr="00807CE7">
        <w:rPr>
          <w:rFonts w:ascii="Times New Roman" w:hAnsi="Times New Roman" w:cs="Times New Roman"/>
          <w:sz w:val="28"/>
          <w:szCs w:val="28"/>
        </w:rPr>
        <w:t xml:space="preserve">за допомогою регресійної моделі. Дана регресійна модель досліджує вплив таких показників як </w:t>
      </w:r>
      <w:r w:rsidR="009329A1" w:rsidRPr="00807CE7">
        <w:rPr>
          <w:rFonts w:ascii="Times New Roman" w:hAnsi="Times New Roman" w:cs="Times New Roman"/>
          <w:sz w:val="28"/>
          <w:szCs w:val="28"/>
        </w:rPr>
        <w:t>валютний курс</w:t>
      </w:r>
      <w:r w:rsidR="009E5FF1" w:rsidRPr="00807CE7">
        <w:rPr>
          <w:rFonts w:ascii="Times New Roman" w:hAnsi="Times New Roman" w:cs="Times New Roman"/>
          <w:sz w:val="28"/>
          <w:szCs w:val="28"/>
        </w:rPr>
        <w:t>, ВВП</w:t>
      </w:r>
      <w:r w:rsidR="009329A1" w:rsidRPr="00807CE7">
        <w:rPr>
          <w:rFonts w:ascii="Times New Roman" w:hAnsi="Times New Roman" w:cs="Times New Roman"/>
          <w:sz w:val="28"/>
          <w:szCs w:val="28"/>
        </w:rPr>
        <w:t xml:space="preserve"> </w:t>
      </w:r>
      <w:r w:rsidR="00F216E1" w:rsidRPr="00807CE7">
        <w:rPr>
          <w:rFonts w:ascii="Times New Roman" w:hAnsi="Times New Roman" w:cs="Times New Roman"/>
          <w:sz w:val="28"/>
          <w:szCs w:val="28"/>
        </w:rPr>
        <w:t xml:space="preserve">та інфляція </w:t>
      </w:r>
      <w:r w:rsidR="009E5FF1" w:rsidRPr="00807CE7">
        <w:rPr>
          <w:rFonts w:ascii="Times New Roman" w:hAnsi="Times New Roman" w:cs="Times New Roman"/>
          <w:sz w:val="28"/>
          <w:szCs w:val="28"/>
        </w:rPr>
        <w:t xml:space="preserve">на показник валютного курсу </w:t>
      </w:r>
      <w:r w:rsidR="00F216E1" w:rsidRPr="00807CE7">
        <w:rPr>
          <w:rFonts w:ascii="Times New Roman" w:hAnsi="Times New Roman" w:cs="Times New Roman"/>
          <w:sz w:val="28"/>
          <w:szCs w:val="28"/>
        </w:rPr>
        <w:t>країн</w:t>
      </w:r>
      <w:r w:rsidR="009E5FF1" w:rsidRPr="00807CE7">
        <w:rPr>
          <w:rFonts w:ascii="Times New Roman" w:hAnsi="Times New Roman" w:cs="Times New Roman"/>
          <w:sz w:val="28"/>
          <w:szCs w:val="28"/>
        </w:rPr>
        <w:t xml:space="preserve"> до долару США. Отже, модель має вигляд: </w:t>
      </w:r>
    </w:p>
    <w:p w14:paraId="302DFC6B" w14:textId="4EC9E133" w:rsidR="009E5FF1" w:rsidRPr="00807CE7" w:rsidRDefault="00483B2B" w:rsidP="00E35CE0">
      <w:pPr>
        <w:spacing w:line="360" w:lineRule="auto"/>
        <w:ind w:firstLine="709"/>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t</m:t>
            </m:r>
          </m:sub>
        </m:sSub>
        <m:r>
          <w:rPr>
            <w:rFonts w:ascii="Cambria Math" w:hAnsi="Cambria Math" w:cs="Times New Roman"/>
            <w:sz w:val="28"/>
            <w:szCs w:val="28"/>
          </w:rPr>
          <m:t>= α+ER</m:t>
        </m:r>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1</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2</m:t>
            </m:r>
          </m:sub>
        </m:sSub>
        <m:r>
          <w:rPr>
            <w:rFonts w:ascii="Cambria Math" w:hAnsi="Cambria Math" w:cs="Times New Roman"/>
            <w:sz w:val="28"/>
            <w:szCs w:val="28"/>
          </w:rPr>
          <m:t xml:space="preserve">INFL+ </m:t>
        </m:r>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3</m:t>
            </m:r>
          </m:sub>
        </m:sSub>
        <m:r>
          <w:rPr>
            <w:rFonts w:ascii="Cambria Math" w:hAnsi="Cambria Math" w:cs="Times New Roman"/>
            <w:sz w:val="28"/>
            <w:szCs w:val="28"/>
          </w:rPr>
          <m:t xml:space="preserve">GDP+ </m:t>
        </m:r>
        <m:sSub>
          <m:sSubPr>
            <m:ctrlPr>
              <w:rPr>
                <w:rFonts w:ascii="Cambria Math" w:hAnsi="Cambria Math" w:cs="Times New Roman"/>
                <w:i/>
                <w:sz w:val="28"/>
                <w:szCs w:val="28"/>
              </w:rPr>
            </m:ctrlPr>
          </m:sSubPr>
          <m:e>
            <m:r>
              <w:rPr>
                <w:rFonts w:ascii="Cambria Math" w:hAnsi="Cambria Math" w:cs="Times New Roman"/>
                <w:sz w:val="28"/>
                <w:szCs w:val="28"/>
              </w:rPr>
              <m:t>ε</m:t>
            </m:r>
          </m:e>
          <m:sub>
            <m:r>
              <w:rPr>
                <w:rFonts w:ascii="Cambria Math" w:hAnsi="Cambria Math" w:cs="Times New Roman"/>
                <w:sz w:val="28"/>
                <w:szCs w:val="28"/>
              </w:rPr>
              <m:t>t</m:t>
            </m:r>
          </m:sub>
        </m:sSub>
      </m:oMath>
      <w:r w:rsidR="009E5FF1" w:rsidRPr="00807CE7">
        <w:rPr>
          <w:rFonts w:ascii="Times New Roman" w:hAnsi="Times New Roman" w:cs="Times New Roman"/>
          <w:sz w:val="28"/>
          <w:szCs w:val="28"/>
        </w:rPr>
        <w:t xml:space="preserve">        </w:t>
      </w:r>
      <w:r w:rsidR="00E35CE0" w:rsidRPr="00807CE7">
        <w:rPr>
          <w:rFonts w:ascii="Times New Roman" w:hAnsi="Times New Roman" w:cs="Times New Roman"/>
          <w:sz w:val="28"/>
          <w:szCs w:val="28"/>
        </w:rPr>
        <w:t xml:space="preserve">   </w:t>
      </w:r>
      <w:r w:rsidR="009E5FF1" w:rsidRPr="00807CE7">
        <w:rPr>
          <w:rFonts w:ascii="Times New Roman" w:hAnsi="Times New Roman" w:cs="Times New Roman"/>
          <w:sz w:val="28"/>
          <w:szCs w:val="28"/>
        </w:rPr>
        <w:t xml:space="preserve">         </w:t>
      </w:r>
      <w:r w:rsidR="0005752D" w:rsidRPr="00807CE7">
        <w:rPr>
          <w:rFonts w:ascii="Times New Roman" w:hAnsi="Times New Roman" w:cs="Times New Roman"/>
          <w:sz w:val="28"/>
          <w:szCs w:val="28"/>
        </w:rPr>
        <w:t>(2.1</w:t>
      </w:r>
      <w:r w:rsidR="009E5FF1" w:rsidRPr="00807CE7">
        <w:rPr>
          <w:rFonts w:ascii="Times New Roman" w:hAnsi="Times New Roman" w:cs="Times New Roman"/>
          <w:sz w:val="28"/>
          <w:szCs w:val="28"/>
        </w:rPr>
        <w:t>),</w:t>
      </w:r>
    </w:p>
    <w:p w14:paraId="6F39603F" w14:textId="13193DEB" w:rsidR="009E5FF1" w:rsidRPr="00807CE7" w:rsidRDefault="009E5FF1" w:rsidP="009E5FF1">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t</m:t>
            </m:r>
          </m:sub>
        </m:sSub>
      </m:oMath>
      <w:r w:rsidRPr="00807CE7">
        <w:rPr>
          <w:rFonts w:ascii="Times New Roman" w:hAnsi="Times New Roman" w:cs="Times New Roman"/>
          <w:sz w:val="28"/>
          <w:szCs w:val="28"/>
        </w:rPr>
        <w:t xml:space="preserve"> – </w:t>
      </w:r>
      <w:r w:rsidR="00E35CE0" w:rsidRPr="00807CE7">
        <w:rPr>
          <w:rFonts w:ascii="Times New Roman" w:hAnsi="Times New Roman" w:cs="Times New Roman"/>
          <w:sz w:val="28"/>
          <w:szCs w:val="28"/>
        </w:rPr>
        <w:t>торговий баланс</w:t>
      </w:r>
      <w:r w:rsidRPr="00807CE7">
        <w:rPr>
          <w:rFonts w:ascii="Times New Roman" w:hAnsi="Times New Roman" w:cs="Times New Roman"/>
          <w:sz w:val="28"/>
          <w:szCs w:val="28"/>
        </w:rPr>
        <w:t>,</w:t>
      </w:r>
    </w:p>
    <w:p w14:paraId="072E46C1" w14:textId="064B1F59" w:rsidR="009E5FF1" w:rsidRPr="00807CE7" w:rsidRDefault="00483B2B" w:rsidP="009E5FF1">
      <w:pPr>
        <w:spacing w:line="360" w:lineRule="auto"/>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ER</m:t>
            </m:r>
          </m:e>
          <m:sub>
            <m:r>
              <w:rPr>
                <w:rFonts w:ascii="Cambria Math" w:hAnsi="Cambria Math" w:cs="Times New Roman"/>
                <w:sz w:val="28"/>
                <w:szCs w:val="28"/>
              </w:rPr>
              <m:t>t</m:t>
            </m:r>
          </m:sub>
        </m:sSub>
      </m:oMath>
      <w:r w:rsidR="009E5FF1" w:rsidRPr="00807CE7">
        <w:rPr>
          <w:rFonts w:ascii="Times New Roman" w:hAnsi="Times New Roman" w:cs="Times New Roman"/>
          <w:sz w:val="28"/>
          <w:szCs w:val="28"/>
        </w:rPr>
        <w:t xml:space="preserve">  – </w:t>
      </w:r>
      <w:r w:rsidR="00594D6D" w:rsidRPr="00807CE7">
        <w:rPr>
          <w:rFonts w:ascii="Times New Roman" w:hAnsi="Times New Roman" w:cs="Times New Roman"/>
          <w:sz w:val="28"/>
          <w:szCs w:val="28"/>
        </w:rPr>
        <w:t>валютний курс</w:t>
      </w:r>
      <w:r w:rsidR="009E5FF1" w:rsidRPr="00807CE7">
        <w:rPr>
          <w:rFonts w:ascii="Times New Roman" w:hAnsi="Times New Roman" w:cs="Times New Roman"/>
          <w:sz w:val="28"/>
          <w:szCs w:val="28"/>
        </w:rPr>
        <w:t>,</w:t>
      </w:r>
    </w:p>
    <w:p w14:paraId="16942CF8" w14:textId="60F3B238" w:rsidR="00594D6D" w:rsidRPr="00807CE7" w:rsidRDefault="00483B2B" w:rsidP="00594D6D">
      <w:pPr>
        <w:spacing w:line="360" w:lineRule="auto"/>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INFL</m:t>
            </m:r>
          </m:e>
          <m:sub>
            <m:r>
              <w:rPr>
                <w:rFonts w:ascii="Cambria Math" w:hAnsi="Cambria Math" w:cs="Times New Roman"/>
                <w:sz w:val="28"/>
                <w:szCs w:val="28"/>
              </w:rPr>
              <m:t>t</m:t>
            </m:r>
          </m:sub>
        </m:sSub>
      </m:oMath>
      <w:r w:rsidR="009E5FF1" w:rsidRPr="00807CE7">
        <w:rPr>
          <w:rFonts w:ascii="Times New Roman" w:hAnsi="Times New Roman" w:cs="Times New Roman"/>
          <w:sz w:val="28"/>
          <w:szCs w:val="28"/>
        </w:rPr>
        <w:t xml:space="preserve"> </w:t>
      </w:r>
      <w:r w:rsidR="00594D6D" w:rsidRPr="00807CE7">
        <w:rPr>
          <w:rFonts w:ascii="Times New Roman" w:hAnsi="Times New Roman" w:cs="Times New Roman"/>
          <w:sz w:val="28"/>
          <w:szCs w:val="28"/>
        </w:rPr>
        <w:t xml:space="preserve"> – інфляція</w:t>
      </w:r>
      <w:r w:rsidR="009E5FF1" w:rsidRPr="00807CE7">
        <w:rPr>
          <w:rFonts w:ascii="Times New Roman" w:hAnsi="Times New Roman" w:cs="Times New Roman"/>
          <w:sz w:val="28"/>
          <w:szCs w:val="28"/>
        </w:rPr>
        <w:t>,</w:t>
      </w:r>
    </w:p>
    <w:p w14:paraId="2C46FDE5" w14:textId="25F63DD7" w:rsidR="009E5FF1" w:rsidRPr="00807CE7" w:rsidRDefault="00483B2B" w:rsidP="00594D6D">
      <w:pPr>
        <w:spacing w:line="360" w:lineRule="auto"/>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GDP</m:t>
            </m:r>
          </m:e>
          <m:sub>
            <m:r>
              <w:rPr>
                <w:rFonts w:ascii="Cambria Math" w:hAnsi="Cambria Math" w:cs="Times New Roman"/>
                <w:sz w:val="28"/>
                <w:szCs w:val="28"/>
              </w:rPr>
              <m:t>t</m:t>
            </m:r>
          </m:sub>
        </m:sSub>
      </m:oMath>
      <w:r w:rsidR="00594D6D" w:rsidRPr="00807CE7">
        <w:rPr>
          <w:rFonts w:ascii="Times New Roman" w:hAnsi="Times New Roman" w:cs="Times New Roman"/>
          <w:sz w:val="28"/>
          <w:szCs w:val="28"/>
        </w:rPr>
        <w:t xml:space="preserve">  – ВВП. </w:t>
      </w:r>
    </w:p>
    <w:p w14:paraId="66BCFAC1" w14:textId="0B8A9250" w:rsidR="009E5FF1" w:rsidRPr="00807CE7" w:rsidRDefault="009E5FF1" w:rsidP="009E5FF1">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Дана модель була оцінена на підставі квартальних статистичних даних </w:t>
      </w:r>
      <w:r w:rsidR="001862AE" w:rsidRPr="00807CE7">
        <w:rPr>
          <w:rFonts w:ascii="Times New Roman" w:hAnsi="Times New Roman" w:cs="Times New Roman"/>
          <w:sz w:val="28"/>
          <w:szCs w:val="28"/>
        </w:rPr>
        <w:t>Румунії та Болгарії</w:t>
      </w:r>
      <w:r w:rsidRPr="00807CE7">
        <w:rPr>
          <w:rFonts w:ascii="Times New Roman" w:hAnsi="Times New Roman" w:cs="Times New Roman"/>
          <w:sz w:val="28"/>
          <w:szCs w:val="28"/>
        </w:rPr>
        <w:t xml:space="preserve"> за період з </w:t>
      </w:r>
      <w:r w:rsidR="001862AE" w:rsidRPr="00807CE7">
        <w:rPr>
          <w:rFonts w:ascii="Times New Roman" w:hAnsi="Times New Roman" w:cs="Times New Roman"/>
          <w:sz w:val="28"/>
          <w:szCs w:val="28"/>
        </w:rPr>
        <w:t>2005</w:t>
      </w:r>
      <w:r w:rsidRPr="00807CE7">
        <w:rPr>
          <w:rFonts w:ascii="Times New Roman" w:hAnsi="Times New Roman" w:cs="Times New Roman"/>
          <w:sz w:val="28"/>
          <w:szCs w:val="28"/>
        </w:rPr>
        <w:t xml:space="preserve"> року по 2021 рік. Показники отримано із бази даних МВФ World Economic Outlook Database та European Central Bank - Statistical Data Warehouse. </w:t>
      </w:r>
    </w:p>
    <w:p w14:paraId="7AECB193" w14:textId="0CB43A17" w:rsidR="009E5FF1" w:rsidRPr="00807CE7" w:rsidRDefault="009E5FF1" w:rsidP="009E5FF1">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В першу чергу було розглянуто коефіцієнт детермінації (R squared) R^2, який показує ступінь пояснення залежної змінної вибраними незалежними змінними та може мати значення від 0 до 1, тобто чим ближче до 1, тим зв’язок сильніше. В результаті аналізу було отримано коефіцієнт детермінації</w:t>
      </w:r>
      <w:r w:rsidR="001862AE" w:rsidRPr="00807CE7">
        <w:rPr>
          <w:rFonts w:ascii="Times New Roman" w:hAnsi="Times New Roman" w:cs="Times New Roman"/>
          <w:sz w:val="28"/>
          <w:szCs w:val="28"/>
        </w:rPr>
        <w:t xml:space="preserve"> Болгарії</w:t>
      </w:r>
      <w:r w:rsidRPr="00807CE7">
        <w:rPr>
          <w:rFonts w:ascii="Times New Roman" w:hAnsi="Times New Roman" w:cs="Times New Roman"/>
          <w:sz w:val="28"/>
          <w:szCs w:val="28"/>
        </w:rPr>
        <w:t xml:space="preserve"> R^2 = 0,8</w:t>
      </w:r>
      <w:r w:rsidR="00FF59EF" w:rsidRPr="00807CE7">
        <w:rPr>
          <w:rFonts w:ascii="Times New Roman" w:hAnsi="Times New Roman" w:cs="Times New Roman"/>
          <w:sz w:val="28"/>
          <w:szCs w:val="28"/>
        </w:rPr>
        <w:t>78</w:t>
      </w:r>
      <w:r w:rsidRPr="00807CE7">
        <w:rPr>
          <w:rFonts w:ascii="Times New Roman" w:hAnsi="Times New Roman" w:cs="Times New Roman"/>
          <w:sz w:val="28"/>
          <w:szCs w:val="28"/>
        </w:rPr>
        <w:t>, тобто обрані фактори пояснюють зміну на 8</w:t>
      </w:r>
      <w:r w:rsidR="00FF59EF" w:rsidRPr="00807CE7">
        <w:rPr>
          <w:rFonts w:ascii="Times New Roman" w:hAnsi="Times New Roman" w:cs="Times New Roman"/>
          <w:sz w:val="28"/>
          <w:szCs w:val="28"/>
        </w:rPr>
        <w:t>8</w:t>
      </w:r>
      <w:r w:rsidRPr="00807CE7">
        <w:rPr>
          <w:rFonts w:ascii="Times New Roman" w:hAnsi="Times New Roman" w:cs="Times New Roman"/>
          <w:sz w:val="28"/>
          <w:szCs w:val="28"/>
        </w:rPr>
        <w:t xml:space="preserve">%. </w:t>
      </w:r>
    </w:p>
    <w:p w14:paraId="5F631FBF" w14:textId="050ACFDC" w:rsidR="00F80B59" w:rsidRPr="00807CE7" w:rsidRDefault="009E5FF1" w:rsidP="009E5FF1">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Далі виходячи з отриманих даних будуть </w:t>
      </w:r>
      <w:r w:rsidR="00253C6C" w:rsidRPr="00807CE7">
        <w:rPr>
          <w:rFonts w:ascii="Times New Roman" w:hAnsi="Times New Roman" w:cs="Times New Roman"/>
          <w:sz w:val="28"/>
          <w:szCs w:val="28"/>
        </w:rPr>
        <w:t>проаналізовані</w:t>
      </w:r>
      <w:r w:rsidRPr="00807CE7">
        <w:rPr>
          <w:rFonts w:ascii="Times New Roman" w:hAnsi="Times New Roman" w:cs="Times New Roman"/>
          <w:sz w:val="28"/>
          <w:szCs w:val="28"/>
        </w:rPr>
        <w:t xml:space="preserve"> </w:t>
      </w:r>
      <w:r w:rsidR="00253C6C" w:rsidRPr="00807CE7">
        <w:rPr>
          <w:rFonts w:ascii="Times New Roman" w:hAnsi="Times New Roman" w:cs="Times New Roman"/>
          <w:sz w:val="28"/>
          <w:szCs w:val="28"/>
        </w:rPr>
        <w:t>коефіцієнти</w:t>
      </w:r>
      <w:r w:rsidRPr="00807CE7">
        <w:rPr>
          <w:rFonts w:ascii="Times New Roman" w:hAnsi="Times New Roman" w:cs="Times New Roman"/>
          <w:sz w:val="28"/>
          <w:szCs w:val="28"/>
        </w:rPr>
        <w:t xml:space="preserve"> регресійної моделі, а саме стандартизовані бета-коефіцієнти. Абсолютне значення стандартизованого бета-коефіцієнта показує, чи є вплив на залежну змінну: чим вищий коефіцієнт, тим більший вплив. Стандартизований коефіцієнт показує, що відбувається, коли незалежна змінна змінюється на 1 стандартне відхилення, як це впливатиме на залежну змінну.</w:t>
      </w:r>
    </w:p>
    <w:p w14:paraId="54E892F6" w14:textId="3F698B2E" w:rsidR="00FF59EF" w:rsidRPr="00807CE7" w:rsidRDefault="00253C6C" w:rsidP="00AF2891">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Аналізуючи статистичні коефіцієнти можна визначити</w:t>
      </w:r>
      <w:r w:rsidR="008369CD" w:rsidRPr="00807CE7">
        <w:rPr>
          <w:rFonts w:ascii="Times New Roman" w:hAnsi="Times New Roman" w:cs="Times New Roman"/>
          <w:sz w:val="28"/>
          <w:szCs w:val="28"/>
        </w:rPr>
        <w:t xml:space="preserve">, який із факторів впливає на змінну найбільше – інфляція має найбільший вплив. Це означає, якщо інфляція зміниться на 1 стандартне відхилення, </w:t>
      </w:r>
      <w:r w:rsidR="00BA1BBD" w:rsidRPr="00807CE7">
        <w:rPr>
          <w:rFonts w:ascii="Times New Roman" w:hAnsi="Times New Roman" w:cs="Times New Roman"/>
          <w:sz w:val="28"/>
          <w:szCs w:val="28"/>
        </w:rPr>
        <w:t>торговий баланс</w:t>
      </w:r>
      <w:r w:rsidR="008369CD" w:rsidRPr="00807CE7">
        <w:rPr>
          <w:rFonts w:ascii="Times New Roman" w:hAnsi="Times New Roman" w:cs="Times New Roman"/>
          <w:sz w:val="28"/>
          <w:szCs w:val="28"/>
        </w:rPr>
        <w:t xml:space="preserve"> також збільшиться на </w:t>
      </w:r>
      <w:r w:rsidR="00BA1BBD" w:rsidRPr="00807CE7">
        <w:rPr>
          <w:rFonts w:ascii="Times New Roman" w:hAnsi="Times New Roman" w:cs="Times New Roman"/>
          <w:sz w:val="28"/>
          <w:szCs w:val="28"/>
        </w:rPr>
        <w:t xml:space="preserve">590,8. </w:t>
      </w:r>
      <w:r w:rsidR="00EE587A" w:rsidRPr="00807CE7">
        <w:rPr>
          <w:rFonts w:ascii="Times New Roman" w:hAnsi="Times New Roman" w:cs="Times New Roman"/>
          <w:sz w:val="28"/>
          <w:szCs w:val="28"/>
        </w:rPr>
        <w:t xml:space="preserve">Не менш впливовим є показник валютного курсу Болгарії. </w:t>
      </w:r>
      <w:r w:rsidR="00A47285" w:rsidRPr="00807CE7">
        <w:rPr>
          <w:rFonts w:ascii="Times New Roman" w:hAnsi="Times New Roman" w:cs="Times New Roman"/>
          <w:sz w:val="28"/>
          <w:szCs w:val="28"/>
        </w:rPr>
        <w:t>Він має прямий напрямок впливу на торговий баланс країни: якщо валютний курс збільшиться на одне стандартне</w:t>
      </w:r>
      <w:r w:rsidR="00AF2891" w:rsidRPr="00807CE7">
        <w:rPr>
          <w:rFonts w:ascii="Times New Roman" w:hAnsi="Times New Roman" w:cs="Times New Roman"/>
          <w:sz w:val="28"/>
          <w:szCs w:val="28"/>
        </w:rPr>
        <w:t xml:space="preserve"> </w:t>
      </w:r>
      <w:r w:rsidR="00A47285" w:rsidRPr="00807CE7">
        <w:rPr>
          <w:rFonts w:ascii="Times New Roman" w:hAnsi="Times New Roman" w:cs="Times New Roman"/>
          <w:sz w:val="28"/>
          <w:szCs w:val="28"/>
        </w:rPr>
        <w:t xml:space="preserve">відхилення, </w:t>
      </w:r>
      <w:r w:rsidR="00AF2891" w:rsidRPr="00807CE7">
        <w:rPr>
          <w:rFonts w:ascii="Times New Roman" w:hAnsi="Times New Roman" w:cs="Times New Roman"/>
          <w:sz w:val="28"/>
          <w:szCs w:val="28"/>
        </w:rPr>
        <w:t xml:space="preserve">торговий баланс Болгарії </w:t>
      </w:r>
      <w:r w:rsidR="005D51DB" w:rsidRPr="00807CE7">
        <w:rPr>
          <w:rFonts w:ascii="Times New Roman" w:hAnsi="Times New Roman" w:cs="Times New Roman"/>
          <w:sz w:val="28"/>
          <w:szCs w:val="28"/>
        </w:rPr>
        <w:t>збільшиться</w:t>
      </w:r>
      <w:r w:rsidR="00A47285" w:rsidRPr="00807CE7">
        <w:rPr>
          <w:rFonts w:ascii="Times New Roman" w:hAnsi="Times New Roman" w:cs="Times New Roman"/>
          <w:sz w:val="28"/>
          <w:szCs w:val="28"/>
        </w:rPr>
        <w:t xml:space="preserve"> на </w:t>
      </w:r>
      <w:r w:rsidR="00BB42C7" w:rsidRPr="00807CE7">
        <w:rPr>
          <w:rFonts w:ascii="Times New Roman" w:hAnsi="Times New Roman" w:cs="Times New Roman"/>
          <w:sz w:val="28"/>
          <w:szCs w:val="28"/>
        </w:rPr>
        <w:t>7350,96</w:t>
      </w:r>
      <w:r w:rsidR="00A47285" w:rsidRPr="00807CE7">
        <w:rPr>
          <w:rFonts w:ascii="Times New Roman" w:hAnsi="Times New Roman" w:cs="Times New Roman"/>
          <w:sz w:val="28"/>
          <w:szCs w:val="28"/>
        </w:rPr>
        <w:t xml:space="preserve"> стандартних відхилень.</w:t>
      </w:r>
      <w:r w:rsidR="00BB42C7" w:rsidRPr="00807CE7">
        <w:rPr>
          <w:rFonts w:ascii="Times New Roman" w:hAnsi="Times New Roman" w:cs="Times New Roman"/>
          <w:sz w:val="28"/>
          <w:szCs w:val="28"/>
        </w:rPr>
        <w:t xml:space="preserve"> Третій коеф</w:t>
      </w:r>
      <w:r w:rsidR="00CC34B9" w:rsidRPr="00807CE7">
        <w:rPr>
          <w:rFonts w:ascii="Times New Roman" w:hAnsi="Times New Roman" w:cs="Times New Roman"/>
          <w:sz w:val="28"/>
          <w:szCs w:val="28"/>
        </w:rPr>
        <w:t xml:space="preserve">іцієнт в моделі – ВВП виявився незначущим й невпливовим на </w:t>
      </w:r>
      <w:r w:rsidRPr="00807CE7">
        <w:rPr>
          <w:rFonts w:ascii="Times New Roman" w:hAnsi="Times New Roman" w:cs="Times New Roman"/>
          <w:sz w:val="28"/>
          <w:szCs w:val="28"/>
        </w:rPr>
        <w:t>торговий</w:t>
      </w:r>
      <w:r w:rsidR="00CC34B9" w:rsidRPr="00807CE7">
        <w:rPr>
          <w:rFonts w:ascii="Times New Roman" w:hAnsi="Times New Roman" w:cs="Times New Roman"/>
          <w:sz w:val="28"/>
          <w:szCs w:val="28"/>
        </w:rPr>
        <w:t xml:space="preserve"> баланс. </w:t>
      </w:r>
    </w:p>
    <w:p w14:paraId="76DC2D01" w14:textId="77777777" w:rsidR="002B5AA4" w:rsidRPr="00807CE7" w:rsidRDefault="00D43A95" w:rsidP="002B5AA4">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Отже, після аналізу можна скласти</w:t>
      </w:r>
      <w:r w:rsidR="00622C3F" w:rsidRPr="00807CE7">
        <w:rPr>
          <w:rFonts w:ascii="Times New Roman" w:hAnsi="Times New Roman" w:cs="Times New Roman"/>
          <w:sz w:val="28"/>
          <w:szCs w:val="28"/>
        </w:rPr>
        <w:t xml:space="preserve"> наступну емпіричну модель: </w:t>
      </w:r>
    </w:p>
    <w:p w14:paraId="1BAA5CF0" w14:textId="2543FD64" w:rsidR="002B5AA4" w:rsidRPr="00807CE7" w:rsidRDefault="00483B2B" w:rsidP="00F71CBA">
      <w:pPr>
        <w:spacing w:line="360" w:lineRule="auto"/>
        <w:ind w:firstLine="709"/>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t</m:t>
            </m:r>
          </m:sub>
        </m:sSub>
        <m:r>
          <w:rPr>
            <w:rFonts w:ascii="Cambria Math" w:hAnsi="Cambria Math" w:cs="Times New Roman"/>
            <w:sz w:val="28"/>
            <w:szCs w:val="28"/>
          </w:rPr>
          <m:t xml:space="preserve"> </m:t>
        </m:r>
      </m:oMath>
      <w:r w:rsidR="002B5AA4" w:rsidRPr="00807CE7">
        <w:rPr>
          <w:rFonts w:ascii="Times New Roman" w:hAnsi="Times New Roman" w:cs="Times New Roman"/>
          <w:sz w:val="28"/>
          <w:szCs w:val="28"/>
        </w:rPr>
        <w:t xml:space="preserve">= </w:t>
      </w:r>
      <m:oMath>
        <m:r>
          <w:rPr>
            <w:rFonts w:ascii="Cambria Math" w:hAnsi="Cambria Math" w:cs="Times New Roman"/>
            <w:sz w:val="28"/>
            <w:szCs w:val="28"/>
          </w:rPr>
          <m:t>ER*7350,96-590,818*INFL+ 0,153*GDP</m:t>
        </m:r>
      </m:oMath>
    </w:p>
    <w:p w14:paraId="3A649C4D" w14:textId="534ED8F5" w:rsidR="002B5AA4" w:rsidRPr="00807CE7" w:rsidRDefault="00F71CBA" w:rsidP="00F71CBA">
      <w:pPr>
        <w:spacing w:line="360" w:lineRule="auto"/>
        <w:ind w:firstLine="709"/>
        <w:jc w:val="center"/>
        <w:rPr>
          <w:rFonts w:ascii="Times New Roman" w:hAnsi="Times New Roman" w:cs="Times New Roman"/>
          <w:sz w:val="28"/>
          <w:szCs w:val="28"/>
        </w:rPr>
      </w:pPr>
      <w:r w:rsidRPr="00807CE7">
        <w:rPr>
          <w:rFonts w:ascii="Times New Roman" w:hAnsi="Times New Roman" w:cs="Times New Roman"/>
          <w:sz w:val="28"/>
          <w:szCs w:val="28"/>
        </w:rPr>
        <w:t xml:space="preserve">        </w:t>
      </w:r>
      <w:r w:rsidR="002B5AA4" w:rsidRPr="00807CE7">
        <w:rPr>
          <w:rFonts w:ascii="Times New Roman" w:hAnsi="Times New Roman" w:cs="Times New Roman"/>
          <w:sz w:val="28"/>
          <w:szCs w:val="28"/>
        </w:rPr>
        <w:t>(</w:t>
      </w:r>
      <w:r w:rsidRPr="00807CE7">
        <w:rPr>
          <w:rFonts w:ascii="Times New Roman" w:hAnsi="Times New Roman" w:cs="Times New Roman"/>
          <w:sz w:val="28"/>
          <w:szCs w:val="28"/>
        </w:rPr>
        <w:t>2,942)**</w:t>
      </w:r>
      <w:r w:rsidR="002B5AA4" w:rsidRPr="00807CE7">
        <w:rPr>
          <w:rFonts w:ascii="Times New Roman" w:hAnsi="Times New Roman" w:cs="Times New Roman"/>
          <w:sz w:val="28"/>
          <w:szCs w:val="28"/>
        </w:rPr>
        <w:t xml:space="preserve"> (</w:t>
      </w:r>
      <w:r w:rsidRPr="00807CE7">
        <w:rPr>
          <w:rFonts w:ascii="Times New Roman" w:hAnsi="Times New Roman" w:cs="Times New Roman"/>
          <w:sz w:val="28"/>
          <w:szCs w:val="28"/>
        </w:rPr>
        <w:t xml:space="preserve"> </w:t>
      </w:r>
      <w:r w:rsidR="002B5AA4" w:rsidRPr="00807CE7">
        <w:rPr>
          <w:rFonts w:ascii="Times New Roman" w:hAnsi="Times New Roman" w:cs="Times New Roman"/>
          <w:sz w:val="28"/>
          <w:szCs w:val="28"/>
        </w:rPr>
        <w:t>-</w:t>
      </w:r>
      <w:r w:rsidRPr="00807CE7">
        <w:rPr>
          <w:rFonts w:ascii="Times New Roman" w:hAnsi="Times New Roman" w:cs="Times New Roman"/>
          <w:sz w:val="28"/>
          <w:szCs w:val="28"/>
        </w:rPr>
        <w:t>5,821</w:t>
      </w:r>
      <w:r w:rsidR="002B5AA4" w:rsidRPr="00807CE7">
        <w:rPr>
          <w:rFonts w:ascii="Times New Roman" w:hAnsi="Times New Roman" w:cs="Times New Roman"/>
          <w:sz w:val="28"/>
          <w:szCs w:val="28"/>
        </w:rPr>
        <w:t>)***</w:t>
      </w:r>
      <w:r w:rsidRPr="00807CE7">
        <w:rPr>
          <w:rFonts w:ascii="Times New Roman" w:hAnsi="Times New Roman" w:cs="Times New Roman"/>
          <w:sz w:val="28"/>
          <w:szCs w:val="28"/>
        </w:rPr>
        <w:t xml:space="preserve">             </w:t>
      </w:r>
      <w:r w:rsidR="002B5AA4" w:rsidRPr="00807CE7">
        <w:rPr>
          <w:rFonts w:ascii="Times New Roman" w:hAnsi="Times New Roman" w:cs="Times New Roman"/>
          <w:sz w:val="28"/>
          <w:szCs w:val="28"/>
        </w:rPr>
        <w:t>(</w:t>
      </w:r>
      <w:r w:rsidRPr="00807CE7">
        <w:rPr>
          <w:rFonts w:ascii="Times New Roman" w:hAnsi="Times New Roman" w:cs="Times New Roman"/>
          <w:sz w:val="28"/>
          <w:szCs w:val="28"/>
        </w:rPr>
        <w:t>0,9483)</w:t>
      </w:r>
    </w:p>
    <w:p w14:paraId="057809E4" w14:textId="77777777" w:rsidR="00F71CBA" w:rsidRPr="00807CE7" w:rsidRDefault="00F71CBA" w:rsidP="00F71CB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Адекватність моделі показала:</w:t>
      </w:r>
    </w:p>
    <w:p w14:paraId="69202E04" w14:textId="6D0B728D" w:rsidR="00F71CBA" w:rsidRPr="00807CE7" w:rsidRDefault="00F71CBA" w:rsidP="00F71CB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1) Зафіксовано 2 значимі коефіцієнти (</w:t>
      </w:r>
      <w:r w:rsidR="000B7103" w:rsidRPr="00807CE7">
        <w:rPr>
          <w:rFonts w:ascii="Times New Roman" w:hAnsi="Times New Roman" w:cs="Times New Roman"/>
          <w:sz w:val="28"/>
          <w:szCs w:val="28"/>
        </w:rPr>
        <w:t>ER</w:t>
      </w:r>
      <w:r w:rsidRPr="00807CE7">
        <w:rPr>
          <w:rFonts w:ascii="Times New Roman" w:hAnsi="Times New Roman" w:cs="Times New Roman"/>
          <w:sz w:val="28"/>
          <w:szCs w:val="28"/>
        </w:rPr>
        <w:t xml:space="preserve"> та </w:t>
      </w:r>
      <w:r w:rsidR="000B7103" w:rsidRPr="00807CE7">
        <w:rPr>
          <w:rFonts w:ascii="Times New Roman" w:hAnsi="Times New Roman" w:cs="Times New Roman"/>
          <w:sz w:val="28"/>
          <w:szCs w:val="28"/>
        </w:rPr>
        <w:t>INFL</w:t>
      </w:r>
      <w:r w:rsidRPr="00807CE7">
        <w:rPr>
          <w:rFonts w:ascii="Times New Roman" w:hAnsi="Times New Roman" w:cs="Times New Roman"/>
          <w:sz w:val="28"/>
          <w:szCs w:val="28"/>
        </w:rPr>
        <w:t xml:space="preserve">) та </w:t>
      </w:r>
      <w:r w:rsidR="000B7103" w:rsidRPr="00807CE7">
        <w:rPr>
          <w:rFonts w:ascii="Times New Roman" w:hAnsi="Times New Roman" w:cs="Times New Roman"/>
          <w:sz w:val="28"/>
          <w:szCs w:val="28"/>
        </w:rPr>
        <w:t>1</w:t>
      </w:r>
      <w:r w:rsidRPr="00807CE7">
        <w:rPr>
          <w:rFonts w:ascii="Times New Roman" w:hAnsi="Times New Roman" w:cs="Times New Roman"/>
          <w:sz w:val="28"/>
          <w:szCs w:val="28"/>
        </w:rPr>
        <w:t xml:space="preserve"> не значим</w:t>
      </w:r>
      <w:r w:rsidR="000B7103" w:rsidRPr="00807CE7">
        <w:rPr>
          <w:rFonts w:ascii="Times New Roman" w:hAnsi="Times New Roman" w:cs="Times New Roman"/>
          <w:sz w:val="28"/>
          <w:szCs w:val="28"/>
        </w:rPr>
        <w:t>ий</w:t>
      </w:r>
      <w:r w:rsidRPr="00807CE7">
        <w:rPr>
          <w:rFonts w:ascii="Times New Roman" w:hAnsi="Times New Roman" w:cs="Times New Roman"/>
          <w:sz w:val="28"/>
          <w:szCs w:val="28"/>
        </w:rPr>
        <w:t xml:space="preserve"> (</w:t>
      </w:r>
      <w:r w:rsidR="000B7103" w:rsidRPr="00807CE7">
        <w:rPr>
          <w:rFonts w:ascii="Times New Roman" w:hAnsi="Times New Roman" w:cs="Times New Roman"/>
          <w:sz w:val="28"/>
          <w:szCs w:val="28"/>
        </w:rPr>
        <w:t>GDP)</w:t>
      </w:r>
      <w:r w:rsidRPr="00807CE7">
        <w:rPr>
          <w:rFonts w:ascii="Times New Roman" w:hAnsi="Times New Roman" w:cs="Times New Roman"/>
          <w:sz w:val="28"/>
          <w:szCs w:val="28"/>
        </w:rPr>
        <w:t>.</w:t>
      </w:r>
    </w:p>
    <w:p w14:paraId="53F5E235" w14:textId="679C88DE" w:rsidR="00F71CBA" w:rsidRPr="00807CE7" w:rsidRDefault="00F71CBA" w:rsidP="00F71CB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2) R^2 = 0,8</w:t>
      </w:r>
      <w:r w:rsidR="000B7103" w:rsidRPr="00807CE7">
        <w:rPr>
          <w:rFonts w:ascii="Times New Roman" w:hAnsi="Times New Roman" w:cs="Times New Roman"/>
          <w:sz w:val="28"/>
          <w:szCs w:val="28"/>
        </w:rPr>
        <w:t>78</w:t>
      </w:r>
      <w:r w:rsidRPr="00807CE7">
        <w:rPr>
          <w:rFonts w:ascii="Times New Roman" w:hAnsi="Times New Roman" w:cs="Times New Roman"/>
          <w:sz w:val="28"/>
          <w:szCs w:val="28"/>
        </w:rPr>
        <w:t xml:space="preserve">  (8</w:t>
      </w:r>
      <w:r w:rsidR="000B7103" w:rsidRPr="00807CE7">
        <w:rPr>
          <w:rFonts w:ascii="Times New Roman" w:hAnsi="Times New Roman" w:cs="Times New Roman"/>
          <w:sz w:val="28"/>
          <w:szCs w:val="28"/>
        </w:rPr>
        <w:t>8</w:t>
      </w:r>
      <w:r w:rsidRPr="00807CE7">
        <w:rPr>
          <w:rFonts w:ascii="Times New Roman" w:hAnsi="Times New Roman" w:cs="Times New Roman"/>
          <w:sz w:val="28"/>
          <w:szCs w:val="28"/>
        </w:rPr>
        <w:t>%).</w:t>
      </w:r>
    </w:p>
    <w:p w14:paraId="7535A1EE" w14:textId="433AFB8D" w:rsidR="00B96399" w:rsidRPr="00807CE7" w:rsidRDefault="00B96399" w:rsidP="00325391">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Далі буде проведений регресійний аналіз впливу валютного курсу, ВВП та інфляції на торговий баланс Румунії. </w:t>
      </w:r>
      <w:r w:rsidR="00325391" w:rsidRPr="00807CE7">
        <w:rPr>
          <w:rFonts w:ascii="Times New Roman" w:hAnsi="Times New Roman" w:cs="Times New Roman"/>
          <w:sz w:val="28"/>
          <w:szCs w:val="28"/>
        </w:rPr>
        <w:t>В результаті аналізу було отримано коефіцієнт детермінації Болгарії R^2 = 0,8</w:t>
      </w:r>
      <w:r w:rsidR="000E2073" w:rsidRPr="00807CE7">
        <w:rPr>
          <w:rFonts w:ascii="Times New Roman" w:hAnsi="Times New Roman" w:cs="Times New Roman"/>
          <w:sz w:val="28"/>
          <w:szCs w:val="28"/>
        </w:rPr>
        <w:t>7</w:t>
      </w:r>
      <w:r w:rsidR="00325391" w:rsidRPr="00807CE7">
        <w:rPr>
          <w:rFonts w:ascii="Times New Roman" w:hAnsi="Times New Roman" w:cs="Times New Roman"/>
          <w:sz w:val="28"/>
          <w:szCs w:val="28"/>
        </w:rPr>
        <w:t>, тобто обрані фактори пояснюють зміну на 8</w:t>
      </w:r>
      <w:r w:rsidR="000E2073" w:rsidRPr="00807CE7">
        <w:rPr>
          <w:rFonts w:ascii="Times New Roman" w:hAnsi="Times New Roman" w:cs="Times New Roman"/>
          <w:sz w:val="28"/>
          <w:szCs w:val="28"/>
        </w:rPr>
        <w:t>7</w:t>
      </w:r>
      <w:r w:rsidR="00325391" w:rsidRPr="00807CE7">
        <w:rPr>
          <w:rFonts w:ascii="Times New Roman" w:hAnsi="Times New Roman" w:cs="Times New Roman"/>
          <w:sz w:val="28"/>
          <w:szCs w:val="28"/>
        </w:rPr>
        <w:t>%.  Далі</w:t>
      </w:r>
      <w:r w:rsidR="00433D37" w:rsidRPr="00807CE7">
        <w:rPr>
          <w:rFonts w:ascii="Times New Roman" w:hAnsi="Times New Roman" w:cs="Times New Roman"/>
          <w:sz w:val="28"/>
          <w:szCs w:val="28"/>
        </w:rPr>
        <w:t>,</w:t>
      </w:r>
      <w:r w:rsidR="00325391" w:rsidRPr="00807CE7">
        <w:rPr>
          <w:rFonts w:ascii="Times New Roman" w:hAnsi="Times New Roman" w:cs="Times New Roman"/>
          <w:sz w:val="28"/>
          <w:szCs w:val="28"/>
        </w:rPr>
        <w:t xml:space="preserve"> виходячи з отриманих даних</w:t>
      </w:r>
      <w:r w:rsidR="00433D37" w:rsidRPr="00807CE7">
        <w:rPr>
          <w:rFonts w:ascii="Times New Roman" w:hAnsi="Times New Roman" w:cs="Times New Roman"/>
          <w:sz w:val="28"/>
          <w:szCs w:val="28"/>
        </w:rPr>
        <w:t>,</w:t>
      </w:r>
      <w:r w:rsidR="00325391" w:rsidRPr="00807CE7">
        <w:rPr>
          <w:rFonts w:ascii="Times New Roman" w:hAnsi="Times New Roman" w:cs="Times New Roman"/>
          <w:sz w:val="28"/>
          <w:szCs w:val="28"/>
        </w:rPr>
        <w:t xml:space="preserve"> будуть </w:t>
      </w:r>
      <w:r w:rsidR="00433D37" w:rsidRPr="00807CE7">
        <w:rPr>
          <w:rFonts w:ascii="Times New Roman" w:hAnsi="Times New Roman" w:cs="Times New Roman"/>
          <w:sz w:val="28"/>
          <w:szCs w:val="28"/>
        </w:rPr>
        <w:t>проаналізовані</w:t>
      </w:r>
      <w:r w:rsidR="00325391" w:rsidRPr="00807CE7">
        <w:rPr>
          <w:rFonts w:ascii="Times New Roman" w:hAnsi="Times New Roman" w:cs="Times New Roman"/>
          <w:sz w:val="28"/>
          <w:szCs w:val="28"/>
        </w:rPr>
        <w:t xml:space="preserve"> </w:t>
      </w:r>
      <w:r w:rsidR="00433D37" w:rsidRPr="00807CE7">
        <w:rPr>
          <w:rFonts w:ascii="Times New Roman" w:hAnsi="Times New Roman" w:cs="Times New Roman"/>
          <w:sz w:val="28"/>
          <w:szCs w:val="28"/>
        </w:rPr>
        <w:t>статистичні коефіцієнти</w:t>
      </w:r>
      <w:r w:rsidR="00325391" w:rsidRPr="00807CE7">
        <w:rPr>
          <w:rFonts w:ascii="Times New Roman" w:hAnsi="Times New Roman" w:cs="Times New Roman"/>
          <w:sz w:val="28"/>
          <w:szCs w:val="28"/>
        </w:rPr>
        <w:t xml:space="preserve"> регресійної моделі, а саме стандартизовані бета-коефіцієнти.</w:t>
      </w:r>
    </w:p>
    <w:p w14:paraId="14408FBF" w14:textId="06F9270C" w:rsidR="004E0B54" w:rsidRPr="00807CE7" w:rsidRDefault="00433D37" w:rsidP="004E0B54">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Аналізуючи статистичні коефіцієнти можна визначити, який із факторів впливає на змінну найбільше, </w:t>
      </w:r>
      <w:r w:rsidR="004E0B54" w:rsidRPr="00807CE7">
        <w:rPr>
          <w:rFonts w:ascii="Times New Roman" w:hAnsi="Times New Roman" w:cs="Times New Roman"/>
          <w:sz w:val="28"/>
          <w:szCs w:val="28"/>
        </w:rPr>
        <w:t xml:space="preserve">– </w:t>
      </w:r>
      <w:r w:rsidR="009A59FE" w:rsidRPr="00807CE7">
        <w:rPr>
          <w:rFonts w:ascii="Times New Roman" w:hAnsi="Times New Roman" w:cs="Times New Roman"/>
          <w:sz w:val="28"/>
          <w:szCs w:val="28"/>
        </w:rPr>
        <w:t>інфляція</w:t>
      </w:r>
      <w:r w:rsidR="004E0B54" w:rsidRPr="00807CE7">
        <w:rPr>
          <w:rFonts w:ascii="Times New Roman" w:hAnsi="Times New Roman" w:cs="Times New Roman"/>
          <w:sz w:val="28"/>
          <w:szCs w:val="28"/>
        </w:rPr>
        <w:t xml:space="preserve"> має найбільший вплив. Це означає, якщо інфляція зміниться на 1 стандартне відхилення, торговий баланс також збільшиться на </w:t>
      </w:r>
      <w:r w:rsidR="009A59FE" w:rsidRPr="00807CE7">
        <w:rPr>
          <w:rFonts w:ascii="Times New Roman" w:hAnsi="Times New Roman" w:cs="Times New Roman"/>
          <w:sz w:val="28"/>
          <w:szCs w:val="28"/>
        </w:rPr>
        <w:t>2108,36</w:t>
      </w:r>
      <w:r w:rsidR="004E0B54" w:rsidRPr="00807CE7">
        <w:rPr>
          <w:rFonts w:ascii="Times New Roman" w:hAnsi="Times New Roman" w:cs="Times New Roman"/>
          <w:sz w:val="28"/>
          <w:szCs w:val="28"/>
        </w:rPr>
        <w:t xml:space="preserve">. Не менш впливовим є </w:t>
      </w:r>
      <w:r w:rsidR="009A59FE" w:rsidRPr="00807CE7">
        <w:rPr>
          <w:rFonts w:ascii="Times New Roman" w:hAnsi="Times New Roman" w:cs="Times New Roman"/>
          <w:sz w:val="28"/>
          <w:szCs w:val="28"/>
        </w:rPr>
        <w:t>ВВП Румунії</w:t>
      </w:r>
      <w:r w:rsidR="004E0B54" w:rsidRPr="00807CE7">
        <w:rPr>
          <w:rFonts w:ascii="Times New Roman" w:hAnsi="Times New Roman" w:cs="Times New Roman"/>
          <w:sz w:val="28"/>
          <w:szCs w:val="28"/>
        </w:rPr>
        <w:t>. В</w:t>
      </w:r>
      <w:r w:rsidRPr="00807CE7">
        <w:rPr>
          <w:rFonts w:ascii="Times New Roman" w:hAnsi="Times New Roman" w:cs="Times New Roman"/>
          <w:sz w:val="28"/>
          <w:szCs w:val="28"/>
        </w:rPr>
        <w:t>і</w:t>
      </w:r>
      <w:r w:rsidR="009A59FE" w:rsidRPr="00807CE7">
        <w:rPr>
          <w:rFonts w:ascii="Times New Roman" w:hAnsi="Times New Roman" w:cs="Times New Roman"/>
          <w:sz w:val="28"/>
          <w:szCs w:val="28"/>
        </w:rPr>
        <w:t>н</w:t>
      </w:r>
      <w:r w:rsidR="004E0B54" w:rsidRPr="00807CE7">
        <w:rPr>
          <w:rFonts w:ascii="Times New Roman" w:hAnsi="Times New Roman" w:cs="Times New Roman"/>
          <w:sz w:val="28"/>
          <w:szCs w:val="28"/>
        </w:rPr>
        <w:t xml:space="preserve"> м</w:t>
      </w:r>
      <w:r w:rsidR="009A59FE" w:rsidRPr="00807CE7">
        <w:rPr>
          <w:rFonts w:ascii="Times New Roman" w:hAnsi="Times New Roman" w:cs="Times New Roman"/>
          <w:sz w:val="28"/>
          <w:szCs w:val="28"/>
        </w:rPr>
        <w:t xml:space="preserve">ає </w:t>
      </w:r>
      <w:r w:rsidR="004E0B54" w:rsidRPr="00807CE7">
        <w:rPr>
          <w:rFonts w:ascii="Times New Roman" w:hAnsi="Times New Roman" w:cs="Times New Roman"/>
          <w:sz w:val="28"/>
          <w:szCs w:val="28"/>
        </w:rPr>
        <w:t xml:space="preserve">впливу на торговий баланс країни: якщо </w:t>
      </w:r>
      <w:r w:rsidR="009A59FE" w:rsidRPr="00807CE7">
        <w:rPr>
          <w:rFonts w:ascii="Times New Roman" w:hAnsi="Times New Roman" w:cs="Times New Roman"/>
          <w:sz w:val="28"/>
          <w:szCs w:val="28"/>
        </w:rPr>
        <w:t>ВВП</w:t>
      </w:r>
      <w:r w:rsidR="004E0B54" w:rsidRPr="00807CE7">
        <w:rPr>
          <w:rFonts w:ascii="Times New Roman" w:hAnsi="Times New Roman" w:cs="Times New Roman"/>
          <w:sz w:val="28"/>
          <w:szCs w:val="28"/>
        </w:rPr>
        <w:t xml:space="preserve"> збільшиться на одне стандартне відхилення, торговий баланс </w:t>
      </w:r>
      <w:r w:rsidR="009A59FE" w:rsidRPr="00807CE7">
        <w:rPr>
          <w:rFonts w:ascii="Times New Roman" w:hAnsi="Times New Roman" w:cs="Times New Roman"/>
          <w:sz w:val="28"/>
          <w:szCs w:val="28"/>
        </w:rPr>
        <w:t>Румунії</w:t>
      </w:r>
      <w:r w:rsidR="004E0B54" w:rsidRPr="00807CE7">
        <w:rPr>
          <w:rFonts w:ascii="Times New Roman" w:hAnsi="Times New Roman" w:cs="Times New Roman"/>
          <w:sz w:val="28"/>
          <w:szCs w:val="28"/>
        </w:rPr>
        <w:t xml:space="preserve"> збільшиться на</w:t>
      </w:r>
      <w:r w:rsidR="009A59FE" w:rsidRPr="00807CE7">
        <w:rPr>
          <w:rFonts w:ascii="Times New Roman" w:hAnsi="Times New Roman" w:cs="Times New Roman"/>
          <w:sz w:val="28"/>
          <w:szCs w:val="28"/>
        </w:rPr>
        <w:t xml:space="preserve"> </w:t>
      </w:r>
      <w:r w:rsidR="001A25AB" w:rsidRPr="00807CE7">
        <w:rPr>
          <w:rFonts w:ascii="Times New Roman" w:hAnsi="Times New Roman" w:cs="Times New Roman"/>
          <w:sz w:val="28"/>
          <w:szCs w:val="28"/>
        </w:rPr>
        <w:t>1,205</w:t>
      </w:r>
      <w:r w:rsidR="004E0B54" w:rsidRPr="00807CE7">
        <w:rPr>
          <w:rFonts w:ascii="Times New Roman" w:hAnsi="Times New Roman" w:cs="Times New Roman"/>
          <w:sz w:val="28"/>
          <w:szCs w:val="28"/>
        </w:rPr>
        <w:t xml:space="preserve"> стандартних відхилень. Третій коефіцієнт в моделі – </w:t>
      </w:r>
      <w:r w:rsidR="001A25AB" w:rsidRPr="00807CE7">
        <w:rPr>
          <w:rFonts w:ascii="Times New Roman" w:hAnsi="Times New Roman" w:cs="Times New Roman"/>
          <w:sz w:val="28"/>
          <w:szCs w:val="28"/>
        </w:rPr>
        <w:t>валютний курс</w:t>
      </w:r>
      <w:r w:rsidR="004E0B54" w:rsidRPr="00807CE7">
        <w:rPr>
          <w:rFonts w:ascii="Times New Roman" w:hAnsi="Times New Roman" w:cs="Times New Roman"/>
          <w:sz w:val="28"/>
          <w:szCs w:val="28"/>
        </w:rPr>
        <w:t xml:space="preserve"> виявився незначущим </w:t>
      </w:r>
      <w:r w:rsidR="001A25AB" w:rsidRPr="00807CE7">
        <w:rPr>
          <w:rFonts w:ascii="Times New Roman" w:hAnsi="Times New Roman" w:cs="Times New Roman"/>
          <w:sz w:val="28"/>
          <w:szCs w:val="28"/>
        </w:rPr>
        <w:t>і</w:t>
      </w:r>
      <w:r w:rsidR="004E0B54" w:rsidRPr="00807CE7">
        <w:rPr>
          <w:rFonts w:ascii="Times New Roman" w:hAnsi="Times New Roman" w:cs="Times New Roman"/>
          <w:sz w:val="28"/>
          <w:szCs w:val="28"/>
        </w:rPr>
        <w:t xml:space="preserve"> невпливовим на </w:t>
      </w:r>
      <w:r w:rsidRPr="00807CE7">
        <w:rPr>
          <w:rFonts w:ascii="Times New Roman" w:hAnsi="Times New Roman" w:cs="Times New Roman"/>
          <w:sz w:val="28"/>
          <w:szCs w:val="28"/>
        </w:rPr>
        <w:t>торговий</w:t>
      </w:r>
      <w:r w:rsidR="004E0B54" w:rsidRPr="00807CE7">
        <w:rPr>
          <w:rFonts w:ascii="Times New Roman" w:hAnsi="Times New Roman" w:cs="Times New Roman"/>
          <w:sz w:val="28"/>
          <w:szCs w:val="28"/>
        </w:rPr>
        <w:t xml:space="preserve"> баланс. </w:t>
      </w:r>
    </w:p>
    <w:p w14:paraId="54E11472" w14:textId="77777777" w:rsidR="001A25AB" w:rsidRPr="00807CE7" w:rsidRDefault="001A25AB" w:rsidP="001A25AB">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Отже, після аналізу можна скласти наступну емпіричну модель: </w:t>
      </w:r>
    </w:p>
    <w:p w14:paraId="59DA3AAB" w14:textId="78E4FA1B" w:rsidR="001A25AB" w:rsidRPr="00807CE7" w:rsidRDefault="00483B2B" w:rsidP="001A25AB">
      <w:pPr>
        <w:spacing w:line="360" w:lineRule="auto"/>
        <w:ind w:firstLine="709"/>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t</m:t>
            </m:r>
          </m:sub>
        </m:sSub>
        <m:r>
          <w:rPr>
            <w:rFonts w:ascii="Cambria Math" w:hAnsi="Cambria Math" w:cs="Times New Roman"/>
            <w:sz w:val="28"/>
            <w:szCs w:val="28"/>
          </w:rPr>
          <m:t xml:space="preserve"> </m:t>
        </m:r>
      </m:oMath>
      <w:r w:rsidR="001A25AB" w:rsidRPr="00807CE7">
        <w:rPr>
          <w:rFonts w:ascii="Times New Roman" w:hAnsi="Times New Roman" w:cs="Times New Roman"/>
          <w:sz w:val="28"/>
          <w:szCs w:val="28"/>
        </w:rPr>
        <w:t xml:space="preserve">= </w:t>
      </w:r>
      <m:oMath>
        <m:r>
          <w:rPr>
            <w:rFonts w:ascii="Cambria Math" w:hAnsi="Cambria Math" w:cs="Times New Roman"/>
            <w:sz w:val="28"/>
            <w:szCs w:val="28"/>
          </w:rPr>
          <m:t>ER*</m:t>
        </m:r>
        <m:d>
          <m:dPr>
            <m:ctrlPr>
              <w:rPr>
                <w:rFonts w:ascii="Cambria Math" w:hAnsi="Cambria Math" w:cs="Times New Roman"/>
                <w:i/>
                <w:sz w:val="28"/>
                <w:szCs w:val="28"/>
              </w:rPr>
            </m:ctrlPr>
          </m:dPr>
          <m:e>
            <m:r>
              <w:rPr>
                <w:rFonts w:ascii="Cambria Math" w:hAnsi="Cambria Math" w:cs="Times New Roman"/>
                <w:sz w:val="28"/>
                <w:szCs w:val="28"/>
              </w:rPr>
              <m:t>-1857,22</m:t>
            </m:r>
          </m:e>
        </m:d>
        <m:r>
          <w:rPr>
            <w:rFonts w:ascii="Cambria Math" w:hAnsi="Cambria Math" w:cs="Times New Roman"/>
            <w:sz w:val="28"/>
            <w:szCs w:val="28"/>
          </w:rPr>
          <m:t>-2108,36*INFL- 1,205*GDP</m:t>
        </m:r>
      </m:oMath>
    </w:p>
    <w:p w14:paraId="2409A97C" w14:textId="357BA518" w:rsidR="001A25AB" w:rsidRPr="00807CE7" w:rsidRDefault="001A25AB" w:rsidP="001A25AB">
      <w:pPr>
        <w:spacing w:line="360" w:lineRule="auto"/>
        <w:ind w:firstLine="709"/>
        <w:jc w:val="center"/>
        <w:rPr>
          <w:rFonts w:ascii="Times New Roman" w:hAnsi="Times New Roman" w:cs="Times New Roman"/>
          <w:sz w:val="28"/>
          <w:szCs w:val="28"/>
        </w:rPr>
      </w:pPr>
      <w:r w:rsidRPr="00807CE7">
        <w:rPr>
          <w:rFonts w:ascii="Times New Roman" w:hAnsi="Times New Roman" w:cs="Times New Roman"/>
          <w:sz w:val="28"/>
          <w:szCs w:val="28"/>
        </w:rPr>
        <w:t xml:space="preserve">      </w:t>
      </w:r>
      <w:r w:rsidR="00DC2F67" w:rsidRPr="00807CE7">
        <w:rPr>
          <w:rFonts w:ascii="Times New Roman" w:hAnsi="Times New Roman" w:cs="Times New Roman"/>
          <w:sz w:val="28"/>
          <w:szCs w:val="28"/>
        </w:rPr>
        <w:t xml:space="preserve">      </w:t>
      </w:r>
      <w:r w:rsidRPr="00807CE7">
        <w:rPr>
          <w:rFonts w:ascii="Times New Roman" w:hAnsi="Times New Roman" w:cs="Times New Roman"/>
          <w:sz w:val="28"/>
          <w:szCs w:val="28"/>
        </w:rPr>
        <w:t xml:space="preserve">  (</w:t>
      </w:r>
      <w:r w:rsidR="00DC2F67" w:rsidRPr="00807CE7">
        <w:rPr>
          <w:rFonts w:ascii="Times New Roman" w:hAnsi="Times New Roman" w:cs="Times New Roman"/>
          <w:sz w:val="28"/>
          <w:szCs w:val="28"/>
        </w:rPr>
        <w:t>-0,7618</w:t>
      </w:r>
      <w:r w:rsidRPr="00807CE7">
        <w:rPr>
          <w:rFonts w:ascii="Times New Roman" w:hAnsi="Times New Roman" w:cs="Times New Roman"/>
          <w:sz w:val="28"/>
          <w:szCs w:val="28"/>
        </w:rPr>
        <w:t>)</w:t>
      </w:r>
      <w:r w:rsidR="00DC2F67" w:rsidRPr="00807CE7">
        <w:rPr>
          <w:rFonts w:ascii="Times New Roman" w:hAnsi="Times New Roman" w:cs="Times New Roman"/>
          <w:sz w:val="28"/>
          <w:szCs w:val="28"/>
        </w:rPr>
        <w:t xml:space="preserve">    </w:t>
      </w:r>
      <w:r w:rsidRPr="00807CE7">
        <w:rPr>
          <w:rFonts w:ascii="Times New Roman" w:hAnsi="Times New Roman" w:cs="Times New Roman"/>
          <w:sz w:val="28"/>
          <w:szCs w:val="28"/>
        </w:rPr>
        <w:t xml:space="preserve"> ( </w:t>
      </w:r>
      <w:r w:rsidR="00DC2F67" w:rsidRPr="00807CE7">
        <w:rPr>
          <w:rFonts w:ascii="Times New Roman" w:hAnsi="Times New Roman" w:cs="Times New Roman"/>
          <w:sz w:val="28"/>
          <w:szCs w:val="28"/>
        </w:rPr>
        <w:t>-</w:t>
      </w:r>
      <w:r w:rsidR="00CA1076" w:rsidRPr="00807CE7">
        <w:rPr>
          <w:rFonts w:ascii="Times New Roman" w:hAnsi="Times New Roman" w:cs="Times New Roman"/>
          <w:sz w:val="28"/>
          <w:szCs w:val="28"/>
        </w:rPr>
        <w:t>6,415</w:t>
      </w:r>
      <w:r w:rsidRPr="00807CE7">
        <w:rPr>
          <w:rFonts w:ascii="Times New Roman" w:hAnsi="Times New Roman" w:cs="Times New Roman"/>
          <w:sz w:val="28"/>
          <w:szCs w:val="28"/>
        </w:rPr>
        <w:t xml:space="preserve">)***          </w:t>
      </w:r>
      <w:r w:rsidR="00DC2F67" w:rsidRPr="00807CE7">
        <w:rPr>
          <w:rFonts w:ascii="Times New Roman" w:hAnsi="Times New Roman" w:cs="Times New Roman"/>
          <w:sz w:val="28"/>
          <w:szCs w:val="28"/>
        </w:rPr>
        <w:t xml:space="preserve">   </w:t>
      </w:r>
      <w:r w:rsidRPr="00807CE7">
        <w:rPr>
          <w:rFonts w:ascii="Times New Roman" w:hAnsi="Times New Roman" w:cs="Times New Roman"/>
          <w:sz w:val="28"/>
          <w:szCs w:val="28"/>
        </w:rPr>
        <w:t xml:space="preserve">   (</w:t>
      </w:r>
      <w:r w:rsidR="00CA1076" w:rsidRPr="00807CE7">
        <w:rPr>
          <w:rFonts w:ascii="Times New Roman" w:hAnsi="Times New Roman" w:cs="Times New Roman"/>
          <w:sz w:val="28"/>
          <w:szCs w:val="28"/>
        </w:rPr>
        <w:t>-2,757</w:t>
      </w:r>
      <w:r w:rsidRPr="00807CE7">
        <w:rPr>
          <w:rFonts w:ascii="Times New Roman" w:hAnsi="Times New Roman" w:cs="Times New Roman"/>
          <w:sz w:val="28"/>
          <w:szCs w:val="28"/>
        </w:rPr>
        <w:t>)</w:t>
      </w:r>
      <w:r w:rsidR="00CA1076" w:rsidRPr="00807CE7">
        <w:rPr>
          <w:rFonts w:ascii="Times New Roman" w:hAnsi="Times New Roman" w:cs="Times New Roman"/>
          <w:sz w:val="28"/>
          <w:szCs w:val="28"/>
        </w:rPr>
        <w:t>**</w:t>
      </w:r>
    </w:p>
    <w:p w14:paraId="05CC0238" w14:textId="77777777" w:rsidR="00CA1076" w:rsidRPr="00807CE7" w:rsidRDefault="00CA1076" w:rsidP="00CA107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Адекватність моделі показала:</w:t>
      </w:r>
    </w:p>
    <w:p w14:paraId="7E7DC694" w14:textId="2ACB7A2D" w:rsidR="00CA1076" w:rsidRPr="00807CE7" w:rsidRDefault="00CA1076" w:rsidP="00CA107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1) Зафіксовано 2 значимі коефіцієнти (GDP та INFL) та 1 не значимий (ER).</w:t>
      </w:r>
    </w:p>
    <w:p w14:paraId="7687CB1A" w14:textId="70B9743A" w:rsidR="00325391" w:rsidRPr="00807CE7" w:rsidRDefault="00CA1076" w:rsidP="000E2073">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2) R^2 = 0,87  (8</w:t>
      </w:r>
      <w:r w:rsidR="000E2073" w:rsidRPr="00807CE7">
        <w:rPr>
          <w:rFonts w:ascii="Times New Roman" w:hAnsi="Times New Roman" w:cs="Times New Roman"/>
          <w:sz w:val="28"/>
          <w:szCs w:val="28"/>
        </w:rPr>
        <w:t>7</w:t>
      </w:r>
      <w:r w:rsidRPr="00807CE7">
        <w:rPr>
          <w:rFonts w:ascii="Times New Roman" w:hAnsi="Times New Roman" w:cs="Times New Roman"/>
          <w:sz w:val="28"/>
          <w:szCs w:val="28"/>
        </w:rPr>
        <w:t>%).</w:t>
      </w:r>
    </w:p>
    <w:p w14:paraId="2CB707F3" w14:textId="77777777" w:rsidR="00EE3C96" w:rsidRPr="00807CE7" w:rsidRDefault="00EE3C96">
      <w:pPr>
        <w:rPr>
          <w:rFonts w:ascii="Times New Roman" w:hAnsi="Times New Roman" w:cs="Times New Roman"/>
          <w:sz w:val="28"/>
          <w:szCs w:val="28"/>
        </w:rPr>
      </w:pPr>
      <w:r w:rsidRPr="00807CE7">
        <w:rPr>
          <w:rFonts w:ascii="Times New Roman" w:hAnsi="Times New Roman" w:cs="Times New Roman"/>
          <w:sz w:val="28"/>
          <w:szCs w:val="28"/>
        </w:rPr>
        <w:br w:type="page"/>
      </w:r>
    </w:p>
    <w:p w14:paraId="719B376B" w14:textId="6A47961D" w:rsidR="00EE3C96" w:rsidRPr="00807CE7" w:rsidRDefault="00433D37" w:rsidP="00F37F4E">
      <w:pPr>
        <w:spacing w:line="360" w:lineRule="auto"/>
        <w:jc w:val="center"/>
        <w:rPr>
          <w:rFonts w:ascii="Times New Roman" w:hAnsi="Times New Roman" w:cs="Times New Roman"/>
          <w:b/>
          <w:bCs/>
          <w:sz w:val="28"/>
          <w:szCs w:val="28"/>
        </w:rPr>
      </w:pPr>
      <w:r w:rsidRPr="00807CE7">
        <w:rPr>
          <w:rFonts w:ascii="Times New Roman" w:hAnsi="Times New Roman" w:cs="Times New Roman"/>
          <w:b/>
          <w:bCs/>
          <w:sz w:val="28"/>
          <w:szCs w:val="28"/>
        </w:rPr>
        <w:lastRenderedPageBreak/>
        <w:t>РОЗДІЛ 3</w:t>
      </w:r>
    </w:p>
    <w:p w14:paraId="06C9B688" w14:textId="1BA60E76" w:rsidR="00EE3C96" w:rsidRPr="00807CE7" w:rsidRDefault="00433D37" w:rsidP="00F37F4E">
      <w:pPr>
        <w:spacing w:line="360" w:lineRule="auto"/>
        <w:jc w:val="center"/>
        <w:rPr>
          <w:rFonts w:ascii="Times New Roman" w:hAnsi="Times New Roman" w:cs="Times New Roman"/>
          <w:b/>
          <w:bCs/>
          <w:sz w:val="28"/>
          <w:szCs w:val="28"/>
        </w:rPr>
      </w:pPr>
      <w:r w:rsidRPr="00807CE7">
        <w:rPr>
          <w:rFonts w:ascii="Times New Roman" w:hAnsi="Times New Roman" w:cs="Times New Roman"/>
          <w:b/>
          <w:bCs/>
          <w:sz w:val="28"/>
          <w:szCs w:val="28"/>
        </w:rPr>
        <w:t>ОСОБЛИВОСТІ ЗОВНІШНЬОЕКОНОМІЧНИХ ЗВ’ЯЗКІВ РУМУНІЇ ТА БОЛГАРІЇ З УКРАЇНОЮ</w:t>
      </w:r>
    </w:p>
    <w:p w14:paraId="77505358" w14:textId="77777777" w:rsidR="00EE3C96" w:rsidRPr="00807CE7" w:rsidRDefault="00EE3C96" w:rsidP="00EE3C96">
      <w:pPr>
        <w:spacing w:line="360" w:lineRule="auto"/>
        <w:ind w:firstLine="709"/>
        <w:jc w:val="both"/>
        <w:rPr>
          <w:rFonts w:ascii="Times New Roman" w:hAnsi="Times New Roman" w:cs="Times New Roman"/>
          <w:sz w:val="28"/>
          <w:szCs w:val="28"/>
        </w:rPr>
      </w:pPr>
    </w:p>
    <w:p w14:paraId="345B844E" w14:textId="7D29DA43" w:rsidR="00EE3C96" w:rsidRPr="00807CE7" w:rsidRDefault="00497996" w:rsidP="00EE3C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Економічні відносини між двома країнами мають глибоке коріння, і сьогодні Україна є провідною економікою для болгарської торгівлі. Торговельно-економічне співробітництво між двома країнами забезпечується низкою договорів та угод, а ратифікація Болгарією Угоди про асоціацію між Україною та ЄС є додатковою передумовою для посилення співпраці між двома країнами. </w:t>
      </w:r>
    </w:p>
    <w:p w14:paraId="2E4383D5" w14:textId="1977BBD5" w:rsidR="00497996" w:rsidRPr="00807CE7" w:rsidRDefault="004476E6" w:rsidP="004476E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Румунія та Україна, незважаючи на обмежені політичні контакти, хочуть зміцнити торговельні та соціальні відносини. У 2020 році вони відкрили поромний пункт на Дунаї. Румунія стає дедалі важливішим партнером українського енергетичного сектору.</w:t>
      </w:r>
    </w:p>
    <w:p w14:paraId="5BFBBA1C" w14:textId="79AF2398" w:rsidR="004476E6" w:rsidRPr="00807CE7" w:rsidRDefault="004476E6" w:rsidP="004476E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Далі будуть розглянуті статистичні дані щодо </w:t>
      </w:r>
      <w:r w:rsidR="00E577DE" w:rsidRPr="00807CE7">
        <w:rPr>
          <w:rFonts w:ascii="Times New Roman" w:hAnsi="Times New Roman" w:cs="Times New Roman"/>
          <w:sz w:val="28"/>
          <w:szCs w:val="28"/>
        </w:rPr>
        <w:t xml:space="preserve">торівлі товарами та послугами між країнами та Україною та інвестиційні потоки в Україну. </w:t>
      </w:r>
    </w:p>
    <w:p w14:paraId="3BF9DBCE" w14:textId="614C1E92" w:rsidR="00E577DE" w:rsidRPr="00807CE7" w:rsidRDefault="00E577DE" w:rsidP="004476E6">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403DB87B" wp14:editId="0F3D01B6">
            <wp:extent cx="4140000" cy="2160000"/>
            <wp:effectExtent l="0" t="0" r="13335" b="12065"/>
            <wp:docPr id="1836859120"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9A2FD936-7B20-9DB3-D0A7-039E37077C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F423C0B" w14:textId="4017A04D" w:rsidR="00E577DE" w:rsidRPr="00807CE7" w:rsidRDefault="00E577DE" w:rsidP="00E577DE">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3.1</w:t>
      </w:r>
      <w:r w:rsidR="00804E73" w:rsidRPr="00807CE7">
        <w:rPr>
          <w:rFonts w:ascii="Times New Roman" w:hAnsi="Times New Roman" w:cs="Times New Roman"/>
          <w:sz w:val="28"/>
          <w:szCs w:val="28"/>
        </w:rPr>
        <w:t xml:space="preserve">. </w:t>
      </w:r>
      <w:r w:rsidRPr="00807CE7">
        <w:rPr>
          <w:rFonts w:ascii="Times New Roman" w:hAnsi="Times New Roman" w:cs="Times New Roman"/>
          <w:sz w:val="28"/>
          <w:szCs w:val="28"/>
        </w:rPr>
        <w:t xml:space="preserve">Порівняння сальдо торгівлі товарів між Болгарією та </w:t>
      </w:r>
      <w:r w:rsidR="00C21AE2" w:rsidRPr="00807CE7">
        <w:rPr>
          <w:rFonts w:ascii="Times New Roman" w:hAnsi="Times New Roman" w:cs="Times New Roman"/>
          <w:sz w:val="28"/>
          <w:szCs w:val="28"/>
        </w:rPr>
        <w:t>Україною й Румунією та Україною</w:t>
      </w:r>
      <w:r w:rsidR="006267E0" w:rsidRPr="00807CE7">
        <w:rPr>
          <w:rFonts w:ascii="Times New Roman" w:hAnsi="Times New Roman" w:cs="Times New Roman"/>
          <w:sz w:val="28"/>
          <w:szCs w:val="28"/>
        </w:rPr>
        <w:t xml:space="preserve"> за 2018-2022 рр.</w:t>
      </w:r>
      <w:r w:rsidRPr="00807CE7">
        <w:rPr>
          <w:rFonts w:ascii="Times New Roman" w:hAnsi="Times New Roman" w:cs="Times New Roman"/>
          <w:sz w:val="28"/>
          <w:szCs w:val="28"/>
        </w:rPr>
        <w:t>, млн.</w:t>
      </w:r>
      <w:r w:rsidR="00433D37" w:rsidRPr="00807CE7">
        <w:rPr>
          <w:rFonts w:ascii="Times New Roman" w:hAnsi="Times New Roman" w:cs="Times New Roman"/>
          <w:sz w:val="28"/>
          <w:szCs w:val="28"/>
        </w:rPr>
        <w:t xml:space="preserve"> </w:t>
      </w:r>
      <w:r w:rsidRPr="00807CE7">
        <w:rPr>
          <w:rFonts w:ascii="Times New Roman" w:hAnsi="Times New Roman" w:cs="Times New Roman"/>
          <w:sz w:val="28"/>
          <w:szCs w:val="28"/>
        </w:rPr>
        <w:t>дол.</w:t>
      </w:r>
      <w:r w:rsidR="00433D37" w:rsidRPr="00807CE7">
        <w:rPr>
          <w:rFonts w:ascii="Times New Roman" w:hAnsi="Times New Roman" w:cs="Times New Roman"/>
          <w:sz w:val="28"/>
          <w:szCs w:val="28"/>
        </w:rPr>
        <w:t xml:space="preserve"> </w:t>
      </w:r>
      <w:r w:rsidRPr="00807CE7">
        <w:rPr>
          <w:rFonts w:ascii="Times New Roman" w:hAnsi="Times New Roman" w:cs="Times New Roman"/>
          <w:sz w:val="28"/>
          <w:szCs w:val="28"/>
        </w:rPr>
        <w:t>США</w:t>
      </w:r>
    </w:p>
    <w:p w14:paraId="03DC313E" w14:textId="1F258A4E" w:rsidR="004476E6" w:rsidRPr="00807CE7" w:rsidRDefault="00E577DE" w:rsidP="00E577DE">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706723" w:rsidRPr="00807CE7">
        <w:rPr>
          <w:rFonts w:ascii="Times New Roman" w:hAnsi="Times New Roman" w:cs="Times New Roman"/>
          <w:sz w:val="28"/>
          <w:szCs w:val="28"/>
        </w:rPr>
        <w:t>13</w:t>
      </w:r>
      <w:r w:rsidRPr="00807CE7">
        <w:rPr>
          <w:rFonts w:ascii="Times New Roman" w:hAnsi="Times New Roman" w:cs="Times New Roman"/>
          <w:sz w:val="28"/>
          <w:szCs w:val="28"/>
        </w:rPr>
        <w:t>].</w:t>
      </w:r>
    </w:p>
    <w:p w14:paraId="656D87DB" w14:textId="77777777" w:rsidR="00433D37" w:rsidRPr="00807CE7" w:rsidRDefault="00433D37" w:rsidP="009F3378">
      <w:pPr>
        <w:spacing w:line="360" w:lineRule="auto"/>
        <w:ind w:firstLine="709"/>
        <w:jc w:val="both"/>
        <w:rPr>
          <w:rFonts w:ascii="Times New Roman" w:hAnsi="Times New Roman" w:cs="Times New Roman"/>
          <w:sz w:val="28"/>
          <w:szCs w:val="28"/>
        </w:rPr>
      </w:pPr>
    </w:p>
    <w:p w14:paraId="3F811211" w14:textId="46B30970" w:rsidR="009F3378" w:rsidRPr="00807CE7" w:rsidRDefault="00C21AE2" w:rsidP="009F337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Аналізуючи графік, можна побачити</w:t>
      </w:r>
      <w:r w:rsidR="006267E0" w:rsidRPr="00807CE7">
        <w:rPr>
          <w:rFonts w:ascii="Times New Roman" w:hAnsi="Times New Roman" w:cs="Times New Roman"/>
          <w:sz w:val="28"/>
          <w:szCs w:val="28"/>
        </w:rPr>
        <w:t xml:space="preserve"> схожу </w:t>
      </w:r>
      <w:r w:rsidR="00433D37" w:rsidRPr="00807CE7">
        <w:rPr>
          <w:rFonts w:ascii="Times New Roman" w:hAnsi="Times New Roman" w:cs="Times New Roman"/>
          <w:sz w:val="28"/>
          <w:szCs w:val="28"/>
        </w:rPr>
        <w:t>тенденцією</w:t>
      </w:r>
      <w:r w:rsidR="006267E0" w:rsidRPr="00807CE7">
        <w:rPr>
          <w:rFonts w:ascii="Times New Roman" w:hAnsi="Times New Roman" w:cs="Times New Roman"/>
          <w:sz w:val="28"/>
          <w:szCs w:val="28"/>
        </w:rPr>
        <w:t xml:space="preserve"> між двома кривими. Обидва сальдо майже </w:t>
      </w:r>
      <w:r w:rsidR="00433D37" w:rsidRPr="00807CE7">
        <w:rPr>
          <w:rFonts w:ascii="Times New Roman" w:hAnsi="Times New Roman" w:cs="Times New Roman"/>
          <w:sz w:val="28"/>
          <w:szCs w:val="28"/>
        </w:rPr>
        <w:t>відповідають</w:t>
      </w:r>
      <w:r w:rsidR="006267E0" w:rsidRPr="00807CE7">
        <w:rPr>
          <w:rFonts w:ascii="Times New Roman" w:hAnsi="Times New Roman" w:cs="Times New Roman"/>
          <w:sz w:val="28"/>
          <w:szCs w:val="28"/>
        </w:rPr>
        <w:t xml:space="preserve"> одне одному, однак </w:t>
      </w:r>
      <w:r w:rsidR="009F3378" w:rsidRPr="00807CE7">
        <w:rPr>
          <w:rFonts w:ascii="Times New Roman" w:hAnsi="Times New Roman" w:cs="Times New Roman"/>
          <w:sz w:val="28"/>
          <w:szCs w:val="28"/>
        </w:rPr>
        <w:t xml:space="preserve">сальдо торгівлі товарами між Румунією та Україною має стрімкіші </w:t>
      </w:r>
      <w:r w:rsidR="00F95BB5" w:rsidRPr="00807CE7">
        <w:rPr>
          <w:rFonts w:ascii="Times New Roman" w:hAnsi="Times New Roman" w:cs="Times New Roman"/>
          <w:sz w:val="28"/>
          <w:szCs w:val="28"/>
        </w:rPr>
        <w:t xml:space="preserve">зміни. У 2019 році </w:t>
      </w:r>
      <w:r w:rsidR="00F95BB5" w:rsidRPr="00807CE7">
        <w:rPr>
          <w:rFonts w:ascii="Times New Roman" w:hAnsi="Times New Roman" w:cs="Times New Roman"/>
          <w:sz w:val="28"/>
          <w:szCs w:val="28"/>
        </w:rPr>
        <w:lastRenderedPageBreak/>
        <w:t xml:space="preserve">показники сальдо в обох країнах зменшилися, і це пов’язано </w:t>
      </w:r>
      <w:r w:rsidR="001E7D0C" w:rsidRPr="00807CE7">
        <w:rPr>
          <w:rFonts w:ascii="Times New Roman" w:hAnsi="Times New Roman" w:cs="Times New Roman"/>
          <w:sz w:val="28"/>
          <w:szCs w:val="28"/>
        </w:rPr>
        <w:t>значним збільшенням імпорту</w:t>
      </w:r>
      <w:r w:rsidR="004378FB" w:rsidRPr="00807CE7">
        <w:rPr>
          <w:rFonts w:ascii="Times New Roman" w:hAnsi="Times New Roman" w:cs="Times New Roman"/>
          <w:sz w:val="28"/>
          <w:szCs w:val="28"/>
        </w:rPr>
        <w:t xml:space="preserve"> товарів</w:t>
      </w:r>
      <w:r w:rsidR="001E7D0C" w:rsidRPr="00807CE7">
        <w:rPr>
          <w:rFonts w:ascii="Times New Roman" w:hAnsi="Times New Roman" w:cs="Times New Roman"/>
          <w:sz w:val="28"/>
          <w:szCs w:val="28"/>
        </w:rPr>
        <w:t xml:space="preserve"> </w:t>
      </w:r>
      <w:r w:rsidR="003B1B10" w:rsidRPr="00807CE7">
        <w:rPr>
          <w:rFonts w:ascii="Times New Roman" w:hAnsi="Times New Roman" w:cs="Times New Roman"/>
          <w:sz w:val="28"/>
          <w:szCs w:val="28"/>
        </w:rPr>
        <w:t>України</w:t>
      </w:r>
      <w:r w:rsidR="004378FB" w:rsidRPr="00807CE7">
        <w:rPr>
          <w:rFonts w:ascii="Times New Roman" w:hAnsi="Times New Roman" w:cs="Times New Roman"/>
          <w:sz w:val="28"/>
          <w:szCs w:val="28"/>
        </w:rPr>
        <w:t xml:space="preserve"> з Румунії та Болгарії. Однак, починаючи з 2019 року числові значення почали значно збільшуватися, що призвело до піку </w:t>
      </w:r>
      <w:r w:rsidR="00462FFB" w:rsidRPr="00807CE7">
        <w:rPr>
          <w:rFonts w:ascii="Times New Roman" w:hAnsi="Times New Roman" w:cs="Times New Roman"/>
          <w:sz w:val="28"/>
          <w:szCs w:val="28"/>
        </w:rPr>
        <w:t xml:space="preserve">сальдо в обох країнах у 2021 році. Але починаючи з цього року, відбувся стрімкий спад. </w:t>
      </w:r>
      <w:r w:rsidR="00C36E3B" w:rsidRPr="00807CE7">
        <w:rPr>
          <w:rFonts w:ascii="Times New Roman" w:hAnsi="Times New Roman" w:cs="Times New Roman"/>
          <w:sz w:val="28"/>
          <w:szCs w:val="28"/>
        </w:rPr>
        <w:t xml:space="preserve">Отже, можна зробити висновок, що сальдо торгівлі </w:t>
      </w:r>
      <w:r w:rsidR="00495792" w:rsidRPr="00807CE7">
        <w:rPr>
          <w:rFonts w:ascii="Times New Roman" w:hAnsi="Times New Roman" w:cs="Times New Roman"/>
          <w:sz w:val="28"/>
          <w:szCs w:val="28"/>
        </w:rPr>
        <w:t>товарами</w:t>
      </w:r>
      <w:r w:rsidR="00C36E3B" w:rsidRPr="00807CE7">
        <w:rPr>
          <w:rFonts w:ascii="Times New Roman" w:hAnsi="Times New Roman" w:cs="Times New Roman"/>
          <w:sz w:val="28"/>
          <w:szCs w:val="28"/>
        </w:rPr>
        <w:t xml:space="preserve"> за зазначений період є додатнім. Україна – експортер. </w:t>
      </w:r>
    </w:p>
    <w:p w14:paraId="5004A623" w14:textId="034054A6" w:rsidR="00C25A0A" w:rsidRPr="00F37F4E" w:rsidRDefault="00C25A0A" w:rsidP="009F3378">
      <w:pPr>
        <w:spacing w:line="360" w:lineRule="auto"/>
        <w:ind w:firstLine="709"/>
        <w:jc w:val="both"/>
        <w:rPr>
          <w:rFonts w:ascii="Times New Roman" w:hAnsi="Times New Roman" w:cs="Times New Roman"/>
          <w:spacing w:val="-6"/>
          <w:sz w:val="28"/>
          <w:szCs w:val="28"/>
        </w:rPr>
      </w:pPr>
      <w:r w:rsidRPr="00F37F4E">
        <w:rPr>
          <w:rFonts w:ascii="Times New Roman" w:hAnsi="Times New Roman" w:cs="Times New Roman"/>
          <w:spacing w:val="-6"/>
          <w:sz w:val="28"/>
          <w:szCs w:val="28"/>
        </w:rPr>
        <w:t>Здебільшого Болгарія експортує добрива, фармацевтичні препарати, машини та електротехнічну продукцію. Імпорт концентрується в напівфабрикатах із залізних або нелегованих сталей, соняшнику та аміаку. В імпорті Болгарії з України сильно переважають сировина та сировинні товари</w:t>
      </w:r>
      <w:r w:rsidR="001646A8" w:rsidRPr="00F37F4E">
        <w:rPr>
          <w:rFonts w:ascii="Times New Roman" w:hAnsi="Times New Roman" w:cs="Times New Roman"/>
          <w:spacing w:val="-6"/>
          <w:sz w:val="28"/>
          <w:szCs w:val="28"/>
        </w:rPr>
        <w:t xml:space="preserve"> [14].</w:t>
      </w:r>
    </w:p>
    <w:p w14:paraId="0846CA66" w14:textId="29718494" w:rsidR="00C25A0A" w:rsidRPr="00807CE7" w:rsidRDefault="003B7512" w:rsidP="009F337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Основними товарами, які Україна експортувала до Румунії, були ізольований дріт, залізна руда та азотні добрива. Основними товарами, які Румунія експортувала до України, були автомобілі, ізольований дріт та літаки, вертольоти та/або космічні апарати</w:t>
      </w:r>
      <w:r w:rsidR="00FA5737" w:rsidRPr="00807CE7">
        <w:rPr>
          <w:rFonts w:ascii="Times New Roman" w:hAnsi="Times New Roman" w:cs="Times New Roman"/>
          <w:sz w:val="28"/>
          <w:szCs w:val="28"/>
        </w:rPr>
        <w:t xml:space="preserve"> [8].</w:t>
      </w:r>
    </w:p>
    <w:p w14:paraId="690D4BC5" w14:textId="3BAD3748" w:rsidR="003B7512" w:rsidRPr="00807CE7" w:rsidRDefault="0068525D" w:rsidP="009F3378">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7F2E9387" wp14:editId="2301B0D3">
            <wp:extent cx="4140000" cy="2160000"/>
            <wp:effectExtent l="0" t="0" r="13335" b="12065"/>
            <wp:docPr id="804552061"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F49B7BC4-5ECB-C7FA-8085-6E81C988AA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B49114F" w14:textId="40114FC5" w:rsidR="0068525D" w:rsidRPr="00807CE7" w:rsidRDefault="0068525D" w:rsidP="0068525D">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3.</w:t>
      </w:r>
      <w:r w:rsidR="00804E73" w:rsidRPr="00807CE7">
        <w:rPr>
          <w:rFonts w:ascii="Times New Roman" w:hAnsi="Times New Roman" w:cs="Times New Roman"/>
          <w:sz w:val="28"/>
          <w:szCs w:val="28"/>
        </w:rPr>
        <w:t>2.</w:t>
      </w:r>
      <w:r w:rsidRPr="00807CE7">
        <w:rPr>
          <w:rFonts w:ascii="Times New Roman" w:hAnsi="Times New Roman" w:cs="Times New Roman"/>
          <w:sz w:val="28"/>
          <w:szCs w:val="28"/>
        </w:rPr>
        <w:t xml:space="preserve"> Порівняння сальдо торгівлі послугами між Болгарією та Україною й Румунією та Україною за 2017-2021 рр., млн.</w:t>
      </w:r>
      <w:r w:rsidR="00433D37" w:rsidRPr="00807CE7">
        <w:rPr>
          <w:rFonts w:ascii="Times New Roman" w:hAnsi="Times New Roman" w:cs="Times New Roman"/>
          <w:sz w:val="28"/>
          <w:szCs w:val="28"/>
        </w:rPr>
        <w:t xml:space="preserve"> </w:t>
      </w:r>
      <w:r w:rsidRPr="00807CE7">
        <w:rPr>
          <w:rFonts w:ascii="Times New Roman" w:hAnsi="Times New Roman" w:cs="Times New Roman"/>
          <w:sz w:val="28"/>
          <w:szCs w:val="28"/>
        </w:rPr>
        <w:t>дол.</w:t>
      </w:r>
      <w:r w:rsidR="00433D37" w:rsidRPr="00807CE7">
        <w:rPr>
          <w:rFonts w:ascii="Times New Roman" w:hAnsi="Times New Roman" w:cs="Times New Roman"/>
          <w:sz w:val="28"/>
          <w:szCs w:val="28"/>
        </w:rPr>
        <w:t xml:space="preserve"> </w:t>
      </w:r>
      <w:r w:rsidRPr="00807CE7">
        <w:rPr>
          <w:rFonts w:ascii="Times New Roman" w:hAnsi="Times New Roman" w:cs="Times New Roman"/>
          <w:sz w:val="28"/>
          <w:szCs w:val="28"/>
        </w:rPr>
        <w:t>США</w:t>
      </w:r>
    </w:p>
    <w:p w14:paraId="2D29C6B0" w14:textId="7E95AA69" w:rsidR="0068525D" w:rsidRPr="00807CE7" w:rsidRDefault="0068525D" w:rsidP="0068525D">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59592D" w:rsidRPr="00807CE7">
        <w:rPr>
          <w:rFonts w:ascii="Times New Roman" w:hAnsi="Times New Roman" w:cs="Times New Roman"/>
          <w:sz w:val="28"/>
          <w:szCs w:val="28"/>
        </w:rPr>
        <w:t>15</w:t>
      </w:r>
      <w:r w:rsidRPr="00807CE7">
        <w:rPr>
          <w:rFonts w:ascii="Times New Roman" w:hAnsi="Times New Roman" w:cs="Times New Roman"/>
          <w:sz w:val="28"/>
          <w:szCs w:val="28"/>
        </w:rPr>
        <w:t>].</w:t>
      </w:r>
    </w:p>
    <w:p w14:paraId="732E1134" w14:textId="77777777" w:rsidR="00433D37" w:rsidRPr="00807CE7" w:rsidRDefault="00433D37" w:rsidP="009F3378">
      <w:pPr>
        <w:spacing w:line="360" w:lineRule="auto"/>
        <w:ind w:firstLine="709"/>
        <w:jc w:val="both"/>
        <w:rPr>
          <w:rFonts w:ascii="Times New Roman" w:hAnsi="Times New Roman" w:cs="Times New Roman"/>
          <w:sz w:val="28"/>
          <w:szCs w:val="28"/>
        </w:rPr>
      </w:pPr>
    </w:p>
    <w:p w14:paraId="6ED9E3E5" w14:textId="27C92A48" w:rsidR="0068525D" w:rsidRPr="00F37F4E" w:rsidRDefault="0068525D" w:rsidP="009F3378">
      <w:pPr>
        <w:spacing w:line="360" w:lineRule="auto"/>
        <w:ind w:firstLine="709"/>
        <w:jc w:val="both"/>
        <w:rPr>
          <w:rFonts w:ascii="Times New Roman" w:hAnsi="Times New Roman" w:cs="Times New Roman"/>
          <w:spacing w:val="-2"/>
          <w:sz w:val="28"/>
          <w:szCs w:val="28"/>
        </w:rPr>
      </w:pPr>
      <w:r w:rsidRPr="00F37F4E">
        <w:rPr>
          <w:rFonts w:ascii="Times New Roman" w:hAnsi="Times New Roman" w:cs="Times New Roman"/>
          <w:spacing w:val="-2"/>
          <w:sz w:val="28"/>
          <w:szCs w:val="28"/>
        </w:rPr>
        <w:t xml:space="preserve">Аналізуючи графік, можна побачити, </w:t>
      </w:r>
      <w:r w:rsidR="00180A41" w:rsidRPr="00F37F4E">
        <w:rPr>
          <w:rFonts w:ascii="Times New Roman" w:hAnsi="Times New Roman" w:cs="Times New Roman"/>
          <w:spacing w:val="-2"/>
          <w:sz w:val="28"/>
          <w:szCs w:val="28"/>
        </w:rPr>
        <w:t>що криві мають схожу тенденцію. З 2017 року числові значення плавно зростали, однак у 2020</w:t>
      </w:r>
      <w:r w:rsidR="00213F81" w:rsidRPr="00F37F4E">
        <w:rPr>
          <w:rFonts w:ascii="Times New Roman" w:hAnsi="Times New Roman" w:cs="Times New Roman"/>
          <w:spacing w:val="-2"/>
          <w:sz w:val="28"/>
          <w:szCs w:val="28"/>
        </w:rPr>
        <w:t xml:space="preserve">-2021 рр. в Болгарії відбувся спад, а в Румунії значення продовжили свій ріст. </w:t>
      </w:r>
      <w:r w:rsidR="00A56A80" w:rsidRPr="00F37F4E">
        <w:rPr>
          <w:rFonts w:ascii="Times New Roman" w:hAnsi="Times New Roman" w:cs="Times New Roman"/>
          <w:spacing w:val="-2"/>
          <w:sz w:val="28"/>
          <w:szCs w:val="28"/>
        </w:rPr>
        <w:t xml:space="preserve">Отже, можна зробити висновок, що сальдо торгівлі послугами України з обома країнами є додатнім, тобто Україна є чистим експортером </w:t>
      </w:r>
      <w:r w:rsidR="00C36E3B" w:rsidRPr="00F37F4E">
        <w:rPr>
          <w:rFonts w:ascii="Times New Roman" w:hAnsi="Times New Roman" w:cs="Times New Roman"/>
          <w:spacing w:val="-2"/>
          <w:sz w:val="28"/>
          <w:szCs w:val="28"/>
        </w:rPr>
        <w:t xml:space="preserve">у відносинах з </w:t>
      </w:r>
      <w:r w:rsidR="00433D37" w:rsidRPr="00F37F4E">
        <w:rPr>
          <w:rFonts w:ascii="Times New Roman" w:hAnsi="Times New Roman" w:cs="Times New Roman"/>
          <w:spacing w:val="-2"/>
          <w:sz w:val="28"/>
          <w:szCs w:val="28"/>
        </w:rPr>
        <w:t>цими</w:t>
      </w:r>
      <w:r w:rsidR="00C36E3B" w:rsidRPr="00F37F4E">
        <w:rPr>
          <w:rFonts w:ascii="Times New Roman" w:hAnsi="Times New Roman" w:cs="Times New Roman"/>
          <w:spacing w:val="-2"/>
          <w:sz w:val="28"/>
          <w:szCs w:val="28"/>
        </w:rPr>
        <w:t xml:space="preserve"> країнами. </w:t>
      </w:r>
    </w:p>
    <w:p w14:paraId="67F6E6C3" w14:textId="7CA02CCE" w:rsidR="00C36E3B" w:rsidRPr="00807CE7" w:rsidRDefault="00A80FF0" w:rsidP="009F337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 xml:space="preserve">Далі будуть розглянуті прямі інвестиції з країн в економіці України. Статистичні дані будуть представлені на двох графіках: перший графік </w:t>
      </w:r>
      <w:r w:rsidR="00AE6D90" w:rsidRPr="00807CE7">
        <w:rPr>
          <w:rFonts w:ascii="Times New Roman" w:hAnsi="Times New Roman" w:cs="Times New Roman"/>
          <w:sz w:val="28"/>
          <w:szCs w:val="28"/>
        </w:rPr>
        <w:t>–</w:t>
      </w:r>
      <w:r w:rsidRPr="00807CE7">
        <w:rPr>
          <w:rFonts w:ascii="Times New Roman" w:hAnsi="Times New Roman" w:cs="Times New Roman"/>
          <w:sz w:val="28"/>
          <w:szCs w:val="28"/>
        </w:rPr>
        <w:t xml:space="preserve"> </w:t>
      </w:r>
      <w:r w:rsidR="00AE6D90" w:rsidRPr="00807CE7">
        <w:rPr>
          <w:rFonts w:ascii="Times New Roman" w:hAnsi="Times New Roman" w:cs="Times New Roman"/>
          <w:sz w:val="28"/>
          <w:szCs w:val="28"/>
        </w:rPr>
        <w:t xml:space="preserve">з Державного Комітету Статистики України за 2016-2019 рр.; другий графік за даними з Національного Банку України за </w:t>
      </w:r>
      <w:r w:rsidR="00804E73" w:rsidRPr="00807CE7">
        <w:rPr>
          <w:rFonts w:ascii="Times New Roman" w:hAnsi="Times New Roman" w:cs="Times New Roman"/>
          <w:sz w:val="28"/>
          <w:szCs w:val="28"/>
        </w:rPr>
        <w:t xml:space="preserve">2019-2021 рр. </w:t>
      </w:r>
    </w:p>
    <w:p w14:paraId="6B3461EE" w14:textId="1B3ED660" w:rsidR="00804E73" w:rsidRPr="00807CE7" w:rsidRDefault="00804E73" w:rsidP="009F3378">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54B2DCBE" wp14:editId="4B4CC97F">
            <wp:extent cx="4140000" cy="2160000"/>
            <wp:effectExtent l="0" t="0" r="13335" b="12065"/>
            <wp:docPr id="562040459"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BA6EA38D-1E32-D519-53DE-6133E80CD3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F2EED94" w14:textId="094BB7B4" w:rsidR="00804E73" w:rsidRPr="00807CE7" w:rsidRDefault="00804E73" w:rsidP="00804E73">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Рис. 3.3. Порівняння </w:t>
      </w:r>
      <w:r w:rsidR="0054024E" w:rsidRPr="00807CE7">
        <w:rPr>
          <w:rFonts w:ascii="Times New Roman" w:hAnsi="Times New Roman" w:cs="Times New Roman"/>
          <w:sz w:val="28"/>
          <w:szCs w:val="28"/>
        </w:rPr>
        <w:t>потоку прямих інвестицій з Болгарії та Румунії в економіці України</w:t>
      </w:r>
      <w:r w:rsidR="00E61B84" w:rsidRPr="00807CE7">
        <w:rPr>
          <w:rFonts w:ascii="Times New Roman" w:hAnsi="Times New Roman" w:cs="Times New Roman"/>
          <w:sz w:val="28"/>
          <w:szCs w:val="28"/>
        </w:rPr>
        <w:t xml:space="preserve"> за 2016-2019 рр.</w:t>
      </w:r>
      <w:r w:rsidRPr="00807CE7">
        <w:rPr>
          <w:rFonts w:ascii="Times New Roman" w:hAnsi="Times New Roman" w:cs="Times New Roman"/>
          <w:sz w:val="28"/>
          <w:szCs w:val="28"/>
        </w:rPr>
        <w:t>, млн.</w:t>
      </w:r>
      <w:r w:rsidR="00433D37" w:rsidRPr="00807CE7">
        <w:rPr>
          <w:rFonts w:ascii="Times New Roman" w:hAnsi="Times New Roman" w:cs="Times New Roman"/>
          <w:sz w:val="28"/>
          <w:szCs w:val="28"/>
        </w:rPr>
        <w:t xml:space="preserve"> </w:t>
      </w:r>
      <w:r w:rsidRPr="00807CE7">
        <w:rPr>
          <w:rFonts w:ascii="Times New Roman" w:hAnsi="Times New Roman" w:cs="Times New Roman"/>
          <w:sz w:val="28"/>
          <w:szCs w:val="28"/>
        </w:rPr>
        <w:t>дол.</w:t>
      </w:r>
      <w:r w:rsidR="00433D37" w:rsidRPr="00807CE7">
        <w:rPr>
          <w:rFonts w:ascii="Times New Roman" w:hAnsi="Times New Roman" w:cs="Times New Roman"/>
          <w:sz w:val="28"/>
          <w:szCs w:val="28"/>
        </w:rPr>
        <w:t xml:space="preserve"> </w:t>
      </w:r>
      <w:r w:rsidRPr="00807CE7">
        <w:rPr>
          <w:rFonts w:ascii="Times New Roman" w:hAnsi="Times New Roman" w:cs="Times New Roman"/>
          <w:sz w:val="28"/>
          <w:szCs w:val="28"/>
        </w:rPr>
        <w:t>США</w:t>
      </w:r>
    </w:p>
    <w:p w14:paraId="265D1E35" w14:textId="702EA6FE" w:rsidR="00804E73" w:rsidRPr="00807CE7" w:rsidRDefault="00804E73" w:rsidP="00804E73">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1912DF" w:rsidRPr="00807CE7">
        <w:rPr>
          <w:rFonts w:ascii="Times New Roman" w:hAnsi="Times New Roman" w:cs="Times New Roman"/>
          <w:sz w:val="28"/>
          <w:szCs w:val="28"/>
        </w:rPr>
        <w:t>16</w:t>
      </w:r>
      <w:r w:rsidRPr="00807CE7">
        <w:rPr>
          <w:rFonts w:ascii="Times New Roman" w:hAnsi="Times New Roman" w:cs="Times New Roman"/>
          <w:sz w:val="28"/>
          <w:szCs w:val="28"/>
        </w:rPr>
        <w:t>].</w:t>
      </w:r>
    </w:p>
    <w:p w14:paraId="38D330DC" w14:textId="77777777" w:rsidR="00433D37" w:rsidRPr="00807CE7" w:rsidRDefault="00433D37" w:rsidP="009F3378">
      <w:pPr>
        <w:spacing w:line="360" w:lineRule="auto"/>
        <w:ind w:firstLine="709"/>
        <w:jc w:val="both"/>
        <w:rPr>
          <w:rFonts w:ascii="Times New Roman" w:hAnsi="Times New Roman" w:cs="Times New Roman"/>
          <w:sz w:val="28"/>
          <w:szCs w:val="28"/>
        </w:rPr>
      </w:pPr>
    </w:p>
    <w:p w14:paraId="4A8E17D4" w14:textId="4FE72138" w:rsidR="00804E73" w:rsidRPr="00807CE7" w:rsidRDefault="00D4483B" w:rsidP="009F337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Аналізуючи графік, можна побачити, що </w:t>
      </w:r>
      <w:r w:rsidR="00155507" w:rsidRPr="00807CE7">
        <w:rPr>
          <w:rFonts w:ascii="Times New Roman" w:hAnsi="Times New Roman" w:cs="Times New Roman"/>
          <w:sz w:val="28"/>
          <w:szCs w:val="28"/>
        </w:rPr>
        <w:t xml:space="preserve">показники прямих іноземних інвестицій за вказаний період були відносно стабільними, й за останні роки почали зростати. </w:t>
      </w:r>
    </w:p>
    <w:p w14:paraId="519B6303" w14:textId="68C03D27" w:rsidR="00E61B84" w:rsidRPr="00807CE7" w:rsidRDefault="00E61B84" w:rsidP="009F3378">
      <w:pPr>
        <w:spacing w:line="360" w:lineRule="auto"/>
        <w:ind w:firstLine="709"/>
        <w:jc w:val="both"/>
        <w:rPr>
          <w:rFonts w:ascii="Times New Roman" w:hAnsi="Times New Roman" w:cs="Times New Roman"/>
          <w:sz w:val="28"/>
          <w:szCs w:val="28"/>
        </w:rPr>
      </w:pPr>
      <w:r w:rsidRPr="00807CE7">
        <w:rPr>
          <w:lang w:eastAsia="uk-UA"/>
        </w:rPr>
        <w:drawing>
          <wp:inline distT="0" distB="0" distL="0" distR="0" wp14:anchorId="31F6ECB1" wp14:editId="25B31EC2">
            <wp:extent cx="4140000" cy="2160000"/>
            <wp:effectExtent l="0" t="0" r="13335" b="12065"/>
            <wp:docPr id="509174673"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4748A8D-26F6-B508-75EC-AC6B2BBD47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D0146E7" w14:textId="18E65F76" w:rsidR="00E61B84" w:rsidRPr="00807CE7" w:rsidRDefault="00E61B84" w:rsidP="00E61B84">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Рис. 3.4. Порівняння потоку прямих інвестицій з Болгарії та Румунії в економіці України за 2019-2021 рр., млн.</w:t>
      </w:r>
      <w:r w:rsidR="00433D37" w:rsidRPr="00807CE7">
        <w:rPr>
          <w:rFonts w:ascii="Times New Roman" w:hAnsi="Times New Roman" w:cs="Times New Roman"/>
          <w:sz w:val="28"/>
          <w:szCs w:val="28"/>
        </w:rPr>
        <w:t xml:space="preserve"> </w:t>
      </w:r>
      <w:r w:rsidRPr="00807CE7">
        <w:rPr>
          <w:rFonts w:ascii="Times New Roman" w:hAnsi="Times New Roman" w:cs="Times New Roman"/>
          <w:sz w:val="28"/>
          <w:szCs w:val="28"/>
        </w:rPr>
        <w:t>дол.</w:t>
      </w:r>
      <w:r w:rsidR="00433D37" w:rsidRPr="00807CE7">
        <w:rPr>
          <w:rFonts w:ascii="Times New Roman" w:hAnsi="Times New Roman" w:cs="Times New Roman"/>
          <w:sz w:val="28"/>
          <w:szCs w:val="28"/>
        </w:rPr>
        <w:t xml:space="preserve"> </w:t>
      </w:r>
      <w:r w:rsidRPr="00807CE7">
        <w:rPr>
          <w:rFonts w:ascii="Times New Roman" w:hAnsi="Times New Roman" w:cs="Times New Roman"/>
          <w:sz w:val="28"/>
          <w:szCs w:val="28"/>
        </w:rPr>
        <w:t>США</w:t>
      </w:r>
    </w:p>
    <w:p w14:paraId="0509B38F" w14:textId="6CD06761" w:rsidR="00E61B84" w:rsidRPr="00807CE7" w:rsidRDefault="00E61B84" w:rsidP="00E61B84">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складено автором на основі даних [</w:t>
      </w:r>
      <w:r w:rsidR="001912DF" w:rsidRPr="00807CE7">
        <w:rPr>
          <w:rFonts w:ascii="Times New Roman" w:hAnsi="Times New Roman" w:cs="Times New Roman"/>
          <w:sz w:val="28"/>
          <w:szCs w:val="28"/>
        </w:rPr>
        <w:t>17</w:t>
      </w:r>
      <w:r w:rsidRPr="00807CE7">
        <w:rPr>
          <w:rFonts w:ascii="Times New Roman" w:hAnsi="Times New Roman" w:cs="Times New Roman"/>
          <w:sz w:val="28"/>
          <w:szCs w:val="28"/>
        </w:rPr>
        <w:t>].</w:t>
      </w:r>
    </w:p>
    <w:p w14:paraId="58E90377" w14:textId="77777777" w:rsidR="00433D37" w:rsidRPr="00807CE7" w:rsidRDefault="00433D37" w:rsidP="009F3378">
      <w:pPr>
        <w:spacing w:line="360" w:lineRule="auto"/>
        <w:ind w:firstLine="709"/>
        <w:jc w:val="both"/>
        <w:rPr>
          <w:rFonts w:ascii="Times New Roman" w:hAnsi="Times New Roman" w:cs="Times New Roman"/>
          <w:sz w:val="28"/>
          <w:szCs w:val="28"/>
        </w:rPr>
      </w:pPr>
    </w:p>
    <w:p w14:paraId="7E36BEA6" w14:textId="1F0667EB" w:rsidR="00433D37" w:rsidRPr="00807CE7" w:rsidRDefault="00433D37" w:rsidP="009F337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lastRenderedPageBreak/>
        <w:t>Болгарія інвестувала в Україну все більше майже з кожним роком. Щодо Румунії, то 2017 року числові значення зменшувалися, але потім вже почали зростати, що свідчить про нарощування інвестиційних потоків з країни в економіці України.</w:t>
      </w:r>
    </w:p>
    <w:p w14:paraId="0D3A349E" w14:textId="5AF46099" w:rsidR="00E61B84" w:rsidRPr="00807CE7" w:rsidRDefault="00E61B84" w:rsidP="009F3378">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Аналізуючи графік</w:t>
      </w:r>
      <w:r w:rsidR="00433D37" w:rsidRPr="00807CE7">
        <w:rPr>
          <w:rFonts w:ascii="Times New Roman" w:hAnsi="Times New Roman" w:cs="Times New Roman"/>
          <w:sz w:val="28"/>
          <w:szCs w:val="28"/>
        </w:rPr>
        <w:t xml:space="preserve"> 3.4</w:t>
      </w:r>
      <w:r w:rsidRPr="00807CE7">
        <w:rPr>
          <w:rFonts w:ascii="Times New Roman" w:hAnsi="Times New Roman" w:cs="Times New Roman"/>
          <w:sz w:val="28"/>
          <w:szCs w:val="28"/>
        </w:rPr>
        <w:t>, можна побачити, що криві дзеркально відображають одна одну</w:t>
      </w:r>
      <w:r w:rsidR="00446A98" w:rsidRPr="00807CE7">
        <w:rPr>
          <w:rFonts w:ascii="Times New Roman" w:hAnsi="Times New Roman" w:cs="Times New Roman"/>
          <w:sz w:val="28"/>
          <w:szCs w:val="28"/>
        </w:rPr>
        <w:t>, тобто: пот</w:t>
      </w:r>
      <w:r w:rsidR="00433D37" w:rsidRPr="00807CE7">
        <w:rPr>
          <w:rFonts w:ascii="Times New Roman" w:hAnsi="Times New Roman" w:cs="Times New Roman"/>
          <w:sz w:val="28"/>
          <w:szCs w:val="28"/>
        </w:rPr>
        <w:t>і</w:t>
      </w:r>
      <w:r w:rsidR="00446A98" w:rsidRPr="00807CE7">
        <w:rPr>
          <w:rFonts w:ascii="Times New Roman" w:hAnsi="Times New Roman" w:cs="Times New Roman"/>
          <w:sz w:val="28"/>
          <w:szCs w:val="28"/>
        </w:rPr>
        <w:t>к прям</w:t>
      </w:r>
      <w:r w:rsidR="00433D37" w:rsidRPr="00807CE7">
        <w:rPr>
          <w:rFonts w:ascii="Times New Roman" w:hAnsi="Times New Roman" w:cs="Times New Roman"/>
          <w:sz w:val="28"/>
          <w:szCs w:val="28"/>
        </w:rPr>
        <w:t>их</w:t>
      </w:r>
      <w:r w:rsidR="00446A98" w:rsidRPr="00807CE7">
        <w:rPr>
          <w:rFonts w:ascii="Times New Roman" w:hAnsi="Times New Roman" w:cs="Times New Roman"/>
          <w:sz w:val="28"/>
          <w:szCs w:val="28"/>
        </w:rPr>
        <w:t xml:space="preserve"> іноземних інвестицій з Болгарії в Україну збільшився у 2020 році, порівняно з попереднім роком, й досяг свого максимального піку. В Румунії в той час </w:t>
      </w:r>
      <w:r w:rsidR="00163838" w:rsidRPr="00807CE7">
        <w:rPr>
          <w:rFonts w:ascii="Times New Roman" w:hAnsi="Times New Roman" w:cs="Times New Roman"/>
          <w:sz w:val="28"/>
          <w:szCs w:val="28"/>
        </w:rPr>
        <w:t xml:space="preserve">у 2020 році потом ПІ набув свого мінімального піку, порівняно з 2019 роком. У 2021 році числові значення ПІ з </w:t>
      </w:r>
      <w:r w:rsidR="00433D37" w:rsidRPr="00807CE7">
        <w:rPr>
          <w:rFonts w:ascii="Times New Roman" w:hAnsi="Times New Roman" w:cs="Times New Roman"/>
          <w:sz w:val="28"/>
          <w:szCs w:val="28"/>
        </w:rPr>
        <w:t>Болгарії</w:t>
      </w:r>
      <w:r w:rsidR="00163838" w:rsidRPr="00807CE7">
        <w:rPr>
          <w:rFonts w:ascii="Times New Roman" w:hAnsi="Times New Roman" w:cs="Times New Roman"/>
          <w:sz w:val="28"/>
          <w:szCs w:val="28"/>
        </w:rPr>
        <w:t xml:space="preserve"> в економіці України почали зменшуватися, а з Румунії в Україну збільшуватися. </w:t>
      </w:r>
    </w:p>
    <w:p w14:paraId="70A234BE" w14:textId="35D12480" w:rsidR="00666720" w:rsidRPr="00807CE7" w:rsidRDefault="00666720" w:rsidP="009F3378">
      <w:pPr>
        <w:spacing w:line="360" w:lineRule="auto"/>
        <w:ind w:firstLine="709"/>
        <w:jc w:val="both"/>
        <w:rPr>
          <w:rFonts w:ascii="Times New Roman" w:hAnsi="Times New Roman" w:cs="Times New Roman"/>
          <w:sz w:val="28"/>
          <w:szCs w:val="28"/>
        </w:rPr>
      </w:pPr>
    </w:p>
    <w:p w14:paraId="33721A3E" w14:textId="77777777" w:rsidR="00666720" w:rsidRPr="00807CE7" w:rsidRDefault="00666720">
      <w:pPr>
        <w:rPr>
          <w:rFonts w:ascii="Times New Roman" w:hAnsi="Times New Roman" w:cs="Times New Roman"/>
          <w:sz w:val="28"/>
          <w:szCs w:val="28"/>
        </w:rPr>
      </w:pPr>
      <w:r w:rsidRPr="00807CE7">
        <w:rPr>
          <w:rFonts w:ascii="Times New Roman" w:hAnsi="Times New Roman" w:cs="Times New Roman"/>
          <w:sz w:val="28"/>
          <w:szCs w:val="28"/>
        </w:rPr>
        <w:br w:type="page"/>
      </w:r>
    </w:p>
    <w:p w14:paraId="1C1D945B" w14:textId="602DAC1F" w:rsidR="00666720" w:rsidRPr="00807CE7" w:rsidRDefault="00666720" w:rsidP="00666720">
      <w:pPr>
        <w:spacing w:line="360" w:lineRule="auto"/>
        <w:ind w:firstLine="709"/>
        <w:jc w:val="center"/>
        <w:rPr>
          <w:rFonts w:ascii="Times New Roman" w:hAnsi="Times New Roman" w:cs="Times New Roman"/>
          <w:b/>
          <w:bCs/>
          <w:sz w:val="28"/>
          <w:szCs w:val="28"/>
        </w:rPr>
      </w:pPr>
      <w:r w:rsidRPr="00807CE7">
        <w:rPr>
          <w:rFonts w:ascii="Times New Roman" w:hAnsi="Times New Roman" w:cs="Times New Roman"/>
          <w:b/>
          <w:bCs/>
          <w:sz w:val="28"/>
          <w:szCs w:val="28"/>
        </w:rPr>
        <w:lastRenderedPageBreak/>
        <w:t>ВИСНОВКИ</w:t>
      </w:r>
    </w:p>
    <w:p w14:paraId="1BFDC503" w14:textId="77777777" w:rsidR="00666720" w:rsidRPr="00807CE7" w:rsidRDefault="00666720" w:rsidP="009F3378">
      <w:pPr>
        <w:spacing w:line="360" w:lineRule="auto"/>
        <w:ind w:firstLine="709"/>
        <w:jc w:val="both"/>
        <w:rPr>
          <w:rFonts w:ascii="Times New Roman" w:hAnsi="Times New Roman" w:cs="Times New Roman"/>
          <w:sz w:val="28"/>
          <w:szCs w:val="28"/>
        </w:rPr>
      </w:pPr>
    </w:p>
    <w:p w14:paraId="119B1340" w14:textId="77777777" w:rsidR="00F37F4E" w:rsidRDefault="00B02013" w:rsidP="00106AA9">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На основі отриманих даних </w:t>
      </w:r>
      <w:r w:rsidR="00433D37" w:rsidRPr="00807CE7">
        <w:rPr>
          <w:rFonts w:ascii="Times New Roman" w:hAnsi="Times New Roman" w:cs="Times New Roman"/>
          <w:sz w:val="28"/>
          <w:szCs w:val="28"/>
        </w:rPr>
        <w:t>у кваліфікаційній</w:t>
      </w:r>
      <w:r w:rsidRPr="00807CE7">
        <w:rPr>
          <w:rFonts w:ascii="Times New Roman" w:hAnsi="Times New Roman" w:cs="Times New Roman"/>
          <w:sz w:val="28"/>
          <w:szCs w:val="28"/>
        </w:rPr>
        <w:t xml:space="preserve"> роботі можна зробити такі висновки. </w:t>
      </w:r>
      <w:r w:rsidR="00106AA9" w:rsidRPr="00807CE7">
        <w:rPr>
          <w:rFonts w:ascii="Times New Roman" w:hAnsi="Times New Roman" w:cs="Times New Roman"/>
          <w:sz w:val="28"/>
          <w:szCs w:val="28"/>
        </w:rPr>
        <w:t>Протягом кількох років Румунія має структурний дефіцит поточного рахунку. Основна причина пов'язана з погіршенням балансу торгівлі енергонос</w:t>
      </w:r>
      <w:r w:rsidR="00433D37" w:rsidRPr="00807CE7">
        <w:rPr>
          <w:rFonts w:ascii="Times New Roman" w:hAnsi="Times New Roman" w:cs="Times New Roman"/>
          <w:sz w:val="28"/>
          <w:szCs w:val="28"/>
        </w:rPr>
        <w:t>ія</w:t>
      </w:r>
      <w:r w:rsidR="00106AA9" w:rsidRPr="00807CE7">
        <w:rPr>
          <w:rFonts w:ascii="Times New Roman" w:hAnsi="Times New Roman" w:cs="Times New Roman"/>
          <w:sz w:val="28"/>
          <w:szCs w:val="28"/>
        </w:rPr>
        <w:t xml:space="preserve">ми. Імпорт продовольства і промислових товарів також сприяв, але меншою мірою порівняно з енергетикою. Навпаки, імпорт споживчих товарів тривалого користування залишається м'яким. Для того, щоб дефіцит торгового балансу не призвів до знецінення лея, необхідний приплив неборгового капіталу, переважно ПІІ та європейських інвестиційних фондів.  Паралельно вони могли б вирішити проблему низьких виробничих потужностей Румунії. </w:t>
      </w:r>
    </w:p>
    <w:p w14:paraId="735DD890" w14:textId="053E3759" w:rsidR="00106AA9" w:rsidRPr="00807CE7" w:rsidRDefault="00106AA9" w:rsidP="00106AA9">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Загалом, дефіцит поточного рахунку можна утримувати на сталому рівні, заохочуючи спрямування державних і приватних коштів на інвестиції, а не на споживання, що сприятиме сталому довгостроковому економічному зростанню.</w:t>
      </w:r>
    </w:p>
    <w:p w14:paraId="350CA704" w14:textId="7249F9C8" w:rsidR="00666720" w:rsidRPr="00807CE7" w:rsidRDefault="00106AA9" w:rsidP="00106AA9">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За останні роки Болгарія збільшила свої торговельні відносини з Китаєм, і це пов'язано зі зростанням експорту сировинних товарів, таких як метали, а також машини та обладнання. Також, за останні десять років спостерігається тенденція до зростання потоку імпорту з Китаю. Болгарія досягла значного зростання доходів за останні два десятиліття. Надійна макроекономічна база та поглиблення інтеграції з Європейським Союзом дозволили досягти прогресу на шляху до вступу в єврозону.</w:t>
      </w:r>
    </w:p>
    <w:p w14:paraId="3FF5FC6B" w14:textId="77777777" w:rsidR="00433D37" w:rsidRPr="00807CE7" w:rsidRDefault="00BD1974" w:rsidP="00106AA9">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У другому розділі було проаналізовано основні складові зовнішньоекономічних операцій Румунії та Болгарії. Розглянувши торгові баланси країн, можна зробити висновок, що в Румунії та Болгарії схожа тенденція. Починаючи з 2017 року ми бачимо зменшення показників торгового балансу в обох країнах, однак в Болгарії динаміка менш помітна. За вказаний період баланс і Румунії, і Болгарії був від’ємним, тобто можна зробити висновок, що обидві країни є чистими імпортерами. Стосовно </w:t>
      </w:r>
      <w:r w:rsidRPr="00807CE7">
        <w:rPr>
          <w:rFonts w:ascii="Times New Roman" w:hAnsi="Times New Roman" w:cs="Times New Roman"/>
          <w:sz w:val="28"/>
          <w:szCs w:val="28"/>
        </w:rPr>
        <w:lastRenderedPageBreak/>
        <w:t xml:space="preserve">балансу послуг, то після аналізу,ю я дійшла висновків, що баланс Румунії, порівняно з балансом Болгарії, має більш плавну динаміку зміни. За 2017-2021 роки показники балансу послуг зростали. Це пов’язано з помітним зростанням експорту країни. Щодо Болгарії, то ситуація трохи відрізняється. У період з 2017 по 2019 помітно стрімке збільшення показників балансу послуг, що зумовлено зростанням експорту й майже непомітною зміною імпортом. Обидві країни є чистими експортерами: баланс послуг обох країн є додатнім. Після аналізу сальдо первинних доходів Румунії та Болгарії можна зробити висновок, що сальдо в обох країнах має схожу динаміку. У 2018 році був </w:t>
      </w:r>
      <w:r w:rsidR="00433D37" w:rsidRPr="00807CE7">
        <w:rPr>
          <w:rFonts w:ascii="Times New Roman" w:hAnsi="Times New Roman" w:cs="Times New Roman"/>
          <w:sz w:val="28"/>
          <w:szCs w:val="28"/>
        </w:rPr>
        <w:t>різкий</w:t>
      </w:r>
      <w:r w:rsidRPr="00807CE7">
        <w:rPr>
          <w:rFonts w:ascii="Times New Roman" w:hAnsi="Times New Roman" w:cs="Times New Roman"/>
          <w:sz w:val="28"/>
          <w:szCs w:val="28"/>
        </w:rPr>
        <w:t xml:space="preserve"> спад числових значень, однак в період з 2018 року показники почали зростати. У 2021 році в обох країнах числові значення сальдо первинних доходів знову почали зменшуватися. </w:t>
      </w:r>
    </w:p>
    <w:p w14:paraId="6C37B051" w14:textId="0CBBAD27" w:rsidR="00A202A5" w:rsidRPr="00807CE7" w:rsidRDefault="00BD1974" w:rsidP="00106AA9">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Отже, можна зробити висновок, що і в Румунії, і в Болгарії сальдо первинних доходів за 2017-2021 рр. було від’ємним. Це означає, що виплати перевищували надходження. Це означає, що резиденти отримують доходів менше від активів за кордоном, ніж нерезиденти вивозять доходів з країн. Порівнявши сальдо доходів від інвестицій, я зробила висновки, що в обох країнах сальдо доходів від інвестицій є від’ємним, тобто виплати перевищували надходження. Стосовно Болгарії, то її показники є </w:t>
      </w:r>
      <w:r w:rsidR="00433D37" w:rsidRPr="00807CE7">
        <w:rPr>
          <w:rFonts w:ascii="Times New Roman" w:hAnsi="Times New Roman" w:cs="Times New Roman"/>
          <w:sz w:val="28"/>
          <w:szCs w:val="28"/>
        </w:rPr>
        <w:t>відносно</w:t>
      </w:r>
      <w:r w:rsidRPr="00807CE7">
        <w:rPr>
          <w:rFonts w:ascii="Times New Roman" w:hAnsi="Times New Roman" w:cs="Times New Roman"/>
          <w:sz w:val="28"/>
          <w:szCs w:val="28"/>
        </w:rPr>
        <w:t xml:space="preserve"> стабільними. Не стрімко, однак показники сальдо доходів від інвестицій зменшувалися. Показники Румунії за цією </w:t>
      </w:r>
      <w:r w:rsidR="00433D37" w:rsidRPr="00807CE7">
        <w:rPr>
          <w:rFonts w:ascii="Times New Roman" w:hAnsi="Times New Roman" w:cs="Times New Roman"/>
          <w:sz w:val="28"/>
          <w:szCs w:val="28"/>
        </w:rPr>
        <w:t>статтею</w:t>
      </w:r>
      <w:r w:rsidRPr="00807CE7">
        <w:rPr>
          <w:rFonts w:ascii="Times New Roman" w:hAnsi="Times New Roman" w:cs="Times New Roman"/>
          <w:sz w:val="28"/>
          <w:szCs w:val="28"/>
        </w:rPr>
        <w:t xml:space="preserve"> є трохи нестабільними. У 2017-2018 рр. було </w:t>
      </w:r>
      <w:r w:rsidR="00433D37" w:rsidRPr="00807CE7">
        <w:rPr>
          <w:rFonts w:ascii="Times New Roman" w:hAnsi="Times New Roman" w:cs="Times New Roman"/>
          <w:sz w:val="28"/>
          <w:szCs w:val="28"/>
        </w:rPr>
        <w:t>різке</w:t>
      </w:r>
      <w:r w:rsidRPr="00807CE7">
        <w:rPr>
          <w:rFonts w:ascii="Times New Roman" w:hAnsi="Times New Roman" w:cs="Times New Roman"/>
          <w:sz w:val="28"/>
          <w:szCs w:val="28"/>
        </w:rPr>
        <w:t xml:space="preserve"> падіння, так само як і в 2020-2021 рр. Проаналізувавши сальдо оплати праці, можна зробити висновок, що за зазначений період сальдо оплати праці в обох країнах було додатнім. Це пов’язано з тим, що надходження значно перевищували виплати. За 2017-2019 рр. показники Болгарії були відносно стабільні, однак у 2020 році було </w:t>
      </w:r>
      <w:r w:rsidR="00433D37" w:rsidRPr="00807CE7">
        <w:rPr>
          <w:rFonts w:ascii="Times New Roman" w:hAnsi="Times New Roman" w:cs="Times New Roman"/>
          <w:sz w:val="28"/>
          <w:szCs w:val="28"/>
        </w:rPr>
        <w:t>різке</w:t>
      </w:r>
      <w:r w:rsidRPr="00807CE7">
        <w:rPr>
          <w:rFonts w:ascii="Times New Roman" w:hAnsi="Times New Roman" w:cs="Times New Roman"/>
          <w:sz w:val="28"/>
          <w:szCs w:val="28"/>
        </w:rPr>
        <w:t xml:space="preserve"> падіння. Щодо Румунії, то спостерігається значне зростання числових значень за період 2017-2019 років, потім у 2019-2020 роках різке падіння, й у 2020 році почалося стрімке зростання. Щодо сальдо вторинних доходів, то можна побачити, що за вказаний період сальдо вторинних доходів в обох країнах </w:t>
      </w:r>
      <w:r w:rsidRPr="00807CE7">
        <w:rPr>
          <w:rFonts w:ascii="Times New Roman" w:hAnsi="Times New Roman" w:cs="Times New Roman"/>
          <w:sz w:val="28"/>
          <w:szCs w:val="28"/>
        </w:rPr>
        <w:lastRenderedPageBreak/>
        <w:t>було нестабіль</w:t>
      </w:r>
      <w:r w:rsidR="00433D37" w:rsidRPr="00807CE7">
        <w:rPr>
          <w:rFonts w:ascii="Times New Roman" w:hAnsi="Times New Roman" w:cs="Times New Roman"/>
          <w:sz w:val="28"/>
          <w:szCs w:val="28"/>
        </w:rPr>
        <w:t>ни</w:t>
      </w:r>
      <w:r w:rsidRPr="00807CE7">
        <w:rPr>
          <w:rFonts w:ascii="Times New Roman" w:hAnsi="Times New Roman" w:cs="Times New Roman"/>
          <w:sz w:val="28"/>
          <w:szCs w:val="28"/>
        </w:rPr>
        <w:t xml:space="preserve">м. Більш того, можна помітити, що у 2017-2019 роках, показники сальдо Болгарії є дзеркальним відображенням показників сальдо Румунії. Отже, можна зробити висновок, що за 2017-2021 роки сальдо обох країн було додатнім. </w:t>
      </w:r>
      <w:r w:rsidR="00433D37" w:rsidRPr="00807CE7">
        <w:rPr>
          <w:rFonts w:ascii="Times New Roman" w:hAnsi="Times New Roman" w:cs="Times New Roman"/>
          <w:sz w:val="28"/>
          <w:szCs w:val="28"/>
        </w:rPr>
        <w:t>Додатне</w:t>
      </w:r>
      <w:r w:rsidRPr="00807CE7">
        <w:rPr>
          <w:rFonts w:ascii="Times New Roman" w:hAnsi="Times New Roman" w:cs="Times New Roman"/>
          <w:sz w:val="28"/>
          <w:szCs w:val="28"/>
        </w:rPr>
        <w:t xml:space="preserve"> сальдо вторинних доходів означає, що надходження перевищували виплати. Це означає, що резидентам з Румунії та Болгарії було відправлено менше односторонніх платежів (грантів, допомоги тощо), ніж отримано таких переказів від нерезидентів з-за кордон</w:t>
      </w:r>
      <w:r w:rsidR="00433D37" w:rsidRPr="00807CE7">
        <w:rPr>
          <w:rFonts w:ascii="Times New Roman" w:hAnsi="Times New Roman" w:cs="Times New Roman"/>
          <w:sz w:val="28"/>
          <w:szCs w:val="28"/>
        </w:rPr>
        <w:t>у</w:t>
      </w:r>
      <w:r w:rsidRPr="00807CE7">
        <w:rPr>
          <w:rFonts w:ascii="Times New Roman" w:hAnsi="Times New Roman" w:cs="Times New Roman"/>
          <w:sz w:val="28"/>
          <w:szCs w:val="28"/>
        </w:rPr>
        <w:t xml:space="preserve">. Після аналізу рахунку поточних операцій Румунії та Болгарії, можна побачити, що дана стаття платіжного балансу в Болгарії є </w:t>
      </w:r>
      <w:r w:rsidR="00433D37" w:rsidRPr="00807CE7">
        <w:rPr>
          <w:rFonts w:ascii="Times New Roman" w:hAnsi="Times New Roman" w:cs="Times New Roman"/>
          <w:sz w:val="28"/>
          <w:szCs w:val="28"/>
        </w:rPr>
        <w:t>додатною</w:t>
      </w:r>
      <w:r w:rsidRPr="00807CE7">
        <w:rPr>
          <w:rFonts w:ascii="Times New Roman" w:hAnsi="Times New Roman" w:cs="Times New Roman"/>
          <w:sz w:val="28"/>
          <w:szCs w:val="28"/>
        </w:rPr>
        <w:t xml:space="preserve">, до 2020 року. Стосовно Румунії, то за зазначений період рахунок поточних операцій цієї країни є від’ємним, й має </w:t>
      </w:r>
      <w:r w:rsidR="00433D37" w:rsidRPr="00807CE7">
        <w:rPr>
          <w:rFonts w:ascii="Times New Roman" w:hAnsi="Times New Roman" w:cs="Times New Roman"/>
          <w:sz w:val="28"/>
          <w:szCs w:val="28"/>
        </w:rPr>
        <w:t>різке</w:t>
      </w:r>
      <w:r w:rsidRPr="00807CE7">
        <w:rPr>
          <w:rFonts w:ascii="Times New Roman" w:hAnsi="Times New Roman" w:cs="Times New Roman"/>
          <w:sz w:val="28"/>
          <w:szCs w:val="28"/>
        </w:rPr>
        <w:t xml:space="preserve"> падіння у 2020-2021 рр. Дефіцит балансу поточних операцій Румунії відображає збільшення заборгованості країни іншим країнам. </w:t>
      </w:r>
    </w:p>
    <w:p w14:paraId="7875F9E3" w14:textId="77777777" w:rsidR="00184F96" w:rsidRPr="00807CE7" w:rsidRDefault="00A202A5" w:rsidP="00106AA9">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Щодо сальдо прямих інвестицій Румунії та Болгарії, то можна зробити висновок, що за вказаний період сальдо прямих інвестицій обох країн було від’ємним. Це означає, що зобов’язань в країнах більше, ніж активів, тобто інші країни інвестували в Румунію та Болгарію більше, ніж інвестувала вона. Аналізуючи графік порівняння сальдо портфельних інвестицій, можна побачити, що динаміка кривих дуже відрізняється. За вказаний період, сальдо портфельних інвестицій Болгарії було додатнім, а Румунії – від’ємним. Порівнюючи сальдо інших інвестицій Румунії та Болгарії, можна побачити, що динаміки кривих обох країн є дзеркальним відображенням одна одної. У період 2017-2019 рр. це помітно досить добре: числові значення Болгарії зростають, а Румунії – зменшуються. Далі в Болгарії спостерігається </w:t>
      </w:r>
      <w:r w:rsidR="00184F96" w:rsidRPr="00807CE7">
        <w:rPr>
          <w:rFonts w:ascii="Times New Roman" w:hAnsi="Times New Roman" w:cs="Times New Roman"/>
          <w:sz w:val="28"/>
          <w:szCs w:val="28"/>
        </w:rPr>
        <w:t>різке</w:t>
      </w:r>
      <w:r w:rsidRPr="00807CE7">
        <w:rPr>
          <w:rFonts w:ascii="Times New Roman" w:hAnsi="Times New Roman" w:cs="Times New Roman"/>
          <w:sz w:val="28"/>
          <w:szCs w:val="28"/>
        </w:rPr>
        <w:t xml:space="preserve"> падіння показника, а в Румунії навпаки – можна помітити ріст. Однак вже в 2020 році в останній країні </w:t>
      </w:r>
      <w:r w:rsidR="00184F96" w:rsidRPr="00807CE7">
        <w:rPr>
          <w:rFonts w:ascii="Times New Roman" w:hAnsi="Times New Roman" w:cs="Times New Roman"/>
          <w:sz w:val="28"/>
          <w:szCs w:val="28"/>
        </w:rPr>
        <w:t>помітне</w:t>
      </w:r>
      <w:r w:rsidRPr="00807CE7">
        <w:rPr>
          <w:rFonts w:ascii="Times New Roman" w:hAnsi="Times New Roman" w:cs="Times New Roman"/>
          <w:sz w:val="28"/>
          <w:szCs w:val="28"/>
        </w:rPr>
        <w:t xml:space="preserve"> </w:t>
      </w:r>
      <w:r w:rsidR="00184F96" w:rsidRPr="00807CE7">
        <w:rPr>
          <w:rFonts w:ascii="Times New Roman" w:hAnsi="Times New Roman" w:cs="Times New Roman"/>
          <w:sz w:val="28"/>
          <w:szCs w:val="28"/>
        </w:rPr>
        <w:t>різке</w:t>
      </w:r>
      <w:r w:rsidRPr="00807CE7">
        <w:rPr>
          <w:rFonts w:ascii="Times New Roman" w:hAnsi="Times New Roman" w:cs="Times New Roman"/>
          <w:sz w:val="28"/>
          <w:szCs w:val="28"/>
        </w:rPr>
        <w:t xml:space="preserve"> </w:t>
      </w:r>
      <w:r w:rsidR="00184F96" w:rsidRPr="00807CE7">
        <w:rPr>
          <w:rFonts w:ascii="Times New Roman" w:hAnsi="Times New Roman" w:cs="Times New Roman"/>
          <w:sz w:val="28"/>
          <w:szCs w:val="28"/>
        </w:rPr>
        <w:t>падіння.</w:t>
      </w:r>
    </w:p>
    <w:p w14:paraId="5049A4B1" w14:textId="0C10F209" w:rsidR="00BD1974" w:rsidRPr="00807CE7" w:rsidRDefault="00A202A5" w:rsidP="00106AA9">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Отже, можна зробити висновок, що за вказаний період фінансовий рахунок Румунії був від’ємним, а Болгарії – додатнім. Після аналізу резервних активів двох країн, можна побачити, що у період 2017-2019 рр. криві є дзеркальним відображенням одна одної, а вже починаючи з 2019 року </w:t>
      </w:r>
      <w:r w:rsidRPr="00807CE7">
        <w:rPr>
          <w:rFonts w:ascii="Times New Roman" w:hAnsi="Times New Roman" w:cs="Times New Roman"/>
          <w:sz w:val="28"/>
          <w:szCs w:val="28"/>
        </w:rPr>
        <w:lastRenderedPageBreak/>
        <w:t>ситуація змінилася: показники резервних активів обох країн майже відповідають один одному.</w:t>
      </w:r>
    </w:p>
    <w:p w14:paraId="144EFD2D" w14:textId="012208E2" w:rsidR="00A202A5" w:rsidRPr="00807CE7" w:rsidRDefault="003D0BFB" w:rsidP="00C6583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Щодо </w:t>
      </w:r>
      <w:r w:rsidR="00F305E3" w:rsidRPr="00807CE7">
        <w:rPr>
          <w:rFonts w:ascii="Times New Roman" w:hAnsi="Times New Roman" w:cs="Times New Roman"/>
          <w:sz w:val="28"/>
          <w:szCs w:val="28"/>
        </w:rPr>
        <w:t>результатів з операцій Carry Trade</w:t>
      </w:r>
      <w:r w:rsidRPr="00807CE7">
        <w:rPr>
          <w:rFonts w:ascii="Times New Roman" w:hAnsi="Times New Roman" w:cs="Times New Roman"/>
          <w:sz w:val="28"/>
          <w:szCs w:val="28"/>
        </w:rPr>
        <w:t xml:space="preserve">, </w:t>
      </w:r>
      <w:r w:rsidR="00F305E3" w:rsidRPr="00807CE7">
        <w:rPr>
          <w:rFonts w:ascii="Times New Roman" w:hAnsi="Times New Roman" w:cs="Times New Roman"/>
          <w:sz w:val="28"/>
          <w:szCs w:val="28"/>
        </w:rPr>
        <w:t>то</w:t>
      </w:r>
      <w:r w:rsidR="00C65836" w:rsidRPr="00807CE7">
        <w:rPr>
          <w:rFonts w:ascii="Times New Roman" w:hAnsi="Times New Roman" w:cs="Times New Roman"/>
          <w:sz w:val="28"/>
          <w:szCs w:val="28"/>
        </w:rPr>
        <w:t xml:space="preserve"> за результатами проведених розрахунків бачимо, що в даному випадку найбільш високу дохідність при здійсненні операції carry trade мають українські цінні папери, це сталося насамперед завдяки сприятливим валютному курсу та відсотковій ставці. Українські державні облігації були б привабливими для румунських та болгарських інвесторів. </w:t>
      </w:r>
    </w:p>
    <w:p w14:paraId="2955127D" w14:textId="6FD51A54" w:rsidR="00665AF7" w:rsidRPr="00807CE7" w:rsidRDefault="00665AF7" w:rsidP="00184F96">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Результати аналізу регресійної моделі Болгарії: було виявлено, який із факторів впливає на змінну найбільше – інфляція має найбільший вплив. Це означає, якщо інфляція зміниться на 1 стандартне відхилення, торговий баланс також збільшиться на 590,8. Не менш впливовим є показник валютного курсу Болгарії. Щодо Румунії, то інфляція має найбільший вплив. Це означає, якщо інфляція зміниться на 1 стандартне відхилення, торговий баланс також збільшиться на 2108,36. Не ме</w:t>
      </w:r>
      <w:r w:rsidR="00184F96" w:rsidRPr="00807CE7">
        <w:rPr>
          <w:rFonts w:ascii="Times New Roman" w:hAnsi="Times New Roman" w:cs="Times New Roman"/>
          <w:sz w:val="28"/>
          <w:szCs w:val="28"/>
        </w:rPr>
        <w:t>нш впливовим є ВВП Румунії. Він має вплив</w:t>
      </w:r>
      <w:r w:rsidRPr="00807CE7">
        <w:rPr>
          <w:rFonts w:ascii="Times New Roman" w:hAnsi="Times New Roman" w:cs="Times New Roman"/>
          <w:sz w:val="28"/>
          <w:szCs w:val="28"/>
        </w:rPr>
        <w:t xml:space="preserve"> на торговий баланс країни: якщо ВВП збільшиться на одне стандартне відхилення, торговий баланс Румунії збільшиться на 1,205 стандартних відхилень. Третій коефіцієнт в моделі – валютний курс виявився незначущим і невпливовим на </w:t>
      </w:r>
      <w:r w:rsidR="00184F96" w:rsidRPr="00807CE7">
        <w:rPr>
          <w:rFonts w:ascii="Times New Roman" w:hAnsi="Times New Roman" w:cs="Times New Roman"/>
          <w:sz w:val="28"/>
          <w:szCs w:val="28"/>
        </w:rPr>
        <w:t>торговий</w:t>
      </w:r>
      <w:r w:rsidRPr="00807CE7">
        <w:rPr>
          <w:rFonts w:ascii="Times New Roman" w:hAnsi="Times New Roman" w:cs="Times New Roman"/>
          <w:sz w:val="28"/>
          <w:szCs w:val="28"/>
        </w:rPr>
        <w:t xml:space="preserve"> баланс. </w:t>
      </w:r>
    </w:p>
    <w:p w14:paraId="0BC49A31" w14:textId="77777777" w:rsidR="00184F96" w:rsidRPr="00807CE7" w:rsidRDefault="000D37A1" w:rsidP="00106AA9">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 xml:space="preserve">Після аналізу сальдо торгівлі товарів між Болгарією та Україною й Румунією та Україною можна </w:t>
      </w:r>
      <w:r w:rsidR="00184F96" w:rsidRPr="00807CE7">
        <w:rPr>
          <w:rFonts w:ascii="Times New Roman" w:hAnsi="Times New Roman" w:cs="Times New Roman"/>
          <w:sz w:val="28"/>
          <w:szCs w:val="28"/>
        </w:rPr>
        <w:t>визначити</w:t>
      </w:r>
      <w:r w:rsidRPr="00807CE7">
        <w:rPr>
          <w:rFonts w:ascii="Times New Roman" w:hAnsi="Times New Roman" w:cs="Times New Roman"/>
          <w:sz w:val="28"/>
          <w:szCs w:val="28"/>
        </w:rPr>
        <w:t xml:space="preserve"> схожу </w:t>
      </w:r>
      <w:r w:rsidR="00184F96" w:rsidRPr="00807CE7">
        <w:rPr>
          <w:rFonts w:ascii="Times New Roman" w:hAnsi="Times New Roman" w:cs="Times New Roman"/>
          <w:sz w:val="28"/>
          <w:szCs w:val="28"/>
        </w:rPr>
        <w:t>тенденцією</w:t>
      </w:r>
      <w:r w:rsidRPr="00807CE7">
        <w:rPr>
          <w:rFonts w:ascii="Times New Roman" w:hAnsi="Times New Roman" w:cs="Times New Roman"/>
          <w:sz w:val="28"/>
          <w:szCs w:val="28"/>
        </w:rPr>
        <w:t xml:space="preserve"> між двома </w:t>
      </w:r>
      <w:r w:rsidR="00184F96" w:rsidRPr="00807CE7">
        <w:rPr>
          <w:rFonts w:ascii="Times New Roman" w:hAnsi="Times New Roman" w:cs="Times New Roman"/>
          <w:sz w:val="28"/>
          <w:szCs w:val="28"/>
        </w:rPr>
        <w:t>показниками</w:t>
      </w:r>
      <w:r w:rsidRPr="00807CE7">
        <w:rPr>
          <w:rFonts w:ascii="Times New Roman" w:hAnsi="Times New Roman" w:cs="Times New Roman"/>
          <w:sz w:val="28"/>
          <w:szCs w:val="28"/>
        </w:rPr>
        <w:t>. Обидва сальдо майже відповіда</w:t>
      </w:r>
      <w:r w:rsidR="00184F96" w:rsidRPr="00807CE7">
        <w:rPr>
          <w:rFonts w:ascii="Times New Roman" w:hAnsi="Times New Roman" w:cs="Times New Roman"/>
          <w:sz w:val="28"/>
          <w:szCs w:val="28"/>
        </w:rPr>
        <w:t>ю</w:t>
      </w:r>
      <w:r w:rsidRPr="00807CE7">
        <w:rPr>
          <w:rFonts w:ascii="Times New Roman" w:hAnsi="Times New Roman" w:cs="Times New Roman"/>
          <w:sz w:val="28"/>
          <w:szCs w:val="28"/>
        </w:rPr>
        <w:t xml:space="preserve">ть одне одному, однак сальдо торгівлі товарами між Румунією та Україною має стрімкіші зміни. сальдо торгівлі товарами з обома країнами за зазначений період є додатнім. </w:t>
      </w:r>
    </w:p>
    <w:p w14:paraId="5B377228" w14:textId="10718D27" w:rsidR="00A202A5" w:rsidRPr="00807CE7" w:rsidRDefault="00184F96" w:rsidP="00106AA9">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Слід зазначити, що з початку повномасштабної агресії Росії проти України Болгарія та Румунія постійно підтримують Україну, надаючи їй фінансову та військову допомогу.</w:t>
      </w:r>
    </w:p>
    <w:p w14:paraId="23687079" w14:textId="77777777" w:rsidR="00184F96" w:rsidRPr="00807CE7" w:rsidRDefault="00184F96" w:rsidP="00106AA9">
      <w:pPr>
        <w:spacing w:line="360" w:lineRule="auto"/>
        <w:ind w:firstLine="709"/>
        <w:jc w:val="both"/>
        <w:rPr>
          <w:rFonts w:ascii="Times New Roman" w:hAnsi="Times New Roman" w:cs="Times New Roman"/>
          <w:sz w:val="28"/>
          <w:szCs w:val="28"/>
        </w:rPr>
      </w:pPr>
    </w:p>
    <w:p w14:paraId="3B4EA72D" w14:textId="082C1026" w:rsidR="004D1779" w:rsidRPr="00807CE7" w:rsidRDefault="004D1779" w:rsidP="00106AA9">
      <w:pPr>
        <w:spacing w:line="360" w:lineRule="auto"/>
        <w:ind w:firstLine="709"/>
        <w:jc w:val="both"/>
        <w:rPr>
          <w:rFonts w:ascii="Times New Roman" w:hAnsi="Times New Roman" w:cs="Times New Roman"/>
          <w:sz w:val="28"/>
          <w:szCs w:val="28"/>
        </w:rPr>
      </w:pPr>
    </w:p>
    <w:p w14:paraId="1D743821" w14:textId="77777777" w:rsidR="004D1779" w:rsidRPr="00807CE7" w:rsidRDefault="004D1779">
      <w:pPr>
        <w:rPr>
          <w:rFonts w:ascii="Times New Roman" w:hAnsi="Times New Roman" w:cs="Times New Roman"/>
          <w:sz w:val="28"/>
          <w:szCs w:val="28"/>
        </w:rPr>
      </w:pPr>
      <w:r w:rsidRPr="00807CE7">
        <w:rPr>
          <w:rFonts w:ascii="Times New Roman" w:hAnsi="Times New Roman" w:cs="Times New Roman"/>
          <w:sz w:val="28"/>
          <w:szCs w:val="28"/>
        </w:rPr>
        <w:br w:type="page"/>
      </w:r>
    </w:p>
    <w:p w14:paraId="1663A7E1" w14:textId="23A00BD9" w:rsidR="004D1779" w:rsidRPr="00807CE7" w:rsidRDefault="004D1779" w:rsidP="00184F96">
      <w:pPr>
        <w:spacing w:line="360" w:lineRule="auto"/>
        <w:jc w:val="center"/>
        <w:rPr>
          <w:rFonts w:ascii="Times New Roman" w:hAnsi="Times New Roman" w:cs="Times New Roman"/>
          <w:b/>
          <w:bCs/>
          <w:sz w:val="28"/>
          <w:szCs w:val="28"/>
        </w:rPr>
      </w:pPr>
      <w:r w:rsidRPr="00807CE7">
        <w:rPr>
          <w:rFonts w:ascii="Times New Roman" w:hAnsi="Times New Roman" w:cs="Times New Roman"/>
          <w:b/>
          <w:bCs/>
          <w:sz w:val="28"/>
          <w:szCs w:val="28"/>
        </w:rPr>
        <w:lastRenderedPageBreak/>
        <w:t>СПИСОК ВИКОРИСТАНИХ ДЖЕРЕЛ</w:t>
      </w:r>
    </w:p>
    <w:p w14:paraId="0A215AE5" w14:textId="77777777" w:rsidR="004D1779" w:rsidRPr="00807CE7" w:rsidRDefault="004D1779" w:rsidP="00106AA9">
      <w:pPr>
        <w:spacing w:line="360" w:lineRule="auto"/>
        <w:ind w:firstLine="709"/>
        <w:jc w:val="both"/>
        <w:rPr>
          <w:rFonts w:ascii="Times New Roman" w:hAnsi="Times New Roman" w:cs="Times New Roman"/>
          <w:sz w:val="28"/>
          <w:szCs w:val="28"/>
        </w:rPr>
      </w:pPr>
    </w:p>
    <w:p w14:paraId="318E179C" w14:textId="66F2092C" w:rsidR="004D1779" w:rsidRPr="00807CE7" w:rsidRDefault="00F65641"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Румунія: зростання дефіцит</w:t>
      </w:r>
      <w:r w:rsidR="00F35EA2" w:rsidRPr="00807CE7">
        <w:rPr>
          <w:rFonts w:ascii="Times New Roman" w:hAnsi="Times New Roman" w:cs="Times New Roman"/>
          <w:sz w:val="28"/>
          <w:szCs w:val="28"/>
        </w:rPr>
        <w:t>у поточного рахунку у 2022 році</w:t>
      </w:r>
      <w:r w:rsidRPr="00807CE7">
        <w:rPr>
          <w:rFonts w:ascii="Times New Roman" w:hAnsi="Times New Roman" w:cs="Times New Roman"/>
          <w:sz w:val="28"/>
          <w:szCs w:val="28"/>
        </w:rPr>
        <w:t xml:space="preserve">, 2022. </w:t>
      </w:r>
      <w:r w:rsidR="00DB6629" w:rsidRPr="00807CE7">
        <w:rPr>
          <w:rFonts w:ascii="Times New Roman" w:hAnsi="Times New Roman" w:cs="Times New Roman"/>
          <w:sz w:val="28"/>
          <w:szCs w:val="28"/>
        </w:rPr>
        <w:t>THE ECONOMIC RESEARCH PORTAL «BNP Pari</w:t>
      </w:r>
      <w:r w:rsidR="00804676" w:rsidRPr="00807CE7">
        <w:rPr>
          <w:rFonts w:ascii="Times New Roman" w:hAnsi="Times New Roman" w:cs="Times New Roman"/>
          <w:sz w:val="28"/>
          <w:szCs w:val="28"/>
        </w:rPr>
        <w:t xml:space="preserve">bas». </w:t>
      </w:r>
      <w:r w:rsidRPr="00807CE7">
        <w:rPr>
          <w:rFonts w:ascii="Times New Roman" w:hAnsi="Times New Roman" w:cs="Times New Roman"/>
          <w:sz w:val="28"/>
          <w:szCs w:val="28"/>
        </w:rPr>
        <w:t>[</w:t>
      </w:r>
      <w:r w:rsidR="00184F96" w:rsidRPr="00807CE7">
        <w:rPr>
          <w:rFonts w:ascii="Times New Roman" w:hAnsi="Times New Roman" w:cs="Times New Roman"/>
          <w:sz w:val="28"/>
          <w:szCs w:val="28"/>
        </w:rPr>
        <w:t>Електронний</w:t>
      </w:r>
      <w:r w:rsidRPr="00807CE7">
        <w:rPr>
          <w:rFonts w:ascii="Times New Roman" w:hAnsi="Times New Roman" w:cs="Times New Roman"/>
          <w:sz w:val="28"/>
          <w:szCs w:val="28"/>
        </w:rPr>
        <w:t xml:space="preserve"> ресурс]. – Режим доступу:</w:t>
      </w:r>
    </w:p>
    <w:p w14:paraId="144A958A" w14:textId="1B8B9C6E" w:rsidR="008453AA" w:rsidRPr="00807CE7" w:rsidRDefault="00483B2B" w:rsidP="00D32FB5">
      <w:pPr>
        <w:pStyle w:val="a3"/>
        <w:spacing w:line="348" w:lineRule="auto"/>
        <w:ind w:left="360"/>
        <w:jc w:val="both"/>
        <w:rPr>
          <w:rFonts w:ascii="Times New Roman" w:hAnsi="Times New Roman" w:cs="Times New Roman"/>
          <w:sz w:val="28"/>
          <w:szCs w:val="28"/>
        </w:rPr>
      </w:pPr>
      <w:hyperlink r:id="rId24" w:history="1">
        <w:r w:rsidR="00DB6629" w:rsidRPr="00807CE7">
          <w:rPr>
            <w:rStyle w:val="a5"/>
            <w:rFonts w:ascii="Times New Roman" w:hAnsi="Times New Roman" w:cs="Times New Roman"/>
            <w:sz w:val="28"/>
            <w:szCs w:val="28"/>
          </w:rPr>
          <w:t>https://economic-research.bnpparibas.com/html/en-US/Romania-widening-current-account-deficit-2022-11/15/2022,47945</w:t>
        </w:r>
      </w:hyperlink>
    </w:p>
    <w:p w14:paraId="1514E285" w14:textId="5F0A1E1B" w:rsidR="008453AA" w:rsidRPr="00807CE7" w:rsidRDefault="00AC6124"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Баланс рахунку поточних операцій Румунії</w:t>
      </w:r>
      <w:r w:rsidR="00F65641" w:rsidRPr="00807CE7">
        <w:rPr>
          <w:rFonts w:ascii="Times New Roman" w:hAnsi="Times New Roman" w:cs="Times New Roman"/>
          <w:sz w:val="28"/>
          <w:szCs w:val="28"/>
        </w:rPr>
        <w:t>, 20</w:t>
      </w:r>
      <w:r w:rsidRPr="00807CE7">
        <w:rPr>
          <w:rFonts w:ascii="Times New Roman" w:hAnsi="Times New Roman" w:cs="Times New Roman"/>
          <w:sz w:val="28"/>
          <w:szCs w:val="28"/>
        </w:rPr>
        <w:t>22</w:t>
      </w:r>
      <w:r w:rsidR="00F65641" w:rsidRPr="00807CE7">
        <w:rPr>
          <w:rFonts w:ascii="Times New Roman" w:hAnsi="Times New Roman" w:cs="Times New Roman"/>
          <w:sz w:val="28"/>
          <w:szCs w:val="28"/>
        </w:rPr>
        <w:t xml:space="preserve">. </w:t>
      </w:r>
      <w:r w:rsidRPr="00807CE7">
        <w:rPr>
          <w:rFonts w:ascii="Times New Roman" w:hAnsi="Times New Roman" w:cs="Times New Roman"/>
          <w:sz w:val="28"/>
          <w:szCs w:val="28"/>
        </w:rPr>
        <w:t xml:space="preserve">IMF, eLIBRARY </w:t>
      </w:r>
      <w:r w:rsidR="00F65641" w:rsidRPr="00807CE7">
        <w:rPr>
          <w:rFonts w:ascii="Times New Roman" w:hAnsi="Times New Roman" w:cs="Times New Roman"/>
          <w:sz w:val="28"/>
          <w:szCs w:val="28"/>
        </w:rPr>
        <w:t>[</w:t>
      </w:r>
      <w:r w:rsidR="00184F96" w:rsidRPr="00807CE7">
        <w:rPr>
          <w:rFonts w:ascii="Times New Roman" w:hAnsi="Times New Roman" w:cs="Times New Roman"/>
          <w:sz w:val="28"/>
          <w:szCs w:val="28"/>
        </w:rPr>
        <w:t>Електронний</w:t>
      </w:r>
      <w:r w:rsidR="00F65641" w:rsidRPr="00807CE7">
        <w:rPr>
          <w:rFonts w:ascii="Times New Roman" w:hAnsi="Times New Roman" w:cs="Times New Roman"/>
          <w:sz w:val="28"/>
          <w:szCs w:val="28"/>
        </w:rPr>
        <w:t xml:space="preserve"> ресурс]. – Режим доступу:</w:t>
      </w:r>
    </w:p>
    <w:p w14:paraId="71135E6E" w14:textId="271F330F" w:rsidR="008453AA" w:rsidRPr="00807CE7" w:rsidRDefault="00483B2B" w:rsidP="00D32FB5">
      <w:pPr>
        <w:pStyle w:val="a3"/>
        <w:spacing w:line="348" w:lineRule="auto"/>
        <w:ind w:left="360"/>
        <w:jc w:val="both"/>
        <w:rPr>
          <w:rFonts w:ascii="Times New Roman" w:hAnsi="Times New Roman" w:cs="Times New Roman"/>
          <w:sz w:val="28"/>
          <w:szCs w:val="28"/>
        </w:rPr>
      </w:pPr>
      <w:hyperlink r:id="rId25" w:history="1">
        <w:r w:rsidR="0010511F" w:rsidRPr="00807CE7">
          <w:rPr>
            <w:rStyle w:val="a5"/>
            <w:rFonts w:ascii="Times New Roman" w:hAnsi="Times New Roman" w:cs="Times New Roman"/>
            <w:sz w:val="28"/>
            <w:szCs w:val="28"/>
          </w:rPr>
          <w:t>https://www.imf.org/-/media/Files/Publications/CR/2022/English/1ROUEA2022004.ashx</w:t>
        </w:r>
      </w:hyperlink>
    </w:p>
    <w:p w14:paraId="0BA0D8E0" w14:textId="1CC9B5C7" w:rsidR="008453AA" w:rsidRPr="00807CE7" w:rsidRDefault="004C183C"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Дефіцити поточного рахунку та наслідки для румунської економіки</w:t>
      </w:r>
      <w:r w:rsidR="00F65641" w:rsidRPr="00807CE7">
        <w:rPr>
          <w:rFonts w:ascii="Times New Roman" w:hAnsi="Times New Roman" w:cs="Times New Roman"/>
          <w:sz w:val="28"/>
          <w:szCs w:val="28"/>
        </w:rPr>
        <w:t>, 20</w:t>
      </w:r>
      <w:r w:rsidRPr="00807CE7">
        <w:rPr>
          <w:rFonts w:ascii="Times New Roman" w:hAnsi="Times New Roman" w:cs="Times New Roman"/>
          <w:sz w:val="28"/>
          <w:szCs w:val="28"/>
        </w:rPr>
        <w:t>20</w:t>
      </w:r>
      <w:r w:rsidR="00F65641" w:rsidRPr="00807CE7">
        <w:rPr>
          <w:rFonts w:ascii="Times New Roman" w:hAnsi="Times New Roman" w:cs="Times New Roman"/>
          <w:sz w:val="28"/>
          <w:szCs w:val="28"/>
        </w:rPr>
        <w:t xml:space="preserve">. </w:t>
      </w:r>
      <w:r w:rsidR="00F221F8" w:rsidRPr="00807CE7">
        <w:rPr>
          <w:rFonts w:ascii="Times New Roman" w:hAnsi="Times New Roman" w:cs="Times New Roman"/>
          <w:sz w:val="28"/>
          <w:szCs w:val="28"/>
        </w:rPr>
        <w:t xml:space="preserve">Research gate. </w:t>
      </w:r>
      <w:r w:rsidR="00F65641" w:rsidRPr="00807CE7">
        <w:rPr>
          <w:rFonts w:ascii="Times New Roman" w:hAnsi="Times New Roman" w:cs="Times New Roman"/>
          <w:sz w:val="28"/>
          <w:szCs w:val="28"/>
        </w:rPr>
        <w:t>[</w:t>
      </w:r>
      <w:r w:rsidR="00184F96" w:rsidRPr="00807CE7">
        <w:rPr>
          <w:rFonts w:ascii="Times New Roman" w:hAnsi="Times New Roman" w:cs="Times New Roman"/>
          <w:sz w:val="28"/>
          <w:szCs w:val="28"/>
        </w:rPr>
        <w:t>Електронний</w:t>
      </w:r>
      <w:r w:rsidR="00F65641" w:rsidRPr="00807CE7">
        <w:rPr>
          <w:rFonts w:ascii="Times New Roman" w:hAnsi="Times New Roman" w:cs="Times New Roman"/>
          <w:sz w:val="28"/>
          <w:szCs w:val="28"/>
        </w:rPr>
        <w:t xml:space="preserve"> ресурс]. – Режим доступу:</w:t>
      </w:r>
    </w:p>
    <w:p w14:paraId="021CB607" w14:textId="77777777" w:rsidR="00F35EA2" w:rsidRPr="00807CE7" w:rsidRDefault="00483B2B" w:rsidP="00D32FB5">
      <w:pPr>
        <w:pStyle w:val="a3"/>
        <w:spacing w:line="348" w:lineRule="auto"/>
        <w:ind w:left="360"/>
        <w:jc w:val="both"/>
        <w:rPr>
          <w:rStyle w:val="a5"/>
          <w:rFonts w:ascii="Times New Roman" w:hAnsi="Times New Roman" w:cs="Times New Roman"/>
          <w:sz w:val="28"/>
          <w:szCs w:val="28"/>
        </w:rPr>
      </w:pPr>
      <w:hyperlink r:id="rId26" w:history="1">
        <w:r w:rsidR="004C183C" w:rsidRPr="00807CE7">
          <w:rPr>
            <w:rStyle w:val="a5"/>
            <w:rFonts w:ascii="Times New Roman" w:hAnsi="Times New Roman" w:cs="Times New Roman"/>
            <w:sz w:val="28"/>
            <w:szCs w:val="28"/>
          </w:rPr>
          <w:t>https://www.researchgate.net/publication/343702232_Current_account_deficits_and_implications_on_Romanian_economy</w:t>
        </w:r>
      </w:hyperlink>
    </w:p>
    <w:p w14:paraId="25634DD0" w14:textId="0E2C051E" w:rsidR="008453AA" w:rsidRPr="00807CE7" w:rsidRDefault="00F35EA2"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Можливості зовнішньої торгівлі ЄС з країнами Азії: випадок Болгарії, Чеської Республіки та Словенської Республіки з Китаєм, Індією та Японією, 2020. SSRN ́s eLibrary [Електронний ресурс]. – Режим доступу</w:t>
      </w:r>
      <w:r w:rsidRPr="00807CE7">
        <w:t xml:space="preserve">: </w:t>
      </w:r>
      <w:hyperlink r:id="rId27" w:history="1">
        <w:r w:rsidR="006559B8" w:rsidRPr="00807CE7">
          <w:rPr>
            <w:rStyle w:val="a5"/>
            <w:rFonts w:ascii="Times New Roman" w:hAnsi="Times New Roman" w:cs="Times New Roman"/>
            <w:sz w:val="28"/>
            <w:szCs w:val="28"/>
          </w:rPr>
          <w:t>https://papers.ssrn.com/sol3/papers.cfm?abstract_id=3757003</w:t>
        </w:r>
      </w:hyperlink>
    </w:p>
    <w:p w14:paraId="1B86E232" w14:textId="4D793A83" w:rsidR="008453AA" w:rsidRPr="00807CE7" w:rsidRDefault="00B76AA0"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Болгарія: 2022 Стаття IV Консультації - Прес-реліз; та Звіт персоналу для Болгарії</w:t>
      </w:r>
      <w:r w:rsidR="00F65641" w:rsidRPr="00807CE7">
        <w:rPr>
          <w:rFonts w:ascii="Times New Roman" w:hAnsi="Times New Roman" w:cs="Times New Roman"/>
          <w:sz w:val="28"/>
          <w:szCs w:val="28"/>
        </w:rPr>
        <w:t>, 20</w:t>
      </w:r>
      <w:r w:rsidRPr="00807CE7">
        <w:rPr>
          <w:rFonts w:ascii="Times New Roman" w:hAnsi="Times New Roman" w:cs="Times New Roman"/>
          <w:sz w:val="28"/>
          <w:szCs w:val="28"/>
        </w:rPr>
        <w:t>22</w:t>
      </w:r>
      <w:r w:rsidR="00F65641" w:rsidRPr="00807CE7">
        <w:rPr>
          <w:rFonts w:ascii="Times New Roman" w:hAnsi="Times New Roman" w:cs="Times New Roman"/>
          <w:sz w:val="28"/>
          <w:szCs w:val="28"/>
        </w:rPr>
        <w:t xml:space="preserve">. </w:t>
      </w:r>
      <w:r w:rsidRPr="00807CE7">
        <w:rPr>
          <w:rFonts w:ascii="Times New Roman" w:hAnsi="Times New Roman" w:cs="Times New Roman"/>
          <w:sz w:val="28"/>
          <w:szCs w:val="28"/>
        </w:rPr>
        <w:t xml:space="preserve">IMF, eLIBRARY </w:t>
      </w:r>
      <w:r w:rsidR="00F65641" w:rsidRPr="00807CE7">
        <w:rPr>
          <w:rFonts w:ascii="Times New Roman" w:hAnsi="Times New Roman" w:cs="Times New Roman"/>
          <w:sz w:val="28"/>
          <w:szCs w:val="28"/>
        </w:rPr>
        <w:t>[</w:t>
      </w:r>
      <w:r w:rsidR="00184F96" w:rsidRPr="00807CE7">
        <w:rPr>
          <w:rFonts w:ascii="Times New Roman" w:hAnsi="Times New Roman" w:cs="Times New Roman"/>
          <w:sz w:val="28"/>
          <w:szCs w:val="28"/>
        </w:rPr>
        <w:t>Електронний</w:t>
      </w:r>
      <w:r w:rsidR="00F65641" w:rsidRPr="00807CE7">
        <w:rPr>
          <w:rFonts w:ascii="Times New Roman" w:hAnsi="Times New Roman" w:cs="Times New Roman"/>
          <w:sz w:val="28"/>
          <w:szCs w:val="28"/>
        </w:rPr>
        <w:t xml:space="preserve"> ресурс]. – Режим доступу:</w:t>
      </w:r>
    </w:p>
    <w:p w14:paraId="378D65E7" w14:textId="641CFB9F" w:rsidR="008453AA" w:rsidRPr="00807CE7" w:rsidRDefault="00483B2B" w:rsidP="00D32FB5">
      <w:pPr>
        <w:pStyle w:val="a3"/>
        <w:spacing w:line="348" w:lineRule="auto"/>
        <w:ind w:left="360"/>
        <w:jc w:val="both"/>
        <w:rPr>
          <w:rFonts w:ascii="Times New Roman" w:hAnsi="Times New Roman" w:cs="Times New Roman"/>
          <w:sz w:val="28"/>
          <w:szCs w:val="28"/>
        </w:rPr>
      </w:pPr>
      <w:hyperlink r:id="rId28" w:history="1">
        <w:r w:rsidR="00B76AA0" w:rsidRPr="00807CE7">
          <w:rPr>
            <w:rStyle w:val="a5"/>
            <w:rFonts w:ascii="Times New Roman" w:hAnsi="Times New Roman" w:cs="Times New Roman"/>
            <w:sz w:val="28"/>
            <w:szCs w:val="28"/>
          </w:rPr>
          <w:t>https://www.imf.org/en/Publications/CR/Issues/2022/06/24/Bulgaria-Article-IV-Consultation-Press-Release-and-Staff-Report-for-Bulgaria-519932</w:t>
        </w:r>
      </w:hyperlink>
    </w:p>
    <w:p w14:paraId="65005CA1" w14:textId="409BE3E3" w:rsidR="008453AA" w:rsidRPr="00807CE7" w:rsidRDefault="004C2037"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Прямі іноземні інвестиції та економічне зростання: Приклад Болгарії, 2016. SSRN ́s eLibrary [</w:t>
      </w:r>
      <w:r w:rsidR="00184F96" w:rsidRPr="00807CE7">
        <w:rPr>
          <w:rFonts w:ascii="Times New Roman" w:hAnsi="Times New Roman" w:cs="Times New Roman"/>
          <w:sz w:val="28"/>
          <w:szCs w:val="28"/>
        </w:rPr>
        <w:t>Електронний</w:t>
      </w:r>
      <w:r w:rsidRPr="00807CE7">
        <w:rPr>
          <w:rFonts w:ascii="Times New Roman" w:hAnsi="Times New Roman" w:cs="Times New Roman"/>
          <w:sz w:val="28"/>
          <w:szCs w:val="28"/>
        </w:rPr>
        <w:t xml:space="preserve"> ресурс]. – Режим доступу:</w:t>
      </w:r>
    </w:p>
    <w:p w14:paraId="374D31D6" w14:textId="7534440E" w:rsidR="008453AA" w:rsidRPr="00807CE7" w:rsidRDefault="00483B2B" w:rsidP="00D32FB5">
      <w:pPr>
        <w:pStyle w:val="a3"/>
        <w:spacing w:line="348" w:lineRule="auto"/>
        <w:ind w:left="360"/>
        <w:jc w:val="both"/>
        <w:rPr>
          <w:rFonts w:ascii="Times New Roman" w:hAnsi="Times New Roman" w:cs="Times New Roman"/>
          <w:sz w:val="28"/>
          <w:szCs w:val="28"/>
        </w:rPr>
      </w:pPr>
      <w:hyperlink r:id="rId29" w:history="1">
        <w:r w:rsidR="004C2037" w:rsidRPr="00807CE7">
          <w:rPr>
            <w:rStyle w:val="a5"/>
            <w:rFonts w:ascii="Times New Roman" w:hAnsi="Times New Roman" w:cs="Times New Roman"/>
            <w:sz w:val="28"/>
            <w:szCs w:val="28"/>
          </w:rPr>
          <w:t>https://papers.ssrn.com/sol3/papers.cfm?abstract_id=2930934</w:t>
        </w:r>
      </w:hyperlink>
    </w:p>
    <w:p w14:paraId="19BAE4DC" w14:textId="036E01CB" w:rsidR="008453AA" w:rsidRPr="00807CE7" w:rsidRDefault="001B40FE"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Balance of Payments Analytic Presentation by country, Romania and Bulgaria, IMF</w:t>
      </w:r>
      <w:r w:rsidR="005D04D7" w:rsidRPr="00807CE7">
        <w:rPr>
          <w:rFonts w:ascii="Times New Roman" w:hAnsi="Times New Roman" w:cs="Times New Roman"/>
          <w:sz w:val="28"/>
          <w:szCs w:val="28"/>
        </w:rPr>
        <w:t>, International Financial Statistics [</w:t>
      </w:r>
      <w:r w:rsidR="00184F96" w:rsidRPr="00807CE7">
        <w:rPr>
          <w:rFonts w:ascii="Times New Roman" w:hAnsi="Times New Roman" w:cs="Times New Roman"/>
          <w:sz w:val="28"/>
          <w:szCs w:val="28"/>
        </w:rPr>
        <w:t>Електронний</w:t>
      </w:r>
      <w:r w:rsidR="005D04D7" w:rsidRPr="00807CE7">
        <w:rPr>
          <w:rFonts w:ascii="Times New Roman" w:hAnsi="Times New Roman" w:cs="Times New Roman"/>
          <w:sz w:val="28"/>
          <w:szCs w:val="28"/>
        </w:rPr>
        <w:t xml:space="preserve"> ресурс]. – Режим доступу:</w:t>
      </w:r>
    </w:p>
    <w:p w14:paraId="444F3BF6" w14:textId="2FE32AE9" w:rsidR="008453AA" w:rsidRPr="00807CE7" w:rsidRDefault="00483B2B" w:rsidP="00D32FB5">
      <w:pPr>
        <w:pStyle w:val="a3"/>
        <w:spacing w:line="348" w:lineRule="auto"/>
        <w:ind w:left="360"/>
        <w:jc w:val="both"/>
        <w:rPr>
          <w:rFonts w:ascii="Times New Roman" w:hAnsi="Times New Roman" w:cs="Times New Roman"/>
          <w:sz w:val="28"/>
          <w:szCs w:val="28"/>
        </w:rPr>
      </w:pPr>
      <w:hyperlink r:id="rId30" w:history="1">
        <w:r w:rsidR="00201CBB" w:rsidRPr="00807CE7">
          <w:rPr>
            <w:rStyle w:val="a5"/>
            <w:rFonts w:ascii="Times New Roman" w:hAnsi="Times New Roman" w:cs="Times New Roman"/>
            <w:sz w:val="28"/>
            <w:szCs w:val="28"/>
          </w:rPr>
          <w:t>https://data.imf.org/regular.aspx?key=62805742</w:t>
        </w:r>
      </w:hyperlink>
    </w:p>
    <w:p w14:paraId="03D32844" w14:textId="3A28C467" w:rsidR="008453AA" w:rsidRPr="00807CE7" w:rsidRDefault="00A13307"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lastRenderedPageBreak/>
        <w:t xml:space="preserve">The Observatory of Economic Complexity (OEC). </w:t>
      </w:r>
      <w:r w:rsidR="002759C4" w:rsidRPr="00807CE7">
        <w:rPr>
          <w:rFonts w:ascii="Times New Roman" w:hAnsi="Times New Roman" w:cs="Times New Roman"/>
          <w:sz w:val="28"/>
          <w:szCs w:val="28"/>
        </w:rPr>
        <w:t xml:space="preserve">Торгівля товарами та послугами Румунії та Болгарії </w:t>
      </w:r>
      <w:r w:rsidRPr="00807CE7">
        <w:rPr>
          <w:rFonts w:ascii="Times New Roman" w:hAnsi="Times New Roman" w:cs="Times New Roman"/>
          <w:sz w:val="28"/>
          <w:szCs w:val="28"/>
        </w:rPr>
        <w:t>[Електронний ресурс]. - Режим доступу:</w:t>
      </w:r>
    </w:p>
    <w:p w14:paraId="7BC3EC99" w14:textId="40151313" w:rsidR="008453AA" w:rsidRPr="00807CE7" w:rsidRDefault="00483B2B" w:rsidP="00D32FB5">
      <w:pPr>
        <w:pStyle w:val="a3"/>
        <w:spacing w:line="348" w:lineRule="auto"/>
        <w:ind w:left="360"/>
        <w:jc w:val="both"/>
        <w:rPr>
          <w:rFonts w:ascii="Times New Roman" w:hAnsi="Times New Roman" w:cs="Times New Roman"/>
          <w:sz w:val="28"/>
          <w:szCs w:val="28"/>
        </w:rPr>
      </w:pPr>
      <w:hyperlink r:id="rId31" w:history="1">
        <w:r w:rsidR="005D04D7" w:rsidRPr="00807CE7">
          <w:rPr>
            <w:rStyle w:val="a5"/>
            <w:rFonts w:ascii="Times New Roman" w:hAnsi="Times New Roman" w:cs="Times New Roman"/>
            <w:sz w:val="28"/>
            <w:szCs w:val="28"/>
          </w:rPr>
          <w:t>https://oec.world/en/profile/country/bgr</w:t>
        </w:r>
      </w:hyperlink>
    </w:p>
    <w:p w14:paraId="3239F88F" w14:textId="7ED42AE6" w:rsidR="008453AA" w:rsidRPr="00807CE7" w:rsidRDefault="001134B9"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The International Trade Portal «Lloyds Bank».</w:t>
      </w:r>
      <w:r w:rsidR="00B85454" w:rsidRPr="00807CE7">
        <w:t xml:space="preserve"> </w:t>
      </w:r>
      <w:r w:rsidR="00B85454" w:rsidRPr="00807CE7">
        <w:rPr>
          <w:rFonts w:ascii="Times New Roman" w:hAnsi="Times New Roman" w:cs="Times New Roman"/>
          <w:sz w:val="28"/>
          <w:szCs w:val="28"/>
        </w:rPr>
        <w:t>Foreign direct investment (FDI) in Romania</w:t>
      </w:r>
      <w:r w:rsidR="00C41FE7" w:rsidRPr="00807CE7">
        <w:rPr>
          <w:rFonts w:ascii="Times New Roman" w:hAnsi="Times New Roman" w:cs="Times New Roman"/>
          <w:sz w:val="28"/>
          <w:szCs w:val="28"/>
        </w:rPr>
        <w:t>, 2023 [Електронний ресурс]. - Режим доступу:</w:t>
      </w:r>
    </w:p>
    <w:p w14:paraId="4247C305" w14:textId="41C68D20" w:rsidR="008453AA" w:rsidRPr="00807CE7" w:rsidRDefault="00483B2B" w:rsidP="00D32FB5">
      <w:pPr>
        <w:pStyle w:val="a3"/>
        <w:spacing w:line="348" w:lineRule="auto"/>
        <w:ind w:left="360"/>
        <w:jc w:val="both"/>
        <w:rPr>
          <w:rFonts w:ascii="Times New Roman" w:hAnsi="Times New Roman" w:cs="Times New Roman"/>
          <w:sz w:val="28"/>
          <w:szCs w:val="28"/>
        </w:rPr>
      </w:pPr>
      <w:hyperlink r:id="rId32" w:anchor="haut-sticky" w:history="1">
        <w:r w:rsidR="0086423E" w:rsidRPr="00807CE7">
          <w:rPr>
            <w:rStyle w:val="a5"/>
            <w:rFonts w:ascii="Times New Roman" w:hAnsi="Times New Roman" w:cs="Times New Roman"/>
            <w:sz w:val="28"/>
            <w:szCs w:val="28"/>
          </w:rPr>
          <w:t>https://www.lloydsbanktrade.com/en/market-potential/romania/investment - haut-sticky</w:t>
        </w:r>
      </w:hyperlink>
    </w:p>
    <w:p w14:paraId="77B3DC56" w14:textId="56A77859" w:rsidR="008453AA" w:rsidRPr="00807CE7" w:rsidRDefault="00C41FE7"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The International Trade Portal «Lloyds Bank».</w:t>
      </w:r>
      <w:r w:rsidR="00B85454" w:rsidRPr="00807CE7">
        <w:t xml:space="preserve"> </w:t>
      </w:r>
      <w:r w:rsidR="00B85454" w:rsidRPr="00807CE7">
        <w:rPr>
          <w:rFonts w:ascii="Times New Roman" w:hAnsi="Times New Roman" w:cs="Times New Roman"/>
          <w:sz w:val="28"/>
          <w:szCs w:val="28"/>
        </w:rPr>
        <w:t>Foreign direct investment (FDI) in Bulgaria</w:t>
      </w:r>
      <w:r w:rsidRPr="00807CE7">
        <w:rPr>
          <w:rFonts w:ascii="Times New Roman" w:hAnsi="Times New Roman" w:cs="Times New Roman"/>
          <w:sz w:val="28"/>
          <w:szCs w:val="28"/>
        </w:rPr>
        <w:t>, 2023 [Електронний ресурс]. - Режим доступу:</w:t>
      </w:r>
    </w:p>
    <w:p w14:paraId="1466185B" w14:textId="77B0EB29" w:rsidR="008453AA" w:rsidRPr="00807CE7" w:rsidRDefault="00483B2B" w:rsidP="00D32FB5">
      <w:pPr>
        <w:pStyle w:val="a3"/>
        <w:spacing w:line="348" w:lineRule="auto"/>
        <w:ind w:left="360"/>
        <w:jc w:val="both"/>
        <w:rPr>
          <w:rFonts w:ascii="Times New Roman" w:hAnsi="Times New Roman" w:cs="Times New Roman"/>
          <w:sz w:val="28"/>
          <w:szCs w:val="28"/>
        </w:rPr>
      </w:pPr>
      <w:hyperlink r:id="rId33" w:history="1">
        <w:r w:rsidR="00C41FE7" w:rsidRPr="00807CE7">
          <w:rPr>
            <w:rStyle w:val="a5"/>
            <w:rFonts w:ascii="Times New Roman" w:hAnsi="Times New Roman" w:cs="Times New Roman"/>
            <w:sz w:val="28"/>
            <w:szCs w:val="28"/>
          </w:rPr>
          <w:t>https://www.lloydsbanktrade.com/en/market-potential/bulgaria/investment</w:t>
        </w:r>
      </w:hyperlink>
    </w:p>
    <w:p w14:paraId="2B4B6D6E" w14:textId="01C40A8D" w:rsidR="008453AA" w:rsidRPr="00807CE7" w:rsidRDefault="00C7028B"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Trade Balance</w:t>
      </w:r>
      <w:r w:rsidR="00F5292B" w:rsidRPr="00807CE7">
        <w:rPr>
          <w:rFonts w:ascii="Times New Roman" w:hAnsi="Times New Roman" w:cs="Times New Roman"/>
          <w:sz w:val="28"/>
          <w:szCs w:val="28"/>
        </w:rPr>
        <w:t>, Romania and Bulgaria, IMF, International Financial Statistics [</w:t>
      </w:r>
      <w:r w:rsidR="00184F96" w:rsidRPr="00807CE7">
        <w:rPr>
          <w:rFonts w:ascii="Times New Roman" w:hAnsi="Times New Roman" w:cs="Times New Roman"/>
          <w:sz w:val="28"/>
          <w:szCs w:val="28"/>
        </w:rPr>
        <w:t>Електронний</w:t>
      </w:r>
      <w:r w:rsidR="00F5292B" w:rsidRPr="00807CE7">
        <w:rPr>
          <w:rFonts w:ascii="Times New Roman" w:hAnsi="Times New Roman" w:cs="Times New Roman"/>
          <w:sz w:val="28"/>
          <w:szCs w:val="28"/>
        </w:rPr>
        <w:t xml:space="preserve"> ресурс]. – Режим доступу:</w:t>
      </w:r>
    </w:p>
    <w:p w14:paraId="02C9957E" w14:textId="3B0595FD" w:rsidR="008453AA" w:rsidRPr="00807CE7" w:rsidRDefault="00483B2B" w:rsidP="00D32FB5">
      <w:pPr>
        <w:pStyle w:val="a3"/>
        <w:spacing w:line="348" w:lineRule="auto"/>
        <w:ind w:left="360"/>
        <w:jc w:val="both"/>
        <w:rPr>
          <w:rFonts w:ascii="Times New Roman" w:hAnsi="Times New Roman" w:cs="Times New Roman"/>
          <w:sz w:val="28"/>
          <w:szCs w:val="28"/>
        </w:rPr>
      </w:pPr>
      <w:hyperlink r:id="rId34" w:history="1">
        <w:r w:rsidR="00C7028B" w:rsidRPr="00807CE7">
          <w:rPr>
            <w:rStyle w:val="a5"/>
            <w:rFonts w:ascii="Times New Roman" w:hAnsi="Times New Roman" w:cs="Times New Roman"/>
            <w:sz w:val="28"/>
            <w:szCs w:val="28"/>
          </w:rPr>
          <w:t>https://data.imf.org/regular.aspx?key=62805742</w:t>
        </w:r>
      </w:hyperlink>
    </w:p>
    <w:p w14:paraId="53FD2689" w14:textId="5BC66DB7" w:rsidR="008453AA" w:rsidRPr="00807CE7" w:rsidRDefault="00263386"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Інфляція, ВВП та валютний курс Румунії та Болгарії, Офіційний сайт Всесвітнього Банку [</w:t>
      </w:r>
      <w:r w:rsidR="00184F96" w:rsidRPr="00807CE7">
        <w:rPr>
          <w:rFonts w:ascii="Times New Roman" w:hAnsi="Times New Roman" w:cs="Times New Roman"/>
          <w:sz w:val="28"/>
          <w:szCs w:val="28"/>
        </w:rPr>
        <w:t>Електронний</w:t>
      </w:r>
      <w:r w:rsidRPr="00807CE7">
        <w:rPr>
          <w:rFonts w:ascii="Times New Roman" w:hAnsi="Times New Roman" w:cs="Times New Roman"/>
          <w:sz w:val="28"/>
          <w:szCs w:val="28"/>
        </w:rPr>
        <w:t xml:space="preserve"> ресурс]. – Режим доступу:</w:t>
      </w:r>
    </w:p>
    <w:p w14:paraId="126B9261" w14:textId="79A6FE08" w:rsidR="008453AA" w:rsidRPr="00807CE7" w:rsidRDefault="00483B2B" w:rsidP="00D32FB5">
      <w:pPr>
        <w:pStyle w:val="a3"/>
        <w:spacing w:line="348" w:lineRule="auto"/>
        <w:ind w:left="360"/>
        <w:jc w:val="both"/>
        <w:rPr>
          <w:rFonts w:ascii="Times New Roman" w:hAnsi="Times New Roman" w:cs="Times New Roman"/>
          <w:sz w:val="28"/>
          <w:szCs w:val="28"/>
        </w:rPr>
      </w:pPr>
      <w:hyperlink r:id="rId35" w:history="1">
        <w:r w:rsidR="00C70C63" w:rsidRPr="00807CE7">
          <w:rPr>
            <w:rStyle w:val="a5"/>
            <w:rFonts w:ascii="Times New Roman" w:hAnsi="Times New Roman" w:cs="Times New Roman"/>
            <w:sz w:val="28"/>
            <w:szCs w:val="28"/>
          </w:rPr>
          <w:t>https://data.worldbank.org/</w:t>
        </w:r>
      </w:hyperlink>
    </w:p>
    <w:p w14:paraId="50F4EC77" w14:textId="1EC4F807" w:rsidR="008453AA" w:rsidRPr="00807CE7" w:rsidRDefault="00CF798D"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Державний комітет статистики України. Географічна структура зовнішньої торгівлі України товарами [Електронний ресурс]. - Режим доступу:</w:t>
      </w:r>
    </w:p>
    <w:p w14:paraId="1C69FBE0" w14:textId="72FABD10" w:rsidR="008453AA" w:rsidRPr="00807CE7" w:rsidRDefault="00483B2B" w:rsidP="00D32FB5">
      <w:pPr>
        <w:pStyle w:val="a3"/>
        <w:spacing w:line="348" w:lineRule="auto"/>
        <w:ind w:left="360"/>
        <w:jc w:val="both"/>
        <w:rPr>
          <w:rFonts w:ascii="Times New Roman" w:hAnsi="Times New Roman" w:cs="Times New Roman"/>
          <w:sz w:val="28"/>
          <w:szCs w:val="28"/>
        </w:rPr>
      </w:pPr>
      <w:hyperlink r:id="rId36" w:history="1">
        <w:r w:rsidR="00706723" w:rsidRPr="00807CE7">
          <w:rPr>
            <w:rStyle w:val="a5"/>
            <w:rFonts w:ascii="Times New Roman" w:hAnsi="Times New Roman" w:cs="Times New Roman"/>
            <w:sz w:val="28"/>
            <w:szCs w:val="28"/>
          </w:rPr>
          <w:t>https://ukrstat.gov.ua/operativ/operativ2022/zd/ztt/arh_ztt2022.html</w:t>
        </w:r>
      </w:hyperlink>
    </w:p>
    <w:p w14:paraId="2E2006C5" w14:textId="38657E6A" w:rsidR="008453AA" w:rsidRPr="00807CE7" w:rsidRDefault="00B70164"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Bulgarian Industrial Association</w:t>
      </w:r>
      <w:r w:rsidR="001646A8" w:rsidRPr="00807CE7">
        <w:rPr>
          <w:rFonts w:ascii="Times New Roman" w:hAnsi="Times New Roman" w:cs="Times New Roman"/>
          <w:sz w:val="28"/>
          <w:szCs w:val="28"/>
        </w:rPr>
        <w:t>, торгівля товарами між Україною та Болгарією, 2023 [Електронний ресурс]. - Режим доступу:</w:t>
      </w:r>
    </w:p>
    <w:p w14:paraId="13B9F2EE" w14:textId="4F1C2911" w:rsidR="008453AA" w:rsidRPr="00807CE7" w:rsidRDefault="00483B2B" w:rsidP="00D32FB5">
      <w:pPr>
        <w:pStyle w:val="a3"/>
        <w:spacing w:line="348" w:lineRule="auto"/>
        <w:ind w:left="360"/>
        <w:jc w:val="both"/>
        <w:rPr>
          <w:rFonts w:ascii="Times New Roman" w:hAnsi="Times New Roman" w:cs="Times New Roman"/>
          <w:sz w:val="28"/>
          <w:szCs w:val="28"/>
        </w:rPr>
      </w:pPr>
      <w:hyperlink r:id="rId37" w:history="1">
        <w:r w:rsidR="00B70164" w:rsidRPr="00807CE7">
          <w:rPr>
            <w:rStyle w:val="a5"/>
            <w:rFonts w:ascii="Times New Roman" w:hAnsi="Times New Roman" w:cs="Times New Roman"/>
            <w:sz w:val="28"/>
            <w:szCs w:val="28"/>
          </w:rPr>
          <w:t>https://en.bia-bg.com/</w:t>
        </w:r>
      </w:hyperlink>
    </w:p>
    <w:p w14:paraId="7F6CCEFF" w14:textId="3DEF79DB" w:rsidR="008453AA" w:rsidRPr="00807CE7" w:rsidRDefault="0059592D"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Державний комітет статистики України. Динаміка зовнішньої торгівлі послугами за країнами світу [</w:t>
      </w:r>
      <w:r w:rsidR="00184F96" w:rsidRPr="00807CE7">
        <w:rPr>
          <w:rFonts w:ascii="Times New Roman" w:hAnsi="Times New Roman" w:cs="Times New Roman"/>
          <w:sz w:val="28"/>
          <w:szCs w:val="28"/>
        </w:rPr>
        <w:t>Електронний</w:t>
      </w:r>
      <w:r w:rsidRPr="00807CE7">
        <w:rPr>
          <w:rFonts w:ascii="Times New Roman" w:hAnsi="Times New Roman" w:cs="Times New Roman"/>
          <w:sz w:val="28"/>
          <w:szCs w:val="28"/>
        </w:rPr>
        <w:t xml:space="preserve"> ресурс]. - Режим доступу:</w:t>
      </w:r>
    </w:p>
    <w:p w14:paraId="2EDBDC8F" w14:textId="73497FE6" w:rsidR="008453AA" w:rsidRPr="00807CE7" w:rsidRDefault="00483B2B" w:rsidP="00D32FB5">
      <w:pPr>
        <w:pStyle w:val="a3"/>
        <w:spacing w:line="348" w:lineRule="auto"/>
        <w:ind w:left="360"/>
        <w:jc w:val="both"/>
        <w:rPr>
          <w:rFonts w:ascii="Times New Roman" w:hAnsi="Times New Roman" w:cs="Times New Roman"/>
          <w:sz w:val="28"/>
          <w:szCs w:val="28"/>
        </w:rPr>
      </w:pPr>
      <w:hyperlink r:id="rId38" w:history="1">
        <w:r w:rsidR="0059592D" w:rsidRPr="00807CE7">
          <w:rPr>
            <w:rStyle w:val="a5"/>
            <w:rFonts w:ascii="Times New Roman" w:hAnsi="Times New Roman" w:cs="Times New Roman"/>
            <w:sz w:val="28"/>
            <w:szCs w:val="28"/>
          </w:rPr>
          <w:t>https://ukrstat.gov.ua/operativ/menu/menu_u/zed.htm</w:t>
        </w:r>
      </w:hyperlink>
    </w:p>
    <w:p w14:paraId="4929CC9D" w14:textId="6DE5AA38" w:rsidR="008453AA" w:rsidRPr="00807CE7" w:rsidRDefault="0059592D"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Державний комітет статистики України. Прямі інвестиції (акціонерний капітал) з країн світу в економіці України [Електронний ресурс]. - Режим доступу:</w:t>
      </w:r>
    </w:p>
    <w:p w14:paraId="41720D75" w14:textId="083160DB" w:rsidR="008453AA" w:rsidRPr="00807CE7" w:rsidRDefault="00483B2B" w:rsidP="00D32FB5">
      <w:pPr>
        <w:pStyle w:val="a3"/>
        <w:spacing w:line="348" w:lineRule="auto"/>
        <w:ind w:left="360"/>
        <w:jc w:val="both"/>
        <w:rPr>
          <w:rFonts w:ascii="Times New Roman" w:hAnsi="Times New Roman" w:cs="Times New Roman"/>
          <w:sz w:val="28"/>
          <w:szCs w:val="28"/>
        </w:rPr>
      </w:pPr>
      <w:hyperlink r:id="rId39" w:history="1">
        <w:r w:rsidR="00C24AA8" w:rsidRPr="00807CE7">
          <w:rPr>
            <w:rStyle w:val="a5"/>
            <w:rFonts w:ascii="Times New Roman" w:hAnsi="Times New Roman" w:cs="Times New Roman"/>
            <w:sz w:val="28"/>
            <w:szCs w:val="28"/>
          </w:rPr>
          <w:t>https://ukrstat.gov.ua/</w:t>
        </w:r>
      </w:hyperlink>
    </w:p>
    <w:p w14:paraId="40D7B083" w14:textId="12BCF957" w:rsidR="008453AA" w:rsidRPr="00807CE7" w:rsidRDefault="00C24AA8"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Офіційний сайт Національного банку України. Прямі інвестиції в Україну: операції за країнами світу [Електронний ресурс]. - Режим доступу:</w:t>
      </w:r>
    </w:p>
    <w:p w14:paraId="0B7E1C92" w14:textId="6C4340C0" w:rsidR="008453AA" w:rsidRPr="00807CE7" w:rsidRDefault="00483B2B" w:rsidP="00D32FB5">
      <w:pPr>
        <w:pStyle w:val="a3"/>
        <w:spacing w:line="348" w:lineRule="auto"/>
        <w:ind w:left="360"/>
        <w:jc w:val="both"/>
        <w:rPr>
          <w:rFonts w:ascii="Times New Roman" w:hAnsi="Times New Roman" w:cs="Times New Roman"/>
          <w:sz w:val="28"/>
          <w:szCs w:val="28"/>
        </w:rPr>
      </w:pPr>
      <w:hyperlink r:id="rId40" w:anchor="1" w:history="1">
        <w:r w:rsidR="00C24AA8" w:rsidRPr="00807CE7">
          <w:rPr>
            <w:rStyle w:val="a5"/>
            <w:rFonts w:ascii="Times New Roman" w:hAnsi="Times New Roman" w:cs="Times New Roman"/>
            <w:sz w:val="28"/>
            <w:szCs w:val="28"/>
          </w:rPr>
          <w:t>https://bank.gov.ua/ua/statistic/sector-external - 1</w:t>
        </w:r>
      </w:hyperlink>
    </w:p>
    <w:p w14:paraId="1C8962F0" w14:textId="6B122282" w:rsidR="008453AA" w:rsidRPr="00807CE7" w:rsidRDefault="007C01DE"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Lending Rate [Електронний ресурс] // TRADING ECONOMICS. – 2022 [Електронний ресурс]. - Режим доступу:</w:t>
      </w:r>
    </w:p>
    <w:p w14:paraId="6DC2C408" w14:textId="208568C4" w:rsidR="008453AA" w:rsidRPr="00807CE7" w:rsidRDefault="00483B2B" w:rsidP="00D32FB5">
      <w:pPr>
        <w:pStyle w:val="a3"/>
        <w:spacing w:line="348" w:lineRule="auto"/>
        <w:ind w:left="360"/>
        <w:jc w:val="both"/>
        <w:rPr>
          <w:rFonts w:ascii="Times New Roman" w:hAnsi="Times New Roman" w:cs="Times New Roman"/>
          <w:sz w:val="28"/>
          <w:szCs w:val="28"/>
        </w:rPr>
      </w:pPr>
      <w:hyperlink r:id="rId41" w:history="1">
        <w:r w:rsidR="00654703" w:rsidRPr="00807CE7">
          <w:rPr>
            <w:rStyle w:val="a5"/>
            <w:rFonts w:ascii="Times New Roman" w:hAnsi="Times New Roman" w:cs="Times New Roman"/>
            <w:sz w:val="28"/>
            <w:szCs w:val="28"/>
          </w:rPr>
          <w:t>https://tradingeconomics.com/country-list/lending-rate?continent=europe</w:t>
        </w:r>
      </w:hyperlink>
    </w:p>
    <w:p w14:paraId="688C90D5" w14:textId="0F1B9FB9" w:rsidR="008453AA" w:rsidRPr="00807CE7" w:rsidRDefault="0059612B"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Xe Currency Converter [Електронний ресурс]. - Режим доступу:</w:t>
      </w:r>
    </w:p>
    <w:p w14:paraId="6007AA3E" w14:textId="4725C868" w:rsidR="008453AA" w:rsidRPr="00807CE7" w:rsidRDefault="00483B2B" w:rsidP="00D32FB5">
      <w:pPr>
        <w:pStyle w:val="a3"/>
        <w:spacing w:line="348" w:lineRule="auto"/>
        <w:ind w:left="360"/>
        <w:jc w:val="both"/>
        <w:rPr>
          <w:rFonts w:ascii="Times New Roman" w:hAnsi="Times New Roman" w:cs="Times New Roman"/>
          <w:sz w:val="28"/>
          <w:szCs w:val="28"/>
        </w:rPr>
      </w:pPr>
      <w:hyperlink r:id="rId42" w:history="1">
        <w:r w:rsidR="0059612B" w:rsidRPr="00807CE7">
          <w:rPr>
            <w:rStyle w:val="a5"/>
            <w:rFonts w:ascii="Times New Roman" w:hAnsi="Times New Roman" w:cs="Times New Roman"/>
            <w:sz w:val="28"/>
            <w:szCs w:val="28"/>
          </w:rPr>
          <w:t>https://www.xe.com/currencycharts/?from=DKK&amp;to=UAH&amp;view=2Y</w:t>
        </w:r>
      </w:hyperlink>
    </w:p>
    <w:p w14:paraId="2362A8A9" w14:textId="0C1A5224" w:rsidR="008453AA" w:rsidRPr="00807CE7" w:rsidRDefault="00F90055" w:rsidP="00D32FB5">
      <w:pPr>
        <w:pStyle w:val="a3"/>
        <w:numPr>
          <w:ilvl w:val="0"/>
          <w:numId w:val="11"/>
        </w:numPr>
        <w:spacing w:line="348" w:lineRule="auto"/>
        <w:ind w:left="360"/>
        <w:jc w:val="both"/>
        <w:rPr>
          <w:rFonts w:ascii="Times New Roman" w:hAnsi="Times New Roman" w:cs="Times New Roman"/>
          <w:sz w:val="28"/>
          <w:szCs w:val="28"/>
        </w:rPr>
      </w:pPr>
      <w:r w:rsidRPr="00807CE7">
        <w:rPr>
          <w:rFonts w:ascii="Times New Roman" w:hAnsi="Times New Roman" w:cs="Times New Roman"/>
          <w:sz w:val="28"/>
          <w:szCs w:val="28"/>
        </w:rPr>
        <w:t>Government Bonds [Електронний ресурс] // Investing.com [Електронний ресурс]. - Режим доступу:</w:t>
      </w:r>
    </w:p>
    <w:p w14:paraId="38FC0A90" w14:textId="2650E69C" w:rsidR="008453AA" w:rsidRPr="00807CE7" w:rsidRDefault="00483B2B" w:rsidP="00D32FB5">
      <w:pPr>
        <w:pStyle w:val="a3"/>
        <w:spacing w:line="348" w:lineRule="auto"/>
        <w:ind w:left="360"/>
        <w:jc w:val="both"/>
        <w:rPr>
          <w:rStyle w:val="a5"/>
          <w:rFonts w:ascii="Times New Roman" w:hAnsi="Times New Roman" w:cs="Times New Roman"/>
          <w:sz w:val="28"/>
          <w:szCs w:val="28"/>
        </w:rPr>
      </w:pPr>
      <w:hyperlink r:id="rId43" w:history="1">
        <w:r w:rsidR="00F90055" w:rsidRPr="00807CE7">
          <w:rPr>
            <w:rStyle w:val="a5"/>
            <w:rFonts w:ascii="Times New Roman" w:hAnsi="Times New Roman" w:cs="Times New Roman"/>
            <w:sz w:val="28"/>
            <w:szCs w:val="28"/>
          </w:rPr>
          <w:t>https://www.investing.com/rates-bonds/bulgaria-government-bonds?maturity_from=10&amp;maturity_to=100</w:t>
        </w:r>
      </w:hyperlink>
    </w:p>
    <w:p w14:paraId="71E3B7AC" w14:textId="7B38C3C6"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Bulgaria</w:t>
      </w:r>
      <w:r w:rsidR="007B6C88" w:rsidRPr="007B6C88">
        <w:rPr>
          <w:rFonts w:ascii="Times New Roman" w:eastAsia="Calibri" w:hAnsi="Times New Roman" w:cs="Times New Roman"/>
          <w:sz w:val="28"/>
          <w:szCs w:val="28"/>
        </w:rPr>
        <w:t xml:space="preserve">, BOP Analytic Presentation and International Investment Position. International Monetary Fund. - [Електронний ресурс]. – Режим доступу: </w:t>
      </w:r>
      <w:hyperlink r:id="rId44"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480A2570" w14:textId="6F12F1F0"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Romania</w:t>
      </w:r>
      <w:r w:rsidR="007B6C88" w:rsidRPr="007B6C88">
        <w:rPr>
          <w:rFonts w:ascii="Times New Roman" w:eastAsia="Calibri" w:hAnsi="Times New Roman" w:cs="Times New Roman"/>
          <w:sz w:val="28"/>
          <w:szCs w:val="28"/>
        </w:rPr>
        <w:t xml:space="preserve">, BOP Analytic Presentation and International Investment Position. International Monetary Fund. - [Електронний ресурс]. – Режим доступу: </w:t>
      </w:r>
      <w:hyperlink r:id="rId45"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484B1F5D" w14:textId="748E367E"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Bulgaria</w:t>
      </w:r>
      <w:r w:rsidR="007B6C88" w:rsidRPr="007B6C88">
        <w:rPr>
          <w:rFonts w:ascii="Times New Roman" w:eastAsia="Calibri" w:hAnsi="Times New Roman" w:cs="Times New Roman"/>
          <w:sz w:val="28"/>
          <w:szCs w:val="28"/>
        </w:rPr>
        <w:t xml:space="preserve">, Current Account. International Monetary Fund. - [Електронний ресурс]. – Режим доступу: </w:t>
      </w:r>
      <w:hyperlink r:id="rId46"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04FF1F49" w14:textId="3D25D27F"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Romania</w:t>
      </w:r>
      <w:r w:rsidR="007B6C88" w:rsidRPr="007B6C88">
        <w:rPr>
          <w:rFonts w:ascii="Times New Roman" w:eastAsia="Calibri" w:hAnsi="Times New Roman" w:cs="Times New Roman"/>
          <w:sz w:val="28"/>
          <w:szCs w:val="28"/>
        </w:rPr>
        <w:t xml:space="preserve">, Current Account. International Monetary Fund. -[Електронний ресурс]. – Режим доступу: </w:t>
      </w:r>
      <w:hyperlink r:id="rId47"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4A5FE798" w14:textId="790775C7"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Bulgaria</w:t>
      </w:r>
      <w:r w:rsidR="007B6C88" w:rsidRPr="007B6C88">
        <w:rPr>
          <w:rFonts w:ascii="Times New Roman" w:eastAsia="Calibri" w:hAnsi="Times New Roman" w:cs="Times New Roman"/>
          <w:sz w:val="28"/>
          <w:szCs w:val="28"/>
        </w:rPr>
        <w:t xml:space="preserve">, Trade Balance. International Monetary Fund. - [Електронний ресурс]. – Режим доступу: </w:t>
      </w:r>
      <w:hyperlink r:id="rId48"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5C449546" w14:textId="4F787584"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Romania</w:t>
      </w:r>
      <w:r w:rsidR="007B6C88" w:rsidRPr="007B6C88">
        <w:rPr>
          <w:rFonts w:ascii="Times New Roman" w:eastAsia="Calibri" w:hAnsi="Times New Roman" w:cs="Times New Roman"/>
          <w:sz w:val="28"/>
          <w:szCs w:val="28"/>
        </w:rPr>
        <w:t xml:space="preserve">, Trade Balance. International Monetary Fund. - [Електронний ресурс]. – Режим доступу: </w:t>
      </w:r>
      <w:hyperlink r:id="rId49"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4E1F7D37" w14:textId="28BF992E"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lastRenderedPageBreak/>
        <w:t>Bulgaria</w:t>
      </w:r>
      <w:r w:rsidR="007B6C88" w:rsidRPr="007B6C88">
        <w:rPr>
          <w:rFonts w:ascii="Times New Roman" w:eastAsia="Calibri" w:hAnsi="Times New Roman" w:cs="Times New Roman"/>
          <w:sz w:val="28"/>
          <w:szCs w:val="28"/>
        </w:rPr>
        <w:t xml:space="preserve">, Balance of Service. International Monetary Fund. -[Електронний ресурс]. – Режим доступу: </w:t>
      </w:r>
      <w:hyperlink r:id="rId50"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29137834" w14:textId="6D36D389"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Romania</w:t>
      </w:r>
      <w:r w:rsidR="007B6C88" w:rsidRPr="007B6C88">
        <w:rPr>
          <w:rFonts w:ascii="Times New Roman" w:eastAsia="Calibri" w:hAnsi="Times New Roman" w:cs="Times New Roman"/>
          <w:sz w:val="28"/>
          <w:szCs w:val="28"/>
        </w:rPr>
        <w:t xml:space="preserve">, Balance of Service. International Monetary Fund. - [Електронний ресурс]. – Режим доступу: </w:t>
      </w:r>
      <w:hyperlink r:id="rId51"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6AF738D5" w14:textId="76E3910A"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Bulgaria</w:t>
      </w:r>
      <w:r w:rsidR="007B6C88" w:rsidRPr="007B6C88">
        <w:rPr>
          <w:rFonts w:ascii="Times New Roman" w:eastAsia="Calibri" w:hAnsi="Times New Roman" w:cs="Times New Roman"/>
          <w:sz w:val="28"/>
          <w:szCs w:val="28"/>
        </w:rPr>
        <w:t xml:space="preserve">, Primary Income Balance. International Monetary Fund. -[Електронний ресурс]. – Режим доступу: </w:t>
      </w:r>
      <w:hyperlink r:id="rId52"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294C2A55" w14:textId="15E3E7BA"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Romania</w:t>
      </w:r>
      <w:r w:rsidR="007B6C88" w:rsidRPr="007B6C88">
        <w:rPr>
          <w:rFonts w:ascii="Times New Roman" w:eastAsia="Calibri" w:hAnsi="Times New Roman" w:cs="Times New Roman"/>
          <w:sz w:val="28"/>
          <w:szCs w:val="28"/>
        </w:rPr>
        <w:t xml:space="preserve">, Primary Income Balance. International Monetary Fund. - [Електронний ресурс]. – Режим доступу: </w:t>
      </w:r>
      <w:hyperlink r:id="rId53"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6A00C862" w14:textId="2143F110"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Bulgaria</w:t>
      </w:r>
      <w:r w:rsidR="007B6C88" w:rsidRPr="007B6C88">
        <w:rPr>
          <w:rFonts w:ascii="Times New Roman" w:eastAsia="Calibri" w:hAnsi="Times New Roman" w:cs="Times New Roman"/>
          <w:sz w:val="28"/>
          <w:szCs w:val="28"/>
        </w:rPr>
        <w:t xml:space="preserve">, Secondary Income Balance. International Monetary Fund. - [Електронний ресурс]. – Режим доступу: </w:t>
      </w:r>
      <w:hyperlink r:id="rId54"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3B1438B6" w14:textId="49755FE4" w:rsidR="007B6C88" w:rsidRPr="007B6C88" w:rsidRDefault="00D32FB5" w:rsidP="00D32FB5">
      <w:pPr>
        <w:numPr>
          <w:ilvl w:val="0"/>
          <w:numId w:val="11"/>
        </w:numPr>
        <w:spacing w:line="348" w:lineRule="auto"/>
        <w:ind w:left="360"/>
        <w:contextualSpacing/>
        <w:jc w:val="both"/>
        <w:rPr>
          <w:rFonts w:ascii="Times New Roman" w:eastAsia="Times New Roman" w:hAnsi="Times New Roman" w:cs="Times New Roman"/>
          <w:sz w:val="28"/>
          <w:szCs w:val="20"/>
          <w:lang w:eastAsia="ru-RU"/>
        </w:rPr>
      </w:pPr>
      <w:r w:rsidRPr="00807CE7">
        <w:rPr>
          <w:rFonts w:ascii="Times New Roman" w:eastAsia="Calibri" w:hAnsi="Times New Roman" w:cs="Times New Roman"/>
          <w:sz w:val="28"/>
          <w:szCs w:val="28"/>
        </w:rPr>
        <w:t>Romania</w:t>
      </w:r>
      <w:r w:rsidR="007B6C88" w:rsidRPr="007B6C88">
        <w:rPr>
          <w:rFonts w:ascii="Times New Roman" w:eastAsia="Calibri" w:hAnsi="Times New Roman" w:cs="Times New Roman"/>
          <w:sz w:val="28"/>
          <w:szCs w:val="28"/>
        </w:rPr>
        <w:t xml:space="preserve">, Secondary Income Balance. International Monetary Fund. -[Електронний ресурс]. – Режим доступу: </w:t>
      </w:r>
      <w:hyperlink r:id="rId55"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11D0612E" w14:textId="43EE1249"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Bulgaria</w:t>
      </w:r>
      <w:r w:rsidR="007B6C88" w:rsidRPr="007B6C88">
        <w:rPr>
          <w:rFonts w:ascii="Times New Roman" w:eastAsia="Calibri" w:hAnsi="Times New Roman" w:cs="Times New Roman"/>
          <w:sz w:val="28"/>
          <w:szCs w:val="28"/>
        </w:rPr>
        <w:t xml:space="preserve">, Financial Account. International Monetary Fund. - [Електронний ресурс]. – Режим доступу: </w:t>
      </w:r>
      <w:hyperlink r:id="rId56"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022CEAFF" w14:textId="2E481853" w:rsidR="007B6C88" w:rsidRPr="007B6C88" w:rsidRDefault="00D32FB5" w:rsidP="00D32FB5">
      <w:pPr>
        <w:numPr>
          <w:ilvl w:val="0"/>
          <w:numId w:val="11"/>
        </w:numPr>
        <w:spacing w:line="348" w:lineRule="auto"/>
        <w:ind w:left="360"/>
        <w:contextualSpacing/>
        <w:jc w:val="both"/>
        <w:rPr>
          <w:rFonts w:ascii="Times New Roman" w:eastAsia="Times New Roman" w:hAnsi="Times New Roman" w:cs="Times New Roman"/>
          <w:sz w:val="28"/>
          <w:szCs w:val="20"/>
          <w:lang w:eastAsia="ru-RU"/>
        </w:rPr>
      </w:pPr>
      <w:r w:rsidRPr="00807CE7">
        <w:rPr>
          <w:rFonts w:ascii="Times New Roman" w:eastAsia="Calibri" w:hAnsi="Times New Roman" w:cs="Times New Roman"/>
          <w:sz w:val="28"/>
          <w:szCs w:val="28"/>
        </w:rPr>
        <w:t>Romania</w:t>
      </w:r>
      <w:r w:rsidR="007B6C88" w:rsidRPr="007B6C88">
        <w:rPr>
          <w:rFonts w:ascii="Times New Roman" w:eastAsia="Calibri" w:hAnsi="Times New Roman" w:cs="Times New Roman"/>
          <w:sz w:val="28"/>
          <w:szCs w:val="28"/>
        </w:rPr>
        <w:t xml:space="preserve">, Financial Account. International Monetary Fund. -[Електронний ресурс]. – Режим доступу: </w:t>
      </w:r>
      <w:hyperlink r:id="rId57"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103FDE7B" w14:textId="047DA1BE" w:rsidR="007B6C88" w:rsidRPr="007B6C88" w:rsidRDefault="00D32FB5" w:rsidP="00D32FB5">
      <w:pPr>
        <w:numPr>
          <w:ilvl w:val="0"/>
          <w:numId w:val="11"/>
        </w:numPr>
        <w:spacing w:line="348" w:lineRule="auto"/>
        <w:ind w:left="360"/>
        <w:contextualSpacing/>
        <w:jc w:val="both"/>
        <w:rPr>
          <w:rFonts w:ascii="Times New Roman" w:eastAsia="Calibri" w:hAnsi="Times New Roman" w:cs="Times New Roman"/>
          <w:sz w:val="28"/>
          <w:szCs w:val="28"/>
        </w:rPr>
      </w:pPr>
      <w:r w:rsidRPr="00807CE7">
        <w:rPr>
          <w:rFonts w:ascii="Times New Roman" w:eastAsia="Calibri" w:hAnsi="Times New Roman" w:cs="Times New Roman"/>
          <w:sz w:val="28"/>
          <w:szCs w:val="28"/>
        </w:rPr>
        <w:t>Bulgaria</w:t>
      </w:r>
      <w:r w:rsidR="007B6C88" w:rsidRPr="007B6C88">
        <w:rPr>
          <w:rFonts w:ascii="Times New Roman" w:eastAsia="Calibri" w:hAnsi="Times New Roman" w:cs="Times New Roman"/>
          <w:sz w:val="28"/>
          <w:szCs w:val="28"/>
        </w:rPr>
        <w:t xml:space="preserve">, Official Reserves. International Monetary Fund. - [Електронний ресурс]. – Режим доступу: </w:t>
      </w:r>
      <w:hyperlink r:id="rId58"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7D46BDBE" w14:textId="2ACAD31F" w:rsidR="007B6C88" w:rsidRPr="007B6C88" w:rsidRDefault="00D32FB5" w:rsidP="00D32FB5">
      <w:pPr>
        <w:numPr>
          <w:ilvl w:val="0"/>
          <w:numId w:val="11"/>
        </w:numPr>
        <w:spacing w:line="348" w:lineRule="auto"/>
        <w:ind w:left="360"/>
        <w:contextualSpacing/>
        <w:jc w:val="both"/>
        <w:rPr>
          <w:rFonts w:ascii="Times New Roman" w:eastAsia="Times New Roman" w:hAnsi="Times New Roman" w:cs="Times New Roman"/>
          <w:sz w:val="28"/>
          <w:szCs w:val="20"/>
          <w:lang w:eastAsia="ru-RU"/>
        </w:rPr>
      </w:pPr>
      <w:r w:rsidRPr="00807CE7">
        <w:rPr>
          <w:rFonts w:ascii="Times New Roman" w:eastAsia="Calibri" w:hAnsi="Times New Roman" w:cs="Times New Roman"/>
          <w:sz w:val="28"/>
          <w:szCs w:val="28"/>
        </w:rPr>
        <w:t>Romania</w:t>
      </w:r>
      <w:r w:rsidR="007B6C88" w:rsidRPr="007B6C88">
        <w:rPr>
          <w:rFonts w:ascii="Times New Roman" w:eastAsia="Calibri" w:hAnsi="Times New Roman" w:cs="Times New Roman"/>
          <w:sz w:val="28"/>
          <w:szCs w:val="28"/>
        </w:rPr>
        <w:t xml:space="preserve">, Official Reserves.. International Monetary Fund. -[Електронний ресурс]. – Режим доступу: </w:t>
      </w:r>
      <w:hyperlink r:id="rId59" w:history="1">
        <w:r w:rsidR="007B6C88" w:rsidRPr="007B6C88">
          <w:rPr>
            <w:rFonts w:ascii="Times New Roman" w:eastAsia="Calibri" w:hAnsi="Times New Roman" w:cs="Times New Roman"/>
            <w:color w:val="0000FF"/>
            <w:sz w:val="28"/>
            <w:szCs w:val="28"/>
            <w:u w:val="single"/>
          </w:rPr>
          <w:t>http://data.imf.org/?sk=7A51304B-6426-40C0-83DD-CA473CA1FD52&amp;sId=1542635306163</w:t>
        </w:r>
      </w:hyperlink>
    </w:p>
    <w:p w14:paraId="3D040198" w14:textId="6BE83DE1" w:rsidR="00C81270" w:rsidRPr="00807CE7" w:rsidRDefault="00C81270">
      <w:pPr>
        <w:rPr>
          <w:rFonts w:ascii="Times New Roman" w:hAnsi="Times New Roman" w:cs="Times New Roman"/>
          <w:sz w:val="28"/>
          <w:szCs w:val="28"/>
        </w:rPr>
      </w:pPr>
    </w:p>
    <w:p w14:paraId="2F8D9DC3" w14:textId="337EB616" w:rsidR="00C81270" w:rsidRPr="00807CE7" w:rsidRDefault="00C81270" w:rsidP="004A5771">
      <w:pPr>
        <w:spacing w:line="360" w:lineRule="auto"/>
        <w:jc w:val="center"/>
        <w:rPr>
          <w:rFonts w:ascii="Times New Roman" w:hAnsi="Times New Roman" w:cs="Times New Roman"/>
          <w:b/>
          <w:bCs/>
          <w:sz w:val="28"/>
          <w:szCs w:val="28"/>
        </w:rPr>
      </w:pPr>
      <w:r w:rsidRPr="00807CE7">
        <w:rPr>
          <w:rFonts w:ascii="Times New Roman" w:hAnsi="Times New Roman" w:cs="Times New Roman"/>
          <w:b/>
          <w:bCs/>
          <w:sz w:val="28"/>
          <w:szCs w:val="28"/>
        </w:rPr>
        <w:lastRenderedPageBreak/>
        <w:t>ДОДАТКИ</w:t>
      </w:r>
    </w:p>
    <w:p w14:paraId="06239A2A" w14:textId="48268C00" w:rsidR="00C5540C" w:rsidRPr="00807CE7" w:rsidRDefault="00C5540C" w:rsidP="00C5540C">
      <w:pPr>
        <w:spacing w:line="360" w:lineRule="auto"/>
        <w:ind w:firstLine="709"/>
        <w:jc w:val="right"/>
        <w:rPr>
          <w:rFonts w:ascii="Times New Roman" w:hAnsi="Times New Roman" w:cs="Times New Roman"/>
          <w:b/>
          <w:bCs/>
          <w:sz w:val="28"/>
          <w:szCs w:val="28"/>
        </w:rPr>
      </w:pPr>
      <w:r w:rsidRPr="00807CE7">
        <w:rPr>
          <w:rFonts w:ascii="Times New Roman" w:hAnsi="Times New Roman" w:cs="Times New Roman"/>
          <w:b/>
          <w:bCs/>
          <w:sz w:val="28"/>
          <w:szCs w:val="28"/>
        </w:rPr>
        <w:t>Додаток А</w:t>
      </w:r>
    </w:p>
    <w:p w14:paraId="69936969" w14:textId="3E96146A" w:rsidR="00C5540C" w:rsidRPr="00807CE7" w:rsidRDefault="00BF6CFF" w:rsidP="00C5540C">
      <w:pPr>
        <w:spacing w:line="360" w:lineRule="auto"/>
        <w:ind w:firstLine="709"/>
        <w:jc w:val="center"/>
        <w:rPr>
          <w:rFonts w:ascii="Times New Roman" w:hAnsi="Times New Roman" w:cs="Times New Roman"/>
          <w:b/>
          <w:bCs/>
          <w:sz w:val="28"/>
          <w:szCs w:val="28"/>
        </w:rPr>
      </w:pPr>
      <w:r w:rsidRPr="00807CE7">
        <w:rPr>
          <w:rFonts w:ascii="Times New Roman" w:hAnsi="Times New Roman" w:cs="Times New Roman"/>
          <w:b/>
          <w:bCs/>
          <w:sz w:val="28"/>
          <w:szCs w:val="28"/>
        </w:rPr>
        <w:t xml:space="preserve">Рахунки поточних операцій </w:t>
      </w:r>
      <w:r w:rsidR="00C5540C" w:rsidRPr="00807CE7">
        <w:rPr>
          <w:rFonts w:ascii="Times New Roman" w:hAnsi="Times New Roman" w:cs="Times New Roman"/>
          <w:b/>
          <w:bCs/>
          <w:sz w:val="28"/>
          <w:szCs w:val="28"/>
        </w:rPr>
        <w:t>Румунії та Болгарії</w:t>
      </w:r>
    </w:p>
    <w:tbl>
      <w:tblPr>
        <w:tblW w:w="85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1"/>
        <w:gridCol w:w="1134"/>
        <w:gridCol w:w="1134"/>
        <w:gridCol w:w="1134"/>
        <w:gridCol w:w="1134"/>
        <w:gridCol w:w="1134"/>
      </w:tblGrid>
      <w:tr w:rsidR="00317C04" w:rsidRPr="00807CE7" w14:paraId="142189ED" w14:textId="77777777" w:rsidTr="00317C04">
        <w:trPr>
          <w:trHeight w:val="340"/>
          <w:tblHeader/>
          <w:jc w:val="center"/>
        </w:trPr>
        <w:tc>
          <w:tcPr>
            <w:tcW w:w="2891" w:type="dxa"/>
            <w:shd w:val="clear" w:color="auto" w:fill="A5A5A5"/>
            <w:vAlign w:val="center"/>
          </w:tcPr>
          <w:p w14:paraId="174CF18C"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Показник</w:t>
            </w:r>
          </w:p>
        </w:tc>
        <w:tc>
          <w:tcPr>
            <w:tcW w:w="1134" w:type="dxa"/>
            <w:shd w:val="clear" w:color="auto" w:fill="A5A5A5"/>
            <w:vAlign w:val="center"/>
          </w:tcPr>
          <w:p w14:paraId="7DDB4E83"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2017</w:t>
            </w:r>
          </w:p>
        </w:tc>
        <w:tc>
          <w:tcPr>
            <w:tcW w:w="1134" w:type="dxa"/>
            <w:shd w:val="clear" w:color="auto" w:fill="A5A5A5"/>
            <w:vAlign w:val="center"/>
          </w:tcPr>
          <w:p w14:paraId="616002CE"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2018</w:t>
            </w:r>
          </w:p>
        </w:tc>
        <w:tc>
          <w:tcPr>
            <w:tcW w:w="1134" w:type="dxa"/>
            <w:shd w:val="clear" w:color="auto" w:fill="A5A5A5"/>
          </w:tcPr>
          <w:p w14:paraId="3B58858F"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2019</w:t>
            </w:r>
          </w:p>
        </w:tc>
        <w:tc>
          <w:tcPr>
            <w:tcW w:w="1134" w:type="dxa"/>
            <w:shd w:val="clear" w:color="auto" w:fill="A5A5A5"/>
          </w:tcPr>
          <w:p w14:paraId="4E0887EE"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2020</w:t>
            </w:r>
          </w:p>
        </w:tc>
        <w:tc>
          <w:tcPr>
            <w:tcW w:w="1134" w:type="dxa"/>
            <w:shd w:val="clear" w:color="auto" w:fill="A5A5A5"/>
          </w:tcPr>
          <w:p w14:paraId="38538C27"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2021</w:t>
            </w:r>
          </w:p>
        </w:tc>
      </w:tr>
      <w:tr w:rsidR="00317C04" w:rsidRPr="00807CE7" w14:paraId="4BEDF253" w14:textId="77777777" w:rsidTr="00317C04">
        <w:trPr>
          <w:trHeight w:val="340"/>
          <w:jc w:val="center"/>
        </w:trPr>
        <w:tc>
          <w:tcPr>
            <w:tcW w:w="2891" w:type="dxa"/>
            <w:shd w:val="clear" w:color="auto" w:fill="FFFFFF"/>
            <w:vAlign w:val="center"/>
          </w:tcPr>
          <w:p w14:paraId="65B507A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Експорт товарів Румунії</w:t>
            </w:r>
          </w:p>
        </w:tc>
        <w:tc>
          <w:tcPr>
            <w:tcW w:w="1134" w:type="dxa"/>
            <w:shd w:val="clear" w:color="auto" w:fill="auto"/>
            <w:vAlign w:val="center"/>
          </w:tcPr>
          <w:p w14:paraId="6CF3D1E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64 585,3</w:t>
            </w:r>
          </w:p>
        </w:tc>
        <w:tc>
          <w:tcPr>
            <w:tcW w:w="1134" w:type="dxa"/>
            <w:shd w:val="clear" w:color="auto" w:fill="auto"/>
            <w:vAlign w:val="center"/>
          </w:tcPr>
          <w:p w14:paraId="60C99B1C"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73 050,4</w:t>
            </w:r>
          </w:p>
        </w:tc>
        <w:tc>
          <w:tcPr>
            <w:tcW w:w="1134" w:type="dxa"/>
            <w:vAlign w:val="center"/>
          </w:tcPr>
          <w:p w14:paraId="3150608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70 622,1</w:t>
            </w:r>
          </w:p>
        </w:tc>
        <w:tc>
          <w:tcPr>
            <w:tcW w:w="1134" w:type="dxa"/>
            <w:vAlign w:val="center"/>
          </w:tcPr>
          <w:p w14:paraId="73950A3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65 859,4</w:t>
            </w:r>
          </w:p>
        </w:tc>
        <w:tc>
          <w:tcPr>
            <w:tcW w:w="1134" w:type="dxa"/>
            <w:vAlign w:val="center"/>
          </w:tcPr>
          <w:p w14:paraId="37B4D52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82 964,9</w:t>
            </w:r>
          </w:p>
        </w:tc>
      </w:tr>
      <w:tr w:rsidR="00317C04" w:rsidRPr="00807CE7" w14:paraId="14C312FD" w14:textId="77777777" w:rsidTr="00317C04">
        <w:trPr>
          <w:trHeight w:val="340"/>
          <w:jc w:val="center"/>
        </w:trPr>
        <w:tc>
          <w:tcPr>
            <w:tcW w:w="2891" w:type="dxa"/>
            <w:shd w:val="clear" w:color="auto" w:fill="FFFFFF"/>
            <w:vAlign w:val="center"/>
          </w:tcPr>
          <w:p w14:paraId="02762BC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Імпорт товарів Румунії</w:t>
            </w:r>
          </w:p>
        </w:tc>
        <w:tc>
          <w:tcPr>
            <w:tcW w:w="1134" w:type="dxa"/>
            <w:shd w:val="clear" w:color="auto" w:fill="auto"/>
            <w:vAlign w:val="center"/>
          </w:tcPr>
          <w:p w14:paraId="0A79372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79 135,9</w:t>
            </w:r>
          </w:p>
        </w:tc>
        <w:tc>
          <w:tcPr>
            <w:tcW w:w="1134" w:type="dxa"/>
            <w:shd w:val="clear" w:color="auto" w:fill="auto"/>
            <w:vAlign w:val="center"/>
          </w:tcPr>
          <w:p w14:paraId="6746655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91 069,1</w:t>
            </w:r>
          </w:p>
        </w:tc>
        <w:tc>
          <w:tcPr>
            <w:tcW w:w="1134" w:type="dxa"/>
            <w:vAlign w:val="center"/>
          </w:tcPr>
          <w:p w14:paraId="12AA504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90 582,1</w:t>
            </w:r>
          </w:p>
        </w:tc>
        <w:tc>
          <w:tcPr>
            <w:tcW w:w="1134" w:type="dxa"/>
            <w:vAlign w:val="center"/>
          </w:tcPr>
          <w:p w14:paraId="2AD584C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87 535,3</w:t>
            </w:r>
          </w:p>
        </w:tc>
        <w:tc>
          <w:tcPr>
            <w:tcW w:w="1134" w:type="dxa"/>
            <w:vAlign w:val="center"/>
          </w:tcPr>
          <w:p w14:paraId="5C52FAB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110 256,1</w:t>
            </w:r>
          </w:p>
        </w:tc>
      </w:tr>
      <w:tr w:rsidR="00317C04" w:rsidRPr="00807CE7" w14:paraId="2E503E38" w14:textId="77777777" w:rsidTr="00317C04">
        <w:trPr>
          <w:trHeight w:val="340"/>
          <w:jc w:val="center"/>
        </w:trPr>
        <w:tc>
          <w:tcPr>
            <w:tcW w:w="2891" w:type="dxa"/>
            <w:shd w:val="clear" w:color="auto" w:fill="FFFFFF"/>
            <w:vAlign w:val="center"/>
          </w:tcPr>
          <w:p w14:paraId="1ABC2CA2"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Торговий баланс Румунії</w:t>
            </w:r>
          </w:p>
        </w:tc>
        <w:tc>
          <w:tcPr>
            <w:tcW w:w="1134" w:type="dxa"/>
            <w:shd w:val="clear" w:color="auto" w:fill="auto"/>
            <w:vAlign w:val="center"/>
          </w:tcPr>
          <w:p w14:paraId="40090996"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-14 550,6</w:t>
            </w:r>
          </w:p>
        </w:tc>
        <w:tc>
          <w:tcPr>
            <w:tcW w:w="1134" w:type="dxa"/>
            <w:shd w:val="clear" w:color="auto" w:fill="auto"/>
            <w:vAlign w:val="center"/>
          </w:tcPr>
          <w:p w14:paraId="35C184F4"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-18 018,6</w:t>
            </w:r>
          </w:p>
        </w:tc>
        <w:tc>
          <w:tcPr>
            <w:tcW w:w="1134" w:type="dxa"/>
            <w:vAlign w:val="center"/>
          </w:tcPr>
          <w:p w14:paraId="5C1646BA"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-19 960,0</w:t>
            </w:r>
          </w:p>
        </w:tc>
        <w:tc>
          <w:tcPr>
            <w:tcW w:w="1134" w:type="dxa"/>
            <w:vAlign w:val="center"/>
          </w:tcPr>
          <w:p w14:paraId="5DA42F5A"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-21 675,9</w:t>
            </w:r>
          </w:p>
        </w:tc>
        <w:tc>
          <w:tcPr>
            <w:tcW w:w="1134" w:type="dxa"/>
            <w:vAlign w:val="center"/>
          </w:tcPr>
          <w:p w14:paraId="7EB96B1B"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-27 291,3</w:t>
            </w:r>
          </w:p>
        </w:tc>
      </w:tr>
      <w:tr w:rsidR="00317C04" w:rsidRPr="00807CE7" w14:paraId="3DC7D1F5" w14:textId="77777777" w:rsidTr="00317C04">
        <w:trPr>
          <w:trHeight w:val="340"/>
          <w:jc w:val="center"/>
        </w:trPr>
        <w:tc>
          <w:tcPr>
            <w:tcW w:w="2891" w:type="dxa"/>
            <w:shd w:val="clear" w:color="auto" w:fill="FFFFFF"/>
            <w:vAlign w:val="center"/>
          </w:tcPr>
          <w:p w14:paraId="576FC76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Експорт товарів Болгарії</w:t>
            </w:r>
          </w:p>
        </w:tc>
        <w:tc>
          <w:tcPr>
            <w:tcW w:w="1134" w:type="dxa"/>
            <w:shd w:val="clear" w:color="auto" w:fill="auto"/>
            <w:vAlign w:val="center"/>
          </w:tcPr>
          <w:p w14:paraId="7641AB2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30 498,4</w:t>
            </w:r>
          </w:p>
        </w:tc>
        <w:tc>
          <w:tcPr>
            <w:tcW w:w="1134" w:type="dxa"/>
            <w:shd w:val="clear" w:color="auto" w:fill="auto"/>
            <w:vAlign w:val="center"/>
          </w:tcPr>
          <w:p w14:paraId="5051121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32 721,8</w:t>
            </w:r>
          </w:p>
        </w:tc>
        <w:tc>
          <w:tcPr>
            <w:tcW w:w="1134" w:type="dxa"/>
            <w:vAlign w:val="center"/>
          </w:tcPr>
          <w:p w14:paraId="512F413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32 592,0</w:t>
            </w:r>
          </w:p>
        </w:tc>
        <w:tc>
          <w:tcPr>
            <w:tcW w:w="1134" w:type="dxa"/>
            <w:vAlign w:val="center"/>
          </w:tcPr>
          <w:p w14:paraId="1CE68EF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31 160,9</w:t>
            </w:r>
          </w:p>
        </w:tc>
        <w:tc>
          <w:tcPr>
            <w:tcW w:w="1134" w:type="dxa"/>
            <w:vAlign w:val="center"/>
          </w:tcPr>
          <w:p w14:paraId="5406557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40 647,3</w:t>
            </w:r>
          </w:p>
        </w:tc>
      </w:tr>
      <w:tr w:rsidR="00317C04" w:rsidRPr="00807CE7" w14:paraId="42942679" w14:textId="77777777" w:rsidTr="00317C04">
        <w:trPr>
          <w:trHeight w:val="340"/>
          <w:jc w:val="center"/>
        </w:trPr>
        <w:tc>
          <w:tcPr>
            <w:tcW w:w="2891" w:type="dxa"/>
            <w:shd w:val="clear" w:color="auto" w:fill="FFFFFF"/>
            <w:vAlign w:val="center"/>
          </w:tcPr>
          <w:p w14:paraId="35CE674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Імпорт товарів Болгарії</w:t>
            </w:r>
          </w:p>
        </w:tc>
        <w:tc>
          <w:tcPr>
            <w:tcW w:w="1134" w:type="dxa"/>
            <w:shd w:val="clear" w:color="auto" w:fill="auto"/>
            <w:vAlign w:val="center"/>
          </w:tcPr>
          <w:p w14:paraId="4A5D601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31 364,9</w:t>
            </w:r>
          </w:p>
        </w:tc>
        <w:tc>
          <w:tcPr>
            <w:tcW w:w="1134" w:type="dxa"/>
            <w:shd w:val="clear" w:color="auto" w:fill="auto"/>
            <w:vAlign w:val="center"/>
          </w:tcPr>
          <w:p w14:paraId="7B3B526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35 922,6</w:t>
            </w:r>
          </w:p>
        </w:tc>
        <w:tc>
          <w:tcPr>
            <w:tcW w:w="1134" w:type="dxa"/>
            <w:vAlign w:val="center"/>
          </w:tcPr>
          <w:p w14:paraId="2DD423C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35 847,6</w:t>
            </w:r>
          </w:p>
        </w:tc>
        <w:tc>
          <w:tcPr>
            <w:tcW w:w="1134" w:type="dxa"/>
            <w:vAlign w:val="center"/>
          </w:tcPr>
          <w:p w14:paraId="3E6DBA0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33 416,9</w:t>
            </w:r>
          </w:p>
        </w:tc>
        <w:tc>
          <w:tcPr>
            <w:tcW w:w="1134" w:type="dxa"/>
            <w:vAlign w:val="center"/>
          </w:tcPr>
          <w:p w14:paraId="12874B02"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44 026,0</w:t>
            </w:r>
          </w:p>
        </w:tc>
      </w:tr>
      <w:tr w:rsidR="00317C04" w:rsidRPr="00807CE7" w14:paraId="1317C50A" w14:textId="77777777" w:rsidTr="00317C04">
        <w:trPr>
          <w:trHeight w:val="340"/>
          <w:jc w:val="center"/>
        </w:trPr>
        <w:tc>
          <w:tcPr>
            <w:tcW w:w="2891" w:type="dxa"/>
            <w:shd w:val="clear" w:color="auto" w:fill="FFFFFF"/>
            <w:vAlign w:val="center"/>
          </w:tcPr>
          <w:p w14:paraId="4894CF7E"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Торговий баланс Болгарії</w:t>
            </w:r>
          </w:p>
        </w:tc>
        <w:tc>
          <w:tcPr>
            <w:tcW w:w="1134" w:type="dxa"/>
            <w:shd w:val="clear" w:color="auto" w:fill="auto"/>
            <w:vAlign w:val="center"/>
          </w:tcPr>
          <w:p w14:paraId="0FE8DEF5"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-866,6</w:t>
            </w:r>
          </w:p>
        </w:tc>
        <w:tc>
          <w:tcPr>
            <w:tcW w:w="1134" w:type="dxa"/>
            <w:shd w:val="clear" w:color="auto" w:fill="auto"/>
            <w:vAlign w:val="center"/>
          </w:tcPr>
          <w:p w14:paraId="73BE09BC"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-3 200,7</w:t>
            </w:r>
          </w:p>
        </w:tc>
        <w:tc>
          <w:tcPr>
            <w:tcW w:w="1134" w:type="dxa"/>
            <w:vAlign w:val="center"/>
          </w:tcPr>
          <w:p w14:paraId="5C885BFE"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-3 255,6</w:t>
            </w:r>
          </w:p>
        </w:tc>
        <w:tc>
          <w:tcPr>
            <w:tcW w:w="1134" w:type="dxa"/>
            <w:vAlign w:val="center"/>
          </w:tcPr>
          <w:p w14:paraId="763E1249"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-2 256,0</w:t>
            </w:r>
          </w:p>
        </w:tc>
        <w:tc>
          <w:tcPr>
            <w:tcW w:w="1134" w:type="dxa"/>
            <w:vAlign w:val="center"/>
          </w:tcPr>
          <w:p w14:paraId="465073C1"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-3 378,7</w:t>
            </w:r>
          </w:p>
        </w:tc>
      </w:tr>
      <w:tr w:rsidR="00317C04" w:rsidRPr="00807CE7" w14:paraId="2D51E8FD" w14:textId="77777777" w:rsidTr="00317C04">
        <w:trPr>
          <w:trHeight w:val="340"/>
          <w:jc w:val="center"/>
        </w:trPr>
        <w:tc>
          <w:tcPr>
            <w:tcW w:w="2891" w:type="dxa"/>
            <w:shd w:val="clear" w:color="auto" w:fill="FFFFFF"/>
            <w:vAlign w:val="center"/>
          </w:tcPr>
          <w:p w14:paraId="11EEDA2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Експорт послуг Румунії</w:t>
            </w:r>
          </w:p>
        </w:tc>
        <w:tc>
          <w:tcPr>
            <w:tcW w:w="1134" w:type="dxa"/>
            <w:shd w:val="clear" w:color="auto" w:fill="auto"/>
            <w:vAlign w:val="center"/>
          </w:tcPr>
          <w:p w14:paraId="133351D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24 594,6</w:t>
            </w:r>
          </w:p>
        </w:tc>
        <w:tc>
          <w:tcPr>
            <w:tcW w:w="1134" w:type="dxa"/>
            <w:shd w:val="clear" w:color="auto" w:fill="auto"/>
            <w:vAlign w:val="center"/>
          </w:tcPr>
          <w:p w14:paraId="32D6CEB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28 055,1</w:t>
            </w:r>
          </w:p>
        </w:tc>
        <w:tc>
          <w:tcPr>
            <w:tcW w:w="1134" w:type="dxa"/>
            <w:vAlign w:val="center"/>
          </w:tcPr>
          <w:p w14:paraId="75C50BC2"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30 279,4</w:t>
            </w:r>
          </w:p>
        </w:tc>
        <w:tc>
          <w:tcPr>
            <w:tcW w:w="1134" w:type="dxa"/>
            <w:vAlign w:val="center"/>
          </w:tcPr>
          <w:p w14:paraId="2361040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27 164,9</w:t>
            </w:r>
          </w:p>
        </w:tc>
        <w:tc>
          <w:tcPr>
            <w:tcW w:w="1134" w:type="dxa"/>
            <w:vAlign w:val="center"/>
          </w:tcPr>
          <w:p w14:paraId="5BE4E97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32 914,2</w:t>
            </w:r>
          </w:p>
        </w:tc>
      </w:tr>
      <w:tr w:rsidR="00317C04" w:rsidRPr="00807CE7" w14:paraId="4B7121AF" w14:textId="77777777" w:rsidTr="00317C04">
        <w:trPr>
          <w:trHeight w:val="340"/>
          <w:jc w:val="center"/>
        </w:trPr>
        <w:tc>
          <w:tcPr>
            <w:tcW w:w="2891" w:type="dxa"/>
            <w:shd w:val="clear" w:color="auto" w:fill="FFFFFF"/>
            <w:vAlign w:val="center"/>
          </w:tcPr>
          <w:p w14:paraId="3A63F2E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Імпорт послуг Румунії</w:t>
            </w:r>
          </w:p>
        </w:tc>
        <w:tc>
          <w:tcPr>
            <w:tcW w:w="1134" w:type="dxa"/>
            <w:shd w:val="clear" w:color="auto" w:fill="auto"/>
            <w:vAlign w:val="center"/>
          </w:tcPr>
          <w:p w14:paraId="2769415C"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15 347,6</w:t>
            </w:r>
          </w:p>
        </w:tc>
        <w:tc>
          <w:tcPr>
            <w:tcW w:w="1134" w:type="dxa"/>
            <w:shd w:val="clear" w:color="auto" w:fill="auto"/>
            <w:vAlign w:val="center"/>
          </w:tcPr>
          <w:p w14:paraId="0BFD32E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18 193,7</w:t>
            </w:r>
          </w:p>
        </w:tc>
        <w:tc>
          <w:tcPr>
            <w:tcW w:w="1134" w:type="dxa"/>
            <w:vAlign w:val="center"/>
          </w:tcPr>
          <w:p w14:paraId="0B97730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20 601,9</w:t>
            </w:r>
          </w:p>
        </w:tc>
        <w:tc>
          <w:tcPr>
            <w:tcW w:w="1134" w:type="dxa"/>
            <w:vAlign w:val="center"/>
          </w:tcPr>
          <w:p w14:paraId="4C24D7F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16 363,9</w:t>
            </w:r>
          </w:p>
        </w:tc>
        <w:tc>
          <w:tcPr>
            <w:tcW w:w="1134" w:type="dxa"/>
            <w:vAlign w:val="center"/>
          </w:tcPr>
          <w:p w14:paraId="3C7D10D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21 800,1</w:t>
            </w:r>
          </w:p>
        </w:tc>
      </w:tr>
      <w:tr w:rsidR="00317C04" w:rsidRPr="00807CE7" w14:paraId="14943478" w14:textId="77777777" w:rsidTr="00317C04">
        <w:trPr>
          <w:trHeight w:val="340"/>
          <w:jc w:val="center"/>
        </w:trPr>
        <w:tc>
          <w:tcPr>
            <w:tcW w:w="2891" w:type="dxa"/>
            <w:shd w:val="clear" w:color="auto" w:fill="FFFFFF"/>
            <w:vAlign w:val="center"/>
          </w:tcPr>
          <w:p w14:paraId="4E26234B"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Баланс послуг Румунії</w:t>
            </w:r>
          </w:p>
        </w:tc>
        <w:tc>
          <w:tcPr>
            <w:tcW w:w="1134" w:type="dxa"/>
            <w:shd w:val="clear" w:color="auto" w:fill="auto"/>
            <w:vAlign w:val="center"/>
          </w:tcPr>
          <w:p w14:paraId="2824E397"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9 247,2</w:t>
            </w:r>
          </w:p>
        </w:tc>
        <w:tc>
          <w:tcPr>
            <w:tcW w:w="1134" w:type="dxa"/>
            <w:shd w:val="clear" w:color="auto" w:fill="auto"/>
            <w:vAlign w:val="center"/>
          </w:tcPr>
          <w:p w14:paraId="2A3BEE8D"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9 861,5</w:t>
            </w:r>
          </w:p>
        </w:tc>
        <w:tc>
          <w:tcPr>
            <w:tcW w:w="1134" w:type="dxa"/>
            <w:vAlign w:val="center"/>
          </w:tcPr>
          <w:p w14:paraId="583B50C4"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9 677,5</w:t>
            </w:r>
          </w:p>
        </w:tc>
        <w:tc>
          <w:tcPr>
            <w:tcW w:w="1134" w:type="dxa"/>
            <w:vAlign w:val="center"/>
          </w:tcPr>
          <w:p w14:paraId="76965C39"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10 801,3</w:t>
            </w:r>
          </w:p>
        </w:tc>
        <w:tc>
          <w:tcPr>
            <w:tcW w:w="1134" w:type="dxa"/>
            <w:vAlign w:val="center"/>
          </w:tcPr>
          <w:p w14:paraId="015CDB91"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11 114,3</w:t>
            </w:r>
          </w:p>
        </w:tc>
      </w:tr>
      <w:tr w:rsidR="00317C04" w:rsidRPr="00807CE7" w14:paraId="135BC65A" w14:textId="77777777" w:rsidTr="00317C04">
        <w:trPr>
          <w:trHeight w:val="340"/>
          <w:jc w:val="center"/>
        </w:trPr>
        <w:tc>
          <w:tcPr>
            <w:tcW w:w="2891" w:type="dxa"/>
            <w:shd w:val="clear" w:color="auto" w:fill="FFFFFF"/>
            <w:vAlign w:val="center"/>
          </w:tcPr>
          <w:p w14:paraId="14AD9B6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Експорт послуг Болгарії</w:t>
            </w:r>
          </w:p>
        </w:tc>
        <w:tc>
          <w:tcPr>
            <w:tcW w:w="1134" w:type="dxa"/>
            <w:shd w:val="clear" w:color="auto" w:fill="auto"/>
            <w:vAlign w:val="center"/>
          </w:tcPr>
          <w:p w14:paraId="632EFCD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9 375,0</w:t>
            </w:r>
          </w:p>
        </w:tc>
        <w:tc>
          <w:tcPr>
            <w:tcW w:w="1134" w:type="dxa"/>
            <w:shd w:val="clear" w:color="auto" w:fill="auto"/>
            <w:vAlign w:val="center"/>
          </w:tcPr>
          <w:p w14:paraId="1CA739D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10 799,8</w:t>
            </w:r>
          </w:p>
        </w:tc>
        <w:tc>
          <w:tcPr>
            <w:tcW w:w="1134" w:type="dxa"/>
            <w:vAlign w:val="center"/>
          </w:tcPr>
          <w:p w14:paraId="5663F17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11 449,2</w:t>
            </w:r>
          </w:p>
        </w:tc>
        <w:tc>
          <w:tcPr>
            <w:tcW w:w="1134" w:type="dxa"/>
            <w:vAlign w:val="center"/>
          </w:tcPr>
          <w:p w14:paraId="5333005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8 380,4</w:t>
            </w:r>
          </w:p>
        </w:tc>
        <w:tc>
          <w:tcPr>
            <w:tcW w:w="1134" w:type="dxa"/>
            <w:vAlign w:val="center"/>
          </w:tcPr>
          <w:p w14:paraId="66A1574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10 857,9</w:t>
            </w:r>
          </w:p>
        </w:tc>
      </w:tr>
      <w:tr w:rsidR="00317C04" w:rsidRPr="00807CE7" w14:paraId="724D4E16" w14:textId="77777777" w:rsidTr="00317C04">
        <w:trPr>
          <w:trHeight w:val="340"/>
          <w:jc w:val="center"/>
        </w:trPr>
        <w:tc>
          <w:tcPr>
            <w:tcW w:w="2891" w:type="dxa"/>
            <w:shd w:val="clear" w:color="auto" w:fill="FFFFFF"/>
            <w:vAlign w:val="center"/>
          </w:tcPr>
          <w:p w14:paraId="42D5164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Імпорт послуг Болгарії</w:t>
            </w:r>
          </w:p>
        </w:tc>
        <w:tc>
          <w:tcPr>
            <w:tcW w:w="1134" w:type="dxa"/>
            <w:shd w:val="clear" w:color="auto" w:fill="auto"/>
            <w:vAlign w:val="center"/>
          </w:tcPr>
          <w:p w14:paraId="03C57D3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5 899,6</w:t>
            </w:r>
          </w:p>
        </w:tc>
        <w:tc>
          <w:tcPr>
            <w:tcW w:w="1134" w:type="dxa"/>
            <w:shd w:val="clear" w:color="auto" w:fill="auto"/>
            <w:vAlign w:val="center"/>
          </w:tcPr>
          <w:p w14:paraId="4A624AE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5 986,7</w:t>
            </w:r>
          </w:p>
        </w:tc>
        <w:tc>
          <w:tcPr>
            <w:tcW w:w="1134" w:type="dxa"/>
            <w:vAlign w:val="center"/>
          </w:tcPr>
          <w:p w14:paraId="37E04D2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5 995,0</w:t>
            </w:r>
          </w:p>
        </w:tc>
        <w:tc>
          <w:tcPr>
            <w:tcW w:w="1134" w:type="dxa"/>
            <w:vAlign w:val="center"/>
          </w:tcPr>
          <w:p w14:paraId="32FD4EE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4 780,4</w:t>
            </w:r>
          </w:p>
        </w:tc>
        <w:tc>
          <w:tcPr>
            <w:tcW w:w="1134" w:type="dxa"/>
            <w:vAlign w:val="center"/>
          </w:tcPr>
          <w:p w14:paraId="3AC7C29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6 033,4</w:t>
            </w:r>
          </w:p>
        </w:tc>
      </w:tr>
      <w:tr w:rsidR="00317C04" w:rsidRPr="00807CE7" w14:paraId="566681D0" w14:textId="77777777" w:rsidTr="00317C04">
        <w:trPr>
          <w:trHeight w:val="340"/>
          <w:jc w:val="center"/>
        </w:trPr>
        <w:tc>
          <w:tcPr>
            <w:tcW w:w="2891" w:type="dxa"/>
            <w:shd w:val="clear" w:color="auto" w:fill="FFFFFF"/>
            <w:vAlign w:val="center"/>
          </w:tcPr>
          <w:p w14:paraId="1AB99D54" w14:textId="77777777" w:rsidR="00317C04" w:rsidRPr="00807CE7" w:rsidRDefault="00317C04" w:rsidP="00BF6CFF">
            <w:pPr>
              <w:widowControl w:val="0"/>
              <w:suppressAutoHyphens/>
              <w:jc w:val="center"/>
              <w:rPr>
                <w:rFonts w:ascii="Times New Roman" w:eastAsia="Times New Roman" w:hAnsi="Times New Roman" w:cs="Times New Roman"/>
                <w:b/>
                <w:bCs/>
                <w:color w:val="202124"/>
              </w:rPr>
            </w:pPr>
            <w:r w:rsidRPr="00807CE7">
              <w:rPr>
                <w:rFonts w:ascii="Times New Roman" w:eastAsia="Times New Roman" w:hAnsi="Times New Roman" w:cs="Times New Roman"/>
                <w:b/>
                <w:bCs/>
                <w:color w:val="000000"/>
              </w:rPr>
              <w:t>Баланс послуг Болгарії</w:t>
            </w:r>
          </w:p>
        </w:tc>
        <w:tc>
          <w:tcPr>
            <w:tcW w:w="1134" w:type="dxa"/>
            <w:shd w:val="clear" w:color="auto" w:fill="auto"/>
            <w:vAlign w:val="center"/>
          </w:tcPr>
          <w:p w14:paraId="5DD55264"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3 475,4</w:t>
            </w:r>
          </w:p>
        </w:tc>
        <w:tc>
          <w:tcPr>
            <w:tcW w:w="1134" w:type="dxa"/>
            <w:shd w:val="clear" w:color="auto" w:fill="auto"/>
            <w:vAlign w:val="center"/>
          </w:tcPr>
          <w:p w14:paraId="5BC6ACFA"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4 813,0</w:t>
            </w:r>
          </w:p>
        </w:tc>
        <w:tc>
          <w:tcPr>
            <w:tcW w:w="1134" w:type="dxa"/>
            <w:vAlign w:val="center"/>
          </w:tcPr>
          <w:p w14:paraId="6FE6ED2D"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5 454,3</w:t>
            </w:r>
          </w:p>
        </w:tc>
        <w:tc>
          <w:tcPr>
            <w:tcW w:w="1134" w:type="dxa"/>
            <w:vAlign w:val="center"/>
          </w:tcPr>
          <w:p w14:paraId="0925C8F1"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3 599,9</w:t>
            </w:r>
          </w:p>
        </w:tc>
        <w:tc>
          <w:tcPr>
            <w:tcW w:w="1134" w:type="dxa"/>
            <w:vAlign w:val="center"/>
          </w:tcPr>
          <w:p w14:paraId="099A871E"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4 824,4</w:t>
            </w:r>
          </w:p>
        </w:tc>
      </w:tr>
      <w:tr w:rsidR="00317C04" w:rsidRPr="00807CE7" w14:paraId="14BDF0DE" w14:textId="77777777" w:rsidTr="00317C04">
        <w:trPr>
          <w:trHeight w:val="340"/>
          <w:jc w:val="center"/>
        </w:trPr>
        <w:tc>
          <w:tcPr>
            <w:tcW w:w="2891" w:type="dxa"/>
            <w:shd w:val="clear" w:color="auto" w:fill="FFFFFF"/>
            <w:vAlign w:val="bottom"/>
          </w:tcPr>
          <w:p w14:paraId="358EF6DC"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Доходи від інвестицій, надходження Румунія</w:t>
            </w:r>
          </w:p>
        </w:tc>
        <w:tc>
          <w:tcPr>
            <w:tcW w:w="1134" w:type="dxa"/>
            <w:shd w:val="clear" w:color="auto" w:fill="auto"/>
            <w:vAlign w:val="center"/>
          </w:tcPr>
          <w:p w14:paraId="48A117C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525,4</w:t>
            </w:r>
          </w:p>
        </w:tc>
        <w:tc>
          <w:tcPr>
            <w:tcW w:w="1134" w:type="dxa"/>
            <w:shd w:val="clear" w:color="auto" w:fill="auto"/>
            <w:vAlign w:val="center"/>
          </w:tcPr>
          <w:p w14:paraId="671A46E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634,8</w:t>
            </w:r>
          </w:p>
        </w:tc>
        <w:tc>
          <w:tcPr>
            <w:tcW w:w="1134" w:type="dxa"/>
            <w:vAlign w:val="center"/>
          </w:tcPr>
          <w:p w14:paraId="761EA6F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922,4</w:t>
            </w:r>
          </w:p>
        </w:tc>
        <w:tc>
          <w:tcPr>
            <w:tcW w:w="1134" w:type="dxa"/>
            <w:vAlign w:val="center"/>
          </w:tcPr>
          <w:p w14:paraId="10F8418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926,8</w:t>
            </w:r>
          </w:p>
        </w:tc>
        <w:tc>
          <w:tcPr>
            <w:tcW w:w="1134" w:type="dxa"/>
            <w:vAlign w:val="center"/>
          </w:tcPr>
          <w:p w14:paraId="1EF68BD2"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889,2</w:t>
            </w:r>
          </w:p>
        </w:tc>
      </w:tr>
      <w:tr w:rsidR="00317C04" w:rsidRPr="00807CE7" w14:paraId="564D3E3A" w14:textId="77777777" w:rsidTr="00317C04">
        <w:trPr>
          <w:trHeight w:val="340"/>
          <w:jc w:val="center"/>
        </w:trPr>
        <w:tc>
          <w:tcPr>
            <w:tcW w:w="2891" w:type="dxa"/>
            <w:shd w:val="clear" w:color="auto" w:fill="FFFFFF"/>
            <w:vAlign w:val="bottom"/>
          </w:tcPr>
          <w:p w14:paraId="55CE1E15" w14:textId="77777777" w:rsidR="00317C04" w:rsidRPr="00807CE7" w:rsidRDefault="00317C04" w:rsidP="00BF6CFF">
            <w:pPr>
              <w:widowControl w:val="0"/>
              <w:suppressAutoHyphens/>
              <w:jc w:val="center"/>
              <w:rPr>
                <w:rFonts w:ascii="Times New Roman" w:eastAsia="Times New Roman" w:hAnsi="Times New Roman" w:cs="Times New Roman"/>
                <w:color w:val="202124"/>
              </w:rPr>
            </w:pPr>
            <w:r w:rsidRPr="00807CE7">
              <w:rPr>
                <w:rFonts w:ascii="Times New Roman" w:eastAsia="Times New Roman" w:hAnsi="Times New Roman" w:cs="Times New Roman"/>
                <w:color w:val="000000"/>
              </w:rPr>
              <w:t>Доходи від інвестицій, виплати Румунія</w:t>
            </w:r>
          </w:p>
        </w:tc>
        <w:tc>
          <w:tcPr>
            <w:tcW w:w="1134" w:type="dxa"/>
            <w:shd w:val="clear" w:color="auto" w:fill="auto"/>
            <w:vAlign w:val="center"/>
          </w:tcPr>
          <w:p w14:paraId="5F64F6A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8 470,9</w:t>
            </w:r>
          </w:p>
        </w:tc>
        <w:tc>
          <w:tcPr>
            <w:tcW w:w="1134" w:type="dxa"/>
            <w:shd w:val="clear" w:color="auto" w:fill="auto"/>
            <w:vAlign w:val="center"/>
          </w:tcPr>
          <w:p w14:paraId="3F5640A6"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10 305,4</w:t>
            </w:r>
          </w:p>
        </w:tc>
        <w:tc>
          <w:tcPr>
            <w:tcW w:w="1134" w:type="dxa"/>
            <w:vAlign w:val="center"/>
          </w:tcPr>
          <w:p w14:paraId="6AFB090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10 208,2</w:t>
            </w:r>
          </w:p>
        </w:tc>
        <w:tc>
          <w:tcPr>
            <w:tcW w:w="1134" w:type="dxa"/>
            <w:vAlign w:val="center"/>
          </w:tcPr>
          <w:p w14:paraId="3B97356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10 244,9</w:t>
            </w:r>
          </w:p>
        </w:tc>
        <w:tc>
          <w:tcPr>
            <w:tcW w:w="1134" w:type="dxa"/>
            <w:vAlign w:val="center"/>
          </w:tcPr>
          <w:p w14:paraId="32E7953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12 963,6</w:t>
            </w:r>
          </w:p>
        </w:tc>
      </w:tr>
      <w:tr w:rsidR="00317C04" w:rsidRPr="00807CE7" w14:paraId="6069EE8F" w14:textId="77777777" w:rsidTr="00317C04">
        <w:trPr>
          <w:trHeight w:val="340"/>
          <w:jc w:val="center"/>
        </w:trPr>
        <w:tc>
          <w:tcPr>
            <w:tcW w:w="2891" w:type="dxa"/>
            <w:shd w:val="clear" w:color="auto" w:fill="FFFFFF"/>
            <w:vAlign w:val="center"/>
          </w:tcPr>
          <w:p w14:paraId="6C5907EA"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доходів від інвестицій Румунія</w:t>
            </w:r>
          </w:p>
        </w:tc>
        <w:tc>
          <w:tcPr>
            <w:tcW w:w="1134" w:type="dxa"/>
            <w:shd w:val="clear" w:color="auto" w:fill="auto"/>
            <w:vAlign w:val="center"/>
          </w:tcPr>
          <w:p w14:paraId="2E919BD6"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-7 945,5</w:t>
            </w:r>
          </w:p>
        </w:tc>
        <w:tc>
          <w:tcPr>
            <w:tcW w:w="1134" w:type="dxa"/>
            <w:shd w:val="clear" w:color="auto" w:fill="auto"/>
            <w:vAlign w:val="center"/>
          </w:tcPr>
          <w:p w14:paraId="23143616"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-9 670,6</w:t>
            </w:r>
          </w:p>
        </w:tc>
        <w:tc>
          <w:tcPr>
            <w:tcW w:w="1134" w:type="dxa"/>
            <w:vAlign w:val="center"/>
          </w:tcPr>
          <w:p w14:paraId="596BBF8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-9 285,8</w:t>
            </w:r>
          </w:p>
        </w:tc>
        <w:tc>
          <w:tcPr>
            <w:tcW w:w="1134" w:type="dxa"/>
            <w:vAlign w:val="center"/>
          </w:tcPr>
          <w:p w14:paraId="15A0BB6D"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-9 318,1</w:t>
            </w:r>
          </w:p>
        </w:tc>
        <w:tc>
          <w:tcPr>
            <w:tcW w:w="1134" w:type="dxa"/>
            <w:vAlign w:val="center"/>
          </w:tcPr>
          <w:p w14:paraId="5242FC58"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-12 074,4</w:t>
            </w:r>
          </w:p>
        </w:tc>
      </w:tr>
      <w:tr w:rsidR="00317C04" w:rsidRPr="00807CE7" w14:paraId="5C6B3ED3" w14:textId="77777777" w:rsidTr="00317C04">
        <w:trPr>
          <w:trHeight w:val="340"/>
          <w:jc w:val="center"/>
        </w:trPr>
        <w:tc>
          <w:tcPr>
            <w:tcW w:w="2891" w:type="dxa"/>
            <w:shd w:val="clear" w:color="auto" w:fill="FFFFFF"/>
            <w:vAlign w:val="bottom"/>
          </w:tcPr>
          <w:p w14:paraId="5AF1C7AD" w14:textId="77777777" w:rsidR="00317C04" w:rsidRPr="00807CE7" w:rsidRDefault="00317C04" w:rsidP="00BF6CFF">
            <w:pPr>
              <w:widowControl w:val="0"/>
              <w:suppressAutoHyphens/>
              <w:jc w:val="center"/>
              <w:rPr>
                <w:rFonts w:ascii="Times New Roman" w:eastAsia="Times New Roman" w:hAnsi="Times New Roman" w:cs="Times New Roman"/>
                <w:color w:val="202124"/>
              </w:rPr>
            </w:pPr>
            <w:r w:rsidRPr="00807CE7">
              <w:rPr>
                <w:rFonts w:ascii="Times New Roman" w:eastAsia="Times New Roman" w:hAnsi="Times New Roman" w:cs="Times New Roman"/>
                <w:color w:val="000000"/>
              </w:rPr>
              <w:t>Доходи від інвестицій, надходження Болгарія</w:t>
            </w:r>
          </w:p>
        </w:tc>
        <w:tc>
          <w:tcPr>
            <w:tcW w:w="1134" w:type="dxa"/>
            <w:shd w:val="clear" w:color="auto" w:fill="auto"/>
            <w:vAlign w:val="center"/>
          </w:tcPr>
          <w:p w14:paraId="08862EF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671,8</w:t>
            </w:r>
          </w:p>
        </w:tc>
        <w:tc>
          <w:tcPr>
            <w:tcW w:w="1134" w:type="dxa"/>
            <w:shd w:val="clear" w:color="auto" w:fill="auto"/>
            <w:vAlign w:val="center"/>
          </w:tcPr>
          <w:p w14:paraId="1EC54C0C"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337,2</w:t>
            </w:r>
          </w:p>
        </w:tc>
        <w:tc>
          <w:tcPr>
            <w:tcW w:w="1134" w:type="dxa"/>
            <w:vAlign w:val="center"/>
          </w:tcPr>
          <w:p w14:paraId="12031B5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486,7</w:t>
            </w:r>
          </w:p>
        </w:tc>
        <w:tc>
          <w:tcPr>
            <w:tcW w:w="1134" w:type="dxa"/>
            <w:vAlign w:val="center"/>
          </w:tcPr>
          <w:p w14:paraId="1C3B9352"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387,5</w:t>
            </w:r>
          </w:p>
        </w:tc>
        <w:tc>
          <w:tcPr>
            <w:tcW w:w="1134" w:type="dxa"/>
            <w:vAlign w:val="center"/>
          </w:tcPr>
          <w:p w14:paraId="348F80A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888,2</w:t>
            </w:r>
          </w:p>
        </w:tc>
      </w:tr>
      <w:tr w:rsidR="00317C04" w:rsidRPr="00807CE7" w14:paraId="0806F609" w14:textId="77777777" w:rsidTr="00317C04">
        <w:trPr>
          <w:trHeight w:val="340"/>
          <w:jc w:val="center"/>
        </w:trPr>
        <w:tc>
          <w:tcPr>
            <w:tcW w:w="2891" w:type="dxa"/>
            <w:shd w:val="clear" w:color="auto" w:fill="FFFFFF"/>
            <w:vAlign w:val="bottom"/>
          </w:tcPr>
          <w:p w14:paraId="19560DC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Доходи від інвестицій, виплати Болгарія</w:t>
            </w:r>
          </w:p>
        </w:tc>
        <w:tc>
          <w:tcPr>
            <w:tcW w:w="1134" w:type="dxa"/>
            <w:shd w:val="clear" w:color="auto" w:fill="auto"/>
            <w:vAlign w:val="center"/>
          </w:tcPr>
          <w:p w14:paraId="155B6D7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3 982,1</w:t>
            </w:r>
          </w:p>
        </w:tc>
        <w:tc>
          <w:tcPr>
            <w:tcW w:w="1134" w:type="dxa"/>
            <w:shd w:val="clear" w:color="auto" w:fill="auto"/>
            <w:vAlign w:val="center"/>
          </w:tcPr>
          <w:p w14:paraId="6F82ACA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4 350,2</w:t>
            </w:r>
          </w:p>
        </w:tc>
        <w:tc>
          <w:tcPr>
            <w:tcW w:w="1134" w:type="dxa"/>
            <w:vAlign w:val="center"/>
          </w:tcPr>
          <w:p w14:paraId="0326F87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4 207,4</w:t>
            </w:r>
          </w:p>
        </w:tc>
        <w:tc>
          <w:tcPr>
            <w:tcW w:w="1134" w:type="dxa"/>
            <w:vAlign w:val="center"/>
          </w:tcPr>
          <w:p w14:paraId="09158BC6"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4 147,3</w:t>
            </w:r>
          </w:p>
        </w:tc>
        <w:tc>
          <w:tcPr>
            <w:tcW w:w="1134" w:type="dxa"/>
            <w:vAlign w:val="center"/>
          </w:tcPr>
          <w:p w14:paraId="1A9FEF6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5 209,6</w:t>
            </w:r>
          </w:p>
        </w:tc>
      </w:tr>
      <w:tr w:rsidR="00317C04" w:rsidRPr="00807CE7" w14:paraId="1D217A62" w14:textId="77777777" w:rsidTr="00317C04">
        <w:trPr>
          <w:trHeight w:val="340"/>
          <w:jc w:val="center"/>
        </w:trPr>
        <w:tc>
          <w:tcPr>
            <w:tcW w:w="2891" w:type="dxa"/>
            <w:shd w:val="clear" w:color="auto" w:fill="FFFFFF"/>
            <w:vAlign w:val="center"/>
          </w:tcPr>
          <w:p w14:paraId="0E197CD8"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доходів від інвестицій Болгарія</w:t>
            </w:r>
          </w:p>
        </w:tc>
        <w:tc>
          <w:tcPr>
            <w:tcW w:w="1134" w:type="dxa"/>
            <w:shd w:val="clear" w:color="auto" w:fill="auto"/>
            <w:vAlign w:val="center"/>
          </w:tcPr>
          <w:p w14:paraId="02D723D5"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-3 310,3</w:t>
            </w:r>
          </w:p>
        </w:tc>
        <w:tc>
          <w:tcPr>
            <w:tcW w:w="1134" w:type="dxa"/>
            <w:shd w:val="clear" w:color="auto" w:fill="auto"/>
            <w:vAlign w:val="center"/>
          </w:tcPr>
          <w:p w14:paraId="12864470"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-4 013,0</w:t>
            </w:r>
          </w:p>
        </w:tc>
        <w:tc>
          <w:tcPr>
            <w:tcW w:w="1134" w:type="dxa"/>
            <w:vAlign w:val="center"/>
          </w:tcPr>
          <w:p w14:paraId="43FC324D"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-3 720,7</w:t>
            </w:r>
          </w:p>
        </w:tc>
        <w:tc>
          <w:tcPr>
            <w:tcW w:w="1134" w:type="dxa"/>
            <w:vAlign w:val="center"/>
          </w:tcPr>
          <w:p w14:paraId="3D22903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-3 759,7</w:t>
            </w:r>
          </w:p>
        </w:tc>
        <w:tc>
          <w:tcPr>
            <w:tcW w:w="1134" w:type="dxa"/>
            <w:vAlign w:val="center"/>
          </w:tcPr>
          <w:p w14:paraId="7204A1FE"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-4 321,4</w:t>
            </w:r>
          </w:p>
        </w:tc>
      </w:tr>
      <w:tr w:rsidR="00317C04" w:rsidRPr="00807CE7" w14:paraId="46A6FCE5" w14:textId="77777777" w:rsidTr="00317C04">
        <w:trPr>
          <w:trHeight w:val="340"/>
          <w:jc w:val="center"/>
        </w:trPr>
        <w:tc>
          <w:tcPr>
            <w:tcW w:w="2891" w:type="dxa"/>
            <w:shd w:val="clear" w:color="auto" w:fill="FFFFFF"/>
            <w:vAlign w:val="center"/>
          </w:tcPr>
          <w:p w14:paraId="2860D4C6"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Оплата праці, надходження Румунія</w:t>
            </w:r>
          </w:p>
        </w:tc>
        <w:tc>
          <w:tcPr>
            <w:tcW w:w="1134" w:type="dxa"/>
            <w:shd w:val="clear" w:color="auto" w:fill="auto"/>
            <w:vAlign w:val="center"/>
          </w:tcPr>
          <w:p w14:paraId="25CF7B3C"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3 357,1</w:t>
            </w:r>
          </w:p>
        </w:tc>
        <w:tc>
          <w:tcPr>
            <w:tcW w:w="1134" w:type="dxa"/>
            <w:shd w:val="clear" w:color="auto" w:fill="auto"/>
            <w:vAlign w:val="center"/>
          </w:tcPr>
          <w:p w14:paraId="23B7755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3 470,4</w:t>
            </w:r>
          </w:p>
        </w:tc>
        <w:tc>
          <w:tcPr>
            <w:tcW w:w="1134" w:type="dxa"/>
            <w:vAlign w:val="center"/>
          </w:tcPr>
          <w:p w14:paraId="501CEAC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4 024,1</w:t>
            </w:r>
          </w:p>
        </w:tc>
        <w:tc>
          <w:tcPr>
            <w:tcW w:w="1134" w:type="dxa"/>
            <w:vAlign w:val="center"/>
          </w:tcPr>
          <w:p w14:paraId="00670D1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3 703,4</w:t>
            </w:r>
          </w:p>
        </w:tc>
        <w:tc>
          <w:tcPr>
            <w:tcW w:w="1134" w:type="dxa"/>
            <w:vAlign w:val="center"/>
          </w:tcPr>
          <w:p w14:paraId="0C6ED5F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4 535,1</w:t>
            </w:r>
          </w:p>
        </w:tc>
      </w:tr>
      <w:tr w:rsidR="00317C04" w:rsidRPr="00807CE7" w14:paraId="2EBD979B" w14:textId="77777777" w:rsidTr="00317C04">
        <w:trPr>
          <w:trHeight w:val="340"/>
          <w:jc w:val="center"/>
        </w:trPr>
        <w:tc>
          <w:tcPr>
            <w:tcW w:w="2891" w:type="dxa"/>
            <w:shd w:val="clear" w:color="auto" w:fill="FFFFFF"/>
            <w:vAlign w:val="center"/>
          </w:tcPr>
          <w:p w14:paraId="0F40C5A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Оплата праці, виплати Румунія</w:t>
            </w:r>
          </w:p>
        </w:tc>
        <w:tc>
          <w:tcPr>
            <w:tcW w:w="1134" w:type="dxa"/>
            <w:shd w:val="clear" w:color="auto" w:fill="auto"/>
            <w:vAlign w:val="center"/>
          </w:tcPr>
          <w:p w14:paraId="42EC765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104,8</w:t>
            </w:r>
          </w:p>
        </w:tc>
        <w:tc>
          <w:tcPr>
            <w:tcW w:w="1134" w:type="dxa"/>
            <w:shd w:val="clear" w:color="auto" w:fill="auto"/>
            <w:vAlign w:val="center"/>
          </w:tcPr>
          <w:p w14:paraId="048477B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123,2</w:t>
            </w:r>
          </w:p>
        </w:tc>
        <w:tc>
          <w:tcPr>
            <w:tcW w:w="1134" w:type="dxa"/>
            <w:vAlign w:val="center"/>
          </w:tcPr>
          <w:p w14:paraId="68F1835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115,7</w:t>
            </w:r>
          </w:p>
        </w:tc>
        <w:tc>
          <w:tcPr>
            <w:tcW w:w="1134" w:type="dxa"/>
            <w:vAlign w:val="center"/>
          </w:tcPr>
          <w:p w14:paraId="144894F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146,1</w:t>
            </w:r>
          </w:p>
        </w:tc>
        <w:tc>
          <w:tcPr>
            <w:tcW w:w="1134" w:type="dxa"/>
            <w:vAlign w:val="center"/>
          </w:tcPr>
          <w:p w14:paraId="3F87CB4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206,9</w:t>
            </w:r>
          </w:p>
        </w:tc>
      </w:tr>
      <w:tr w:rsidR="00317C04" w:rsidRPr="00807CE7" w14:paraId="410ACE24" w14:textId="77777777" w:rsidTr="00317C04">
        <w:trPr>
          <w:trHeight w:val="340"/>
          <w:jc w:val="center"/>
        </w:trPr>
        <w:tc>
          <w:tcPr>
            <w:tcW w:w="2891" w:type="dxa"/>
            <w:shd w:val="clear" w:color="auto" w:fill="FFFFFF"/>
            <w:vAlign w:val="center"/>
          </w:tcPr>
          <w:p w14:paraId="3A6DF465"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оплати праці Румунія</w:t>
            </w:r>
          </w:p>
        </w:tc>
        <w:tc>
          <w:tcPr>
            <w:tcW w:w="1134" w:type="dxa"/>
            <w:shd w:val="clear" w:color="auto" w:fill="auto"/>
            <w:vAlign w:val="center"/>
          </w:tcPr>
          <w:p w14:paraId="27458D6D"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3 252,3</w:t>
            </w:r>
          </w:p>
        </w:tc>
        <w:tc>
          <w:tcPr>
            <w:tcW w:w="1134" w:type="dxa"/>
            <w:shd w:val="clear" w:color="auto" w:fill="auto"/>
            <w:vAlign w:val="center"/>
          </w:tcPr>
          <w:p w14:paraId="324F540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3 347,2</w:t>
            </w:r>
          </w:p>
        </w:tc>
        <w:tc>
          <w:tcPr>
            <w:tcW w:w="1134" w:type="dxa"/>
            <w:vAlign w:val="center"/>
          </w:tcPr>
          <w:p w14:paraId="2858858A"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3 908,5</w:t>
            </w:r>
          </w:p>
        </w:tc>
        <w:tc>
          <w:tcPr>
            <w:tcW w:w="1134" w:type="dxa"/>
            <w:vAlign w:val="center"/>
          </w:tcPr>
          <w:p w14:paraId="6707BA8D"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3 557,4</w:t>
            </w:r>
          </w:p>
        </w:tc>
        <w:tc>
          <w:tcPr>
            <w:tcW w:w="1134" w:type="dxa"/>
            <w:vAlign w:val="center"/>
          </w:tcPr>
          <w:p w14:paraId="2E8C8EA3"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4 328,2</w:t>
            </w:r>
          </w:p>
        </w:tc>
      </w:tr>
      <w:tr w:rsidR="00317C04" w:rsidRPr="00807CE7" w14:paraId="46E5A387" w14:textId="77777777" w:rsidTr="00317C04">
        <w:trPr>
          <w:trHeight w:val="340"/>
          <w:jc w:val="center"/>
        </w:trPr>
        <w:tc>
          <w:tcPr>
            <w:tcW w:w="2891" w:type="dxa"/>
            <w:shd w:val="clear" w:color="auto" w:fill="FFFFFF"/>
            <w:vAlign w:val="center"/>
          </w:tcPr>
          <w:p w14:paraId="5693112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Оплата праці, надходження Болгарія</w:t>
            </w:r>
          </w:p>
        </w:tc>
        <w:tc>
          <w:tcPr>
            <w:tcW w:w="1134" w:type="dxa"/>
            <w:shd w:val="clear" w:color="auto" w:fill="auto"/>
            <w:vAlign w:val="center"/>
          </w:tcPr>
          <w:p w14:paraId="63069382"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905,4</w:t>
            </w:r>
          </w:p>
        </w:tc>
        <w:tc>
          <w:tcPr>
            <w:tcW w:w="1134" w:type="dxa"/>
            <w:shd w:val="clear" w:color="auto" w:fill="auto"/>
            <w:vAlign w:val="center"/>
          </w:tcPr>
          <w:p w14:paraId="0E55C9D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1 005,0</w:t>
            </w:r>
          </w:p>
        </w:tc>
        <w:tc>
          <w:tcPr>
            <w:tcW w:w="1134" w:type="dxa"/>
            <w:vAlign w:val="center"/>
          </w:tcPr>
          <w:p w14:paraId="0C2D920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977,2</w:t>
            </w:r>
          </w:p>
        </w:tc>
        <w:tc>
          <w:tcPr>
            <w:tcW w:w="1134" w:type="dxa"/>
            <w:vAlign w:val="center"/>
          </w:tcPr>
          <w:p w14:paraId="4B48DF1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553,8</w:t>
            </w:r>
          </w:p>
        </w:tc>
        <w:tc>
          <w:tcPr>
            <w:tcW w:w="1134" w:type="dxa"/>
            <w:vAlign w:val="center"/>
          </w:tcPr>
          <w:p w14:paraId="45A3D53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595,7</w:t>
            </w:r>
          </w:p>
        </w:tc>
      </w:tr>
      <w:tr w:rsidR="00317C04" w:rsidRPr="00807CE7" w14:paraId="26503C55" w14:textId="77777777" w:rsidTr="00317C04">
        <w:trPr>
          <w:trHeight w:val="340"/>
          <w:jc w:val="center"/>
        </w:trPr>
        <w:tc>
          <w:tcPr>
            <w:tcW w:w="2891" w:type="dxa"/>
            <w:shd w:val="clear" w:color="auto" w:fill="FFFFFF"/>
            <w:vAlign w:val="center"/>
          </w:tcPr>
          <w:p w14:paraId="72BF525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Оплата праці, виплати Болгарія</w:t>
            </w:r>
          </w:p>
        </w:tc>
        <w:tc>
          <w:tcPr>
            <w:tcW w:w="1134" w:type="dxa"/>
            <w:shd w:val="clear" w:color="auto" w:fill="auto"/>
            <w:vAlign w:val="center"/>
          </w:tcPr>
          <w:p w14:paraId="30C623A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141,0</w:t>
            </w:r>
          </w:p>
        </w:tc>
        <w:tc>
          <w:tcPr>
            <w:tcW w:w="1134" w:type="dxa"/>
            <w:shd w:val="clear" w:color="auto" w:fill="auto"/>
            <w:vAlign w:val="center"/>
          </w:tcPr>
          <w:p w14:paraId="3C528DE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171,2</w:t>
            </w:r>
          </w:p>
        </w:tc>
        <w:tc>
          <w:tcPr>
            <w:tcW w:w="1134" w:type="dxa"/>
            <w:vAlign w:val="center"/>
          </w:tcPr>
          <w:p w14:paraId="461B387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181,3</w:t>
            </w:r>
          </w:p>
        </w:tc>
        <w:tc>
          <w:tcPr>
            <w:tcW w:w="1134" w:type="dxa"/>
            <w:vAlign w:val="center"/>
          </w:tcPr>
          <w:p w14:paraId="1D5189F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173,1</w:t>
            </w:r>
          </w:p>
        </w:tc>
        <w:tc>
          <w:tcPr>
            <w:tcW w:w="1134" w:type="dxa"/>
            <w:vAlign w:val="center"/>
          </w:tcPr>
          <w:p w14:paraId="5C25A72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133,5</w:t>
            </w:r>
          </w:p>
        </w:tc>
      </w:tr>
      <w:tr w:rsidR="00317C04" w:rsidRPr="00807CE7" w14:paraId="7B8D171C" w14:textId="77777777" w:rsidTr="00317C04">
        <w:trPr>
          <w:trHeight w:val="340"/>
          <w:jc w:val="center"/>
        </w:trPr>
        <w:tc>
          <w:tcPr>
            <w:tcW w:w="2891" w:type="dxa"/>
            <w:shd w:val="clear" w:color="auto" w:fill="FFFFFF"/>
            <w:vAlign w:val="center"/>
          </w:tcPr>
          <w:p w14:paraId="6F27602B"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оплати праці Болгарія</w:t>
            </w:r>
          </w:p>
        </w:tc>
        <w:tc>
          <w:tcPr>
            <w:tcW w:w="1134" w:type="dxa"/>
            <w:shd w:val="clear" w:color="auto" w:fill="auto"/>
            <w:vAlign w:val="center"/>
          </w:tcPr>
          <w:p w14:paraId="54A142E9"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764,5</w:t>
            </w:r>
          </w:p>
        </w:tc>
        <w:tc>
          <w:tcPr>
            <w:tcW w:w="1134" w:type="dxa"/>
            <w:shd w:val="clear" w:color="auto" w:fill="auto"/>
            <w:vAlign w:val="center"/>
          </w:tcPr>
          <w:p w14:paraId="4990D70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833,8</w:t>
            </w:r>
          </w:p>
        </w:tc>
        <w:tc>
          <w:tcPr>
            <w:tcW w:w="1134" w:type="dxa"/>
            <w:vAlign w:val="center"/>
          </w:tcPr>
          <w:p w14:paraId="5497424D"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796,0</w:t>
            </w:r>
          </w:p>
        </w:tc>
        <w:tc>
          <w:tcPr>
            <w:tcW w:w="1134" w:type="dxa"/>
            <w:vAlign w:val="center"/>
          </w:tcPr>
          <w:p w14:paraId="49D7545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380,7</w:t>
            </w:r>
          </w:p>
        </w:tc>
        <w:tc>
          <w:tcPr>
            <w:tcW w:w="1134" w:type="dxa"/>
            <w:vAlign w:val="center"/>
          </w:tcPr>
          <w:p w14:paraId="64CC9687"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462,3</w:t>
            </w:r>
          </w:p>
        </w:tc>
      </w:tr>
      <w:tr w:rsidR="00317C04" w:rsidRPr="00807CE7" w14:paraId="5AC24F7F" w14:textId="77777777" w:rsidTr="00317C04">
        <w:trPr>
          <w:trHeight w:val="340"/>
          <w:jc w:val="center"/>
        </w:trPr>
        <w:tc>
          <w:tcPr>
            <w:tcW w:w="2891" w:type="dxa"/>
            <w:shd w:val="clear" w:color="auto" w:fill="FFFFFF"/>
            <w:vAlign w:val="center"/>
          </w:tcPr>
          <w:p w14:paraId="6EBC950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Вторинні доходи, надходження Румунія</w:t>
            </w:r>
          </w:p>
        </w:tc>
        <w:tc>
          <w:tcPr>
            <w:tcW w:w="1134" w:type="dxa"/>
            <w:shd w:val="clear" w:color="auto" w:fill="auto"/>
            <w:vAlign w:val="center"/>
          </w:tcPr>
          <w:p w14:paraId="53ADA06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5 153,6</w:t>
            </w:r>
          </w:p>
        </w:tc>
        <w:tc>
          <w:tcPr>
            <w:tcW w:w="1134" w:type="dxa"/>
            <w:shd w:val="clear" w:color="auto" w:fill="auto"/>
            <w:vAlign w:val="center"/>
          </w:tcPr>
          <w:p w14:paraId="46F07E0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5 178,7</w:t>
            </w:r>
          </w:p>
        </w:tc>
        <w:tc>
          <w:tcPr>
            <w:tcW w:w="1134" w:type="dxa"/>
            <w:vAlign w:val="center"/>
          </w:tcPr>
          <w:p w14:paraId="13203CEC"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6 211,2</w:t>
            </w:r>
          </w:p>
        </w:tc>
        <w:tc>
          <w:tcPr>
            <w:tcW w:w="1134" w:type="dxa"/>
            <w:vAlign w:val="center"/>
          </w:tcPr>
          <w:p w14:paraId="56CDE3C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6 679,4</w:t>
            </w:r>
          </w:p>
        </w:tc>
        <w:tc>
          <w:tcPr>
            <w:tcW w:w="1134" w:type="dxa"/>
            <w:vAlign w:val="center"/>
          </w:tcPr>
          <w:p w14:paraId="33A926E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6 731,3</w:t>
            </w:r>
          </w:p>
        </w:tc>
      </w:tr>
      <w:tr w:rsidR="00317C04" w:rsidRPr="00807CE7" w14:paraId="4555E7E3" w14:textId="77777777" w:rsidTr="00317C04">
        <w:trPr>
          <w:trHeight w:val="340"/>
          <w:jc w:val="center"/>
        </w:trPr>
        <w:tc>
          <w:tcPr>
            <w:tcW w:w="2891" w:type="dxa"/>
            <w:shd w:val="clear" w:color="auto" w:fill="FFFFFF"/>
            <w:vAlign w:val="center"/>
          </w:tcPr>
          <w:p w14:paraId="6B70AA4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Вторинні доходи, виплати Румунія</w:t>
            </w:r>
          </w:p>
        </w:tc>
        <w:tc>
          <w:tcPr>
            <w:tcW w:w="1134" w:type="dxa"/>
            <w:shd w:val="clear" w:color="auto" w:fill="auto"/>
            <w:vAlign w:val="center"/>
          </w:tcPr>
          <w:p w14:paraId="5C4067C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3 463,8</w:t>
            </w:r>
          </w:p>
        </w:tc>
        <w:tc>
          <w:tcPr>
            <w:tcW w:w="1134" w:type="dxa"/>
            <w:shd w:val="clear" w:color="auto" w:fill="auto"/>
            <w:vAlign w:val="center"/>
          </w:tcPr>
          <w:p w14:paraId="2DD9904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3 716,6</w:t>
            </w:r>
          </w:p>
        </w:tc>
        <w:tc>
          <w:tcPr>
            <w:tcW w:w="1134" w:type="dxa"/>
            <w:vAlign w:val="center"/>
          </w:tcPr>
          <w:p w14:paraId="0E802DD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4 560,7</w:t>
            </w:r>
          </w:p>
        </w:tc>
        <w:tc>
          <w:tcPr>
            <w:tcW w:w="1134" w:type="dxa"/>
            <w:vAlign w:val="center"/>
          </w:tcPr>
          <w:p w14:paraId="666A456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4 449,0</w:t>
            </w:r>
          </w:p>
        </w:tc>
        <w:tc>
          <w:tcPr>
            <w:tcW w:w="1134" w:type="dxa"/>
            <w:vAlign w:val="center"/>
          </w:tcPr>
          <w:p w14:paraId="15F4524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5 468,2</w:t>
            </w:r>
          </w:p>
        </w:tc>
      </w:tr>
      <w:tr w:rsidR="00317C04" w:rsidRPr="00807CE7" w14:paraId="10801546" w14:textId="77777777" w:rsidTr="00317C04">
        <w:trPr>
          <w:trHeight w:val="340"/>
          <w:jc w:val="center"/>
        </w:trPr>
        <w:tc>
          <w:tcPr>
            <w:tcW w:w="2891" w:type="dxa"/>
            <w:shd w:val="clear" w:color="auto" w:fill="FFFFFF"/>
            <w:vAlign w:val="center"/>
          </w:tcPr>
          <w:p w14:paraId="0BADD48C"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lastRenderedPageBreak/>
              <w:t>Сальдо вторинних доходів Румунія</w:t>
            </w:r>
          </w:p>
        </w:tc>
        <w:tc>
          <w:tcPr>
            <w:tcW w:w="1134" w:type="dxa"/>
            <w:shd w:val="clear" w:color="auto" w:fill="auto"/>
            <w:vAlign w:val="center"/>
          </w:tcPr>
          <w:p w14:paraId="26BFB39C"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1 689,8</w:t>
            </w:r>
          </w:p>
        </w:tc>
        <w:tc>
          <w:tcPr>
            <w:tcW w:w="1134" w:type="dxa"/>
            <w:shd w:val="clear" w:color="auto" w:fill="auto"/>
            <w:vAlign w:val="center"/>
          </w:tcPr>
          <w:p w14:paraId="235A3CB8"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1 462,1</w:t>
            </w:r>
          </w:p>
        </w:tc>
        <w:tc>
          <w:tcPr>
            <w:tcW w:w="1134" w:type="dxa"/>
            <w:vAlign w:val="center"/>
          </w:tcPr>
          <w:p w14:paraId="57D8188A"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1 650,3</w:t>
            </w:r>
          </w:p>
        </w:tc>
        <w:tc>
          <w:tcPr>
            <w:tcW w:w="1134" w:type="dxa"/>
            <w:vAlign w:val="center"/>
          </w:tcPr>
          <w:p w14:paraId="18323ABB"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2 230,2</w:t>
            </w:r>
          </w:p>
        </w:tc>
        <w:tc>
          <w:tcPr>
            <w:tcW w:w="1134" w:type="dxa"/>
            <w:vAlign w:val="center"/>
          </w:tcPr>
          <w:p w14:paraId="5A03CE2E"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1 263,0</w:t>
            </w:r>
          </w:p>
        </w:tc>
      </w:tr>
      <w:tr w:rsidR="00317C04" w:rsidRPr="00807CE7" w14:paraId="620A4121" w14:textId="77777777" w:rsidTr="00317C04">
        <w:trPr>
          <w:trHeight w:val="340"/>
          <w:jc w:val="center"/>
        </w:trPr>
        <w:tc>
          <w:tcPr>
            <w:tcW w:w="2891" w:type="dxa"/>
            <w:shd w:val="clear" w:color="auto" w:fill="FFFFFF"/>
            <w:vAlign w:val="center"/>
          </w:tcPr>
          <w:p w14:paraId="1CBCD42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Вторинні доходи, надходження Болгарія</w:t>
            </w:r>
          </w:p>
        </w:tc>
        <w:tc>
          <w:tcPr>
            <w:tcW w:w="1134" w:type="dxa"/>
            <w:shd w:val="clear" w:color="auto" w:fill="auto"/>
            <w:vAlign w:val="center"/>
          </w:tcPr>
          <w:p w14:paraId="1323BF1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2 956,1</w:t>
            </w:r>
          </w:p>
        </w:tc>
        <w:tc>
          <w:tcPr>
            <w:tcW w:w="1134" w:type="dxa"/>
            <w:shd w:val="clear" w:color="auto" w:fill="auto"/>
            <w:vAlign w:val="center"/>
          </w:tcPr>
          <w:p w14:paraId="5D660CC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3 513,4</w:t>
            </w:r>
          </w:p>
        </w:tc>
        <w:tc>
          <w:tcPr>
            <w:tcW w:w="1134" w:type="dxa"/>
            <w:vAlign w:val="center"/>
          </w:tcPr>
          <w:p w14:paraId="2F03FB3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3 424,7</w:t>
            </w:r>
          </w:p>
        </w:tc>
        <w:tc>
          <w:tcPr>
            <w:tcW w:w="1134" w:type="dxa"/>
            <w:vAlign w:val="center"/>
          </w:tcPr>
          <w:p w14:paraId="46C9422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2 495,9</w:t>
            </w:r>
          </w:p>
        </w:tc>
        <w:tc>
          <w:tcPr>
            <w:tcW w:w="1134" w:type="dxa"/>
            <w:vAlign w:val="center"/>
          </w:tcPr>
          <w:p w14:paraId="31FC7FF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2 688,4</w:t>
            </w:r>
          </w:p>
        </w:tc>
      </w:tr>
      <w:tr w:rsidR="00317C04" w:rsidRPr="00807CE7" w14:paraId="095FB442" w14:textId="77777777" w:rsidTr="00317C04">
        <w:trPr>
          <w:trHeight w:val="340"/>
          <w:jc w:val="center"/>
        </w:trPr>
        <w:tc>
          <w:tcPr>
            <w:tcW w:w="2891" w:type="dxa"/>
            <w:shd w:val="clear" w:color="auto" w:fill="FFFFFF"/>
            <w:vAlign w:val="center"/>
          </w:tcPr>
          <w:p w14:paraId="3E71754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Вторинні доходи, виплати Болгарія</w:t>
            </w:r>
          </w:p>
        </w:tc>
        <w:tc>
          <w:tcPr>
            <w:tcW w:w="1134" w:type="dxa"/>
            <w:shd w:val="clear" w:color="auto" w:fill="auto"/>
            <w:vAlign w:val="center"/>
          </w:tcPr>
          <w:p w14:paraId="21AC893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1 031,8</w:t>
            </w:r>
          </w:p>
        </w:tc>
        <w:tc>
          <w:tcPr>
            <w:tcW w:w="1134" w:type="dxa"/>
            <w:shd w:val="clear" w:color="auto" w:fill="auto"/>
            <w:vAlign w:val="center"/>
          </w:tcPr>
          <w:p w14:paraId="7319092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1 387,2</w:t>
            </w:r>
          </w:p>
        </w:tc>
        <w:tc>
          <w:tcPr>
            <w:tcW w:w="1134" w:type="dxa"/>
            <w:vAlign w:val="center"/>
          </w:tcPr>
          <w:p w14:paraId="2281E96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1 435,0</w:t>
            </w:r>
          </w:p>
        </w:tc>
        <w:tc>
          <w:tcPr>
            <w:tcW w:w="1134" w:type="dxa"/>
            <w:vAlign w:val="center"/>
          </w:tcPr>
          <w:p w14:paraId="6CE3D72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1 367,3</w:t>
            </w:r>
          </w:p>
        </w:tc>
        <w:tc>
          <w:tcPr>
            <w:tcW w:w="1134" w:type="dxa"/>
            <w:vAlign w:val="center"/>
          </w:tcPr>
          <w:p w14:paraId="7BC2D37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1 706,5</w:t>
            </w:r>
          </w:p>
        </w:tc>
      </w:tr>
      <w:tr w:rsidR="00317C04" w:rsidRPr="00807CE7" w14:paraId="4EAC75D6" w14:textId="77777777" w:rsidTr="00317C04">
        <w:trPr>
          <w:trHeight w:val="340"/>
          <w:jc w:val="center"/>
        </w:trPr>
        <w:tc>
          <w:tcPr>
            <w:tcW w:w="2891" w:type="dxa"/>
            <w:shd w:val="clear" w:color="auto" w:fill="FFFFFF"/>
            <w:vAlign w:val="center"/>
          </w:tcPr>
          <w:p w14:paraId="3792F6A8"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вторинних доходів Болгарія</w:t>
            </w:r>
          </w:p>
        </w:tc>
        <w:tc>
          <w:tcPr>
            <w:tcW w:w="1134" w:type="dxa"/>
            <w:shd w:val="clear" w:color="auto" w:fill="auto"/>
            <w:vAlign w:val="center"/>
          </w:tcPr>
          <w:p w14:paraId="1C0D6B18"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1 924,3</w:t>
            </w:r>
          </w:p>
        </w:tc>
        <w:tc>
          <w:tcPr>
            <w:tcW w:w="1134" w:type="dxa"/>
            <w:shd w:val="clear" w:color="auto" w:fill="auto"/>
            <w:vAlign w:val="center"/>
          </w:tcPr>
          <w:p w14:paraId="49D225F3"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2 126,2</w:t>
            </w:r>
          </w:p>
        </w:tc>
        <w:tc>
          <w:tcPr>
            <w:tcW w:w="1134" w:type="dxa"/>
            <w:vAlign w:val="center"/>
          </w:tcPr>
          <w:p w14:paraId="1E06B7E4"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1 989,7</w:t>
            </w:r>
          </w:p>
        </w:tc>
        <w:tc>
          <w:tcPr>
            <w:tcW w:w="1134" w:type="dxa"/>
            <w:vAlign w:val="center"/>
          </w:tcPr>
          <w:p w14:paraId="02C96CCA"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1 128,7</w:t>
            </w:r>
          </w:p>
        </w:tc>
        <w:tc>
          <w:tcPr>
            <w:tcW w:w="1134" w:type="dxa"/>
            <w:vAlign w:val="center"/>
          </w:tcPr>
          <w:p w14:paraId="045F3563"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982,0</w:t>
            </w:r>
          </w:p>
        </w:tc>
      </w:tr>
      <w:tr w:rsidR="00317C04" w:rsidRPr="00807CE7" w14:paraId="681A527A" w14:textId="77777777" w:rsidTr="00317C04">
        <w:trPr>
          <w:trHeight w:val="340"/>
          <w:jc w:val="center"/>
        </w:trPr>
        <w:tc>
          <w:tcPr>
            <w:tcW w:w="2891" w:type="dxa"/>
            <w:shd w:val="clear" w:color="auto" w:fill="FFFFFF"/>
            <w:vAlign w:val="center"/>
          </w:tcPr>
          <w:p w14:paraId="4931719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Первинні доходи, надходження Румунія</w:t>
            </w:r>
          </w:p>
        </w:tc>
        <w:tc>
          <w:tcPr>
            <w:tcW w:w="1134" w:type="dxa"/>
            <w:shd w:val="clear" w:color="auto" w:fill="auto"/>
            <w:vAlign w:val="center"/>
          </w:tcPr>
          <w:p w14:paraId="08DFF92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5 864,6</w:t>
            </w:r>
          </w:p>
        </w:tc>
        <w:tc>
          <w:tcPr>
            <w:tcW w:w="1134" w:type="dxa"/>
            <w:shd w:val="clear" w:color="auto" w:fill="auto"/>
            <w:vAlign w:val="center"/>
          </w:tcPr>
          <w:p w14:paraId="1365858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6 276,5</w:t>
            </w:r>
          </w:p>
        </w:tc>
        <w:tc>
          <w:tcPr>
            <w:tcW w:w="1134" w:type="dxa"/>
            <w:vAlign w:val="center"/>
          </w:tcPr>
          <w:p w14:paraId="38C0C01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7 067,8</w:t>
            </w:r>
          </w:p>
        </w:tc>
        <w:tc>
          <w:tcPr>
            <w:tcW w:w="1134" w:type="dxa"/>
            <w:vAlign w:val="center"/>
          </w:tcPr>
          <w:p w14:paraId="5596451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6 759,6</w:t>
            </w:r>
          </w:p>
        </w:tc>
        <w:tc>
          <w:tcPr>
            <w:tcW w:w="1134" w:type="dxa"/>
            <w:vAlign w:val="center"/>
          </w:tcPr>
          <w:p w14:paraId="00E469A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7 769,0</w:t>
            </w:r>
          </w:p>
        </w:tc>
      </w:tr>
      <w:tr w:rsidR="00317C04" w:rsidRPr="00807CE7" w14:paraId="42488531" w14:textId="77777777" w:rsidTr="00317C04">
        <w:trPr>
          <w:trHeight w:val="340"/>
          <w:jc w:val="center"/>
        </w:trPr>
        <w:tc>
          <w:tcPr>
            <w:tcW w:w="2891" w:type="dxa"/>
            <w:shd w:val="clear" w:color="auto" w:fill="FFFFFF"/>
            <w:vAlign w:val="center"/>
          </w:tcPr>
          <w:p w14:paraId="54DAF60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Первинні доходи, виплати Румунія</w:t>
            </w:r>
          </w:p>
        </w:tc>
        <w:tc>
          <w:tcPr>
            <w:tcW w:w="1134" w:type="dxa"/>
            <w:shd w:val="clear" w:color="auto" w:fill="auto"/>
            <w:vAlign w:val="center"/>
          </w:tcPr>
          <w:p w14:paraId="6F1E217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8 835,0</w:t>
            </w:r>
          </w:p>
        </w:tc>
        <w:tc>
          <w:tcPr>
            <w:tcW w:w="1134" w:type="dxa"/>
            <w:shd w:val="clear" w:color="auto" w:fill="auto"/>
            <w:vAlign w:val="center"/>
          </w:tcPr>
          <w:p w14:paraId="71F7D7A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10 717,2</w:t>
            </w:r>
          </w:p>
        </w:tc>
        <w:tc>
          <w:tcPr>
            <w:tcW w:w="1134" w:type="dxa"/>
            <w:vAlign w:val="center"/>
          </w:tcPr>
          <w:p w14:paraId="4C183B3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10 620,1</w:t>
            </w:r>
          </w:p>
        </w:tc>
        <w:tc>
          <w:tcPr>
            <w:tcW w:w="1134" w:type="dxa"/>
            <w:vAlign w:val="center"/>
          </w:tcPr>
          <w:p w14:paraId="58A587D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10 649,3</w:t>
            </w:r>
          </w:p>
        </w:tc>
        <w:tc>
          <w:tcPr>
            <w:tcW w:w="1134" w:type="dxa"/>
            <w:vAlign w:val="center"/>
          </w:tcPr>
          <w:p w14:paraId="61587C5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13 482,5</w:t>
            </w:r>
          </w:p>
        </w:tc>
      </w:tr>
      <w:tr w:rsidR="00317C04" w:rsidRPr="00807CE7" w14:paraId="6E1C6C56" w14:textId="77777777" w:rsidTr="00317C04">
        <w:trPr>
          <w:trHeight w:val="340"/>
          <w:jc w:val="center"/>
        </w:trPr>
        <w:tc>
          <w:tcPr>
            <w:tcW w:w="2891" w:type="dxa"/>
            <w:shd w:val="clear" w:color="auto" w:fill="FFFFFF"/>
            <w:vAlign w:val="center"/>
          </w:tcPr>
          <w:p w14:paraId="732A79CC"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первинних доходів Румунія</w:t>
            </w:r>
          </w:p>
        </w:tc>
        <w:tc>
          <w:tcPr>
            <w:tcW w:w="1134" w:type="dxa"/>
            <w:shd w:val="clear" w:color="auto" w:fill="auto"/>
            <w:vAlign w:val="center"/>
          </w:tcPr>
          <w:p w14:paraId="3F8F6E83"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-2 970,3</w:t>
            </w:r>
          </w:p>
        </w:tc>
        <w:tc>
          <w:tcPr>
            <w:tcW w:w="1134" w:type="dxa"/>
            <w:shd w:val="clear" w:color="auto" w:fill="auto"/>
            <w:vAlign w:val="center"/>
          </w:tcPr>
          <w:p w14:paraId="7C8F648A"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-4 441,2</w:t>
            </w:r>
          </w:p>
        </w:tc>
        <w:tc>
          <w:tcPr>
            <w:tcW w:w="1134" w:type="dxa"/>
            <w:vAlign w:val="center"/>
          </w:tcPr>
          <w:p w14:paraId="2410F0E1"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-3 552,5</w:t>
            </w:r>
          </w:p>
        </w:tc>
        <w:tc>
          <w:tcPr>
            <w:tcW w:w="1134" w:type="dxa"/>
            <w:vAlign w:val="center"/>
          </w:tcPr>
          <w:p w14:paraId="38F5AD33"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-3 889,7</w:t>
            </w:r>
          </w:p>
        </w:tc>
        <w:tc>
          <w:tcPr>
            <w:tcW w:w="1134" w:type="dxa"/>
            <w:vAlign w:val="center"/>
          </w:tcPr>
          <w:p w14:paraId="44023F9D"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-5 713,3</w:t>
            </w:r>
          </w:p>
        </w:tc>
      </w:tr>
      <w:tr w:rsidR="00317C04" w:rsidRPr="00807CE7" w14:paraId="7CD9C377" w14:textId="77777777" w:rsidTr="00317C04">
        <w:trPr>
          <w:trHeight w:val="340"/>
          <w:jc w:val="center"/>
        </w:trPr>
        <w:tc>
          <w:tcPr>
            <w:tcW w:w="2891" w:type="dxa"/>
            <w:shd w:val="clear" w:color="auto" w:fill="FFFFFF"/>
            <w:vAlign w:val="center"/>
          </w:tcPr>
          <w:p w14:paraId="5375102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Первинні доходи, надходження Болгарія</w:t>
            </w:r>
          </w:p>
        </w:tc>
        <w:tc>
          <w:tcPr>
            <w:tcW w:w="1134" w:type="dxa"/>
            <w:shd w:val="clear" w:color="auto" w:fill="auto"/>
            <w:vAlign w:val="center"/>
          </w:tcPr>
          <w:p w14:paraId="4CF9C48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1 577,2</w:t>
            </w:r>
          </w:p>
        </w:tc>
        <w:tc>
          <w:tcPr>
            <w:tcW w:w="1134" w:type="dxa"/>
            <w:shd w:val="clear" w:color="auto" w:fill="auto"/>
            <w:vAlign w:val="center"/>
          </w:tcPr>
          <w:p w14:paraId="24F5E58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1 342,2</w:t>
            </w:r>
          </w:p>
        </w:tc>
        <w:tc>
          <w:tcPr>
            <w:tcW w:w="1134" w:type="dxa"/>
            <w:vAlign w:val="center"/>
          </w:tcPr>
          <w:p w14:paraId="0874695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1 464,0</w:t>
            </w:r>
          </w:p>
        </w:tc>
        <w:tc>
          <w:tcPr>
            <w:tcW w:w="1134" w:type="dxa"/>
            <w:vAlign w:val="center"/>
          </w:tcPr>
          <w:p w14:paraId="74FA89B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1 953,8</w:t>
            </w:r>
          </w:p>
        </w:tc>
        <w:tc>
          <w:tcPr>
            <w:tcW w:w="1134" w:type="dxa"/>
            <w:vAlign w:val="center"/>
          </w:tcPr>
          <w:p w14:paraId="4A81500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2 710,2</w:t>
            </w:r>
          </w:p>
        </w:tc>
      </w:tr>
      <w:tr w:rsidR="00317C04" w:rsidRPr="00807CE7" w14:paraId="00E81EC0" w14:textId="77777777" w:rsidTr="00317C04">
        <w:trPr>
          <w:trHeight w:val="340"/>
          <w:jc w:val="center"/>
        </w:trPr>
        <w:tc>
          <w:tcPr>
            <w:tcW w:w="2891" w:type="dxa"/>
            <w:shd w:val="clear" w:color="auto" w:fill="FFFFFF"/>
            <w:vAlign w:val="center"/>
          </w:tcPr>
          <w:p w14:paraId="492CB32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Первинні доходи, виплати Болгарія</w:t>
            </w:r>
          </w:p>
        </w:tc>
        <w:tc>
          <w:tcPr>
            <w:tcW w:w="1134" w:type="dxa"/>
            <w:shd w:val="clear" w:color="auto" w:fill="auto"/>
            <w:vAlign w:val="center"/>
          </w:tcPr>
          <w:p w14:paraId="52E2A46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4 123,1</w:t>
            </w:r>
          </w:p>
        </w:tc>
        <w:tc>
          <w:tcPr>
            <w:tcW w:w="1134" w:type="dxa"/>
            <w:shd w:val="clear" w:color="auto" w:fill="auto"/>
            <w:vAlign w:val="center"/>
          </w:tcPr>
          <w:p w14:paraId="5BCAFD0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4 521,4</w:t>
            </w:r>
          </w:p>
        </w:tc>
        <w:tc>
          <w:tcPr>
            <w:tcW w:w="1134" w:type="dxa"/>
            <w:vAlign w:val="center"/>
          </w:tcPr>
          <w:p w14:paraId="155AEDE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4 388,7</w:t>
            </w:r>
          </w:p>
        </w:tc>
        <w:tc>
          <w:tcPr>
            <w:tcW w:w="1134" w:type="dxa"/>
            <w:vAlign w:val="center"/>
          </w:tcPr>
          <w:p w14:paraId="5C65C5B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4 457,6</w:t>
            </w:r>
          </w:p>
        </w:tc>
        <w:tc>
          <w:tcPr>
            <w:tcW w:w="1134" w:type="dxa"/>
            <w:vAlign w:val="center"/>
          </w:tcPr>
          <w:p w14:paraId="475F78B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5 511,6</w:t>
            </w:r>
          </w:p>
        </w:tc>
      </w:tr>
      <w:tr w:rsidR="00317C04" w:rsidRPr="00807CE7" w14:paraId="3AC55562" w14:textId="77777777" w:rsidTr="00317C04">
        <w:trPr>
          <w:trHeight w:val="340"/>
          <w:jc w:val="center"/>
        </w:trPr>
        <w:tc>
          <w:tcPr>
            <w:tcW w:w="2891" w:type="dxa"/>
            <w:shd w:val="clear" w:color="auto" w:fill="FFFFFF"/>
            <w:vAlign w:val="center"/>
          </w:tcPr>
          <w:p w14:paraId="63F054F5"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первинних доходів Болгарія</w:t>
            </w:r>
          </w:p>
        </w:tc>
        <w:tc>
          <w:tcPr>
            <w:tcW w:w="1134" w:type="dxa"/>
            <w:shd w:val="clear" w:color="auto" w:fill="auto"/>
            <w:vAlign w:val="center"/>
          </w:tcPr>
          <w:p w14:paraId="15F83777"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-2 545,8</w:t>
            </w:r>
          </w:p>
        </w:tc>
        <w:tc>
          <w:tcPr>
            <w:tcW w:w="1134" w:type="dxa"/>
            <w:shd w:val="clear" w:color="auto" w:fill="auto"/>
            <w:vAlign w:val="center"/>
          </w:tcPr>
          <w:p w14:paraId="6E7483DB"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-3 179,2</w:t>
            </w:r>
          </w:p>
        </w:tc>
        <w:tc>
          <w:tcPr>
            <w:tcW w:w="1134" w:type="dxa"/>
            <w:vAlign w:val="center"/>
          </w:tcPr>
          <w:p w14:paraId="06F3482C"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-2 924,8</w:t>
            </w:r>
          </w:p>
        </w:tc>
        <w:tc>
          <w:tcPr>
            <w:tcW w:w="1134" w:type="dxa"/>
            <w:vAlign w:val="center"/>
          </w:tcPr>
          <w:p w14:paraId="3E246AC5"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-2 503,8</w:t>
            </w:r>
          </w:p>
        </w:tc>
        <w:tc>
          <w:tcPr>
            <w:tcW w:w="1134" w:type="dxa"/>
            <w:vAlign w:val="center"/>
          </w:tcPr>
          <w:p w14:paraId="1620D68B"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-2 801,4</w:t>
            </w:r>
          </w:p>
        </w:tc>
      </w:tr>
      <w:tr w:rsidR="00317C04" w:rsidRPr="00807CE7" w14:paraId="1FC00C9B" w14:textId="77777777" w:rsidTr="00317C04">
        <w:trPr>
          <w:trHeight w:val="340"/>
          <w:jc w:val="center"/>
        </w:trPr>
        <w:tc>
          <w:tcPr>
            <w:tcW w:w="2891" w:type="dxa"/>
            <w:shd w:val="clear" w:color="auto" w:fill="E7E6E6" w:themeFill="background2"/>
            <w:vAlign w:val="center"/>
          </w:tcPr>
          <w:p w14:paraId="3F69753B"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Рахунок поточних операцій, Румунія</w:t>
            </w:r>
          </w:p>
        </w:tc>
        <w:tc>
          <w:tcPr>
            <w:tcW w:w="1134" w:type="dxa"/>
            <w:shd w:val="clear" w:color="auto" w:fill="E7E6E6" w:themeFill="background2"/>
            <w:vAlign w:val="center"/>
          </w:tcPr>
          <w:p w14:paraId="4BC33019"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-6 584,2</w:t>
            </w:r>
          </w:p>
        </w:tc>
        <w:tc>
          <w:tcPr>
            <w:tcW w:w="1134" w:type="dxa"/>
            <w:shd w:val="clear" w:color="auto" w:fill="E7E6E6" w:themeFill="background2"/>
            <w:vAlign w:val="center"/>
          </w:tcPr>
          <w:p w14:paraId="1A191CDB"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-11 136,1</w:t>
            </w:r>
          </w:p>
        </w:tc>
        <w:tc>
          <w:tcPr>
            <w:tcW w:w="1134" w:type="dxa"/>
            <w:shd w:val="clear" w:color="auto" w:fill="E7E6E6" w:themeFill="background2"/>
            <w:vAlign w:val="center"/>
          </w:tcPr>
          <w:p w14:paraId="5074B501"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-12 184,4</w:t>
            </w:r>
          </w:p>
        </w:tc>
        <w:tc>
          <w:tcPr>
            <w:tcW w:w="1134" w:type="dxa"/>
            <w:shd w:val="clear" w:color="auto" w:fill="E7E6E6" w:themeFill="background2"/>
            <w:vAlign w:val="center"/>
          </w:tcPr>
          <w:p w14:paraId="2850D117"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-12 534,6</w:t>
            </w:r>
          </w:p>
        </w:tc>
        <w:tc>
          <w:tcPr>
            <w:tcW w:w="1134" w:type="dxa"/>
            <w:shd w:val="clear" w:color="auto" w:fill="E7E6E6" w:themeFill="background2"/>
            <w:vAlign w:val="center"/>
          </w:tcPr>
          <w:p w14:paraId="3F721E25"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-20 627,0</w:t>
            </w:r>
          </w:p>
        </w:tc>
      </w:tr>
      <w:tr w:rsidR="00317C04" w:rsidRPr="00807CE7" w14:paraId="44FBDAB3" w14:textId="77777777" w:rsidTr="00317C04">
        <w:trPr>
          <w:trHeight w:val="340"/>
          <w:jc w:val="center"/>
        </w:trPr>
        <w:tc>
          <w:tcPr>
            <w:tcW w:w="2891" w:type="dxa"/>
            <w:shd w:val="clear" w:color="auto" w:fill="E7E6E6" w:themeFill="background2"/>
            <w:vAlign w:val="center"/>
          </w:tcPr>
          <w:p w14:paraId="25B05061"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Рахунок поточних операцій, Болгарія</w:t>
            </w:r>
          </w:p>
        </w:tc>
        <w:tc>
          <w:tcPr>
            <w:tcW w:w="1134" w:type="dxa"/>
            <w:shd w:val="clear" w:color="auto" w:fill="E7E6E6" w:themeFill="background2"/>
            <w:vAlign w:val="center"/>
          </w:tcPr>
          <w:p w14:paraId="78086A4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1 987,3</w:t>
            </w:r>
          </w:p>
        </w:tc>
        <w:tc>
          <w:tcPr>
            <w:tcW w:w="1134" w:type="dxa"/>
            <w:shd w:val="clear" w:color="auto" w:fill="E7E6E6" w:themeFill="background2"/>
            <w:vAlign w:val="center"/>
          </w:tcPr>
          <w:p w14:paraId="75E34711"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559,4</w:t>
            </w:r>
          </w:p>
        </w:tc>
        <w:tc>
          <w:tcPr>
            <w:tcW w:w="1134" w:type="dxa"/>
            <w:shd w:val="clear" w:color="auto" w:fill="E7E6E6" w:themeFill="background2"/>
            <w:vAlign w:val="center"/>
          </w:tcPr>
          <w:p w14:paraId="2B2A4672"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1 263,6</w:t>
            </w:r>
          </w:p>
        </w:tc>
        <w:tc>
          <w:tcPr>
            <w:tcW w:w="1134" w:type="dxa"/>
            <w:shd w:val="clear" w:color="auto" w:fill="E7E6E6" w:themeFill="background2"/>
            <w:vAlign w:val="center"/>
          </w:tcPr>
          <w:p w14:paraId="0FDD5337"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-31,2</w:t>
            </w:r>
          </w:p>
        </w:tc>
        <w:tc>
          <w:tcPr>
            <w:tcW w:w="1134" w:type="dxa"/>
            <w:shd w:val="clear" w:color="auto" w:fill="E7E6E6" w:themeFill="background2"/>
            <w:vAlign w:val="center"/>
          </w:tcPr>
          <w:p w14:paraId="38CE299E"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-373,7</w:t>
            </w:r>
          </w:p>
        </w:tc>
      </w:tr>
    </w:tbl>
    <w:p w14:paraId="1457A903" w14:textId="069D1487" w:rsidR="00C81270" w:rsidRPr="00807CE7" w:rsidRDefault="00807CE7" w:rsidP="008453AA">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[21-32].</w:t>
      </w:r>
    </w:p>
    <w:p w14:paraId="2A318AD5" w14:textId="25CCDB01" w:rsidR="00C5540C" w:rsidRPr="00807CE7" w:rsidRDefault="00C5540C" w:rsidP="008453AA">
      <w:pPr>
        <w:spacing w:line="360" w:lineRule="auto"/>
        <w:ind w:firstLine="709"/>
        <w:jc w:val="both"/>
        <w:rPr>
          <w:rFonts w:ascii="Times New Roman" w:hAnsi="Times New Roman" w:cs="Times New Roman"/>
          <w:sz w:val="28"/>
          <w:szCs w:val="28"/>
        </w:rPr>
      </w:pPr>
    </w:p>
    <w:p w14:paraId="3EFA7EDE" w14:textId="77777777" w:rsidR="00C5540C" w:rsidRPr="00807CE7" w:rsidRDefault="00C5540C">
      <w:pPr>
        <w:rPr>
          <w:rFonts w:ascii="Times New Roman" w:hAnsi="Times New Roman" w:cs="Times New Roman"/>
          <w:sz w:val="28"/>
          <w:szCs w:val="28"/>
        </w:rPr>
      </w:pPr>
      <w:r w:rsidRPr="00807CE7">
        <w:rPr>
          <w:rFonts w:ascii="Times New Roman" w:hAnsi="Times New Roman" w:cs="Times New Roman"/>
          <w:sz w:val="28"/>
          <w:szCs w:val="28"/>
        </w:rPr>
        <w:br w:type="page"/>
      </w:r>
    </w:p>
    <w:p w14:paraId="35D0C972" w14:textId="0A740A26" w:rsidR="00C81270" w:rsidRPr="00807CE7" w:rsidRDefault="00BF6CFF" w:rsidP="0093032C">
      <w:pPr>
        <w:spacing w:line="360" w:lineRule="auto"/>
        <w:ind w:firstLine="709"/>
        <w:jc w:val="right"/>
        <w:rPr>
          <w:rFonts w:ascii="Times New Roman" w:hAnsi="Times New Roman" w:cs="Times New Roman"/>
          <w:b/>
          <w:bCs/>
          <w:sz w:val="28"/>
          <w:szCs w:val="28"/>
        </w:rPr>
      </w:pPr>
      <w:r w:rsidRPr="00807CE7">
        <w:rPr>
          <w:rFonts w:ascii="Times New Roman" w:hAnsi="Times New Roman" w:cs="Times New Roman"/>
          <w:b/>
          <w:bCs/>
          <w:sz w:val="28"/>
          <w:szCs w:val="28"/>
        </w:rPr>
        <w:lastRenderedPageBreak/>
        <w:t>Додаток Б</w:t>
      </w:r>
    </w:p>
    <w:p w14:paraId="6BD9455C" w14:textId="0B515EF1" w:rsidR="00BF6CFF" w:rsidRPr="00807CE7" w:rsidRDefault="00BF6CFF" w:rsidP="0093032C">
      <w:pPr>
        <w:spacing w:line="360" w:lineRule="auto"/>
        <w:ind w:firstLine="709"/>
        <w:jc w:val="center"/>
        <w:rPr>
          <w:rFonts w:ascii="Times New Roman" w:hAnsi="Times New Roman" w:cs="Times New Roman"/>
          <w:b/>
          <w:bCs/>
          <w:sz w:val="28"/>
          <w:szCs w:val="28"/>
        </w:rPr>
      </w:pPr>
      <w:r w:rsidRPr="00807CE7">
        <w:rPr>
          <w:rFonts w:ascii="Times New Roman" w:hAnsi="Times New Roman" w:cs="Times New Roman"/>
          <w:b/>
          <w:bCs/>
          <w:sz w:val="28"/>
          <w:szCs w:val="28"/>
        </w:rPr>
        <w:t>Фінансов</w:t>
      </w:r>
      <w:r w:rsidR="0093032C" w:rsidRPr="00807CE7">
        <w:rPr>
          <w:rFonts w:ascii="Times New Roman" w:hAnsi="Times New Roman" w:cs="Times New Roman"/>
          <w:b/>
          <w:bCs/>
          <w:sz w:val="28"/>
          <w:szCs w:val="28"/>
        </w:rPr>
        <w:t>і</w:t>
      </w:r>
      <w:r w:rsidRPr="00807CE7">
        <w:rPr>
          <w:rFonts w:ascii="Times New Roman" w:hAnsi="Times New Roman" w:cs="Times New Roman"/>
          <w:b/>
          <w:bCs/>
          <w:sz w:val="28"/>
          <w:szCs w:val="28"/>
        </w:rPr>
        <w:t xml:space="preserve"> рахун</w:t>
      </w:r>
      <w:r w:rsidR="0093032C" w:rsidRPr="00807CE7">
        <w:rPr>
          <w:rFonts w:ascii="Times New Roman" w:hAnsi="Times New Roman" w:cs="Times New Roman"/>
          <w:b/>
          <w:bCs/>
          <w:sz w:val="28"/>
          <w:szCs w:val="28"/>
        </w:rPr>
        <w:t>ки Румунії та Болгарії</w:t>
      </w:r>
    </w:p>
    <w:tbl>
      <w:tblPr>
        <w:tblW w:w="85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1"/>
        <w:gridCol w:w="1134"/>
        <w:gridCol w:w="1134"/>
        <w:gridCol w:w="1134"/>
        <w:gridCol w:w="1134"/>
        <w:gridCol w:w="1134"/>
      </w:tblGrid>
      <w:tr w:rsidR="00317C04" w:rsidRPr="00807CE7" w14:paraId="4EC07466" w14:textId="77777777" w:rsidTr="00317C04">
        <w:trPr>
          <w:trHeight w:val="340"/>
          <w:tblHeader/>
          <w:jc w:val="center"/>
        </w:trPr>
        <w:tc>
          <w:tcPr>
            <w:tcW w:w="2891" w:type="dxa"/>
            <w:shd w:val="clear" w:color="auto" w:fill="A5A5A5"/>
            <w:vAlign w:val="center"/>
          </w:tcPr>
          <w:p w14:paraId="51B559D4"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Показник</w:t>
            </w:r>
          </w:p>
        </w:tc>
        <w:tc>
          <w:tcPr>
            <w:tcW w:w="1134" w:type="dxa"/>
            <w:shd w:val="clear" w:color="auto" w:fill="A5A5A5"/>
            <w:vAlign w:val="center"/>
          </w:tcPr>
          <w:p w14:paraId="3543EA0A"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2017</w:t>
            </w:r>
          </w:p>
        </w:tc>
        <w:tc>
          <w:tcPr>
            <w:tcW w:w="1134" w:type="dxa"/>
            <w:shd w:val="clear" w:color="auto" w:fill="A5A5A5"/>
            <w:vAlign w:val="center"/>
          </w:tcPr>
          <w:p w14:paraId="09765B2D"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2018</w:t>
            </w:r>
          </w:p>
        </w:tc>
        <w:tc>
          <w:tcPr>
            <w:tcW w:w="1134" w:type="dxa"/>
            <w:shd w:val="clear" w:color="auto" w:fill="A5A5A5"/>
          </w:tcPr>
          <w:p w14:paraId="1C948326"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2019</w:t>
            </w:r>
          </w:p>
        </w:tc>
        <w:tc>
          <w:tcPr>
            <w:tcW w:w="1134" w:type="dxa"/>
            <w:shd w:val="clear" w:color="auto" w:fill="A5A5A5"/>
          </w:tcPr>
          <w:p w14:paraId="08780C52"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2020</w:t>
            </w:r>
          </w:p>
        </w:tc>
        <w:tc>
          <w:tcPr>
            <w:tcW w:w="1134" w:type="dxa"/>
            <w:shd w:val="clear" w:color="auto" w:fill="A5A5A5"/>
          </w:tcPr>
          <w:p w14:paraId="007D4C28" w14:textId="77777777" w:rsidR="00317C04" w:rsidRPr="00807CE7" w:rsidRDefault="00317C04" w:rsidP="00BF6CFF">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2021</w:t>
            </w:r>
          </w:p>
        </w:tc>
      </w:tr>
      <w:tr w:rsidR="00317C04" w:rsidRPr="00807CE7" w14:paraId="14F9C8AC" w14:textId="77777777" w:rsidTr="00317C04">
        <w:trPr>
          <w:trHeight w:val="340"/>
          <w:jc w:val="center"/>
        </w:trPr>
        <w:tc>
          <w:tcPr>
            <w:tcW w:w="2891" w:type="dxa"/>
            <w:shd w:val="clear" w:color="auto" w:fill="FFFFFF"/>
            <w:vAlign w:val="center"/>
          </w:tcPr>
          <w:p w14:paraId="483E51E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Прямі інвестиції активи, Румунія</w:t>
            </w:r>
          </w:p>
        </w:tc>
        <w:tc>
          <w:tcPr>
            <w:tcW w:w="1134" w:type="dxa"/>
            <w:shd w:val="clear" w:color="auto" w:fill="auto"/>
            <w:vAlign w:val="center"/>
          </w:tcPr>
          <w:p w14:paraId="19D91DD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386,3</w:t>
            </w:r>
          </w:p>
        </w:tc>
        <w:tc>
          <w:tcPr>
            <w:tcW w:w="1134" w:type="dxa"/>
            <w:shd w:val="clear" w:color="auto" w:fill="auto"/>
            <w:vAlign w:val="center"/>
          </w:tcPr>
          <w:p w14:paraId="395B159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1 503,4</w:t>
            </w:r>
          </w:p>
        </w:tc>
        <w:tc>
          <w:tcPr>
            <w:tcW w:w="1134" w:type="dxa"/>
            <w:vAlign w:val="center"/>
          </w:tcPr>
          <w:p w14:paraId="765893E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1 923,6</w:t>
            </w:r>
          </w:p>
        </w:tc>
        <w:tc>
          <w:tcPr>
            <w:tcW w:w="1134" w:type="dxa"/>
            <w:vAlign w:val="center"/>
          </w:tcPr>
          <w:p w14:paraId="3F2DFDE6"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198,6</w:t>
            </w:r>
          </w:p>
        </w:tc>
        <w:tc>
          <w:tcPr>
            <w:tcW w:w="1134" w:type="dxa"/>
            <w:vAlign w:val="center"/>
          </w:tcPr>
          <w:p w14:paraId="62722E6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1 339,5</w:t>
            </w:r>
          </w:p>
        </w:tc>
      </w:tr>
      <w:tr w:rsidR="00317C04" w:rsidRPr="00807CE7" w14:paraId="7B5E365F" w14:textId="77777777" w:rsidTr="00317C04">
        <w:trPr>
          <w:trHeight w:val="340"/>
          <w:jc w:val="center"/>
        </w:trPr>
        <w:tc>
          <w:tcPr>
            <w:tcW w:w="2891" w:type="dxa"/>
            <w:shd w:val="clear" w:color="auto" w:fill="FFFFFF"/>
            <w:vAlign w:val="center"/>
          </w:tcPr>
          <w:p w14:paraId="4D94272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Прямі інвестиції зобов'язання, Румунія</w:t>
            </w:r>
          </w:p>
        </w:tc>
        <w:tc>
          <w:tcPr>
            <w:tcW w:w="1134" w:type="dxa"/>
            <w:shd w:val="clear" w:color="auto" w:fill="auto"/>
            <w:vAlign w:val="center"/>
          </w:tcPr>
          <w:p w14:paraId="47AE031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5 952,9</w:t>
            </w:r>
          </w:p>
        </w:tc>
        <w:tc>
          <w:tcPr>
            <w:tcW w:w="1134" w:type="dxa"/>
            <w:shd w:val="clear" w:color="auto" w:fill="auto"/>
            <w:vAlign w:val="center"/>
          </w:tcPr>
          <w:p w14:paraId="79BA5F7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7 343,6</w:t>
            </w:r>
          </w:p>
        </w:tc>
        <w:tc>
          <w:tcPr>
            <w:tcW w:w="1134" w:type="dxa"/>
            <w:vAlign w:val="center"/>
          </w:tcPr>
          <w:p w14:paraId="7DEDB36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7 365,4</w:t>
            </w:r>
          </w:p>
        </w:tc>
        <w:tc>
          <w:tcPr>
            <w:tcW w:w="1134" w:type="dxa"/>
            <w:vAlign w:val="center"/>
          </w:tcPr>
          <w:p w14:paraId="23080F12"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3 602,4</w:t>
            </w:r>
          </w:p>
        </w:tc>
        <w:tc>
          <w:tcPr>
            <w:tcW w:w="1134" w:type="dxa"/>
            <w:vAlign w:val="center"/>
          </w:tcPr>
          <w:p w14:paraId="0736F63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11 738,2</w:t>
            </w:r>
          </w:p>
        </w:tc>
      </w:tr>
      <w:tr w:rsidR="00317C04" w:rsidRPr="00807CE7" w14:paraId="46E4322E" w14:textId="77777777" w:rsidTr="00317C04">
        <w:trPr>
          <w:trHeight w:val="340"/>
          <w:jc w:val="center"/>
        </w:trPr>
        <w:tc>
          <w:tcPr>
            <w:tcW w:w="2891" w:type="dxa"/>
            <w:shd w:val="clear" w:color="auto" w:fill="FFFFFF"/>
            <w:vAlign w:val="center"/>
          </w:tcPr>
          <w:p w14:paraId="6858C7C1"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прямих інвестицій, Румунія</w:t>
            </w:r>
          </w:p>
        </w:tc>
        <w:tc>
          <w:tcPr>
            <w:tcW w:w="1134" w:type="dxa"/>
            <w:shd w:val="clear" w:color="auto" w:fill="auto"/>
            <w:vAlign w:val="center"/>
          </w:tcPr>
          <w:p w14:paraId="30F43106"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-5 566,6</w:t>
            </w:r>
          </w:p>
        </w:tc>
        <w:tc>
          <w:tcPr>
            <w:tcW w:w="1134" w:type="dxa"/>
            <w:shd w:val="clear" w:color="auto" w:fill="auto"/>
            <w:vAlign w:val="center"/>
          </w:tcPr>
          <w:p w14:paraId="23097AF7"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-5 840,1</w:t>
            </w:r>
          </w:p>
        </w:tc>
        <w:tc>
          <w:tcPr>
            <w:tcW w:w="1134" w:type="dxa"/>
            <w:vAlign w:val="center"/>
          </w:tcPr>
          <w:p w14:paraId="3DBF09A8"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-5 441,6</w:t>
            </w:r>
          </w:p>
        </w:tc>
        <w:tc>
          <w:tcPr>
            <w:tcW w:w="1134" w:type="dxa"/>
            <w:vAlign w:val="center"/>
          </w:tcPr>
          <w:p w14:paraId="64E24726"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-3 403,8</w:t>
            </w:r>
          </w:p>
        </w:tc>
        <w:tc>
          <w:tcPr>
            <w:tcW w:w="1134" w:type="dxa"/>
            <w:vAlign w:val="center"/>
          </w:tcPr>
          <w:p w14:paraId="57D063D4"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-10 398,7</w:t>
            </w:r>
          </w:p>
        </w:tc>
      </w:tr>
      <w:tr w:rsidR="00317C04" w:rsidRPr="00807CE7" w14:paraId="46AA5184" w14:textId="77777777" w:rsidTr="00317C04">
        <w:trPr>
          <w:trHeight w:val="340"/>
          <w:jc w:val="center"/>
        </w:trPr>
        <w:tc>
          <w:tcPr>
            <w:tcW w:w="2891" w:type="dxa"/>
            <w:shd w:val="clear" w:color="auto" w:fill="FFFFFF"/>
            <w:vAlign w:val="center"/>
          </w:tcPr>
          <w:p w14:paraId="3B65F896"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Прямі інвестиції активи, Болгарія</w:t>
            </w:r>
          </w:p>
        </w:tc>
        <w:tc>
          <w:tcPr>
            <w:tcW w:w="1134" w:type="dxa"/>
            <w:shd w:val="clear" w:color="auto" w:fill="auto"/>
            <w:vAlign w:val="center"/>
          </w:tcPr>
          <w:p w14:paraId="51FE5F3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495,8</w:t>
            </w:r>
          </w:p>
        </w:tc>
        <w:tc>
          <w:tcPr>
            <w:tcW w:w="1134" w:type="dxa"/>
            <w:shd w:val="clear" w:color="auto" w:fill="auto"/>
            <w:vAlign w:val="center"/>
          </w:tcPr>
          <w:p w14:paraId="2697C12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924,4</w:t>
            </w:r>
          </w:p>
        </w:tc>
        <w:tc>
          <w:tcPr>
            <w:tcW w:w="1134" w:type="dxa"/>
            <w:vAlign w:val="center"/>
          </w:tcPr>
          <w:p w14:paraId="26DAF9B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829,1</w:t>
            </w:r>
          </w:p>
        </w:tc>
        <w:tc>
          <w:tcPr>
            <w:tcW w:w="1134" w:type="dxa"/>
            <w:vAlign w:val="center"/>
          </w:tcPr>
          <w:p w14:paraId="39ABEDC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437,3</w:t>
            </w:r>
          </w:p>
        </w:tc>
        <w:tc>
          <w:tcPr>
            <w:tcW w:w="1134" w:type="dxa"/>
            <w:vAlign w:val="center"/>
          </w:tcPr>
          <w:p w14:paraId="13CDB98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928,4</w:t>
            </w:r>
          </w:p>
        </w:tc>
      </w:tr>
      <w:tr w:rsidR="00317C04" w:rsidRPr="00807CE7" w14:paraId="72E25F32" w14:textId="77777777" w:rsidTr="00317C04">
        <w:trPr>
          <w:trHeight w:val="340"/>
          <w:jc w:val="center"/>
        </w:trPr>
        <w:tc>
          <w:tcPr>
            <w:tcW w:w="2891" w:type="dxa"/>
            <w:shd w:val="clear" w:color="auto" w:fill="FFFFFF"/>
            <w:vAlign w:val="center"/>
          </w:tcPr>
          <w:p w14:paraId="0F0615D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Прямі інвестиції зобов'язання, Болгарія</w:t>
            </w:r>
          </w:p>
        </w:tc>
        <w:tc>
          <w:tcPr>
            <w:tcW w:w="1134" w:type="dxa"/>
            <w:shd w:val="clear" w:color="auto" w:fill="auto"/>
            <w:vAlign w:val="center"/>
          </w:tcPr>
          <w:p w14:paraId="77808742"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2 007,3</w:t>
            </w:r>
          </w:p>
        </w:tc>
        <w:tc>
          <w:tcPr>
            <w:tcW w:w="1134" w:type="dxa"/>
            <w:shd w:val="clear" w:color="auto" w:fill="auto"/>
            <w:vAlign w:val="center"/>
          </w:tcPr>
          <w:p w14:paraId="18D1EAFC"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1 809,9</w:t>
            </w:r>
          </w:p>
        </w:tc>
        <w:tc>
          <w:tcPr>
            <w:tcW w:w="1134" w:type="dxa"/>
            <w:vAlign w:val="center"/>
          </w:tcPr>
          <w:p w14:paraId="483090B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2 221,3</w:t>
            </w:r>
          </w:p>
        </w:tc>
        <w:tc>
          <w:tcPr>
            <w:tcW w:w="1134" w:type="dxa"/>
            <w:vAlign w:val="center"/>
          </w:tcPr>
          <w:p w14:paraId="0A2C03F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3 599,7</w:t>
            </w:r>
          </w:p>
        </w:tc>
        <w:tc>
          <w:tcPr>
            <w:tcW w:w="1134" w:type="dxa"/>
            <w:vAlign w:val="center"/>
          </w:tcPr>
          <w:p w14:paraId="55A1B60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2 124,3</w:t>
            </w:r>
          </w:p>
        </w:tc>
      </w:tr>
      <w:tr w:rsidR="00317C04" w:rsidRPr="00807CE7" w14:paraId="653813AE" w14:textId="77777777" w:rsidTr="00317C04">
        <w:trPr>
          <w:trHeight w:val="340"/>
          <w:jc w:val="center"/>
        </w:trPr>
        <w:tc>
          <w:tcPr>
            <w:tcW w:w="2891" w:type="dxa"/>
            <w:shd w:val="clear" w:color="auto" w:fill="FFFFFF"/>
            <w:vAlign w:val="center"/>
          </w:tcPr>
          <w:p w14:paraId="716AFDFE"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прямих інвестицій, Болгарія</w:t>
            </w:r>
          </w:p>
        </w:tc>
        <w:tc>
          <w:tcPr>
            <w:tcW w:w="1134" w:type="dxa"/>
            <w:shd w:val="clear" w:color="auto" w:fill="auto"/>
            <w:vAlign w:val="center"/>
          </w:tcPr>
          <w:p w14:paraId="309EEACB"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-1 511,5</w:t>
            </w:r>
          </w:p>
        </w:tc>
        <w:tc>
          <w:tcPr>
            <w:tcW w:w="1134" w:type="dxa"/>
            <w:shd w:val="clear" w:color="auto" w:fill="auto"/>
            <w:vAlign w:val="center"/>
          </w:tcPr>
          <w:p w14:paraId="5BA2286A"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-885,5</w:t>
            </w:r>
          </w:p>
        </w:tc>
        <w:tc>
          <w:tcPr>
            <w:tcW w:w="1134" w:type="dxa"/>
            <w:vAlign w:val="center"/>
          </w:tcPr>
          <w:p w14:paraId="76F54CF6"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-1 392,1</w:t>
            </w:r>
          </w:p>
        </w:tc>
        <w:tc>
          <w:tcPr>
            <w:tcW w:w="1134" w:type="dxa"/>
            <w:vAlign w:val="center"/>
          </w:tcPr>
          <w:p w14:paraId="3B966D22"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-3 162,4</w:t>
            </w:r>
          </w:p>
        </w:tc>
        <w:tc>
          <w:tcPr>
            <w:tcW w:w="1134" w:type="dxa"/>
            <w:vAlign w:val="center"/>
          </w:tcPr>
          <w:p w14:paraId="14E57D42"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-1 195,9</w:t>
            </w:r>
          </w:p>
        </w:tc>
      </w:tr>
      <w:tr w:rsidR="00317C04" w:rsidRPr="00807CE7" w14:paraId="02B239CC" w14:textId="77777777" w:rsidTr="00317C04">
        <w:trPr>
          <w:trHeight w:val="340"/>
          <w:jc w:val="center"/>
        </w:trPr>
        <w:tc>
          <w:tcPr>
            <w:tcW w:w="2891" w:type="dxa"/>
            <w:shd w:val="clear" w:color="auto" w:fill="FFFFFF"/>
            <w:vAlign w:val="center"/>
          </w:tcPr>
          <w:p w14:paraId="3357F5D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Портфельні інвестиції активи, Румунія</w:t>
            </w:r>
          </w:p>
        </w:tc>
        <w:tc>
          <w:tcPr>
            <w:tcW w:w="1134" w:type="dxa"/>
            <w:shd w:val="clear" w:color="auto" w:fill="auto"/>
            <w:vAlign w:val="center"/>
          </w:tcPr>
          <w:p w14:paraId="507F2E1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569,7</w:t>
            </w:r>
          </w:p>
        </w:tc>
        <w:tc>
          <w:tcPr>
            <w:tcW w:w="1134" w:type="dxa"/>
            <w:shd w:val="clear" w:color="auto" w:fill="auto"/>
            <w:vAlign w:val="center"/>
          </w:tcPr>
          <w:p w14:paraId="3A1730C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493,0</w:t>
            </w:r>
          </w:p>
        </w:tc>
        <w:tc>
          <w:tcPr>
            <w:tcW w:w="1134" w:type="dxa"/>
            <w:vAlign w:val="center"/>
          </w:tcPr>
          <w:p w14:paraId="26B6D34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1 542,1</w:t>
            </w:r>
          </w:p>
        </w:tc>
        <w:tc>
          <w:tcPr>
            <w:tcW w:w="1134" w:type="dxa"/>
            <w:vAlign w:val="center"/>
          </w:tcPr>
          <w:p w14:paraId="4ED513B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42,1</w:t>
            </w:r>
          </w:p>
        </w:tc>
        <w:tc>
          <w:tcPr>
            <w:tcW w:w="1134" w:type="dxa"/>
            <w:vAlign w:val="center"/>
          </w:tcPr>
          <w:p w14:paraId="5F62AFD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1 853,9</w:t>
            </w:r>
          </w:p>
        </w:tc>
      </w:tr>
      <w:tr w:rsidR="00317C04" w:rsidRPr="00807CE7" w14:paraId="7D6F5EEF" w14:textId="77777777" w:rsidTr="00317C04">
        <w:trPr>
          <w:trHeight w:val="340"/>
          <w:jc w:val="center"/>
        </w:trPr>
        <w:tc>
          <w:tcPr>
            <w:tcW w:w="2891" w:type="dxa"/>
            <w:shd w:val="clear" w:color="auto" w:fill="FFFFFF"/>
            <w:vAlign w:val="center"/>
          </w:tcPr>
          <w:p w14:paraId="0A5FEF6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Портфельні інвестиції зобов'язання, Румунія</w:t>
            </w:r>
          </w:p>
        </w:tc>
        <w:tc>
          <w:tcPr>
            <w:tcW w:w="1134" w:type="dxa"/>
            <w:shd w:val="clear" w:color="auto" w:fill="auto"/>
            <w:vAlign w:val="center"/>
          </w:tcPr>
          <w:p w14:paraId="1D70D17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3 928,0</w:t>
            </w:r>
          </w:p>
        </w:tc>
        <w:tc>
          <w:tcPr>
            <w:tcW w:w="1134" w:type="dxa"/>
            <w:shd w:val="clear" w:color="auto" w:fill="auto"/>
            <w:vAlign w:val="center"/>
          </w:tcPr>
          <w:p w14:paraId="0C1F7FF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3 907,5</w:t>
            </w:r>
          </w:p>
        </w:tc>
        <w:tc>
          <w:tcPr>
            <w:tcW w:w="1134" w:type="dxa"/>
            <w:vAlign w:val="center"/>
          </w:tcPr>
          <w:p w14:paraId="2F7BBEA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4 255,3</w:t>
            </w:r>
          </w:p>
        </w:tc>
        <w:tc>
          <w:tcPr>
            <w:tcW w:w="1134" w:type="dxa"/>
            <w:vAlign w:val="center"/>
          </w:tcPr>
          <w:p w14:paraId="394D6E5C"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15 315,7</w:t>
            </w:r>
          </w:p>
        </w:tc>
        <w:tc>
          <w:tcPr>
            <w:tcW w:w="1134" w:type="dxa"/>
            <w:vAlign w:val="center"/>
          </w:tcPr>
          <w:p w14:paraId="6A8F9A4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6 006,3</w:t>
            </w:r>
          </w:p>
        </w:tc>
      </w:tr>
      <w:tr w:rsidR="00317C04" w:rsidRPr="00807CE7" w14:paraId="2B3B2858" w14:textId="77777777" w:rsidTr="00317C04">
        <w:trPr>
          <w:trHeight w:val="340"/>
          <w:jc w:val="center"/>
        </w:trPr>
        <w:tc>
          <w:tcPr>
            <w:tcW w:w="2891" w:type="dxa"/>
            <w:shd w:val="clear" w:color="auto" w:fill="FFFFFF"/>
            <w:vAlign w:val="center"/>
          </w:tcPr>
          <w:p w14:paraId="349A0198"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портфельних інвестицій, Румунія</w:t>
            </w:r>
          </w:p>
        </w:tc>
        <w:tc>
          <w:tcPr>
            <w:tcW w:w="1134" w:type="dxa"/>
            <w:shd w:val="clear" w:color="auto" w:fill="auto"/>
            <w:vAlign w:val="center"/>
          </w:tcPr>
          <w:p w14:paraId="133BE6FC"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-3 358,3</w:t>
            </w:r>
          </w:p>
        </w:tc>
        <w:tc>
          <w:tcPr>
            <w:tcW w:w="1134" w:type="dxa"/>
            <w:shd w:val="clear" w:color="auto" w:fill="auto"/>
            <w:vAlign w:val="center"/>
          </w:tcPr>
          <w:p w14:paraId="7C18FEF3"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-3 414,5</w:t>
            </w:r>
          </w:p>
        </w:tc>
        <w:tc>
          <w:tcPr>
            <w:tcW w:w="1134" w:type="dxa"/>
            <w:vAlign w:val="center"/>
          </w:tcPr>
          <w:p w14:paraId="65F9B353"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-2 713,0</w:t>
            </w:r>
          </w:p>
        </w:tc>
        <w:tc>
          <w:tcPr>
            <w:tcW w:w="1134" w:type="dxa"/>
            <w:vAlign w:val="center"/>
          </w:tcPr>
          <w:p w14:paraId="37616B84"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-15 273,6</w:t>
            </w:r>
          </w:p>
        </w:tc>
        <w:tc>
          <w:tcPr>
            <w:tcW w:w="1134" w:type="dxa"/>
            <w:vAlign w:val="center"/>
          </w:tcPr>
          <w:p w14:paraId="2F66842A"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-4 152,2</w:t>
            </w:r>
          </w:p>
        </w:tc>
      </w:tr>
      <w:tr w:rsidR="00317C04" w:rsidRPr="00807CE7" w14:paraId="137D7461" w14:textId="77777777" w:rsidTr="00317C04">
        <w:trPr>
          <w:trHeight w:val="340"/>
          <w:jc w:val="center"/>
        </w:trPr>
        <w:tc>
          <w:tcPr>
            <w:tcW w:w="2891" w:type="dxa"/>
            <w:shd w:val="clear" w:color="auto" w:fill="FFFFFF"/>
            <w:vAlign w:val="center"/>
          </w:tcPr>
          <w:p w14:paraId="178770B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Портфельні інвестиції активи, Болгарія</w:t>
            </w:r>
          </w:p>
        </w:tc>
        <w:tc>
          <w:tcPr>
            <w:tcW w:w="1134" w:type="dxa"/>
            <w:shd w:val="clear" w:color="auto" w:fill="auto"/>
            <w:vAlign w:val="center"/>
          </w:tcPr>
          <w:p w14:paraId="41FAFD0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2 101,0</w:t>
            </w:r>
          </w:p>
        </w:tc>
        <w:tc>
          <w:tcPr>
            <w:tcW w:w="1134" w:type="dxa"/>
            <w:shd w:val="clear" w:color="auto" w:fill="auto"/>
            <w:vAlign w:val="center"/>
          </w:tcPr>
          <w:p w14:paraId="54CA07B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1 063,5</w:t>
            </w:r>
          </w:p>
        </w:tc>
        <w:tc>
          <w:tcPr>
            <w:tcW w:w="1134" w:type="dxa"/>
            <w:vAlign w:val="center"/>
          </w:tcPr>
          <w:p w14:paraId="6597530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1 697,3</w:t>
            </w:r>
          </w:p>
        </w:tc>
        <w:tc>
          <w:tcPr>
            <w:tcW w:w="1134" w:type="dxa"/>
            <w:vAlign w:val="center"/>
          </w:tcPr>
          <w:p w14:paraId="7958C89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2 708,1</w:t>
            </w:r>
          </w:p>
        </w:tc>
        <w:tc>
          <w:tcPr>
            <w:tcW w:w="1134" w:type="dxa"/>
            <w:vAlign w:val="center"/>
          </w:tcPr>
          <w:p w14:paraId="5E1470F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2 904,4</w:t>
            </w:r>
          </w:p>
        </w:tc>
      </w:tr>
      <w:tr w:rsidR="00317C04" w:rsidRPr="00807CE7" w14:paraId="7631C2F3" w14:textId="77777777" w:rsidTr="00317C04">
        <w:trPr>
          <w:trHeight w:val="340"/>
          <w:jc w:val="center"/>
        </w:trPr>
        <w:tc>
          <w:tcPr>
            <w:tcW w:w="2891" w:type="dxa"/>
            <w:shd w:val="clear" w:color="auto" w:fill="FFFFFF"/>
            <w:vAlign w:val="center"/>
          </w:tcPr>
          <w:p w14:paraId="4EE65CF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Портфельні інвестиції зобов'язання, Болгарія</w:t>
            </w:r>
          </w:p>
        </w:tc>
        <w:tc>
          <w:tcPr>
            <w:tcW w:w="1134" w:type="dxa"/>
            <w:shd w:val="clear" w:color="auto" w:fill="auto"/>
            <w:vAlign w:val="center"/>
          </w:tcPr>
          <w:p w14:paraId="7689649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-1 156,1</w:t>
            </w:r>
          </w:p>
        </w:tc>
        <w:tc>
          <w:tcPr>
            <w:tcW w:w="1134" w:type="dxa"/>
            <w:shd w:val="clear" w:color="auto" w:fill="auto"/>
            <w:vAlign w:val="center"/>
          </w:tcPr>
          <w:p w14:paraId="0FE5E90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-777,6</w:t>
            </w:r>
          </w:p>
        </w:tc>
        <w:tc>
          <w:tcPr>
            <w:tcW w:w="1134" w:type="dxa"/>
            <w:vAlign w:val="center"/>
          </w:tcPr>
          <w:p w14:paraId="02296D1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-95,5</w:t>
            </w:r>
          </w:p>
        </w:tc>
        <w:tc>
          <w:tcPr>
            <w:tcW w:w="1134" w:type="dxa"/>
            <w:vAlign w:val="center"/>
          </w:tcPr>
          <w:p w14:paraId="0A4BB486"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1 895,2</w:t>
            </w:r>
          </w:p>
        </w:tc>
        <w:tc>
          <w:tcPr>
            <w:tcW w:w="1134" w:type="dxa"/>
            <w:vAlign w:val="center"/>
          </w:tcPr>
          <w:p w14:paraId="15593AF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166,5</w:t>
            </w:r>
          </w:p>
        </w:tc>
      </w:tr>
      <w:tr w:rsidR="00317C04" w:rsidRPr="00807CE7" w14:paraId="07F49C75" w14:textId="77777777" w:rsidTr="00317C04">
        <w:trPr>
          <w:trHeight w:val="340"/>
          <w:jc w:val="center"/>
        </w:trPr>
        <w:tc>
          <w:tcPr>
            <w:tcW w:w="2891" w:type="dxa"/>
            <w:shd w:val="clear" w:color="auto" w:fill="FFFFFF"/>
            <w:vAlign w:val="center"/>
          </w:tcPr>
          <w:p w14:paraId="6E10EBB5" w14:textId="77777777" w:rsidR="00317C04" w:rsidRPr="00807CE7" w:rsidRDefault="00317C04" w:rsidP="00BF6CFF">
            <w:pPr>
              <w:widowControl w:val="0"/>
              <w:suppressAutoHyphens/>
              <w:jc w:val="center"/>
              <w:rPr>
                <w:rFonts w:ascii="Times New Roman" w:eastAsia="Times New Roman" w:hAnsi="Times New Roman" w:cs="Times New Roman"/>
                <w:b/>
                <w:bCs/>
                <w:color w:val="202124"/>
              </w:rPr>
            </w:pPr>
            <w:r w:rsidRPr="00807CE7">
              <w:rPr>
                <w:rFonts w:ascii="Times New Roman" w:eastAsia="Times New Roman" w:hAnsi="Times New Roman" w:cs="Times New Roman"/>
                <w:b/>
                <w:bCs/>
                <w:color w:val="000000"/>
              </w:rPr>
              <w:t>Сальдо портфельних інвестицій, Болгарія</w:t>
            </w:r>
          </w:p>
        </w:tc>
        <w:tc>
          <w:tcPr>
            <w:tcW w:w="1134" w:type="dxa"/>
            <w:shd w:val="clear" w:color="auto" w:fill="auto"/>
            <w:vAlign w:val="center"/>
          </w:tcPr>
          <w:p w14:paraId="1A2F77EA"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3 257,1</w:t>
            </w:r>
          </w:p>
        </w:tc>
        <w:tc>
          <w:tcPr>
            <w:tcW w:w="1134" w:type="dxa"/>
            <w:shd w:val="clear" w:color="auto" w:fill="auto"/>
            <w:vAlign w:val="center"/>
          </w:tcPr>
          <w:p w14:paraId="2A181AE9"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1 841,1</w:t>
            </w:r>
          </w:p>
        </w:tc>
        <w:tc>
          <w:tcPr>
            <w:tcW w:w="1134" w:type="dxa"/>
            <w:vAlign w:val="center"/>
          </w:tcPr>
          <w:p w14:paraId="79CD1A62"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1 792,8</w:t>
            </w:r>
          </w:p>
        </w:tc>
        <w:tc>
          <w:tcPr>
            <w:tcW w:w="1134" w:type="dxa"/>
            <w:vAlign w:val="center"/>
          </w:tcPr>
          <w:p w14:paraId="4C7A1537"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812,9</w:t>
            </w:r>
          </w:p>
        </w:tc>
        <w:tc>
          <w:tcPr>
            <w:tcW w:w="1134" w:type="dxa"/>
            <w:vAlign w:val="center"/>
          </w:tcPr>
          <w:p w14:paraId="028CC350"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2 737,9</w:t>
            </w:r>
          </w:p>
        </w:tc>
      </w:tr>
      <w:tr w:rsidR="00317C04" w:rsidRPr="00807CE7" w14:paraId="4A5B7B39" w14:textId="77777777" w:rsidTr="00317C04">
        <w:trPr>
          <w:trHeight w:val="340"/>
          <w:jc w:val="center"/>
        </w:trPr>
        <w:tc>
          <w:tcPr>
            <w:tcW w:w="2891" w:type="dxa"/>
            <w:shd w:val="clear" w:color="auto" w:fill="FFFFFF"/>
            <w:vAlign w:val="center"/>
          </w:tcPr>
          <w:p w14:paraId="4E22DB1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Інші інвестиції активи, Румунія</w:t>
            </w:r>
          </w:p>
        </w:tc>
        <w:tc>
          <w:tcPr>
            <w:tcW w:w="1134" w:type="dxa"/>
            <w:shd w:val="clear" w:color="auto" w:fill="auto"/>
            <w:vAlign w:val="center"/>
          </w:tcPr>
          <w:p w14:paraId="2A3BF01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3 660,5</w:t>
            </w:r>
          </w:p>
        </w:tc>
        <w:tc>
          <w:tcPr>
            <w:tcW w:w="1134" w:type="dxa"/>
            <w:shd w:val="clear" w:color="auto" w:fill="auto"/>
            <w:vAlign w:val="center"/>
          </w:tcPr>
          <w:p w14:paraId="5876DAC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2 277,0</w:t>
            </w:r>
          </w:p>
        </w:tc>
        <w:tc>
          <w:tcPr>
            <w:tcW w:w="1134" w:type="dxa"/>
            <w:vAlign w:val="center"/>
          </w:tcPr>
          <w:p w14:paraId="62B2F8A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788,1</w:t>
            </w:r>
          </w:p>
        </w:tc>
        <w:tc>
          <w:tcPr>
            <w:tcW w:w="1134" w:type="dxa"/>
            <w:vAlign w:val="center"/>
          </w:tcPr>
          <w:p w14:paraId="06F8FC27"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6 900,8</w:t>
            </w:r>
          </w:p>
        </w:tc>
        <w:tc>
          <w:tcPr>
            <w:tcW w:w="1134" w:type="dxa"/>
            <w:vAlign w:val="center"/>
          </w:tcPr>
          <w:p w14:paraId="18EE187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-1 473,9</w:t>
            </w:r>
          </w:p>
        </w:tc>
      </w:tr>
      <w:tr w:rsidR="00317C04" w:rsidRPr="00807CE7" w14:paraId="52504736" w14:textId="77777777" w:rsidTr="00317C04">
        <w:trPr>
          <w:trHeight w:val="340"/>
          <w:jc w:val="center"/>
        </w:trPr>
        <w:tc>
          <w:tcPr>
            <w:tcW w:w="2891" w:type="dxa"/>
            <w:shd w:val="clear" w:color="auto" w:fill="FFFFFF"/>
            <w:vAlign w:val="center"/>
          </w:tcPr>
          <w:p w14:paraId="32930C0E" w14:textId="77777777" w:rsidR="00317C04" w:rsidRPr="00807CE7" w:rsidRDefault="00317C04" w:rsidP="00BF6CFF">
            <w:pPr>
              <w:widowControl w:val="0"/>
              <w:suppressAutoHyphens/>
              <w:jc w:val="center"/>
              <w:rPr>
                <w:rFonts w:ascii="Times New Roman" w:eastAsia="Times New Roman" w:hAnsi="Times New Roman" w:cs="Times New Roman"/>
                <w:color w:val="202124"/>
              </w:rPr>
            </w:pPr>
            <w:r w:rsidRPr="00807CE7">
              <w:rPr>
                <w:rFonts w:ascii="Times New Roman" w:eastAsia="Times New Roman" w:hAnsi="Times New Roman" w:cs="Times New Roman"/>
                <w:color w:val="000000"/>
              </w:rPr>
              <w:t>Інші інвестиції зобов'язання, Румунія</w:t>
            </w:r>
          </w:p>
        </w:tc>
        <w:tc>
          <w:tcPr>
            <w:tcW w:w="1134" w:type="dxa"/>
            <w:shd w:val="clear" w:color="auto" w:fill="auto"/>
            <w:vAlign w:val="center"/>
          </w:tcPr>
          <w:p w14:paraId="4E424BE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-1 522,3</w:t>
            </w:r>
          </w:p>
        </w:tc>
        <w:tc>
          <w:tcPr>
            <w:tcW w:w="1134" w:type="dxa"/>
            <w:shd w:val="clear" w:color="auto" w:fill="auto"/>
            <w:vAlign w:val="center"/>
          </w:tcPr>
          <w:p w14:paraId="6067B0F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-1 774,5</w:t>
            </w:r>
          </w:p>
        </w:tc>
        <w:tc>
          <w:tcPr>
            <w:tcW w:w="1134" w:type="dxa"/>
            <w:vAlign w:val="center"/>
          </w:tcPr>
          <w:p w14:paraId="04FBF25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-1 983,1</w:t>
            </w:r>
          </w:p>
        </w:tc>
        <w:tc>
          <w:tcPr>
            <w:tcW w:w="1134" w:type="dxa"/>
            <w:vAlign w:val="center"/>
          </w:tcPr>
          <w:p w14:paraId="508C661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3 679,4</w:t>
            </w:r>
          </w:p>
        </w:tc>
        <w:tc>
          <w:tcPr>
            <w:tcW w:w="1134" w:type="dxa"/>
            <w:vAlign w:val="center"/>
          </w:tcPr>
          <w:p w14:paraId="3536726D"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4 149,2</w:t>
            </w:r>
          </w:p>
        </w:tc>
      </w:tr>
      <w:tr w:rsidR="00317C04" w:rsidRPr="00807CE7" w14:paraId="21022C98" w14:textId="77777777" w:rsidTr="00317C04">
        <w:trPr>
          <w:trHeight w:val="340"/>
          <w:jc w:val="center"/>
        </w:trPr>
        <w:tc>
          <w:tcPr>
            <w:tcW w:w="2891" w:type="dxa"/>
            <w:shd w:val="clear" w:color="auto" w:fill="FFFFFF"/>
            <w:vAlign w:val="center"/>
          </w:tcPr>
          <w:p w14:paraId="6CC8C4EC"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інших інвестицій, Румунія</w:t>
            </w:r>
          </w:p>
        </w:tc>
        <w:tc>
          <w:tcPr>
            <w:tcW w:w="1134" w:type="dxa"/>
            <w:shd w:val="clear" w:color="auto" w:fill="auto"/>
            <w:vAlign w:val="center"/>
          </w:tcPr>
          <w:p w14:paraId="6D37778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5 182,8</w:t>
            </w:r>
          </w:p>
        </w:tc>
        <w:tc>
          <w:tcPr>
            <w:tcW w:w="1134" w:type="dxa"/>
            <w:shd w:val="clear" w:color="auto" w:fill="auto"/>
            <w:vAlign w:val="center"/>
          </w:tcPr>
          <w:p w14:paraId="03F2A376"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4 051,4</w:t>
            </w:r>
          </w:p>
        </w:tc>
        <w:tc>
          <w:tcPr>
            <w:tcW w:w="1134" w:type="dxa"/>
            <w:vAlign w:val="center"/>
          </w:tcPr>
          <w:p w14:paraId="0E7598B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2 771,4</w:t>
            </w:r>
          </w:p>
        </w:tc>
        <w:tc>
          <w:tcPr>
            <w:tcW w:w="1134" w:type="dxa"/>
            <w:vAlign w:val="center"/>
          </w:tcPr>
          <w:p w14:paraId="507197AD"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3 221,2</w:t>
            </w:r>
          </w:p>
        </w:tc>
        <w:tc>
          <w:tcPr>
            <w:tcW w:w="1134" w:type="dxa"/>
            <w:vAlign w:val="center"/>
          </w:tcPr>
          <w:p w14:paraId="30D49BD8"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-5 623,1</w:t>
            </w:r>
          </w:p>
        </w:tc>
      </w:tr>
      <w:tr w:rsidR="00317C04" w:rsidRPr="00807CE7" w14:paraId="4EDB3A57" w14:textId="77777777" w:rsidTr="00317C04">
        <w:trPr>
          <w:trHeight w:val="340"/>
          <w:jc w:val="center"/>
        </w:trPr>
        <w:tc>
          <w:tcPr>
            <w:tcW w:w="2891" w:type="dxa"/>
            <w:shd w:val="clear" w:color="auto" w:fill="FFFFFF"/>
            <w:vAlign w:val="center"/>
          </w:tcPr>
          <w:p w14:paraId="6B757438" w14:textId="77777777" w:rsidR="00317C04" w:rsidRPr="00807CE7" w:rsidRDefault="00317C04" w:rsidP="00BF6CFF">
            <w:pPr>
              <w:widowControl w:val="0"/>
              <w:suppressAutoHyphens/>
              <w:jc w:val="center"/>
              <w:rPr>
                <w:rFonts w:ascii="Times New Roman" w:eastAsia="Times New Roman" w:hAnsi="Times New Roman" w:cs="Times New Roman"/>
                <w:color w:val="202124"/>
              </w:rPr>
            </w:pPr>
            <w:r w:rsidRPr="00807CE7">
              <w:rPr>
                <w:rFonts w:ascii="Times New Roman" w:eastAsia="Times New Roman" w:hAnsi="Times New Roman" w:cs="Times New Roman"/>
                <w:color w:val="000000"/>
              </w:rPr>
              <w:t>Інші інвестиції активи, Болгарія</w:t>
            </w:r>
          </w:p>
        </w:tc>
        <w:tc>
          <w:tcPr>
            <w:tcW w:w="1134" w:type="dxa"/>
            <w:shd w:val="clear" w:color="auto" w:fill="auto"/>
            <w:vAlign w:val="center"/>
          </w:tcPr>
          <w:p w14:paraId="13F8809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562,8</w:t>
            </w:r>
          </w:p>
        </w:tc>
        <w:tc>
          <w:tcPr>
            <w:tcW w:w="1134" w:type="dxa"/>
            <w:shd w:val="clear" w:color="auto" w:fill="auto"/>
            <w:vAlign w:val="center"/>
          </w:tcPr>
          <w:p w14:paraId="3F6A825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1 262,2</w:t>
            </w:r>
          </w:p>
        </w:tc>
        <w:tc>
          <w:tcPr>
            <w:tcW w:w="1134" w:type="dxa"/>
            <w:vAlign w:val="center"/>
          </w:tcPr>
          <w:p w14:paraId="7416264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2 725,3</w:t>
            </w:r>
          </w:p>
        </w:tc>
        <w:tc>
          <w:tcPr>
            <w:tcW w:w="1134" w:type="dxa"/>
            <w:vAlign w:val="center"/>
          </w:tcPr>
          <w:p w14:paraId="10C67ABC"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-2 249,2</w:t>
            </w:r>
          </w:p>
        </w:tc>
        <w:tc>
          <w:tcPr>
            <w:tcW w:w="1134" w:type="dxa"/>
            <w:vAlign w:val="center"/>
          </w:tcPr>
          <w:p w14:paraId="295F4029"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1 147,2</w:t>
            </w:r>
          </w:p>
        </w:tc>
      </w:tr>
      <w:tr w:rsidR="00317C04" w:rsidRPr="00807CE7" w14:paraId="35BED4B7" w14:textId="77777777" w:rsidTr="00317C04">
        <w:trPr>
          <w:trHeight w:val="340"/>
          <w:jc w:val="center"/>
        </w:trPr>
        <w:tc>
          <w:tcPr>
            <w:tcW w:w="2891" w:type="dxa"/>
            <w:shd w:val="clear" w:color="auto" w:fill="FFFFFF"/>
            <w:vAlign w:val="center"/>
          </w:tcPr>
          <w:p w14:paraId="4B5A0B66"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Інші інвестиції зобов'язання, Болгарія</w:t>
            </w:r>
          </w:p>
        </w:tc>
        <w:tc>
          <w:tcPr>
            <w:tcW w:w="1134" w:type="dxa"/>
            <w:shd w:val="clear" w:color="auto" w:fill="auto"/>
            <w:vAlign w:val="center"/>
          </w:tcPr>
          <w:p w14:paraId="5874223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-222,5</w:t>
            </w:r>
          </w:p>
        </w:tc>
        <w:tc>
          <w:tcPr>
            <w:tcW w:w="1134" w:type="dxa"/>
            <w:shd w:val="clear" w:color="auto" w:fill="auto"/>
            <w:vAlign w:val="center"/>
          </w:tcPr>
          <w:p w14:paraId="7A509F58"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148,9</w:t>
            </w:r>
          </w:p>
        </w:tc>
        <w:tc>
          <w:tcPr>
            <w:tcW w:w="1134" w:type="dxa"/>
            <w:vAlign w:val="center"/>
          </w:tcPr>
          <w:p w14:paraId="01FDE23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-214,4</w:t>
            </w:r>
          </w:p>
        </w:tc>
        <w:tc>
          <w:tcPr>
            <w:tcW w:w="1134" w:type="dxa"/>
            <w:vAlign w:val="center"/>
          </w:tcPr>
          <w:p w14:paraId="03DD0DF6"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-358,7</w:t>
            </w:r>
          </w:p>
        </w:tc>
        <w:tc>
          <w:tcPr>
            <w:tcW w:w="1134" w:type="dxa"/>
            <w:vAlign w:val="center"/>
          </w:tcPr>
          <w:p w14:paraId="526D5B0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2 880,3</w:t>
            </w:r>
          </w:p>
        </w:tc>
      </w:tr>
      <w:tr w:rsidR="00317C04" w:rsidRPr="00807CE7" w14:paraId="251B63F6" w14:textId="77777777" w:rsidTr="00317C04">
        <w:trPr>
          <w:trHeight w:val="340"/>
          <w:jc w:val="center"/>
        </w:trPr>
        <w:tc>
          <w:tcPr>
            <w:tcW w:w="2891" w:type="dxa"/>
            <w:shd w:val="clear" w:color="auto" w:fill="FFFFFF"/>
            <w:vAlign w:val="center"/>
          </w:tcPr>
          <w:p w14:paraId="74F3467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інших інвестицій, Болгарія</w:t>
            </w:r>
          </w:p>
        </w:tc>
        <w:tc>
          <w:tcPr>
            <w:tcW w:w="1134" w:type="dxa"/>
            <w:shd w:val="clear" w:color="auto" w:fill="auto"/>
            <w:vAlign w:val="center"/>
          </w:tcPr>
          <w:p w14:paraId="33E4640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785,3</w:t>
            </w:r>
          </w:p>
        </w:tc>
        <w:tc>
          <w:tcPr>
            <w:tcW w:w="1134" w:type="dxa"/>
            <w:shd w:val="clear" w:color="auto" w:fill="auto"/>
            <w:vAlign w:val="center"/>
          </w:tcPr>
          <w:p w14:paraId="5BDF58E8"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1 113,3</w:t>
            </w:r>
          </w:p>
        </w:tc>
        <w:tc>
          <w:tcPr>
            <w:tcW w:w="1134" w:type="dxa"/>
            <w:vAlign w:val="center"/>
          </w:tcPr>
          <w:p w14:paraId="2262A4BC"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2 939,7</w:t>
            </w:r>
          </w:p>
        </w:tc>
        <w:tc>
          <w:tcPr>
            <w:tcW w:w="1134" w:type="dxa"/>
            <w:vAlign w:val="center"/>
          </w:tcPr>
          <w:p w14:paraId="3D567BB7"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-1 890,5</w:t>
            </w:r>
          </w:p>
        </w:tc>
        <w:tc>
          <w:tcPr>
            <w:tcW w:w="1134" w:type="dxa"/>
            <w:vAlign w:val="center"/>
          </w:tcPr>
          <w:p w14:paraId="39D4F6E5"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-1 733,1</w:t>
            </w:r>
          </w:p>
        </w:tc>
      </w:tr>
      <w:tr w:rsidR="00317C04" w:rsidRPr="00807CE7" w14:paraId="37BF0C99" w14:textId="77777777" w:rsidTr="00317C04">
        <w:trPr>
          <w:trHeight w:val="340"/>
          <w:jc w:val="center"/>
        </w:trPr>
        <w:tc>
          <w:tcPr>
            <w:tcW w:w="2891" w:type="dxa"/>
            <w:shd w:val="clear" w:color="auto" w:fill="D9D9D9" w:themeFill="background1" w:themeFillShade="D9"/>
            <w:vAlign w:val="center"/>
          </w:tcPr>
          <w:p w14:paraId="26D6AA76"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b/>
                <w:bCs/>
                <w:color w:val="000000"/>
              </w:rPr>
              <w:t>Фінансовий рахунок, Румунія</w:t>
            </w:r>
          </w:p>
        </w:tc>
        <w:tc>
          <w:tcPr>
            <w:tcW w:w="1134" w:type="dxa"/>
            <w:shd w:val="clear" w:color="auto" w:fill="D9D9D9" w:themeFill="background1" w:themeFillShade="D9"/>
            <w:vAlign w:val="center"/>
          </w:tcPr>
          <w:p w14:paraId="14563F6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-3 485,3</w:t>
            </w:r>
          </w:p>
        </w:tc>
        <w:tc>
          <w:tcPr>
            <w:tcW w:w="1134" w:type="dxa"/>
            <w:shd w:val="clear" w:color="auto" w:fill="D9D9D9" w:themeFill="background1" w:themeFillShade="D9"/>
            <w:vAlign w:val="center"/>
          </w:tcPr>
          <w:p w14:paraId="4BCAC6F4"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-6 036,7</w:t>
            </w:r>
          </w:p>
        </w:tc>
        <w:tc>
          <w:tcPr>
            <w:tcW w:w="1134" w:type="dxa"/>
            <w:shd w:val="clear" w:color="auto" w:fill="D9D9D9" w:themeFill="background1" w:themeFillShade="D9"/>
            <w:vAlign w:val="center"/>
          </w:tcPr>
          <w:p w14:paraId="3D3F607F"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-5 727,6</w:t>
            </w:r>
          </w:p>
        </w:tc>
        <w:tc>
          <w:tcPr>
            <w:tcW w:w="1134" w:type="dxa"/>
            <w:shd w:val="clear" w:color="auto" w:fill="D9D9D9" w:themeFill="background1" w:themeFillShade="D9"/>
            <w:vAlign w:val="center"/>
          </w:tcPr>
          <w:p w14:paraId="4365CA8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-8 995,6</w:t>
            </w:r>
          </w:p>
        </w:tc>
        <w:tc>
          <w:tcPr>
            <w:tcW w:w="1134" w:type="dxa"/>
            <w:shd w:val="clear" w:color="auto" w:fill="D9D9D9" w:themeFill="background1" w:themeFillShade="D9"/>
            <w:vAlign w:val="center"/>
          </w:tcPr>
          <w:p w14:paraId="331716C0"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-17 333,8</w:t>
            </w:r>
          </w:p>
        </w:tc>
      </w:tr>
      <w:tr w:rsidR="00317C04" w:rsidRPr="00807CE7" w14:paraId="44F480BA" w14:textId="77777777" w:rsidTr="00317C04">
        <w:trPr>
          <w:trHeight w:val="340"/>
          <w:jc w:val="center"/>
        </w:trPr>
        <w:tc>
          <w:tcPr>
            <w:tcW w:w="2891" w:type="dxa"/>
            <w:shd w:val="clear" w:color="auto" w:fill="D9D9D9" w:themeFill="background1" w:themeFillShade="D9"/>
            <w:vAlign w:val="center"/>
          </w:tcPr>
          <w:p w14:paraId="375329DE"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b/>
                <w:bCs/>
                <w:color w:val="000000"/>
              </w:rPr>
              <w:t>Фінансовий рахунок, Болгарія</w:t>
            </w:r>
          </w:p>
        </w:tc>
        <w:tc>
          <w:tcPr>
            <w:tcW w:w="1134" w:type="dxa"/>
            <w:shd w:val="clear" w:color="auto" w:fill="D9D9D9" w:themeFill="background1" w:themeFillShade="D9"/>
            <w:vAlign w:val="center"/>
          </w:tcPr>
          <w:p w14:paraId="0C79ECC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2 419,4</w:t>
            </w:r>
          </w:p>
        </w:tc>
        <w:tc>
          <w:tcPr>
            <w:tcW w:w="1134" w:type="dxa"/>
            <w:shd w:val="clear" w:color="auto" w:fill="D9D9D9" w:themeFill="background1" w:themeFillShade="D9"/>
            <w:vAlign w:val="center"/>
          </w:tcPr>
          <w:p w14:paraId="3C7DAB4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3 640,3</w:t>
            </w:r>
          </w:p>
        </w:tc>
        <w:tc>
          <w:tcPr>
            <w:tcW w:w="1134" w:type="dxa"/>
            <w:shd w:val="clear" w:color="auto" w:fill="D9D9D9" w:themeFill="background1" w:themeFillShade="D9"/>
            <w:vAlign w:val="center"/>
          </w:tcPr>
          <w:p w14:paraId="3C203E26"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2 678,1</w:t>
            </w:r>
          </w:p>
        </w:tc>
        <w:tc>
          <w:tcPr>
            <w:tcW w:w="1134" w:type="dxa"/>
            <w:shd w:val="clear" w:color="auto" w:fill="D9D9D9" w:themeFill="background1" w:themeFillShade="D9"/>
            <w:vAlign w:val="center"/>
          </w:tcPr>
          <w:p w14:paraId="3BFD079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2 407,9</w:t>
            </w:r>
          </w:p>
        </w:tc>
        <w:tc>
          <w:tcPr>
            <w:tcW w:w="1134" w:type="dxa"/>
            <w:shd w:val="clear" w:color="auto" w:fill="D9D9D9" w:themeFill="background1" w:themeFillShade="D9"/>
            <w:vAlign w:val="center"/>
          </w:tcPr>
          <w:p w14:paraId="751989F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3 948,4</w:t>
            </w:r>
          </w:p>
        </w:tc>
      </w:tr>
      <w:tr w:rsidR="00317C04" w:rsidRPr="00807CE7" w14:paraId="7D3C574A" w14:textId="77777777" w:rsidTr="00317C04">
        <w:trPr>
          <w:trHeight w:val="340"/>
          <w:jc w:val="center"/>
        </w:trPr>
        <w:tc>
          <w:tcPr>
            <w:tcW w:w="2891" w:type="dxa"/>
            <w:shd w:val="clear" w:color="auto" w:fill="FFFFFF"/>
            <w:vAlign w:val="center"/>
          </w:tcPr>
          <w:p w14:paraId="72FB3DE7"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Резервні активи, Румунія</w:t>
            </w:r>
          </w:p>
        </w:tc>
        <w:tc>
          <w:tcPr>
            <w:tcW w:w="1134" w:type="dxa"/>
            <w:shd w:val="clear" w:color="auto" w:fill="auto"/>
            <w:vAlign w:val="center"/>
          </w:tcPr>
          <w:p w14:paraId="2B82BB0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338,6</w:t>
            </w:r>
          </w:p>
        </w:tc>
        <w:tc>
          <w:tcPr>
            <w:tcW w:w="1134" w:type="dxa"/>
            <w:shd w:val="clear" w:color="auto" w:fill="auto"/>
            <w:vAlign w:val="center"/>
          </w:tcPr>
          <w:p w14:paraId="514EF6E7"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-935,8</w:t>
            </w:r>
          </w:p>
        </w:tc>
        <w:tc>
          <w:tcPr>
            <w:tcW w:w="1134" w:type="dxa"/>
            <w:vAlign w:val="center"/>
          </w:tcPr>
          <w:p w14:paraId="5D62EE8F"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-289,8</w:t>
            </w:r>
          </w:p>
        </w:tc>
        <w:tc>
          <w:tcPr>
            <w:tcW w:w="1134" w:type="dxa"/>
            <w:vAlign w:val="center"/>
          </w:tcPr>
          <w:p w14:paraId="3766BA58"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6 479,5</w:t>
            </w:r>
          </w:p>
        </w:tc>
        <w:tc>
          <w:tcPr>
            <w:tcW w:w="1134" w:type="dxa"/>
            <w:vAlign w:val="center"/>
          </w:tcPr>
          <w:p w14:paraId="7B078600" w14:textId="77777777" w:rsidR="00317C04" w:rsidRPr="00807CE7" w:rsidRDefault="00317C04" w:rsidP="00BF6CFF">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2 659,3</w:t>
            </w:r>
          </w:p>
        </w:tc>
      </w:tr>
      <w:tr w:rsidR="00317C04" w:rsidRPr="00807CE7" w14:paraId="06B7E910" w14:textId="77777777" w:rsidTr="00317C04">
        <w:trPr>
          <w:trHeight w:val="340"/>
          <w:jc w:val="center"/>
        </w:trPr>
        <w:tc>
          <w:tcPr>
            <w:tcW w:w="2891" w:type="dxa"/>
            <w:shd w:val="clear" w:color="auto" w:fill="FFFFFF"/>
            <w:vAlign w:val="center"/>
          </w:tcPr>
          <w:p w14:paraId="0EEDB38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b/>
                <w:bCs/>
                <w:color w:val="000000"/>
              </w:rPr>
              <w:t>Резервні активи, Болгарія</w:t>
            </w:r>
          </w:p>
        </w:tc>
        <w:tc>
          <w:tcPr>
            <w:tcW w:w="1134" w:type="dxa"/>
            <w:shd w:val="clear" w:color="auto" w:fill="auto"/>
            <w:vAlign w:val="center"/>
          </w:tcPr>
          <w:p w14:paraId="500C655B"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b/>
                <w:bCs/>
              </w:rPr>
              <w:t>-88,4</w:t>
            </w:r>
          </w:p>
        </w:tc>
        <w:tc>
          <w:tcPr>
            <w:tcW w:w="1134" w:type="dxa"/>
            <w:shd w:val="clear" w:color="auto" w:fill="auto"/>
            <w:vAlign w:val="center"/>
          </w:tcPr>
          <w:p w14:paraId="069939D1"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b/>
                <w:bCs/>
              </w:rPr>
              <w:t>1 516,9</w:t>
            </w:r>
          </w:p>
        </w:tc>
        <w:tc>
          <w:tcPr>
            <w:tcW w:w="1134" w:type="dxa"/>
            <w:vAlign w:val="center"/>
          </w:tcPr>
          <w:p w14:paraId="3F4BADAA"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b/>
                <w:bCs/>
              </w:rPr>
              <w:t>-631,2</w:t>
            </w:r>
          </w:p>
        </w:tc>
        <w:tc>
          <w:tcPr>
            <w:tcW w:w="1134" w:type="dxa"/>
            <w:vAlign w:val="center"/>
          </w:tcPr>
          <w:p w14:paraId="55522913"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b/>
                <w:bCs/>
              </w:rPr>
              <w:t>6 699,0</w:t>
            </w:r>
          </w:p>
        </w:tc>
        <w:tc>
          <w:tcPr>
            <w:tcW w:w="1134" w:type="dxa"/>
            <w:vAlign w:val="center"/>
          </w:tcPr>
          <w:p w14:paraId="4BFEA155" w14:textId="77777777" w:rsidR="00317C04" w:rsidRPr="00807CE7" w:rsidRDefault="00317C04" w:rsidP="00BF6CFF">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b/>
                <w:bCs/>
              </w:rPr>
              <w:t>4 046,0</w:t>
            </w:r>
          </w:p>
        </w:tc>
      </w:tr>
    </w:tbl>
    <w:p w14:paraId="7AEEBF2D" w14:textId="77777777" w:rsidR="00807CE7" w:rsidRPr="00807CE7" w:rsidRDefault="00807CE7" w:rsidP="00807CE7">
      <w:pPr>
        <w:spacing w:line="360" w:lineRule="auto"/>
        <w:ind w:left="707"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w:t>
      </w:r>
      <w:r>
        <w:rPr>
          <w:rFonts w:ascii="Times New Roman" w:hAnsi="Times New Roman" w:cs="Times New Roman"/>
          <w:sz w:val="28"/>
          <w:szCs w:val="28"/>
          <w:lang w:val="en-US"/>
        </w:rPr>
        <w:t>33</w:t>
      </w:r>
      <w:r w:rsidRPr="00807CE7">
        <w:rPr>
          <w:rFonts w:ascii="Times New Roman" w:hAnsi="Times New Roman" w:cs="Times New Roman"/>
          <w:sz w:val="28"/>
          <w:szCs w:val="28"/>
        </w:rPr>
        <w:t>-3</w:t>
      </w:r>
      <w:r>
        <w:rPr>
          <w:rFonts w:ascii="Times New Roman" w:hAnsi="Times New Roman" w:cs="Times New Roman"/>
          <w:sz w:val="28"/>
          <w:szCs w:val="28"/>
          <w:lang w:val="en-US"/>
        </w:rPr>
        <w:t>6</w:t>
      </w:r>
      <w:r w:rsidRPr="00807CE7">
        <w:rPr>
          <w:rFonts w:ascii="Times New Roman" w:hAnsi="Times New Roman" w:cs="Times New Roman"/>
          <w:sz w:val="28"/>
          <w:szCs w:val="28"/>
        </w:rPr>
        <w:t>].</w:t>
      </w:r>
    </w:p>
    <w:p w14:paraId="538E1B9E" w14:textId="77777777" w:rsidR="007F472A" w:rsidRPr="00807CE7" w:rsidRDefault="007F472A">
      <w:pPr>
        <w:rPr>
          <w:rFonts w:ascii="Times New Roman" w:hAnsi="Times New Roman" w:cs="Times New Roman"/>
          <w:sz w:val="28"/>
          <w:szCs w:val="28"/>
        </w:rPr>
      </w:pPr>
    </w:p>
    <w:p w14:paraId="5A9E40E6" w14:textId="67DB54A6" w:rsidR="0093032C" w:rsidRPr="00807CE7" w:rsidRDefault="007F472A" w:rsidP="007F472A">
      <w:pPr>
        <w:spacing w:line="360" w:lineRule="auto"/>
        <w:ind w:firstLine="709"/>
        <w:jc w:val="right"/>
        <w:rPr>
          <w:rFonts w:ascii="Times New Roman" w:hAnsi="Times New Roman" w:cs="Times New Roman"/>
          <w:b/>
          <w:bCs/>
          <w:sz w:val="28"/>
          <w:szCs w:val="28"/>
        </w:rPr>
      </w:pPr>
      <w:r w:rsidRPr="00807CE7">
        <w:rPr>
          <w:rFonts w:ascii="Times New Roman" w:hAnsi="Times New Roman" w:cs="Times New Roman"/>
          <w:b/>
          <w:bCs/>
          <w:sz w:val="28"/>
          <w:szCs w:val="28"/>
        </w:rPr>
        <w:lastRenderedPageBreak/>
        <w:t>Додаток В</w:t>
      </w:r>
    </w:p>
    <w:p w14:paraId="39FCF0AD" w14:textId="683EC5DB" w:rsidR="007F472A" w:rsidRPr="00807CE7" w:rsidRDefault="007F472A" w:rsidP="007F472A">
      <w:pPr>
        <w:spacing w:line="360" w:lineRule="auto"/>
        <w:ind w:firstLine="709"/>
        <w:jc w:val="center"/>
        <w:rPr>
          <w:rFonts w:ascii="Times New Roman" w:hAnsi="Times New Roman" w:cs="Times New Roman"/>
          <w:b/>
          <w:bCs/>
          <w:sz w:val="28"/>
          <w:szCs w:val="28"/>
        </w:rPr>
      </w:pPr>
      <w:r w:rsidRPr="00807CE7">
        <w:rPr>
          <w:rFonts w:ascii="Times New Roman" w:hAnsi="Times New Roman" w:cs="Times New Roman"/>
          <w:b/>
          <w:bCs/>
          <w:sz w:val="28"/>
          <w:szCs w:val="28"/>
        </w:rPr>
        <w:t>Торгівля товарами та послугами між Україною та Румунією/Болгарією</w:t>
      </w:r>
    </w:p>
    <w:tbl>
      <w:tblPr>
        <w:tblW w:w="96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7"/>
        <w:gridCol w:w="1078"/>
        <w:gridCol w:w="1085"/>
        <w:gridCol w:w="1116"/>
        <w:gridCol w:w="1236"/>
        <w:gridCol w:w="1236"/>
        <w:gridCol w:w="1427"/>
      </w:tblGrid>
      <w:tr w:rsidR="007F472A" w:rsidRPr="00807CE7" w14:paraId="55958933" w14:textId="77777777" w:rsidTr="00317C04">
        <w:trPr>
          <w:trHeight w:val="340"/>
          <w:tblHeader/>
          <w:jc w:val="center"/>
        </w:trPr>
        <w:tc>
          <w:tcPr>
            <w:tcW w:w="2517" w:type="dxa"/>
            <w:shd w:val="clear" w:color="auto" w:fill="A5A5A5"/>
            <w:vAlign w:val="center"/>
          </w:tcPr>
          <w:p w14:paraId="2AE9F21B" w14:textId="77777777" w:rsidR="007F472A" w:rsidRPr="00807CE7" w:rsidRDefault="007F472A" w:rsidP="007F472A">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Показник</w:t>
            </w:r>
          </w:p>
        </w:tc>
        <w:tc>
          <w:tcPr>
            <w:tcW w:w="1078" w:type="dxa"/>
            <w:shd w:val="clear" w:color="auto" w:fill="A5A5A5"/>
            <w:vAlign w:val="center"/>
          </w:tcPr>
          <w:p w14:paraId="6BF9BBDD" w14:textId="77777777" w:rsidR="007F472A" w:rsidRPr="00807CE7" w:rsidRDefault="007F472A" w:rsidP="007F472A">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2017</w:t>
            </w:r>
          </w:p>
        </w:tc>
        <w:tc>
          <w:tcPr>
            <w:tcW w:w="1085" w:type="dxa"/>
            <w:shd w:val="clear" w:color="auto" w:fill="A5A5A5"/>
            <w:vAlign w:val="center"/>
          </w:tcPr>
          <w:p w14:paraId="66A9071E" w14:textId="77777777" w:rsidR="007F472A" w:rsidRPr="00807CE7" w:rsidRDefault="007F472A" w:rsidP="007F472A">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2018</w:t>
            </w:r>
          </w:p>
        </w:tc>
        <w:tc>
          <w:tcPr>
            <w:tcW w:w="1116" w:type="dxa"/>
            <w:shd w:val="clear" w:color="auto" w:fill="A5A5A5"/>
          </w:tcPr>
          <w:p w14:paraId="7D82F139" w14:textId="77777777" w:rsidR="007F472A" w:rsidRPr="00807CE7" w:rsidRDefault="007F472A" w:rsidP="007F472A">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2019</w:t>
            </w:r>
          </w:p>
        </w:tc>
        <w:tc>
          <w:tcPr>
            <w:tcW w:w="1236" w:type="dxa"/>
            <w:shd w:val="clear" w:color="auto" w:fill="A5A5A5"/>
          </w:tcPr>
          <w:p w14:paraId="236D040E" w14:textId="77777777" w:rsidR="007F472A" w:rsidRPr="00807CE7" w:rsidRDefault="007F472A" w:rsidP="007F472A">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2020</w:t>
            </w:r>
          </w:p>
        </w:tc>
        <w:tc>
          <w:tcPr>
            <w:tcW w:w="1236" w:type="dxa"/>
            <w:shd w:val="clear" w:color="auto" w:fill="A5A5A5"/>
          </w:tcPr>
          <w:p w14:paraId="284159BD" w14:textId="77777777" w:rsidR="007F472A" w:rsidRPr="00807CE7" w:rsidRDefault="007F472A" w:rsidP="007F472A">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2021</w:t>
            </w:r>
          </w:p>
        </w:tc>
        <w:tc>
          <w:tcPr>
            <w:tcW w:w="1427" w:type="dxa"/>
            <w:shd w:val="clear" w:color="auto" w:fill="A5A5A5"/>
          </w:tcPr>
          <w:p w14:paraId="6E1C7A87" w14:textId="77777777" w:rsidR="007F472A" w:rsidRPr="00807CE7" w:rsidRDefault="007F472A" w:rsidP="007F472A">
            <w:pPr>
              <w:widowControl w:val="0"/>
              <w:suppressAutoHyphens/>
              <w:jc w:val="center"/>
              <w:rPr>
                <w:rFonts w:ascii="Times New Roman" w:eastAsia="Times New Roman" w:hAnsi="Times New Roman" w:cs="Times New Roman"/>
                <w:b/>
                <w:bCs/>
                <w:color w:val="FFFFFF"/>
                <w:sz w:val="28"/>
                <w:szCs w:val="28"/>
              </w:rPr>
            </w:pPr>
            <w:r w:rsidRPr="00807CE7">
              <w:rPr>
                <w:rFonts w:ascii="Times New Roman" w:eastAsia="Times New Roman" w:hAnsi="Times New Roman" w:cs="Times New Roman"/>
                <w:b/>
                <w:bCs/>
                <w:color w:val="FFFFFF"/>
                <w:sz w:val="28"/>
                <w:szCs w:val="28"/>
              </w:rPr>
              <w:t>2022</w:t>
            </w:r>
          </w:p>
        </w:tc>
      </w:tr>
      <w:tr w:rsidR="007F472A" w:rsidRPr="00807CE7" w14:paraId="4882FF55" w14:textId="77777777" w:rsidTr="00317C04">
        <w:trPr>
          <w:trHeight w:val="340"/>
          <w:jc w:val="center"/>
        </w:trPr>
        <w:tc>
          <w:tcPr>
            <w:tcW w:w="2517" w:type="dxa"/>
            <w:shd w:val="clear" w:color="auto" w:fill="FFFFFF"/>
            <w:vAlign w:val="center"/>
          </w:tcPr>
          <w:p w14:paraId="64BD429D"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Торгівля товарами Болгарія, експорт</w:t>
            </w:r>
          </w:p>
        </w:tc>
        <w:tc>
          <w:tcPr>
            <w:tcW w:w="1078" w:type="dxa"/>
            <w:shd w:val="clear" w:color="auto" w:fill="auto"/>
            <w:vAlign w:val="center"/>
          </w:tcPr>
          <w:p w14:paraId="4BB1801D"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w:t>
            </w:r>
          </w:p>
        </w:tc>
        <w:tc>
          <w:tcPr>
            <w:tcW w:w="1085" w:type="dxa"/>
            <w:shd w:val="clear" w:color="auto" w:fill="auto"/>
            <w:vAlign w:val="center"/>
          </w:tcPr>
          <w:p w14:paraId="738CB4C5"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513 862,30</w:t>
            </w:r>
          </w:p>
        </w:tc>
        <w:tc>
          <w:tcPr>
            <w:tcW w:w="1116" w:type="dxa"/>
            <w:vAlign w:val="center"/>
          </w:tcPr>
          <w:p w14:paraId="77FFDA68"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482 168,20</w:t>
            </w:r>
          </w:p>
        </w:tc>
        <w:tc>
          <w:tcPr>
            <w:tcW w:w="1236" w:type="dxa"/>
            <w:vAlign w:val="center"/>
          </w:tcPr>
          <w:p w14:paraId="2D6AB6E7"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511502,7</w:t>
            </w:r>
          </w:p>
        </w:tc>
        <w:tc>
          <w:tcPr>
            <w:tcW w:w="1236" w:type="dxa"/>
            <w:vAlign w:val="center"/>
          </w:tcPr>
          <w:p w14:paraId="71F77DC7"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835270,9</w:t>
            </w:r>
          </w:p>
        </w:tc>
        <w:tc>
          <w:tcPr>
            <w:tcW w:w="1427" w:type="dxa"/>
            <w:vAlign w:val="center"/>
          </w:tcPr>
          <w:p w14:paraId="3EA12E88"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64808,8</w:t>
            </w:r>
          </w:p>
        </w:tc>
      </w:tr>
      <w:tr w:rsidR="007F472A" w:rsidRPr="00807CE7" w14:paraId="68116709" w14:textId="77777777" w:rsidTr="00317C04">
        <w:trPr>
          <w:trHeight w:val="340"/>
          <w:jc w:val="center"/>
        </w:trPr>
        <w:tc>
          <w:tcPr>
            <w:tcW w:w="2517" w:type="dxa"/>
            <w:shd w:val="clear" w:color="auto" w:fill="FFFFFF"/>
            <w:vAlign w:val="center"/>
          </w:tcPr>
          <w:p w14:paraId="648A373E"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Торгівля товарами Болгарія, імпорт</w:t>
            </w:r>
          </w:p>
        </w:tc>
        <w:tc>
          <w:tcPr>
            <w:tcW w:w="1078" w:type="dxa"/>
            <w:shd w:val="clear" w:color="auto" w:fill="auto"/>
            <w:vAlign w:val="center"/>
          </w:tcPr>
          <w:p w14:paraId="25763DC9"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w:t>
            </w:r>
          </w:p>
        </w:tc>
        <w:tc>
          <w:tcPr>
            <w:tcW w:w="1085" w:type="dxa"/>
            <w:shd w:val="clear" w:color="auto" w:fill="auto"/>
            <w:vAlign w:val="center"/>
          </w:tcPr>
          <w:p w14:paraId="442D0FF3"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259 422</w:t>
            </w:r>
          </w:p>
        </w:tc>
        <w:tc>
          <w:tcPr>
            <w:tcW w:w="1116" w:type="dxa"/>
            <w:vAlign w:val="center"/>
          </w:tcPr>
          <w:p w14:paraId="0FC9C582"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459 341,90</w:t>
            </w:r>
          </w:p>
        </w:tc>
        <w:tc>
          <w:tcPr>
            <w:tcW w:w="1236" w:type="dxa"/>
            <w:vAlign w:val="center"/>
          </w:tcPr>
          <w:p w14:paraId="4AAAB2BD"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289909,3</w:t>
            </w:r>
          </w:p>
        </w:tc>
        <w:tc>
          <w:tcPr>
            <w:tcW w:w="1236" w:type="dxa"/>
            <w:vAlign w:val="center"/>
          </w:tcPr>
          <w:p w14:paraId="1197E470"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542297,9</w:t>
            </w:r>
          </w:p>
        </w:tc>
        <w:tc>
          <w:tcPr>
            <w:tcW w:w="1427" w:type="dxa"/>
            <w:vAlign w:val="center"/>
          </w:tcPr>
          <w:p w14:paraId="0B23661F"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34 744,10</w:t>
            </w:r>
          </w:p>
        </w:tc>
      </w:tr>
      <w:tr w:rsidR="007F472A" w:rsidRPr="00807CE7" w14:paraId="5ADB8AC1" w14:textId="77777777" w:rsidTr="00317C04">
        <w:trPr>
          <w:trHeight w:val="340"/>
          <w:jc w:val="center"/>
        </w:trPr>
        <w:tc>
          <w:tcPr>
            <w:tcW w:w="2517" w:type="dxa"/>
            <w:shd w:val="clear" w:color="auto" w:fill="FFFFFF"/>
            <w:vAlign w:val="center"/>
          </w:tcPr>
          <w:p w14:paraId="7EAAB1D0"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торгівлі товарами, Болгарія</w:t>
            </w:r>
          </w:p>
        </w:tc>
        <w:tc>
          <w:tcPr>
            <w:tcW w:w="1078" w:type="dxa"/>
            <w:shd w:val="clear" w:color="auto" w:fill="auto"/>
            <w:vAlign w:val="center"/>
          </w:tcPr>
          <w:p w14:paraId="757467D4"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w:t>
            </w:r>
          </w:p>
        </w:tc>
        <w:tc>
          <w:tcPr>
            <w:tcW w:w="1085" w:type="dxa"/>
            <w:shd w:val="clear" w:color="auto" w:fill="auto"/>
            <w:vAlign w:val="center"/>
          </w:tcPr>
          <w:p w14:paraId="0DC0262E"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254 440,30</w:t>
            </w:r>
          </w:p>
        </w:tc>
        <w:tc>
          <w:tcPr>
            <w:tcW w:w="1116" w:type="dxa"/>
            <w:vAlign w:val="center"/>
          </w:tcPr>
          <w:p w14:paraId="1F85776C"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22 826,30</w:t>
            </w:r>
          </w:p>
        </w:tc>
        <w:tc>
          <w:tcPr>
            <w:tcW w:w="1236" w:type="dxa"/>
            <w:vAlign w:val="center"/>
          </w:tcPr>
          <w:p w14:paraId="5E43335D"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221593,4</w:t>
            </w:r>
          </w:p>
        </w:tc>
        <w:tc>
          <w:tcPr>
            <w:tcW w:w="1236" w:type="dxa"/>
            <w:vAlign w:val="center"/>
          </w:tcPr>
          <w:p w14:paraId="53165B6A"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292972,9</w:t>
            </w:r>
          </w:p>
        </w:tc>
        <w:tc>
          <w:tcPr>
            <w:tcW w:w="1427" w:type="dxa"/>
            <w:vAlign w:val="center"/>
          </w:tcPr>
          <w:p w14:paraId="1BBDC92D"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30 064,7</w:t>
            </w:r>
          </w:p>
        </w:tc>
      </w:tr>
      <w:tr w:rsidR="007F472A" w:rsidRPr="00807CE7" w14:paraId="6B344D58" w14:textId="77777777" w:rsidTr="00317C04">
        <w:trPr>
          <w:trHeight w:val="340"/>
          <w:jc w:val="center"/>
        </w:trPr>
        <w:tc>
          <w:tcPr>
            <w:tcW w:w="2517" w:type="dxa"/>
            <w:shd w:val="clear" w:color="auto" w:fill="FFFFFF"/>
            <w:vAlign w:val="center"/>
          </w:tcPr>
          <w:p w14:paraId="3366EBED"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Торгівля товарами Румунія, експорт</w:t>
            </w:r>
          </w:p>
        </w:tc>
        <w:tc>
          <w:tcPr>
            <w:tcW w:w="1078" w:type="dxa"/>
            <w:shd w:val="clear" w:color="auto" w:fill="auto"/>
            <w:vAlign w:val="center"/>
          </w:tcPr>
          <w:p w14:paraId="0E75A676"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w:t>
            </w:r>
          </w:p>
        </w:tc>
        <w:tc>
          <w:tcPr>
            <w:tcW w:w="1085" w:type="dxa"/>
            <w:shd w:val="clear" w:color="auto" w:fill="auto"/>
            <w:vAlign w:val="center"/>
          </w:tcPr>
          <w:p w14:paraId="527FBBA8"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932 648,60</w:t>
            </w:r>
          </w:p>
        </w:tc>
        <w:tc>
          <w:tcPr>
            <w:tcW w:w="1116" w:type="dxa"/>
            <w:vAlign w:val="center"/>
          </w:tcPr>
          <w:p w14:paraId="094EFE1E"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1 005 591,30</w:t>
            </w:r>
          </w:p>
        </w:tc>
        <w:tc>
          <w:tcPr>
            <w:tcW w:w="1236" w:type="dxa"/>
            <w:vAlign w:val="center"/>
          </w:tcPr>
          <w:p w14:paraId="36776F75"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1080954,2</w:t>
            </w:r>
          </w:p>
        </w:tc>
        <w:tc>
          <w:tcPr>
            <w:tcW w:w="1236" w:type="dxa"/>
            <w:vAlign w:val="center"/>
          </w:tcPr>
          <w:p w14:paraId="1EFBBBF0"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1543445,3</w:t>
            </w:r>
          </w:p>
        </w:tc>
        <w:tc>
          <w:tcPr>
            <w:tcW w:w="1427" w:type="dxa"/>
            <w:vAlign w:val="center"/>
          </w:tcPr>
          <w:p w14:paraId="3A65B743"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139843,8</w:t>
            </w:r>
          </w:p>
        </w:tc>
      </w:tr>
      <w:tr w:rsidR="007F472A" w:rsidRPr="00807CE7" w14:paraId="0CE9CC79" w14:textId="77777777" w:rsidTr="00317C04">
        <w:trPr>
          <w:trHeight w:val="340"/>
          <w:jc w:val="center"/>
        </w:trPr>
        <w:tc>
          <w:tcPr>
            <w:tcW w:w="2517" w:type="dxa"/>
            <w:shd w:val="clear" w:color="auto" w:fill="FFFFFF"/>
            <w:vAlign w:val="center"/>
          </w:tcPr>
          <w:p w14:paraId="50881829"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Торгівля товарами Румунія, імпорт</w:t>
            </w:r>
          </w:p>
        </w:tc>
        <w:tc>
          <w:tcPr>
            <w:tcW w:w="1078" w:type="dxa"/>
            <w:shd w:val="clear" w:color="auto" w:fill="auto"/>
            <w:vAlign w:val="center"/>
          </w:tcPr>
          <w:p w14:paraId="1013CC04"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w:t>
            </w:r>
          </w:p>
        </w:tc>
        <w:tc>
          <w:tcPr>
            <w:tcW w:w="1085" w:type="dxa"/>
            <w:shd w:val="clear" w:color="auto" w:fill="auto"/>
            <w:vAlign w:val="center"/>
          </w:tcPr>
          <w:p w14:paraId="6286773D"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511 105,40</w:t>
            </w:r>
          </w:p>
        </w:tc>
        <w:tc>
          <w:tcPr>
            <w:tcW w:w="1116" w:type="dxa"/>
            <w:vAlign w:val="center"/>
          </w:tcPr>
          <w:p w14:paraId="5B994B6E"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645 529,30</w:t>
            </w:r>
          </w:p>
        </w:tc>
        <w:tc>
          <w:tcPr>
            <w:tcW w:w="1236" w:type="dxa"/>
            <w:vAlign w:val="center"/>
          </w:tcPr>
          <w:p w14:paraId="22EFA6DC"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682434,6</w:t>
            </w:r>
          </w:p>
        </w:tc>
        <w:tc>
          <w:tcPr>
            <w:tcW w:w="1236" w:type="dxa"/>
            <w:vAlign w:val="center"/>
          </w:tcPr>
          <w:p w14:paraId="5EE10EFA"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796433,7</w:t>
            </w:r>
          </w:p>
        </w:tc>
        <w:tc>
          <w:tcPr>
            <w:tcW w:w="1427" w:type="dxa"/>
            <w:vAlign w:val="center"/>
          </w:tcPr>
          <w:p w14:paraId="7B086A7A"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42983</w:t>
            </w:r>
          </w:p>
        </w:tc>
      </w:tr>
      <w:tr w:rsidR="007F472A" w:rsidRPr="00807CE7" w14:paraId="364B9495" w14:textId="77777777" w:rsidTr="00317C04">
        <w:trPr>
          <w:trHeight w:val="340"/>
          <w:jc w:val="center"/>
        </w:trPr>
        <w:tc>
          <w:tcPr>
            <w:tcW w:w="2517" w:type="dxa"/>
            <w:shd w:val="clear" w:color="auto" w:fill="FFFFFF"/>
            <w:vAlign w:val="center"/>
          </w:tcPr>
          <w:p w14:paraId="00560511"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торгівлі товарами, Румунія</w:t>
            </w:r>
          </w:p>
        </w:tc>
        <w:tc>
          <w:tcPr>
            <w:tcW w:w="1078" w:type="dxa"/>
            <w:shd w:val="clear" w:color="auto" w:fill="auto"/>
            <w:vAlign w:val="center"/>
          </w:tcPr>
          <w:p w14:paraId="7F0D1F1C"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w:t>
            </w:r>
          </w:p>
        </w:tc>
        <w:tc>
          <w:tcPr>
            <w:tcW w:w="1085" w:type="dxa"/>
            <w:shd w:val="clear" w:color="auto" w:fill="auto"/>
            <w:vAlign w:val="center"/>
          </w:tcPr>
          <w:p w14:paraId="356F6F62"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421 543,20</w:t>
            </w:r>
          </w:p>
        </w:tc>
        <w:tc>
          <w:tcPr>
            <w:tcW w:w="1116" w:type="dxa"/>
            <w:vAlign w:val="center"/>
          </w:tcPr>
          <w:p w14:paraId="0F10CE5B"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360 062</w:t>
            </w:r>
          </w:p>
        </w:tc>
        <w:tc>
          <w:tcPr>
            <w:tcW w:w="1236" w:type="dxa"/>
            <w:vAlign w:val="center"/>
          </w:tcPr>
          <w:p w14:paraId="12C9450A"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 xml:space="preserve">398519,6 </w:t>
            </w:r>
          </w:p>
        </w:tc>
        <w:tc>
          <w:tcPr>
            <w:tcW w:w="1236" w:type="dxa"/>
            <w:vAlign w:val="center"/>
          </w:tcPr>
          <w:p w14:paraId="4E6A4B27"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 xml:space="preserve">747011,6 </w:t>
            </w:r>
          </w:p>
        </w:tc>
        <w:tc>
          <w:tcPr>
            <w:tcW w:w="1427" w:type="dxa"/>
            <w:vAlign w:val="center"/>
          </w:tcPr>
          <w:p w14:paraId="5ED1EBAF"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96860,8</w:t>
            </w:r>
          </w:p>
        </w:tc>
      </w:tr>
      <w:tr w:rsidR="007F472A" w:rsidRPr="00807CE7" w14:paraId="41A6CD2D" w14:textId="77777777" w:rsidTr="00317C04">
        <w:trPr>
          <w:trHeight w:val="340"/>
          <w:jc w:val="center"/>
        </w:trPr>
        <w:tc>
          <w:tcPr>
            <w:tcW w:w="2517" w:type="dxa"/>
            <w:shd w:val="clear" w:color="auto" w:fill="FFFFFF"/>
            <w:vAlign w:val="center"/>
          </w:tcPr>
          <w:p w14:paraId="0C8FE336"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Торгівля послугами Болгарія, експорт</w:t>
            </w:r>
          </w:p>
        </w:tc>
        <w:tc>
          <w:tcPr>
            <w:tcW w:w="1078" w:type="dxa"/>
            <w:shd w:val="clear" w:color="auto" w:fill="auto"/>
            <w:vAlign w:val="center"/>
          </w:tcPr>
          <w:p w14:paraId="070C423F"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19054,8</w:t>
            </w:r>
          </w:p>
        </w:tc>
        <w:tc>
          <w:tcPr>
            <w:tcW w:w="1085" w:type="dxa"/>
            <w:shd w:val="clear" w:color="auto" w:fill="auto"/>
            <w:vAlign w:val="center"/>
          </w:tcPr>
          <w:p w14:paraId="7C562421"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26594,3</w:t>
            </w:r>
          </w:p>
        </w:tc>
        <w:tc>
          <w:tcPr>
            <w:tcW w:w="1116" w:type="dxa"/>
            <w:vAlign w:val="center"/>
          </w:tcPr>
          <w:p w14:paraId="0FB4FD81"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44866,7</w:t>
            </w:r>
          </w:p>
        </w:tc>
        <w:tc>
          <w:tcPr>
            <w:tcW w:w="1236" w:type="dxa"/>
            <w:vAlign w:val="center"/>
          </w:tcPr>
          <w:p w14:paraId="2D6DE68D"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48178,9</w:t>
            </w:r>
          </w:p>
        </w:tc>
        <w:tc>
          <w:tcPr>
            <w:tcW w:w="1236" w:type="dxa"/>
            <w:vAlign w:val="center"/>
          </w:tcPr>
          <w:p w14:paraId="6C327AE6"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66524,9</w:t>
            </w:r>
          </w:p>
        </w:tc>
        <w:tc>
          <w:tcPr>
            <w:tcW w:w="1427" w:type="dxa"/>
            <w:vAlign w:val="center"/>
          </w:tcPr>
          <w:p w14:paraId="67A1B4ED"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w:t>
            </w:r>
          </w:p>
        </w:tc>
      </w:tr>
      <w:tr w:rsidR="007F472A" w:rsidRPr="00807CE7" w14:paraId="3EF9E0FA" w14:textId="77777777" w:rsidTr="00317C04">
        <w:trPr>
          <w:trHeight w:val="340"/>
          <w:jc w:val="center"/>
        </w:trPr>
        <w:tc>
          <w:tcPr>
            <w:tcW w:w="2517" w:type="dxa"/>
            <w:shd w:val="clear" w:color="auto" w:fill="FFFFFF"/>
            <w:vAlign w:val="center"/>
          </w:tcPr>
          <w:p w14:paraId="371A1276"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Торгівля послугами Болгарія, імпорт</w:t>
            </w:r>
          </w:p>
        </w:tc>
        <w:tc>
          <w:tcPr>
            <w:tcW w:w="1078" w:type="dxa"/>
            <w:shd w:val="clear" w:color="auto" w:fill="auto"/>
            <w:vAlign w:val="center"/>
          </w:tcPr>
          <w:p w14:paraId="7E430DE8"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11977,4</w:t>
            </w:r>
          </w:p>
        </w:tc>
        <w:tc>
          <w:tcPr>
            <w:tcW w:w="1085" w:type="dxa"/>
            <w:shd w:val="clear" w:color="auto" w:fill="auto"/>
            <w:vAlign w:val="center"/>
          </w:tcPr>
          <w:p w14:paraId="6D7983B3"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17083,0</w:t>
            </w:r>
          </w:p>
        </w:tc>
        <w:tc>
          <w:tcPr>
            <w:tcW w:w="1116" w:type="dxa"/>
            <w:vAlign w:val="center"/>
          </w:tcPr>
          <w:p w14:paraId="69BE6522"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28014,8</w:t>
            </w:r>
          </w:p>
        </w:tc>
        <w:tc>
          <w:tcPr>
            <w:tcW w:w="1236" w:type="dxa"/>
            <w:vAlign w:val="center"/>
          </w:tcPr>
          <w:p w14:paraId="483AB3F9"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27033,9</w:t>
            </w:r>
          </w:p>
        </w:tc>
        <w:tc>
          <w:tcPr>
            <w:tcW w:w="1236" w:type="dxa"/>
            <w:vAlign w:val="center"/>
          </w:tcPr>
          <w:p w14:paraId="0F174382"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70927,6</w:t>
            </w:r>
          </w:p>
        </w:tc>
        <w:tc>
          <w:tcPr>
            <w:tcW w:w="1427" w:type="dxa"/>
            <w:vAlign w:val="center"/>
          </w:tcPr>
          <w:p w14:paraId="0A8582DC"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w:t>
            </w:r>
          </w:p>
        </w:tc>
      </w:tr>
      <w:tr w:rsidR="007F472A" w:rsidRPr="00807CE7" w14:paraId="586B12AC" w14:textId="77777777" w:rsidTr="00317C04">
        <w:trPr>
          <w:trHeight w:val="340"/>
          <w:jc w:val="center"/>
        </w:trPr>
        <w:tc>
          <w:tcPr>
            <w:tcW w:w="2517" w:type="dxa"/>
            <w:shd w:val="clear" w:color="auto" w:fill="FFFFFF"/>
            <w:vAlign w:val="center"/>
          </w:tcPr>
          <w:p w14:paraId="1338B35C"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Сальдо торгівлі послугами, Болгарія</w:t>
            </w:r>
          </w:p>
        </w:tc>
        <w:tc>
          <w:tcPr>
            <w:tcW w:w="1078" w:type="dxa"/>
            <w:shd w:val="clear" w:color="auto" w:fill="auto"/>
            <w:vAlign w:val="center"/>
          </w:tcPr>
          <w:p w14:paraId="0145906A"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7 077,4</w:t>
            </w:r>
          </w:p>
        </w:tc>
        <w:tc>
          <w:tcPr>
            <w:tcW w:w="1085" w:type="dxa"/>
            <w:shd w:val="clear" w:color="auto" w:fill="auto"/>
            <w:vAlign w:val="center"/>
          </w:tcPr>
          <w:p w14:paraId="64C1EAA1"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9 511,2</w:t>
            </w:r>
          </w:p>
        </w:tc>
        <w:tc>
          <w:tcPr>
            <w:tcW w:w="1116" w:type="dxa"/>
            <w:vAlign w:val="center"/>
          </w:tcPr>
          <w:p w14:paraId="7E52FE33"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16 851,9</w:t>
            </w:r>
          </w:p>
        </w:tc>
        <w:tc>
          <w:tcPr>
            <w:tcW w:w="1236" w:type="dxa"/>
            <w:vAlign w:val="center"/>
          </w:tcPr>
          <w:p w14:paraId="50EEDC6B"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21 145,0</w:t>
            </w:r>
          </w:p>
        </w:tc>
        <w:tc>
          <w:tcPr>
            <w:tcW w:w="1236" w:type="dxa"/>
            <w:vAlign w:val="center"/>
          </w:tcPr>
          <w:p w14:paraId="768AD24E"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-4 402,7</w:t>
            </w:r>
          </w:p>
        </w:tc>
        <w:tc>
          <w:tcPr>
            <w:tcW w:w="1427" w:type="dxa"/>
            <w:vAlign w:val="center"/>
          </w:tcPr>
          <w:p w14:paraId="46B2E795"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w:t>
            </w:r>
          </w:p>
        </w:tc>
      </w:tr>
      <w:tr w:rsidR="007F472A" w:rsidRPr="00807CE7" w14:paraId="1E335161" w14:textId="77777777" w:rsidTr="00317C04">
        <w:trPr>
          <w:trHeight w:val="340"/>
          <w:jc w:val="center"/>
        </w:trPr>
        <w:tc>
          <w:tcPr>
            <w:tcW w:w="2517" w:type="dxa"/>
            <w:shd w:val="clear" w:color="auto" w:fill="FFFFFF"/>
            <w:vAlign w:val="center"/>
          </w:tcPr>
          <w:p w14:paraId="1EB83EA2"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Торгівля послугами Румунія, експорт</w:t>
            </w:r>
          </w:p>
        </w:tc>
        <w:tc>
          <w:tcPr>
            <w:tcW w:w="1078" w:type="dxa"/>
            <w:shd w:val="clear" w:color="auto" w:fill="auto"/>
            <w:vAlign w:val="center"/>
          </w:tcPr>
          <w:p w14:paraId="1D4780C8"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71524,2</w:t>
            </w:r>
          </w:p>
        </w:tc>
        <w:tc>
          <w:tcPr>
            <w:tcW w:w="1085" w:type="dxa"/>
            <w:shd w:val="clear" w:color="auto" w:fill="auto"/>
            <w:vAlign w:val="center"/>
          </w:tcPr>
          <w:p w14:paraId="5B242769"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93018,0</w:t>
            </w:r>
          </w:p>
        </w:tc>
        <w:tc>
          <w:tcPr>
            <w:tcW w:w="1116" w:type="dxa"/>
            <w:vAlign w:val="center"/>
          </w:tcPr>
          <w:p w14:paraId="1508CE2D"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117191,0</w:t>
            </w:r>
          </w:p>
        </w:tc>
        <w:tc>
          <w:tcPr>
            <w:tcW w:w="1236" w:type="dxa"/>
            <w:vAlign w:val="center"/>
          </w:tcPr>
          <w:p w14:paraId="0DDA3E76"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111836,1</w:t>
            </w:r>
          </w:p>
        </w:tc>
        <w:tc>
          <w:tcPr>
            <w:tcW w:w="1236" w:type="dxa"/>
            <w:vAlign w:val="center"/>
          </w:tcPr>
          <w:p w14:paraId="089AEB7E"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125383,8</w:t>
            </w:r>
          </w:p>
        </w:tc>
        <w:tc>
          <w:tcPr>
            <w:tcW w:w="1427" w:type="dxa"/>
            <w:vAlign w:val="center"/>
          </w:tcPr>
          <w:p w14:paraId="3A490436"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w:t>
            </w:r>
          </w:p>
        </w:tc>
      </w:tr>
      <w:tr w:rsidR="007F472A" w:rsidRPr="00807CE7" w14:paraId="39679922" w14:textId="77777777" w:rsidTr="00317C04">
        <w:trPr>
          <w:trHeight w:val="340"/>
          <w:jc w:val="center"/>
        </w:trPr>
        <w:tc>
          <w:tcPr>
            <w:tcW w:w="2517" w:type="dxa"/>
            <w:shd w:val="clear" w:color="auto" w:fill="FFFFFF"/>
            <w:vAlign w:val="center"/>
          </w:tcPr>
          <w:p w14:paraId="31C5ADD6"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Торгівля послугами Румунія, імпорт</w:t>
            </w:r>
          </w:p>
        </w:tc>
        <w:tc>
          <w:tcPr>
            <w:tcW w:w="1078" w:type="dxa"/>
            <w:shd w:val="clear" w:color="auto" w:fill="auto"/>
            <w:vAlign w:val="center"/>
          </w:tcPr>
          <w:p w14:paraId="07AABC0B"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26609,7</w:t>
            </w:r>
          </w:p>
        </w:tc>
        <w:tc>
          <w:tcPr>
            <w:tcW w:w="1085" w:type="dxa"/>
            <w:shd w:val="clear" w:color="auto" w:fill="auto"/>
            <w:vAlign w:val="center"/>
          </w:tcPr>
          <w:p w14:paraId="3BFCA88B"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39750,9</w:t>
            </w:r>
          </w:p>
        </w:tc>
        <w:tc>
          <w:tcPr>
            <w:tcW w:w="1116" w:type="dxa"/>
            <w:vAlign w:val="center"/>
          </w:tcPr>
          <w:p w14:paraId="66DABF53"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38942,6</w:t>
            </w:r>
          </w:p>
        </w:tc>
        <w:tc>
          <w:tcPr>
            <w:tcW w:w="1236" w:type="dxa"/>
            <w:vAlign w:val="center"/>
          </w:tcPr>
          <w:p w14:paraId="70EAC364"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21679,6</w:t>
            </w:r>
          </w:p>
        </w:tc>
        <w:tc>
          <w:tcPr>
            <w:tcW w:w="1236" w:type="dxa"/>
            <w:vAlign w:val="center"/>
          </w:tcPr>
          <w:p w14:paraId="7956D746"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color w:val="000000"/>
              </w:rPr>
              <w:t>26721,2</w:t>
            </w:r>
          </w:p>
        </w:tc>
        <w:tc>
          <w:tcPr>
            <w:tcW w:w="1427" w:type="dxa"/>
            <w:vAlign w:val="center"/>
          </w:tcPr>
          <w:p w14:paraId="138D93B1" w14:textId="77777777" w:rsidR="007F472A" w:rsidRPr="00807CE7" w:rsidRDefault="007F472A" w:rsidP="007F472A">
            <w:pPr>
              <w:widowControl w:val="0"/>
              <w:suppressAutoHyphens/>
              <w:jc w:val="center"/>
              <w:rPr>
                <w:rFonts w:ascii="Times New Roman" w:eastAsia="Times New Roman" w:hAnsi="Times New Roman" w:cs="Times New Roman"/>
              </w:rPr>
            </w:pPr>
            <w:r w:rsidRPr="00807CE7">
              <w:rPr>
                <w:rFonts w:ascii="Times New Roman" w:eastAsia="Times New Roman" w:hAnsi="Times New Roman" w:cs="Times New Roman"/>
              </w:rPr>
              <w:t>-</w:t>
            </w:r>
          </w:p>
        </w:tc>
      </w:tr>
      <w:tr w:rsidR="007F472A" w:rsidRPr="00807CE7" w14:paraId="44568A67" w14:textId="77777777" w:rsidTr="00317C04">
        <w:trPr>
          <w:trHeight w:val="340"/>
          <w:jc w:val="center"/>
        </w:trPr>
        <w:tc>
          <w:tcPr>
            <w:tcW w:w="2517" w:type="dxa"/>
            <w:shd w:val="clear" w:color="auto" w:fill="FFFFFF"/>
            <w:vAlign w:val="center"/>
          </w:tcPr>
          <w:p w14:paraId="566A9128" w14:textId="77777777" w:rsidR="007F472A" w:rsidRPr="00807CE7" w:rsidRDefault="007F472A" w:rsidP="007F472A">
            <w:pPr>
              <w:widowControl w:val="0"/>
              <w:suppressAutoHyphens/>
              <w:jc w:val="center"/>
              <w:rPr>
                <w:rFonts w:ascii="Times New Roman" w:eastAsia="Times New Roman" w:hAnsi="Times New Roman" w:cs="Times New Roman"/>
                <w:b/>
                <w:bCs/>
                <w:color w:val="202124"/>
              </w:rPr>
            </w:pPr>
            <w:r w:rsidRPr="00807CE7">
              <w:rPr>
                <w:rFonts w:ascii="Times New Roman" w:eastAsia="Times New Roman" w:hAnsi="Times New Roman" w:cs="Times New Roman"/>
                <w:b/>
                <w:bCs/>
                <w:color w:val="000000"/>
              </w:rPr>
              <w:t>Сальдо послугами товарами, Румунія</w:t>
            </w:r>
          </w:p>
        </w:tc>
        <w:tc>
          <w:tcPr>
            <w:tcW w:w="1078" w:type="dxa"/>
            <w:shd w:val="clear" w:color="auto" w:fill="auto"/>
            <w:vAlign w:val="center"/>
          </w:tcPr>
          <w:p w14:paraId="514F8346"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44 914,4</w:t>
            </w:r>
          </w:p>
        </w:tc>
        <w:tc>
          <w:tcPr>
            <w:tcW w:w="1085" w:type="dxa"/>
            <w:shd w:val="clear" w:color="auto" w:fill="auto"/>
            <w:vAlign w:val="center"/>
          </w:tcPr>
          <w:p w14:paraId="726BE2CD"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53 267,1</w:t>
            </w:r>
          </w:p>
        </w:tc>
        <w:tc>
          <w:tcPr>
            <w:tcW w:w="1116" w:type="dxa"/>
            <w:vAlign w:val="center"/>
          </w:tcPr>
          <w:p w14:paraId="2FE8D287"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78 248,3</w:t>
            </w:r>
          </w:p>
        </w:tc>
        <w:tc>
          <w:tcPr>
            <w:tcW w:w="1236" w:type="dxa"/>
            <w:vAlign w:val="center"/>
          </w:tcPr>
          <w:p w14:paraId="11E148DB"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90 156,6</w:t>
            </w:r>
          </w:p>
        </w:tc>
        <w:tc>
          <w:tcPr>
            <w:tcW w:w="1236" w:type="dxa"/>
            <w:vAlign w:val="center"/>
          </w:tcPr>
          <w:p w14:paraId="0AB4BBCC"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color w:val="000000"/>
              </w:rPr>
              <w:t>98 662,6</w:t>
            </w:r>
          </w:p>
        </w:tc>
        <w:tc>
          <w:tcPr>
            <w:tcW w:w="1427" w:type="dxa"/>
            <w:vAlign w:val="center"/>
          </w:tcPr>
          <w:p w14:paraId="52954A77" w14:textId="77777777" w:rsidR="007F472A" w:rsidRPr="00807CE7" w:rsidRDefault="007F472A" w:rsidP="007F472A">
            <w:pPr>
              <w:widowControl w:val="0"/>
              <w:suppressAutoHyphens/>
              <w:jc w:val="center"/>
              <w:rPr>
                <w:rFonts w:ascii="Times New Roman" w:eastAsia="Times New Roman" w:hAnsi="Times New Roman" w:cs="Times New Roman"/>
                <w:b/>
                <w:bCs/>
              </w:rPr>
            </w:pPr>
            <w:r w:rsidRPr="00807CE7">
              <w:rPr>
                <w:rFonts w:ascii="Times New Roman" w:eastAsia="Times New Roman" w:hAnsi="Times New Roman" w:cs="Times New Roman"/>
                <w:b/>
                <w:bCs/>
              </w:rPr>
              <w:t>-</w:t>
            </w:r>
          </w:p>
        </w:tc>
      </w:tr>
    </w:tbl>
    <w:p w14:paraId="6B5A3DCC" w14:textId="44F31256" w:rsidR="00807CE7" w:rsidRPr="00807CE7" w:rsidRDefault="00807CE7" w:rsidP="00807CE7">
      <w:pPr>
        <w:spacing w:line="360" w:lineRule="auto"/>
        <w:ind w:firstLine="709"/>
        <w:jc w:val="both"/>
        <w:rPr>
          <w:rFonts w:ascii="Times New Roman" w:hAnsi="Times New Roman" w:cs="Times New Roman"/>
          <w:sz w:val="28"/>
          <w:szCs w:val="28"/>
        </w:rPr>
      </w:pPr>
      <w:r w:rsidRPr="00807CE7">
        <w:rPr>
          <w:rFonts w:ascii="Times New Roman" w:hAnsi="Times New Roman" w:cs="Times New Roman"/>
          <w:sz w:val="28"/>
          <w:szCs w:val="28"/>
        </w:rPr>
        <w:t>Джерело: [</w:t>
      </w:r>
      <w:r>
        <w:rPr>
          <w:rFonts w:ascii="Times New Roman" w:hAnsi="Times New Roman" w:cs="Times New Roman"/>
          <w:sz w:val="28"/>
          <w:szCs w:val="28"/>
          <w:lang w:val="en-US"/>
        </w:rPr>
        <w:t>13</w:t>
      </w:r>
      <w:r>
        <w:rPr>
          <w:rFonts w:ascii="Times New Roman" w:hAnsi="Times New Roman" w:cs="Times New Roman"/>
          <w:sz w:val="28"/>
          <w:szCs w:val="28"/>
        </w:rPr>
        <w:t>-</w:t>
      </w:r>
      <w:r>
        <w:rPr>
          <w:rFonts w:ascii="Times New Roman" w:hAnsi="Times New Roman" w:cs="Times New Roman"/>
          <w:sz w:val="28"/>
          <w:szCs w:val="28"/>
          <w:lang w:val="en-US"/>
        </w:rPr>
        <w:t>17</w:t>
      </w:r>
      <w:r w:rsidRPr="00807CE7">
        <w:rPr>
          <w:rFonts w:ascii="Times New Roman" w:hAnsi="Times New Roman" w:cs="Times New Roman"/>
          <w:sz w:val="28"/>
          <w:szCs w:val="28"/>
        </w:rPr>
        <w:t>].</w:t>
      </w:r>
    </w:p>
    <w:p w14:paraId="700AECFD" w14:textId="77777777" w:rsidR="007F472A" w:rsidRPr="00807CE7" w:rsidRDefault="007F472A" w:rsidP="008453AA">
      <w:pPr>
        <w:spacing w:line="360" w:lineRule="auto"/>
        <w:ind w:firstLine="709"/>
        <w:jc w:val="both"/>
        <w:rPr>
          <w:rFonts w:ascii="Times New Roman" w:hAnsi="Times New Roman" w:cs="Times New Roman"/>
          <w:sz w:val="28"/>
          <w:szCs w:val="28"/>
        </w:rPr>
      </w:pPr>
    </w:p>
    <w:sectPr w:rsidR="007F472A" w:rsidRPr="00807CE7" w:rsidSect="00807CE7">
      <w:headerReference w:type="default" r:id="rId60"/>
      <w:pgSz w:w="11906" w:h="16838" w:code="9"/>
      <w:pgMar w:top="1134" w:right="851" w:bottom="1134" w:left="1588" w:header="567"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DD7848" w14:textId="77777777" w:rsidR="000C06E5" w:rsidRDefault="000C06E5" w:rsidP="00552D54">
      <w:r>
        <w:separator/>
      </w:r>
    </w:p>
  </w:endnote>
  <w:endnote w:type="continuationSeparator" w:id="0">
    <w:p w14:paraId="57EF065E" w14:textId="77777777" w:rsidR="000C06E5" w:rsidRDefault="000C06E5" w:rsidP="00552D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DA05BF" w14:textId="77777777" w:rsidR="000C06E5" w:rsidRDefault="000C06E5" w:rsidP="00552D54">
      <w:r>
        <w:separator/>
      </w:r>
    </w:p>
  </w:footnote>
  <w:footnote w:type="continuationSeparator" w:id="0">
    <w:p w14:paraId="76D93D50" w14:textId="77777777" w:rsidR="000C06E5" w:rsidRDefault="000C06E5" w:rsidP="00552D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6023046"/>
      <w:docPartObj>
        <w:docPartGallery w:val="Page Numbers (Top of Page)"/>
        <w:docPartUnique/>
      </w:docPartObj>
    </w:sdtPr>
    <w:sdtContent>
      <w:p w14:paraId="2B173D8C" w14:textId="789F76D2" w:rsidR="00807CE7" w:rsidRDefault="00807CE7">
        <w:pPr>
          <w:pStyle w:val="a9"/>
          <w:jc w:val="right"/>
        </w:pPr>
        <w:r>
          <w:fldChar w:fldCharType="begin"/>
        </w:r>
        <w:r>
          <w:instrText>PAGE   \* MERGEFORMAT</w:instrText>
        </w:r>
        <w:r>
          <w:fldChar w:fldCharType="separate"/>
        </w:r>
        <w:r w:rsidR="00BA7D6B" w:rsidRPr="00BA7D6B">
          <w:rPr>
            <w:noProof/>
            <w:lang w:val="ru-RU"/>
          </w:rPr>
          <w:t>2</w:t>
        </w:r>
        <w:r>
          <w:fldChar w:fldCharType="end"/>
        </w:r>
      </w:p>
    </w:sdtContent>
  </w:sdt>
  <w:p w14:paraId="61233D05" w14:textId="77777777" w:rsidR="00807CE7" w:rsidRDefault="00807CE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31520"/>
    <w:multiLevelType w:val="hybridMultilevel"/>
    <w:tmpl w:val="276483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5033AD3"/>
    <w:multiLevelType w:val="hybridMultilevel"/>
    <w:tmpl w:val="404275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074479C"/>
    <w:multiLevelType w:val="hybridMultilevel"/>
    <w:tmpl w:val="A37098A8"/>
    <w:lvl w:ilvl="0" w:tplc="94D074FC">
      <w:start w:val="1"/>
      <w:numFmt w:val="decimal"/>
      <w:lvlText w:val="%1."/>
      <w:lvlJc w:val="left"/>
      <w:pPr>
        <w:ind w:left="360" w:hanging="360"/>
      </w:pPr>
      <w:rPr>
        <w:rFonts w:hint="default"/>
        <w:sz w:val="28"/>
        <w:szCs w:val="24"/>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nsid w:val="23A81E4F"/>
    <w:multiLevelType w:val="hybridMultilevel"/>
    <w:tmpl w:val="36748516"/>
    <w:lvl w:ilvl="0" w:tplc="B2201B5E">
      <w:start w:val="2"/>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
    <w:nsid w:val="2B353F36"/>
    <w:multiLevelType w:val="hybridMultilevel"/>
    <w:tmpl w:val="7D42CDB4"/>
    <w:lvl w:ilvl="0" w:tplc="D7382F68">
      <w:start w:val="1"/>
      <w:numFmt w:val="decimal"/>
      <w:lvlText w:val="%1)"/>
      <w:lvlJc w:val="left"/>
      <w:pPr>
        <w:ind w:left="720" w:hanging="360"/>
      </w:pPr>
      <w:rPr>
        <w:rFonts w:hint="default"/>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35F36030"/>
    <w:multiLevelType w:val="hybridMultilevel"/>
    <w:tmpl w:val="5BDC9502"/>
    <w:lvl w:ilvl="0" w:tplc="4B68574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3F931FB4"/>
    <w:multiLevelType w:val="hybridMultilevel"/>
    <w:tmpl w:val="C97E952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476D64E3"/>
    <w:multiLevelType w:val="hybridMultilevel"/>
    <w:tmpl w:val="253A9894"/>
    <w:lvl w:ilvl="0" w:tplc="FE3038EC">
      <w:start w:val="1"/>
      <w:numFmt w:val="decimal"/>
      <w:lvlText w:val="%1."/>
      <w:lvlJc w:val="left"/>
      <w:pPr>
        <w:ind w:left="1729" w:hanging="10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4DC24263"/>
    <w:multiLevelType w:val="hybridMultilevel"/>
    <w:tmpl w:val="243ED25C"/>
    <w:lvl w:ilvl="0" w:tplc="04190003">
      <w:start w:val="1"/>
      <w:numFmt w:val="bullet"/>
      <w:lvlText w:val="o"/>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59DE5742"/>
    <w:multiLevelType w:val="hybridMultilevel"/>
    <w:tmpl w:val="A0405A8A"/>
    <w:lvl w:ilvl="0" w:tplc="3F3C44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CE51524"/>
    <w:multiLevelType w:val="multilevel"/>
    <w:tmpl w:val="8DC89962"/>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1">
    <w:nsid w:val="61D564AC"/>
    <w:multiLevelType w:val="hybridMultilevel"/>
    <w:tmpl w:val="D64470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5"/>
  </w:num>
  <w:num w:numId="4">
    <w:abstractNumId w:val="10"/>
  </w:num>
  <w:num w:numId="5">
    <w:abstractNumId w:val="8"/>
  </w:num>
  <w:num w:numId="6">
    <w:abstractNumId w:val="6"/>
  </w:num>
  <w:num w:numId="7">
    <w:abstractNumId w:val="9"/>
  </w:num>
  <w:num w:numId="8">
    <w:abstractNumId w:val="2"/>
  </w:num>
  <w:num w:numId="9">
    <w:abstractNumId w:val="4"/>
  </w:num>
  <w:num w:numId="10">
    <w:abstractNumId w:val="7"/>
  </w:num>
  <w:num w:numId="11">
    <w:abstractNumId w:val="1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3B3A"/>
    <w:rsid w:val="00044267"/>
    <w:rsid w:val="0005752D"/>
    <w:rsid w:val="000627B5"/>
    <w:rsid w:val="00067A37"/>
    <w:rsid w:val="00080E65"/>
    <w:rsid w:val="00096E3B"/>
    <w:rsid w:val="000A3B3A"/>
    <w:rsid w:val="000B7103"/>
    <w:rsid w:val="000C06E5"/>
    <w:rsid w:val="000C5C4C"/>
    <w:rsid w:val="000D37A1"/>
    <w:rsid w:val="000E2073"/>
    <w:rsid w:val="000F32AE"/>
    <w:rsid w:val="000F6F63"/>
    <w:rsid w:val="00103326"/>
    <w:rsid w:val="0010511F"/>
    <w:rsid w:val="00106AA9"/>
    <w:rsid w:val="001134B9"/>
    <w:rsid w:val="001216F0"/>
    <w:rsid w:val="00152C47"/>
    <w:rsid w:val="00155507"/>
    <w:rsid w:val="00163838"/>
    <w:rsid w:val="001646A8"/>
    <w:rsid w:val="00180A41"/>
    <w:rsid w:val="00184F96"/>
    <w:rsid w:val="001862AE"/>
    <w:rsid w:val="001912DF"/>
    <w:rsid w:val="001A25AB"/>
    <w:rsid w:val="001B40FE"/>
    <w:rsid w:val="001C5D41"/>
    <w:rsid w:val="001D7D6C"/>
    <w:rsid w:val="001E0AA3"/>
    <w:rsid w:val="001E5D5D"/>
    <w:rsid w:val="001E7D0C"/>
    <w:rsid w:val="001F160B"/>
    <w:rsid w:val="00201AD0"/>
    <w:rsid w:val="00201CBB"/>
    <w:rsid w:val="002120B0"/>
    <w:rsid w:val="00213F81"/>
    <w:rsid w:val="00216E1C"/>
    <w:rsid w:val="00221560"/>
    <w:rsid w:val="00253C6C"/>
    <w:rsid w:val="00263386"/>
    <w:rsid w:val="002664F1"/>
    <w:rsid w:val="002759C4"/>
    <w:rsid w:val="002A0067"/>
    <w:rsid w:val="002B5AA4"/>
    <w:rsid w:val="00317C04"/>
    <w:rsid w:val="00325391"/>
    <w:rsid w:val="00327BC6"/>
    <w:rsid w:val="00333039"/>
    <w:rsid w:val="00355172"/>
    <w:rsid w:val="003566DC"/>
    <w:rsid w:val="003A2C36"/>
    <w:rsid w:val="003A2E3A"/>
    <w:rsid w:val="003A31C8"/>
    <w:rsid w:val="003B1B10"/>
    <w:rsid w:val="003B7512"/>
    <w:rsid w:val="003C4587"/>
    <w:rsid w:val="003D0BFB"/>
    <w:rsid w:val="003D625C"/>
    <w:rsid w:val="003E5050"/>
    <w:rsid w:val="00433D37"/>
    <w:rsid w:val="00434CC5"/>
    <w:rsid w:val="004378FB"/>
    <w:rsid w:val="00446A98"/>
    <w:rsid w:val="004476E6"/>
    <w:rsid w:val="0045171F"/>
    <w:rsid w:val="00452A37"/>
    <w:rsid w:val="00462FFB"/>
    <w:rsid w:val="00476455"/>
    <w:rsid w:val="00483B2B"/>
    <w:rsid w:val="00495792"/>
    <w:rsid w:val="00495D1E"/>
    <w:rsid w:val="004965EC"/>
    <w:rsid w:val="00497996"/>
    <w:rsid w:val="004A5771"/>
    <w:rsid w:val="004A6782"/>
    <w:rsid w:val="004B64A5"/>
    <w:rsid w:val="004C183C"/>
    <w:rsid w:val="004C2037"/>
    <w:rsid w:val="004D1779"/>
    <w:rsid w:val="004D6E63"/>
    <w:rsid w:val="004E0B54"/>
    <w:rsid w:val="004E1A59"/>
    <w:rsid w:val="004E7660"/>
    <w:rsid w:val="004F2BFA"/>
    <w:rsid w:val="0054024E"/>
    <w:rsid w:val="0054613F"/>
    <w:rsid w:val="00552D54"/>
    <w:rsid w:val="00574246"/>
    <w:rsid w:val="00582824"/>
    <w:rsid w:val="00594D6D"/>
    <w:rsid w:val="0059592D"/>
    <w:rsid w:val="0059612B"/>
    <w:rsid w:val="005B0F92"/>
    <w:rsid w:val="005D04D7"/>
    <w:rsid w:val="005D14FE"/>
    <w:rsid w:val="005D51DB"/>
    <w:rsid w:val="005E213C"/>
    <w:rsid w:val="005F4C26"/>
    <w:rsid w:val="00604AD5"/>
    <w:rsid w:val="006165D1"/>
    <w:rsid w:val="00617755"/>
    <w:rsid w:val="00622C3F"/>
    <w:rsid w:val="006267E0"/>
    <w:rsid w:val="00630146"/>
    <w:rsid w:val="00642952"/>
    <w:rsid w:val="00642CAD"/>
    <w:rsid w:val="006503E5"/>
    <w:rsid w:val="00652F43"/>
    <w:rsid w:val="00654703"/>
    <w:rsid w:val="006559B8"/>
    <w:rsid w:val="00665AF7"/>
    <w:rsid w:val="00666720"/>
    <w:rsid w:val="00672E63"/>
    <w:rsid w:val="00681927"/>
    <w:rsid w:val="0068525D"/>
    <w:rsid w:val="006A7248"/>
    <w:rsid w:val="006C1F11"/>
    <w:rsid w:val="006F3120"/>
    <w:rsid w:val="006F6912"/>
    <w:rsid w:val="006F7FCD"/>
    <w:rsid w:val="00701C3F"/>
    <w:rsid w:val="00703FA6"/>
    <w:rsid w:val="00706723"/>
    <w:rsid w:val="00715AA0"/>
    <w:rsid w:val="007260D3"/>
    <w:rsid w:val="00733151"/>
    <w:rsid w:val="007375E7"/>
    <w:rsid w:val="00762502"/>
    <w:rsid w:val="00774FCA"/>
    <w:rsid w:val="00782C9D"/>
    <w:rsid w:val="007853A6"/>
    <w:rsid w:val="007956C1"/>
    <w:rsid w:val="007B2B50"/>
    <w:rsid w:val="007B6C88"/>
    <w:rsid w:val="007C01DE"/>
    <w:rsid w:val="007C0880"/>
    <w:rsid w:val="007C3D97"/>
    <w:rsid w:val="007D1558"/>
    <w:rsid w:val="007E50F2"/>
    <w:rsid w:val="007F36CC"/>
    <w:rsid w:val="007F472A"/>
    <w:rsid w:val="007F5137"/>
    <w:rsid w:val="007F5FD0"/>
    <w:rsid w:val="00804676"/>
    <w:rsid w:val="00804E73"/>
    <w:rsid w:val="00807CE7"/>
    <w:rsid w:val="00834E02"/>
    <w:rsid w:val="008369CD"/>
    <w:rsid w:val="008418D5"/>
    <w:rsid w:val="008453AA"/>
    <w:rsid w:val="00860BA0"/>
    <w:rsid w:val="0086423E"/>
    <w:rsid w:val="0088635A"/>
    <w:rsid w:val="0089323E"/>
    <w:rsid w:val="00897E78"/>
    <w:rsid w:val="008B2259"/>
    <w:rsid w:val="008C4FC1"/>
    <w:rsid w:val="008D1C80"/>
    <w:rsid w:val="008D48DD"/>
    <w:rsid w:val="008D4C69"/>
    <w:rsid w:val="008E7220"/>
    <w:rsid w:val="00912649"/>
    <w:rsid w:val="00913E7A"/>
    <w:rsid w:val="0092281A"/>
    <w:rsid w:val="00923017"/>
    <w:rsid w:val="0093032C"/>
    <w:rsid w:val="009329A1"/>
    <w:rsid w:val="00957F48"/>
    <w:rsid w:val="00963884"/>
    <w:rsid w:val="0098108D"/>
    <w:rsid w:val="0098293A"/>
    <w:rsid w:val="009A59FE"/>
    <w:rsid w:val="009C5967"/>
    <w:rsid w:val="009D2AC5"/>
    <w:rsid w:val="009D6D79"/>
    <w:rsid w:val="009E5FF1"/>
    <w:rsid w:val="009E7B32"/>
    <w:rsid w:val="009F1085"/>
    <w:rsid w:val="009F3378"/>
    <w:rsid w:val="009F3B8F"/>
    <w:rsid w:val="009F7968"/>
    <w:rsid w:val="00A06C48"/>
    <w:rsid w:val="00A13307"/>
    <w:rsid w:val="00A202A5"/>
    <w:rsid w:val="00A31049"/>
    <w:rsid w:val="00A47285"/>
    <w:rsid w:val="00A550DB"/>
    <w:rsid w:val="00A56A80"/>
    <w:rsid w:val="00A73038"/>
    <w:rsid w:val="00A80FF0"/>
    <w:rsid w:val="00A9209D"/>
    <w:rsid w:val="00AC6124"/>
    <w:rsid w:val="00AD52A6"/>
    <w:rsid w:val="00AE6D90"/>
    <w:rsid w:val="00AF2891"/>
    <w:rsid w:val="00AF4826"/>
    <w:rsid w:val="00B02013"/>
    <w:rsid w:val="00B1057F"/>
    <w:rsid w:val="00B13B4E"/>
    <w:rsid w:val="00B3794A"/>
    <w:rsid w:val="00B456ED"/>
    <w:rsid w:val="00B4616D"/>
    <w:rsid w:val="00B70164"/>
    <w:rsid w:val="00B75A2E"/>
    <w:rsid w:val="00B76AA0"/>
    <w:rsid w:val="00B842EF"/>
    <w:rsid w:val="00B85454"/>
    <w:rsid w:val="00B9598D"/>
    <w:rsid w:val="00B96399"/>
    <w:rsid w:val="00BA1BBD"/>
    <w:rsid w:val="00BA7D6B"/>
    <w:rsid w:val="00BB42C7"/>
    <w:rsid w:val="00BC311E"/>
    <w:rsid w:val="00BC45EC"/>
    <w:rsid w:val="00BC6220"/>
    <w:rsid w:val="00BD18A3"/>
    <w:rsid w:val="00BD1974"/>
    <w:rsid w:val="00BD24B3"/>
    <w:rsid w:val="00BF26E2"/>
    <w:rsid w:val="00BF6CFF"/>
    <w:rsid w:val="00BF6E2C"/>
    <w:rsid w:val="00C21AE2"/>
    <w:rsid w:val="00C24AA8"/>
    <w:rsid w:val="00C25A0A"/>
    <w:rsid w:val="00C32C75"/>
    <w:rsid w:val="00C36E3B"/>
    <w:rsid w:val="00C41576"/>
    <w:rsid w:val="00C41FE7"/>
    <w:rsid w:val="00C5540C"/>
    <w:rsid w:val="00C65836"/>
    <w:rsid w:val="00C7028B"/>
    <w:rsid w:val="00C70C63"/>
    <w:rsid w:val="00C81270"/>
    <w:rsid w:val="00C86097"/>
    <w:rsid w:val="00CA1076"/>
    <w:rsid w:val="00CA40E8"/>
    <w:rsid w:val="00CC34B9"/>
    <w:rsid w:val="00CC7ABD"/>
    <w:rsid w:val="00CD779D"/>
    <w:rsid w:val="00CF404C"/>
    <w:rsid w:val="00CF798D"/>
    <w:rsid w:val="00D1454E"/>
    <w:rsid w:val="00D253EB"/>
    <w:rsid w:val="00D31F1F"/>
    <w:rsid w:val="00D32FB5"/>
    <w:rsid w:val="00D43A95"/>
    <w:rsid w:val="00D4483B"/>
    <w:rsid w:val="00D72353"/>
    <w:rsid w:val="00D92CBC"/>
    <w:rsid w:val="00DA1EB8"/>
    <w:rsid w:val="00DB6629"/>
    <w:rsid w:val="00DC2F67"/>
    <w:rsid w:val="00DE3DD6"/>
    <w:rsid w:val="00DE7505"/>
    <w:rsid w:val="00DF484F"/>
    <w:rsid w:val="00DF75F1"/>
    <w:rsid w:val="00E01F4A"/>
    <w:rsid w:val="00E12E9B"/>
    <w:rsid w:val="00E13541"/>
    <w:rsid w:val="00E1677D"/>
    <w:rsid w:val="00E35CE0"/>
    <w:rsid w:val="00E36ED3"/>
    <w:rsid w:val="00E42179"/>
    <w:rsid w:val="00E46F32"/>
    <w:rsid w:val="00E4715A"/>
    <w:rsid w:val="00E577DE"/>
    <w:rsid w:val="00E61B84"/>
    <w:rsid w:val="00E77E26"/>
    <w:rsid w:val="00E93985"/>
    <w:rsid w:val="00EA00FA"/>
    <w:rsid w:val="00ED5731"/>
    <w:rsid w:val="00ED6485"/>
    <w:rsid w:val="00EE38EF"/>
    <w:rsid w:val="00EE3C96"/>
    <w:rsid w:val="00EE587A"/>
    <w:rsid w:val="00F00E99"/>
    <w:rsid w:val="00F13587"/>
    <w:rsid w:val="00F216E1"/>
    <w:rsid w:val="00F221F8"/>
    <w:rsid w:val="00F2376F"/>
    <w:rsid w:val="00F24A9A"/>
    <w:rsid w:val="00F305E3"/>
    <w:rsid w:val="00F30B51"/>
    <w:rsid w:val="00F32A6E"/>
    <w:rsid w:val="00F33CA8"/>
    <w:rsid w:val="00F34DD4"/>
    <w:rsid w:val="00F35EA2"/>
    <w:rsid w:val="00F37F4E"/>
    <w:rsid w:val="00F5292B"/>
    <w:rsid w:val="00F65641"/>
    <w:rsid w:val="00F71CBA"/>
    <w:rsid w:val="00F80B59"/>
    <w:rsid w:val="00F81EEE"/>
    <w:rsid w:val="00F90055"/>
    <w:rsid w:val="00F9177E"/>
    <w:rsid w:val="00F95BB5"/>
    <w:rsid w:val="00FA5737"/>
    <w:rsid w:val="00FB1852"/>
    <w:rsid w:val="00FD04FE"/>
    <w:rsid w:val="00FD1E59"/>
    <w:rsid w:val="00FF37C1"/>
    <w:rsid w:val="00FF59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1E9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40E8"/>
    <w:pPr>
      <w:ind w:left="720"/>
      <w:contextualSpacing/>
    </w:pPr>
  </w:style>
  <w:style w:type="character" w:styleId="a4">
    <w:name w:val="Placeholder Text"/>
    <w:basedOn w:val="a0"/>
    <w:uiPriority w:val="99"/>
    <w:semiHidden/>
    <w:rsid w:val="00F216E1"/>
    <w:rPr>
      <w:color w:val="808080"/>
    </w:rPr>
  </w:style>
  <w:style w:type="character" w:styleId="a5">
    <w:name w:val="Hyperlink"/>
    <w:basedOn w:val="a0"/>
    <w:uiPriority w:val="99"/>
    <w:unhideWhenUsed/>
    <w:rsid w:val="00DB6629"/>
    <w:rPr>
      <w:color w:val="0563C1" w:themeColor="hyperlink"/>
      <w:u w:val="single"/>
    </w:rPr>
  </w:style>
  <w:style w:type="character" w:customStyle="1" w:styleId="UnresolvedMention">
    <w:name w:val="Unresolved Mention"/>
    <w:basedOn w:val="a0"/>
    <w:uiPriority w:val="99"/>
    <w:semiHidden/>
    <w:unhideWhenUsed/>
    <w:rsid w:val="00DB6629"/>
    <w:rPr>
      <w:color w:val="605E5C"/>
      <w:shd w:val="clear" w:color="auto" w:fill="E1DFDD"/>
    </w:rPr>
  </w:style>
  <w:style w:type="character" w:styleId="a6">
    <w:name w:val="FollowedHyperlink"/>
    <w:basedOn w:val="a0"/>
    <w:uiPriority w:val="99"/>
    <w:semiHidden/>
    <w:unhideWhenUsed/>
    <w:rsid w:val="0010511F"/>
    <w:rPr>
      <w:color w:val="954F72" w:themeColor="followedHyperlink"/>
      <w:u w:val="single"/>
    </w:rPr>
  </w:style>
  <w:style w:type="character" w:customStyle="1" w:styleId="y2iqfc">
    <w:name w:val="y2iqfc"/>
    <w:basedOn w:val="a0"/>
    <w:rsid w:val="00C5540C"/>
  </w:style>
  <w:style w:type="paragraph" w:styleId="a7">
    <w:name w:val="Balloon Text"/>
    <w:basedOn w:val="a"/>
    <w:link w:val="a8"/>
    <w:uiPriority w:val="99"/>
    <w:semiHidden/>
    <w:unhideWhenUsed/>
    <w:rsid w:val="00483B2B"/>
    <w:rPr>
      <w:rFonts w:ascii="Tahoma" w:hAnsi="Tahoma" w:cs="Tahoma"/>
      <w:sz w:val="16"/>
      <w:szCs w:val="16"/>
    </w:rPr>
  </w:style>
  <w:style w:type="character" w:customStyle="1" w:styleId="a8">
    <w:name w:val="Текст выноски Знак"/>
    <w:basedOn w:val="a0"/>
    <w:link w:val="a7"/>
    <w:uiPriority w:val="99"/>
    <w:semiHidden/>
    <w:rsid w:val="00483B2B"/>
    <w:rPr>
      <w:rFonts w:ascii="Tahoma" w:hAnsi="Tahoma" w:cs="Tahoma"/>
      <w:sz w:val="16"/>
      <w:szCs w:val="16"/>
    </w:rPr>
  </w:style>
  <w:style w:type="paragraph" w:styleId="a9">
    <w:name w:val="header"/>
    <w:basedOn w:val="a"/>
    <w:link w:val="aa"/>
    <w:uiPriority w:val="99"/>
    <w:unhideWhenUsed/>
    <w:rsid w:val="00552D54"/>
    <w:pPr>
      <w:tabs>
        <w:tab w:val="center" w:pos="4513"/>
        <w:tab w:val="right" w:pos="9026"/>
      </w:tabs>
    </w:pPr>
  </w:style>
  <w:style w:type="character" w:customStyle="1" w:styleId="aa">
    <w:name w:val="Верхний колонтитул Знак"/>
    <w:basedOn w:val="a0"/>
    <w:link w:val="a9"/>
    <w:uiPriority w:val="99"/>
    <w:rsid w:val="00552D54"/>
  </w:style>
  <w:style w:type="paragraph" w:styleId="ab">
    <w:name w:val="footer"/>
    <w:basedOn w:val="a"/>
    <w:link w:val="ac"/>
    <w:uiPriority w:val="99"/>
    <w:unhideWhenUsed/>
    <w:rsid w:val="00552D54"/>
    <w:pPr>
      <w:tabs>
        <w:tab w:val="center" w:pos="4513"/>
        <w:tab w:val="right" w:pos="9026"/>
      </w:tabs>
    </w:pPr>
  </w:style>
  <w:style w:type="character" w:customStyle="1" w:styleId="ac">
    <w:name w:val="Нижний колонтитул Знак"/>
    <w:basedOn w:val="a0"/>
    <w:link w:val="ab"/>
    <w:uiPriority w:val="99"/>
    <w:rsid w:val="00552D5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40E8"/>
    <w:pPr>
      <w:ind w:left="720"/>
      <w:contextualSpacing/>
    </w:pPr>
  </w:style>
  <w:style w:type="character" w:styleId="a4">
    <w:name w:val="Placeholder Text"/>
    <w:basedOn w:val="a0"/>
    <w:uiPriority w:val="99"/>
    <w:semiHidden/>
    <w:rsid w:val="00F216E1"/>
    <w:rPr>
      <w:color w:val="808080"/>
    </w:rPr>
  </w:style>
  <w:style w:type="character" w:styleId="a5">
    <w:name w:val="Hyperlink"/>
    <w:basedOn w:val="a0"/>
    <w:uiPriority w:val="99"/>
    <w:unhideWhenUsed/>
    <w:rsid w:val="00DB6629"/>
    <w:rPr>
      <w:color w:val="0563C1" w:themeColor="hyperlink"/>
      <w:u w:val="single"/>
    </w:rPr>
  </w:style>
  <w:style w:type="character" w:customStyle="1" w:styleId="UnresolvedMention">
    <w:name w:val="Unresolved Mention"/>
    <w:basedOn w:val="a0"/>
    <w:uiPriority w:val="99"/>
    <w:semiHidden/>
    <w:unhideWhenUsed/>
    <w:rsid w:val="00DB6629"/>
    <w:rPr>
      <w:color w:val="605E5C"/>
      <w:shd w:val="clear" w:color="auto" w:fill="E1DFDD"/>
    </w:rPr>
  </w:style>
  <w:style w:type="character" w:styleId="a6">
    <w:name w:val="FollowedHyperlink"/>
    <w:basedOn w:val="a0"/>
    <w:uiPriority w:val="99"/>
    <w:semiHidden/>
    <w:unhideWhenUsed/>
    <w:rsid w:val="0010511F"/>
    <w:rPr>
      <w:color w:val="954F72" w:themeColor="followedHyperlink"/>
      <w:u w:val="single"/>
    </w:rPr>
  </w:style>
  <w:style w:type="character" w:customStyle="1" w:styleId="y2iqfc">
    <w:name w:val="y2iqfc"/>
    <w:basedOn w:val="a0"/>
    <w:rsid w:val="00C5540C"/>
  </w:style>
  <w:style w:type="paragraph" w:styleId="a7">
    <w:name w:val="Balloon Text"/>
    <w:basedOn w:val="a"/>
    <w:link w:val="a8"/>
    <w:uiPriority w:val="99"/>
    <w:semiHidden/>
    <w:unhideWhenUsed/>
    <w:rsid w:val="00483B2B"/>
    <w:rPr>
      <w:rFonts w:ascii="Tahoma" w:hAnsi="Tahoma" w:cs="Tahoma"/>
      <w:sz w:val="16"/>
      <w:szCs w:val="16"/>
    </w:rPr>
  </w:style>
  <w:style w:type="character" w:customStyle="1" w:styleId="a8">
    <w:name w:val="Текст выноски Знак"/>
    <w:basedOn w:val="a0"/>
    <w:link w:val="a7"/>
    <w:uiPriority w:val="99"/>
    <w:semiHidden/>
    <w:rsid w:val="00483B2B"/>
    <w:rPr>
      <w:rFonts w:ascii="Tahoma" w:hAnsi="Tahoma" w:cs="Tahoma"/>
      <w:sz w:val="16"/>
      <w:szCs w:val="16"/>
    </w:rPr>
  </w:style>
  <w:style w:type="paragraph" w:styleId="a9">
    <w:name w:val="header"/>
    <w:basedOn w:val="a"/>
    <w:link w:val="aa"/>
    <w:uiPriority w:val="99"/>
    <w:unhideWhenUsed/>
    <w:rsid w:val="00552D54"/>
    <w:pPr>
      <w:tabs>
        <w:tab w:val="center" w:pos="4513"/>
        <w:tab w:val="right" w:pos="9026"/>
      </w:tabs>
    </w:pPr>
  </w:style>
  <w:style w:type="character" w:customStyle="1" w:styleId="aa">
    <w:name w:val="Верхний колонтитул Знак"/>
    <w:basedOn w:val="a0"/>
    <w:link w:val="a9"/>
    <w:uiPriority w:val="99"/>
    <w:rsid w:val="00552D54"/>
  </w:style>
  <w:style w:type="paragraph" w:styleId="ab">
    <w:name w:val="footer"/>
    <w:basedOn w:val="a"/>
    <w:link w:val="ac"/>
    <w:uiPriority w:val="99"/>
    <w:unhideWhenUsed/>
    <w:rsid w:val="00552D54"/>
    <w:pPr>
      <w:tabs>
        <w:tab w:val="center" w:pos="4513"/>
        <w:tab w:val="right" w:pos="9026"/>
      </w:tabs>
    </w:pPr>
  </w:style>
  <w:style w:type="character" w:customStyle="1" w:styleId="ac">
    <w:name w:val="Нижний колонтитул Знак"/>
    <w:basedOn w:val="a0"/>
    <w:link w:val="ab"/>
    <w:uiPriority w:val="99"/>
    <w:rsid w:val="00552D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13163">
      <w:bodyDiv w:val="1"/>
      <w:marLeft w:val="0"/>
      <w:marRight w:val="0"/>
      <w:marTop w:val="0"/>
      <w:marBottom w:val="0"/>
      <w:divBdr>
        <w:top w:val="none" w:sz="0" w:space="0" w:color="auto"/>
        <w:left w:val="none" w:sz="0" w:space="0" w:color="auto"/>
        <w:bottom w:val="none" w:sz="0" w:space="0" w:color="auto"/>
        <w:right w:val="none" w:sz="0" w:space="0" w:color="auto"/>
      </w:divBdr>
      <w:divsChild>
        <w:div w:id="608199904">
          <w:marLeft w:val="0"/>
          <w:marRight w:val="0"/>
          <w:marTop w:val="0"/>
          <w:marBottom w:val="0"/>
          <w:divBdr>
            <w:top w:val="none" w:sz="0" w:space="0" w:color="auto"/>
            <w:left w:val="none" w:sz="0" w:space="0" w:color="auto"/>
            <w:bottom w:val="none" w:sz="0" w:space="0" w:color="auto"/>
            <w:right w:val="none" w:sz="0" w:space="0" w:color="auto"/>
          </w:divBdr>
          <w:divsChild>
            <w:div w:id="1427071738">
              <w:marLeft w:val="0"/>
              <w:marRight w:val="0"/>
              <w:marTop w:val="0"/>
              <w:marBottom w:val="0"/>
              <w:divBdr>
                <w:top w:val="none" w:sz="0" w:space="0" w:color="auto"/>
                <w:left w:val="none" w:sz="0" w:space="0" w:color="auto"/>
                <w:bottom w:val="none" w:sz="0" w:space="0" w:color="auto"/>
                <w:right w:val="none" w:sz="0" w:space="0" w:color="auto"/>
              </w:divBdr>
              <w:divsChild>
                <w:div w:id="45136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05831">
      <w:bodyDiv w:val="1"/>
      <w:marLeft w:val="0"/>
      <w:marRight w:val="0"/>
      <w:marTop w:val="0"/>
      <w:marBottom w:val="0"/>
      <w:divBdr>
        <w:top w:val="none" w:sz="0" w:space="0" w:color="auto"/>
        <w:left w:val="none" w:sz="0" w:space="0" w:color="auto"/>
        <w:bottom w:val="none" w:sz="0" w:space="0" w:color="auto"/>
        <w:right w:val="none" w:sz="0" w:space="0" w:color="auto"/>
      </w:divBdr>
    </w:div>
    <w:div w:id="60492593">
      <w:bodyDiv w:val="1"/>
      <w:marLeft w:val="0"/>
      <w:marRight w:val="0"/>
      <w:marTop w:val="0"/>
      <w:marBottom w:val="0"/>
      <w:divBdr>
        <w:top w:val="none" w:sz="0" w:space="0" w:color="auto"/>
        <w:left w:val="none" w:sz="0" w:space="0" w:color="auto"/>
        <w:bottom w:val="none" w:sz="0" w:space="0" w:color="auto"/>
        <w:right w:val="none" w:sz="0" w:space="0" w:color="auto"/>
      </w:divBdr>
      <w:divsChild>
        <w:div w:id="1074856400">
          <w:marLeft w:val="0"/>
          <w:marRight w:val="0"/>
          <w:marTop w:val="0"/>
          <w:marBottom w:val="0"/>
          <w:divBdr>
            <w:top w:val="none" w:sz="0" w:space="0" w:color="auto"/>
            <w:left w:val="none" w:sz="0" w:space="0" w:color="auto"/>
            <w:bottom w:val="none" w:sz="0" w:space="0" w:color="auto"/>
            <w:right w:val="none" w:sz="0" w:space="0" w:color="auto"/>
          </w:divBdr>
          <w:divsChild>
            <w:div w:id="1744179556">
              <w:marLeft w:val="0"/>
              <w:marRight w:val="0"/>
              <w:marTop w:val="0"/>
              <w:marBottom w:val="0"/>
              <w:divBdr>
                <w:top w:val="none" w:sz="0" w:space="0" w:color="auto"/>
                <w:left w:val="none" w:sz="0" w:space="0" w:color="auto"/>
                <w:bottom w:val="none" w:sz="0" w:space="0" w:color="auto"/>
                <w:right w:val="none" w:sz="0" w:space="0" w:color="auto"/>
              </w:divBdr>
              <w:divsChild>
                <w:div w:id="1578788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48089">
      <w:bodyDiv w:val="1"/>
      <w:marLeft w:val="0"/>
      <w:marRight w:val="0"/>
      <w:marTop w:val="0"/>
      <w:marBottom w:val="0"/>
      <w:divBdr>
        <w:top w:val="none" w:sz="0" w:space="0" w:color="auto"/>
        <w:left w:val="none" w:sz="0" w:space="0" w:color="auto"/>
        <w:bottom w:val="none" w:sz="0" w:space="0" w:color="auto"/>
        <w:right w:val="none" w:sz="0" w:space="0" w:color="auto"/>
      </w:divBdr>
    </w:div>
    <w:div w:id="97914048">
      <w:bodyDiv w:val="1"/>
      <w:marLeft w:val="0"/>
      <w:marRight w:val="0"/>
      <w:marTop w:val="0"/>
      <w:marBottom w:val="0"/>
      <w:divBdr>
        <w:top w:val="none" w:sz="0" w:space="0" w:color="auto"/>
        <w:left w:val="none" w:sz="0" w:space="0" w:color="auto"/>
        <w:bottom w:val="none" w:sz="0" w:space="0" w:color="auto"/>
        <w:right w:val="none" w:sz="0" w:space="0" w:color="auto"/>
      </w:divBdr>
    </w:div>
    <w:div w:id="135954366">
      <w:bodyDiv w:val="1"/>
      <w:marLeft w:val="0"/>
      <w:marRight w:val="0"/>
      <w:marTop w:val="0"/>
      <w:marBottom w:val="0"/>
      <w:divBdr>
        <w:top w:val="none" w:sz="0" w:space="0" w:color="auto"/>
        <w:left w:val="none" w:sz="0" w:space="0" w:color="auto"/>
        <w:bottom w:val="none" w:sz="0" w:space="0" w:color="auto"/>
        <w:right w:val="none" w:sz="0" w:space="0" w:color="auto"/>
      </w:divBdr>
      <w:divsChild>
        <w:div w:id="276985277">
          <w:marLeft w:val="0"/>
          <w:marRight w:val="0"/>
          <w:marTop w:val="0"/>
          <w:marBottom w:val="0"/>
          <w:divBdr>
            <w:top w:val="none" w:sz="0" w:space="0" w:color="auto"/>
            <w:left w:val="none" w:sz="0" w:space="0" w:color="auto"/>
            <w:bottom w:val="none" w:sz="0" w:space="0" w:color="auto"/>
            <w:right w:val="none" w:sz="0" w:space="0" w:color="auto"/>
          </w:divBdr>
          <w:divsChild>
            <w:div w:id="1830438016">
              <w:marLeft w:val="0"/>
              <w:marRight w:val="0"/>
              <w:marTop w:val="0"/>
              <w:marBottom w:val="0"/>
              <w:divBdr>
                <w:top w:val="none" w:sz="0" w:space="0" w:color="auto"/>
                <w:left w:val="none" w:sz="0" w:space="0" w:color="auto"/>
                <w:bottom w:val="none" w:sz="0" w:space="0" w:color="auto"/>
                <w:right w:val="none" w:sz="0" w:space="0" w:color="auto"/>
              </w:divBdr>
              <w:divsChild>
                <w:div w:id="1989093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07802">
      <w:bodyDiv w:val="1"/>
      <w:marLeft w:val="0"/>
      <w:marRight w:val="0"/>
      <w:marTop w:val="0"/>
      <w:marBottom w:val="0"/>
      <w:divBdr>
        <w:top w:val="none" w:sz="0" w:space="0" w:color="auto"/>
        <w:left w:val="none" w:sz="0" w:space="0" w:color="auto"/>
        <w:bottom w:val="none" w:sz="0" w:space="0" w:color="auto"/>
        <w:right w:val="none" w:sz="0" w:space="0" w:color="auto"/>
      </w:divBdr>
      <w:divsChild>
        <w:div w:id="1925527953">
          <w:marLeft w:val="0"/>
          <w:marRight w:val="0"/>
          <w:marTop w:val="0"/>
          <w:marBottom w:val="0"/>
          <w:divBdr>
            <w:top w:val="none" w:sz="0" w:space="0" w:color="auto"/>
            <w:left w:val="none" w:sz="0" w:space="0" w:color="auto"/>
            <w:bottom w:val="none" w:sz="0" w:space="0" w:color="auto"/>
            <w:right w:val="none" w:sz="0" w:space="0" w:color="auto"/>
          </w:divBdr>
          <w:divsChild>
            <w:div w:id="1505851707">
              <w:marLeft w:val="0"/>
              <w:marRight w:val="0"/>
              <w:marTop w:val="0"/>
              <w:marBottom w:val="0"/>
              <w:divBdr>
                <w:top w:val="none" w:sz="0" w:space="0" w:color="auto"/>
                <w:left w:val="none" w:sz="0" w:space="0" w:color="auto"/>
                <w:bottom w:val="none" w:sz="0" w:space="0" w:color="auto"/>
                <w:right w:val="none" w:sz="0" w:space="0" w:color="auto"/>
              </w:divBdr>
              <w:divsChild>
                <w:div w:id="115560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560816">
      <w:bodyDiv w:val="1"/>
      <w:marLeft w:val="0"/>
      <w:marRight w:val="0"/>
      <w:marTop w:val="0"/>
      <w:marBottom w:val="0"/>
      <w:divBdr>
        <w:top w:val="none" w:sz="0" w:space="0" w:color="auto"/>
        <w:left w:val="none" w:sz="0" w:space="0" w:color="auto"/>
        <w:bottom w:val="none" w:sz="0" w:space="0" w:color="auto"/>
        <w:right w:val="none" w:sz="0" w:space="0" w:color="auto"/>
      </w:divBdr>
      <w:divsChild>
        <w:div w:id="676081427">
          <w:marLeft w:val="0"/>
          <w:marRight w:val="0"/>
          <w:marTop w:val="0"/>
          <w:marBottom w:val="0"/>
          <w:divBdr>
            <w:top w:val="none" w:sz="0" w:space="0" w:color="auto"/>
            <w:left w:val="none" w:sz="0" w:space="0" w:color="auto"/>
            <w:bottom w:val="none" w:sz="0" w:space="0" w:color="auto"/>
            <w:right w:val="none" w:sz="0" w:space="0" w:color="auto"/>
          </w:divBdr>
          <w:divsChild>
            <w:div w:id="1917935514">
              <w:marLeft w:val="0"/>
              <w:marRight w:val="0"/>
              <w:marTop w:val="0"/>
              <w:marBottom w:val="0"/>
              <w:divBdr>
                <w:top w:val="none" w:sz="0" w:space="0" w:color="auto"/>
                <w:left w:val="none" w:sz="0" w:space="0" w:color="auto"/>
                <w:bottom w:val="none" w:sz="0" w:space="0" w:color="auto"/>
                <w:right w:val="none" w:sz="0" w:space="0" w:color="auto"/>
              </w:divBdr>
              <w:divsChild>
                <w:div w:id="1007947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653287">
      <w:bodyDiv w:val="1"/>
      <w:marLeft w:val="0"/>
      <w:marRight w:val="0"/>
      <w:marTop w:val="0"/>
      <w:marBottom w:val="0"/>
      <w:divBdr>
        <w:top w:val="none" w:sz="0" w:space="0" w:color="auto"/>
        <w:left w:val="none" w:sz="0" w:space="0" w:color="auto"/>
        <w:bottom w:val="none" w:sz="0" w:space="0" w:color="auto"/>
        <w:right w:val="none" w:sz="0" w:space="0" w:color="auto"/>
      </w:divBdr>
      <w:divsChild>
        <w:div w:id="336352926">
          <w:marLeft w:val="0"/>
          <w:marRight w:val="0"/>
          <w:marTop w:val="0"/>
          <w:marBottom w:val="0"/>
          <w:divBdr>
            <w:top w:val="none" w:sz="0" w:space="0" w:color="auto"/>
            <w:left w:val="none" w:sz="0" w:space="0" w:color="auto"/>
            <w:bottom w:val="none" w:sz="0" w:space="0" w:color="auto"/>
            <w:right w:val="none" w:sz="0" w:space="0" w:color="auto"/>
          </w:divBdr>
          <w:divsChild>
            <w:div w:id="130446468">
              <w:marLeft w:val="0"/>
              <w:marRight w:val="0"/>
              <w:marTop w:val="0"/>
              <w:marBottom w:val="0"/>
              <w:divBdr>
                <w:top w:val="none" w:sz="0" w:space="0" w:color="auto"/>
                <w:left w:val="none" w:sz="0" w:space="0" w:color="auto"/>
                <w:bottom w:val="none" w:sz="0" w:space="0" w:color="auto"/>
                <w:right w:val="none" w:sz="0" w:space="0" w:color="auto"/>
              </w:divBdr>
              <w:divsChild>
                <w:div w:id="1404061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6632960">
      <w:bodyDiv w:val="1"/>
      <w:marLeft w:val="0"/>
      <w:marRight w:val="0"/>
      <w:marTop w:val="0"/>
      <w:marBottom w:val="0"/>
      <w:divBdr>
        <w:top w:val="none" w:sz="0" w:space="0" w:color="auto"/>
        <w:left w:val="none" w:sz="0" w:space="0" w:color="auto"/>
        <w:bottom w:val="none" w:sz="0" w:space="0" w:color="auto"/>
        <w:right w:val="none" w:sz="0" w:space="0" w:color="auto"/>
      </w:divBdr>
    </w:div>
    <w:div w:id="331031238">
      <w:bodyDiv w:val="1"/>
      <w:marLeft w:val="0"/>
      <w:marRight w:val="0"/>
      <w:marTop w:val="0"/>
      <w:marBottom w:val="0"/>
      <w:divBdr>
        <w:top w:val="none" w:sz="0" w:space="0" w:color="auto"/>
        <w:left w:val="none" w:sz="0" w:space="0" w:color="auto"/>
        <w:bottom w:val="none" w:sz="0" w:space="0" w:color="auto"/>
        <w:right w:val="none" w:sz="0" w:space="0" w:color="auto"/>
      </w:divBdr>
      <w:divsChild>
        <w:div w:id="1398361210">
          <w:marLeft w:val="0"/>
          <w:marRight w:val="0"/>
          <w:marTop w:val="0"/>
          <w:marBottom w:val="0"/>
          <w:divBdr>
            <w:top w:val="none" w:sz="0" w:space="0" w:color="auto"/>
            <w:left w:val="none" w:sz="0" w:space="0" w:color="auto"/>
            <w:bottom w:val="none" w:sz="0" w:space="0" w:color="auto"/>
            <w:right w:val="none" w:sz="0" w:space="0" w:color="auto"/>
          </w:divBdr>
          <w:divsChild>
            <w:div w:id="1653101653">
              <w:marLeft w:val="0"/>
              <w:marRight w:val="0"/>
              <w:marTop w:val="0"/>
              <w:marBottom w:val="0"/>
              <w:divBdr>
                <w:top w:val="none" w:sz="0" w:space="0" w:color="auto"/>
                <w:left w:val="none" w:sz="0" w:space="0" w:color="auto"/>
                <w:bottom w:val="none" w:sz="0" w:space="0" w:color="auto"/>
                <w:right w:val="none" w:sz="0" w:space="0" w:color="auto"/>
              </w:divBdr>
              <w:divsChild>
                <w:div w:id="12990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488125">
      <w:bodyDiv w:val="1"/>
      <w:marLeft w:val="0"/>
      <w:marRight w:val="0"/>
      <w:marTop w:val="0"/>
      <w:marBottom w:val="0"/>
      <w:divBdr>
        <w:top w:val="none" w:sz="0" w:space="0" w:color="auto"/>
        <w:left w:val="none" w:sz="0" w:space="0" w:color="auto"/>
        <w:bottom w:val="none" w:sz="0" w:space="0" w:color="auto"/>
        <w:right w:val="none" w:sz="0" w:space="0" w:color="auto"/>
      </w:divBdr>
    </w:div>
    <w:div w:id="385646024">
      <w:bodyDiv w:val="1"/>
      <w:marLeft w:val="0"/>
      <w:marRight w:val="0"/>
      <w:marTop w:val="0"/>
      <w:marBottom w:val="0"/>
      <w:divBdr>
        <w:top w:val="none" w:sz="0" w:space="0" w:color="auto"/>
        <w:left w:val="none" w:sz="0" w:space="0" w:color="auto"/>
        <w:bottom w:val="none" w:sz="0" w:space="0" w:color="auto"/>
        <w:right w:val="none" w:sz="0" w:space="0" w:color="auto"/>
      </w:divBdr>
      <w:divsChild>
        <w:div w:id="1784769503">
          <w:marLeft w:val="0"/>
          <w:marRight w:val="0"/>
          <w:marTop w:val="0"/>
          <w:marBottom w:val="0"/>
          <w:divBdr>
            <w:top w:val="none" w:sz="0" w:space="0" w:color="auto"/>
            <w:left w:val="none" w:sz="0" w:space="0" w:color="auto"/>
            <w:bottom w:val="none" w:sz="0" w:space="0" w:color="auto"/>
            <w:right w:val="none" w:sz="0" w:space="0" w:color="auto"/>
          </w:divBdr>
          <w:divsChild>
            <w:div w:id="801924277">
              <w:marLeft w:val="0"/>
              <w:marRight w:val="0"/>
              <w:marTop w:val="0"/>
              <w:marBottom w:val="0"/>
              <w:divBdr>
                <w:top w:val="none" w:sz="0" w:space="0" w:color="auto"/>
                <w:left w:val="none" w:sz="0" w:space="0" w:color="auto"/>
                <w:bottom w:val="none" w:sz="0" w:space="0" w:color="auto"/>
                <w:right w:val="none" w:sz="0" w:space="0" w:color="auto"/>
              </w:divBdr>
              <w:divsChild>
                <w:div w:id="611597628">
                  <w:marLeft w:val="0"/>
                  <w:marRight w:val="0"/>
                  <w:marTop w:val="0"/>
                  <w:marBottom w:val="0"/>
                  <w:divBdr>
                    <w:top w:val="none" w:sz="0" w:space="0" w:color="auto"/>
                    <w:left w:val="none" w:sz="0" w:space="0" w:color="auto"/>
                    <w:bottom w:val="none" w:sz="0" w:space="0" w:color="auto"/>
                    <w:right w:val="none" w:sz="0" w:space="0" w:color="auto"/>
                  </w:divBdr>
                </w:div>
              </w:divsChild>
            </w:div>
            <w:div w:id="88242149">
              <w:marLeft w:val="0"/>
              <w:marRight w:val="0"/>
              <w:marTop w:val="0"/>
              <w:marBottom w:val="0"/>
              <w:divBdr>
                <w:top w:val="none" w:sz="0" w:space="0" w:color="auto"/>
                <w:left w:val="none" w:sz="0" w:space="0" w:color="auto"/>
                <w:bottom w:val="none" w:sz="0" w:space="0" w:color="auto"/>
                <w:right w:val="none" w:sz="0" w:space="0" w:color="auto"/>
              </w:divBdr>
              <w:divsChild>
                <w:div w:id="275991872">
                  <w:marLeft w:val="0"/>
                  <w:marRight w:val="0"/>
                  <w:marTop w:val="0"/>
                  <w:marBottom w:val="0"/>
                  <w:divBdr>
                    <w:top w:val="none" w:sz="0" w:space="0" w:color="auto"/>
                    <w:left w:val="none" w:sz="0" w:space="0" w:color="auto"/>
                    <w:bottom w:val="none" w:sz="0" w:space="0" w:color="auto"/>
                    <w:right w:val="none" w:sz="0" w:space="0" w:color="auto"/>
                  </w:divBdr>
                </w:div>
                <w:div w:id="881017971">
                  <w:marLeft w:val="0"/>
                  <w:marRight w:val="0"/>
                  <w:marTop w:val="0"/>
                  <w:marBottom w:val="0"/>
                  <w:divBdr>
                    <w:top w:val="none" w:sz="0" w:space="0" w:color="auto"/>
                    <w:left w:val="none" w:sz="0" w:space="0" w:color="auto"/>
                    <w:bottom w:val="none" w:sz="0" w:space="0" w:color="auto"/>
                    <w:right w:val="none" w:sz="0" w:space="0" w:color="auto"/>
                  </w:divBdr>
                </w:div>
              </w:divsChild>
            </w:div>
            <w:div w:id="825635976">
              <w:marLeft w:val="0"/>
              <w:marRight w:val="0"/>
              <w:marTop w:val="0"/>
              <w:marBottom w:val="0"/>
              <w:divBdr>
                <w:top w:val="none" w:sz="0" w:space="0" w:color="auto"/>
                <w:left w:val="none" w:sz="0" w:space="0" w:color="auto"/>
                <w:bottom w:val="none" w:sz="0" w:space="0" w:color="auto"/>
                <w:right w:val="none" w:sz="0" w:space="0" w:color="auto"/>
              </w:divBdr>
              <w:divsChild>
                <w:div w:id="1037049392">
                  <w:marLeft w:val="0"/>
                  <w:marRight w:val="0"/>
                  <w:marTop w:val="0"/>
                  <w:marBottom w:val="0"/>
                  <w:divBdr>
                    <w:top w:val="none" w:sz="0" w:space="0" w:color="auto"/>
                    <w:left w:val="none" w:sz="0" w:space="0" w:color="auto"/>
                    <w:bottom w:val="none" w:sz="0" w:space="0" w:color="auto"/>
                    <w:right w:val="none" w:sz="0" w:space="0" w:color="auto"/>
                  </w:divBdr>
                </w:div>
              </w:divsChild>
            </w:div>
            <w:div w:id="2064134120">
              <w:marLeft w:val="0"/>
              <w:marRight w:val="0"/>
              <w:marTop w:val="0"/>
              <w:marBottom w:val="0"/>
              <w:divBdr>
                <w:top w:val="none" w:sz="0" w:space="0" w:color="auto"/>
                <w:left w:val="none" w:sz="0" w:space="0" w:color="auto"/>
                <w:bottom w:val="none" w:sz="0" w:space="0" w:color="auto"/>
                <w:right w:val="none" w:sz="0" w:space="0" w:color="auto"/>
              </w:divBdr>
              <w:divsChild>
                <w:div w:id="162465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524047">
          <w:marLeft w:val="0"/>
          <w:marRight w:val="0"/>
          <w:marTop w:val="0"/>
          <w:marBottom w:val="0"/>
          <w:divBdr>
            <w:top w:val="none" w:sz="0" w:space="0" w:color="auto"/>
            <w:left w:val="none" w:sz="0" w:space="0" w:color="auto"/>
            <w:bottom w:val="none" w:sz="0" w:space="0" w:color="auto"/>
            <w:right w:val="none" w:sz="0" w:space="0" w:color="auto"/>
          </w:divBdr>
          <w:divsChild>
            <w:div w:id="1933122116">
              <w:marLeft w:val="0"/>
              <w:marRight w:val="0"/>
              <w:marTop w:val="0"/>
              <w:marBottom w:val="0"/>
              <w:divBdr>
                <w:top w:val="none" w:sz="0" w:space="0" w:color="auto"/>
                <w:left w:val="none" w:sz="0" w:space="0" w:color="auto"/>
                <w:bottom w:val="none" w:sz="0" w:space="0" w:color="auto"/>
                <w:right w:val="none" w:sz="0" w:space="0" w:color="auto"/>
              </w:divBdr>
              <w:divsChild>
                <w:div w:id="1765494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654421">
      <w:bodyDiv w:val="1"/>
      <w:marLeft w:val="0"/>
      <w:marRight w:val="0"/>
      <w:marTop w:val="0"/>
      <w:marBottom w:val="0"/>
      <w:divBdr>
        <w:top w:val="none" w:sz="0" w:space="0" w:color="auto"/>
        <w:left w:val="none" w:sz="0" w:space="0" w:color="auto"/>
        <w:bottom w:val="none" w:sz="0" w:space="0" w:color="auto"/>
        <w:right w:val="none" w:sz="0" w:space="0" w:color="auto"/>
      </w:divBdr>
    </w:div>
    <w:div w:id="430246485">
      <w:bodyDiv w:val="1"/>
      <w:marLeft w:val="0"/>
      <w:marRight w:val="0"/>
      <w:marTop w:val="0"/>
      <w:marBottom w:val="0"/>
      <w:divBdr>
        <w:top w:val="none" w:sz="0" w:space="0" w:color="auto"/>
        <w:left w:val="none" w:sz="0" w:space="0" w:color="auto"/>
        <w:bottom w:val="none" w:sz="0" w:space="0" w:color="auto"/>
        <w:right w:val="none" w:sz="0" w:space="0" w:color="auto"/>
      </w:divBdr>
    </w:div>
    <w:div w:id="441606537">
      <w:bodyDiv w:val="1"/>
      <w:marLeft w:val="0"/>
      <w:marRight w:val="0"/>
      <w:marTop w:val="0"/>
      <w:marBottom w:val="0"/>
      <w:divBdr>
        <w:top w:val="none" w:sz="0" w:space="0" w:color="auto"/>
        <w:left w:val="none" w:sz="0" w:space="0" w:color="auto"/>
        <w:bottom w:val="none" w:sz="0" w:space="0" w:color="auto"/>
        <w:right w:val="none" w:sz="0" w:space="0" w:color="auto"/>
      </w:divBdr>
      <w:divsChild>
        <w:div w:id="1779447943">
          <w:marLeft w:val="0"/>
          <w:marRight w:val="0"/>
          <w:marTop w:val="0"/>
          <w:marBottom w:val="0"/>
          <w:divBdr>
            <w:top w:val="none" w:sz="0" w:space="0" w:color="auto"/>
            <w:left w:val="none" w:sz="0" w:space="0" w:color="auto"/>
            <w:bottom w:val="none" w:sz="0" w:space="0" w:color="auto"/>
            <w:right w:val="none" w:sz="0" w:space="0" w:color="auto"/>
          </w:divBdr>
          <w:divsChild>
            <w:div w:id="1302536087">
              <w:marLeft w:val="0"/>
              <w:marRight w:val="0"/>
              <w:marTop w:val="0"/>
              <w:marBottom w:val="0"/>
              <w:divBdr>
                <w:top w:val="none" w:sz="0" w:space="0" w:color="auto"/>
                <w:left w:val="none" w:sz="0" w:space="0" w:color="auto"/>
                <w:bottom w:val="none" w:sz="0" w:space="0" w:color="auto"/>
                <w:right w:val="none" w:sz="0" w:space="0" w:color="auto"/>
              </w:divBdr>
              <w:divsChild>
                <w:div w:id="394667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0809969">
      <w:bodyDiv w:val="1"/>
      <w:marLeft w:val="0"/>
      <w:marRight w:val="0"/>
      <w:marTop w:val="0"/>
      <w:marBottom w:val="0"/>
      <w:divBdr>
        <w:top w:val="none" w:sz="0" w:space="0" w:color="auto"/>
        <w:left w:val="none" w:sz="0" w:space="0" w:color="auto"/>
        <w:bottom w:val="none" w:sz="0" w:space="0" w:color="auto"/>
        <w:right w:val="none" w:sz="0" w:space="0" w:color="auto"/>
      </w:divBdr>
      <w:divsChild>
        <w:div w:id="140198233">
          <w:marLeft w:val="0"/>
          <w:marRight w:val="0"/>
          <w:marTop w:val="0"/>
          <w:marBottom w:val="0"/>
          <w:divBdr>
            <w:top w:val="none" w:sz="0" w:space="0" w:color="auto"/>
            <w:left w:val="none" w:sz="0" w:space="0" w:color="auto"/>
            <w:bottom w:val="none" w:sz="0" w:space="0" w:color="auto"/>
            <w:right w:val="none" w:sz="0" w:space="0" w:color="auto"/>
          </w:divBdr>
          <w:divsChild>
            <w:div w:id="1059671669">
              <w:marLeft w:val="0"/>
              <w:marRight w:val="0"/>
              <w:marTop w:val="0"/>
              <w:marBottom w:val="0"/>
              <w:divBdr>
                <w:top w:val="none" w:sz="0" w:space="0" w:color="auto"/>
                <w:left w:val="none" w:sz="0" w:space="0" w:color="auto"/>
                <w:bottom w:val="none" w:sz="0" w:space="0" w:color="auto"/>
                <w:right w:val="none" w:sz="0" w:space="0" w:color="auto"/>
              </w:divBdr>
              <w:divsChild>
                <w:div w:id="2044939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7959603">
      <w:bodyDiv w:val="1"/>
      <w:marLeft w:val="0"/>
      <w:marRight w:val="0"/>
      <w:marTop w:val="0"/>
      <w:marBottom w:val="0"/>
      <w:divBdr>
        <w:top w:val="none" w:sz="0" w:space="0" w:color="auto"/>
        <w:left w:val="none" w:sz="0" w:space="0" w:color="auto"/>
        <w:bottom w:val="none" w:sz="0" w:space="0" w:color="auto"/>
        <w:right w:val="none" w:sz="0" w:space="0" w:color="auto"/>
      </w:divBdr>
    </w:div>
    <w:div w:id="550768583">
      <w:bodyDiv w:val="1"/>
      <w:marLeft w:val="0"/>
      <w:marRight w:val="0"/>
      <w:marTop w:val="0"/>
      <w:marBottom w:val="0"/>
      <w:divBdr>
        <w:top w:val="none" w:sz="0" w:space="0" w:color="auto"/>
        <w:left w:val="none" w:sz="0" w:space="0" w:color="auto"/>
        <w:bottom w:val="none" w:sz="0" w:space="0" w:color="auto"/>
        <w:right w:val="none" w:sz="0" w:space="0" w:color="auto"/>
      </w:divBdr>
      <w:divsChild>
        <w:div w:id="969743543">
          <w:marLeft w:val="0"/>
          <w:marRight w:val="0"/>
          <w:marTop w:val="0"/>
          <w:marBottom w:val="0"/>
          <w:divBdr>
            <w:top w:val="none" w:sz="0" w:space="0" w:color="auto"/>
            <w:left w:val="none" w:sz="0" w:space="0" w:color="auto"/>
            <w:bottom w:val="none" w:sz="0" w:space="0" w:color="auto"/>
            <w:right w:val="none" w:sz="0" w:space="0" w:color="auto"/>
          </w:divBdr>
          <w:divsChild>
            <w:div w:id="1935556300">
              <w:marLeft w:val="0"/>
              <w:marRight w:val="0"/>
              <w:marTop w:val="0"/>
              <w:marBottom w:val="0"/>
              <w:divBdr>
                <w:top w:val="none" w:sz="0" w:space="0" w:color="auto"/>
                <w:left w:val="none" w:sz="0" w:space="0" w:color="auto"/>
                <w:bottom w:val="none" w:sz="0" w:space="0" w:color="auto"/>
                <w:right w:val="none" w:sz="0" w:space="0" w:color="auto"/>
              </w:divBdr>
              <w:divsChild>
                <w:div w:id="356539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207741">
      <w:bodyDiv w:val="1"/>
      <w:marLeft w:val="0"/>
      <w:marRight w:val="0"/>
      <w:marTop w:val="0"/>
      <w:marBottom w:val="0"/>
      <w:divBdr>
        <w:top w:val="none" w:sz="0" w:space="0" w:color="auto"/>
        <w:left w:val="none" w:sz="0" w:space="0" w:color="auto"/>
        <w:bottom w:val="none" w:sz="0" w:space="0" w:color="auto"/>
        <w:right w:val="none" w:sz="0" w:space="0" w:color="auto"/>
      </w:divBdr>
      <w:divsChild>
        <w:div w:id="75903677">
          <w:marLeft w:val="0"/>
          <w:marRight w:val="0"/>
          <w:marTop w:val="0"/>
          <w:marBottom w:val="0"/>
          <w:divBdr>
            <w:top w:val="none" w:sz="0" w:space="0" w:color="auto"/>
            <w:left w:val="none" w:sz="0" w:space="0" w:color="auto"/>
            <w:bottom w:val="none" w:sz="0" w:space="0" w:color="auto"/>
            <w:right w:val="none" w:sz="0" w:space="0" w:color="auto"/>
          </w:divBdr>
          <w:divsChild>
            <w:div w:id="1458527889">
              <w:marLeft w:val="0"/>
              <w:marRight w:val="0"/>
              <w:marTop w:val="0"/>
              <w:marBottom w:val="0"/>
              <w:divBdr>
                <w:top w:val="none" w:sz="0" w:space="0" w:color="auto"/>
                <w:left w:val="none" w:sz="0" w:space="0" w:color="auto"/>
                <w:bottom w:val="none" w:sz="0" w:space="0" w:color="auto"/>
                <w:right w:val="none" w:sz="0" w:space="0" w:color="auto"/>
              </w:divBdr>
              <w:divsChild>
                <w:div w:id="765078526">
                  <w:marLeft w:val="0"/>
                  <w:marRight w:val="0"/>
                  <w:marTop w:val="0"/>
                  <w:marBottom w:val="0"/>
                  <w:divBdr>
                    <w:top w:val="none" w:sz="0" w:space="0" w:color="auto"/>
                    <w:left w:val="none" w:sz="0" w:space="0" w:color="auto"/>
                    <w:bottom w:val="none" w:sz="0" w:space="0" w:color="auto"/>
                    <w:right w:val="none" w:sz="0" w:space="0" w:color="auto"/>
                  </w:divBdr>
                  <w:divsChild>
                    <w:div w:id="18895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0652632">
      <w:bodyDiv w:val="1"/>
      <w:marLeft w:val="0"/>
      <w:marRight w:val="0"/>
      <w:marTop w:val="0"/>
      <w:marBottom w:val="0"/>
      <w:divBdr>
        <w:top w:val="none" w:sz="0" w:space="0" w:color="auto"/>
        <w:left w:val="none" w:sz="0" w:space="0" w:color="auto"/>
        <w:bottom w:val="none" w:sz="0" w:space="0" w:color="auto"/>
        <w:right w:val="none" w:sz="0" w:space="0" w:color="auto"/>
      </w:divBdr>
    </w:div>
    <w:div w:id="605162925">
      <w:bodyDiv w:val="1"/>
      <w:marLeft w:val="0"/>
      <w:marRight w:val="0"/>
      <w:marTop w:val="0"/>
      <w:marBottom w:val="0"/>
      <w:divBdr>
        <w:top w:val="none" w:sz="0" w:space="0" w:color="auto"/>
        <w:left w:val="none" w:sz="0" w:space="0" w:color="auto"/>
        <w:bottom w:val="none" w:sz="0" w:space="0" w:color="auto"/>
        <w:right w:val="none" w:sz="0" w:space="0" w:color="auto"/>
      </w:divBdr>
      <w:divsChild>
        <w:div w:id="2105564821">
          <w:marLeft w:val="0"/>
          <w:marRight w:val="0"/>
          <w:marTop w:val="0"/>
          <w:marBottom w:val="0"/>
          <w:divBdr>
            <w:top w:val="none" w:sz="0" w:space="0" w:color="auto"/>
            <w:left w:val="none" w:sz="0" w:space="0" w:color="auto"/>
            <w:bottom w:val="none" w:sz="0" w:space="0" w:color="auto"/>
            <w:right w:val="none" w:sz="0" w:space="0" w:color="auto"/>
          </w:divBdr>
          <w:divsChild>
            <w:div w:id="1829900235">
              <w:marLeft w:val="0"/>
              <w:marRight w:val="0"/>
              <w:marTop w:val="0"/>
              <w:marBottom w:val="0"/>
              <w:divBdr>
                <w:top w:val="none" w:sz="0" w:space="0" w:color="auto"/>
                <w:left w:val="none" w:sz="0" w:space="0" w:color="auto"/>
                <w:bottom w:val="none" w:sz="0" w:space="0" w:color="auto"/>
                <w:right w:val="none" w:sz="0" w:space="0" w:color="auto"/>
              </w:divBdr>
              <w:divsChild>
                <w:div w:id="71600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300900">
      <w:bodyDiv w:val="1"/>
      <w:marLeft w:val="0"/>
      <w:marRight w:val="0"/>
      <w:marTop w:val="0"/>
      <w:marBottom w:val="0"/>
      <w:divBdr>
        <w:top w:val="none" w:sz="0" w:space="0" w:color="auto"/>
        <w:left w:val="none" w:sz="0" w:space="0" w:color="auto"/>
        <w:bottom w:val="none" w:sz="0" w:space="0" w:color="auto"/>
        <w:right w:val="none" w:sz="0" w:space="0" w:color="auto"/>
      </w:divBdr>
    </w:div>
    <w:div w:id="649675263">
      <w:bodyDiv w:val="1"/>
      <w:marLeft w:val="0"/>
      <w:marRight w:val="0"/>
      <w:marTop w:val="0"/>
      <w:marBottom w:val="0"/>
      <w:divBdr>
        <w:top w:val="none" w:sz="0" w:space="0" w:color="auto"/>
        <w:left w:val="none" w:sz="0" w:space="0" w:color="auto"/>
        <w:bottom w:val="none" w:sz="0" w:space="0" w:color="auto"/>
        <w:right w:val="none" w:sz="0" w:space="0" w:color="auto"/>
      </w:divBdr>
    </w:div>
    <w:div w:id="685911875">
      <w:bodyDiv w:val="1"/>
      <w:marLeft w:val="0"/>
      <w:marRight w:val="0"/>
      <w:marTop w:val="0"/>
      <w:marBottom w:val="0"/>
      <w:divBdr>
        <w:top w:val="none" w:sz="0" w:space="0" w:color="auto"/>
        <w:left w:val="none" w:sz="0" w:space="0" w:color="auto"/>
        <w:bottom w:val="none" w:sz="0" w:space="0" w:color="auto"/>
        <w:right w:val="none" w:sz="0" w:space="0" w:color="auto"/>
      </w:divBdr>
    </w:div>
    <w:div w:id="735510730">
      <w:bodyDiv w:val="1"/>
      <w:marLeft w:val="0"/>
      <w:marRight w:val="0"/>
      <w:marTop w:val="0"/>
      <w:marBottom w:val="0"/>
      <w:divBdr>
        <w:top w:val="none" w:sz="0" w:space="0" w:color="auto"/>
        <w:left w:val="none" w:sz="0" w:space="0" w:color="auto"/>
        <w:bottom w:val="none" w:sz="0" w:space="0" w:color="auto"/>
        <w:right w:val="none" w:sz="0" w:space="0" w:color="auto"/>
      </w:divBdr>
      <w:divsChild>
        <w:div w:id="1682318593">
          <w:marLeft w:val="0"/>
          <w:marRight w:val="0"/>
          <w:marTop w:val="0"/>
          <w:marBottom w:val="0"/>
          <w:divBdr>
            <w:top w:val="none" w:sz="0" w:space="0" w:color="auto"/>
            <w:left w:val="none" w:sz="0" w:space="0" w:color="auto"/>
            <w:bottom w:val="none" w:sz="0" w:space="0" w:color="auto"/>
            <w:right w:val="none" w:sz="0" w:space="0" w:color="auto"/>
          </w:divBdr>
          <w:divsChild>
            <w:div w:id="2052729408">
              <w:marLeft w:val="0"/>
              <w:marRight w:val="0"/>
              <w:marTop w:val="0"/>
              <w:marBottom w:val="0"/>
              <w:divBdr>
                <w:top w:val="none" w:sz="0" w:space="0" w:color="auto"/>
                <w:left w:val="none" w:sz="0" w:space="0" w:color="auto"/>
                <w:bottom w:val="none" w:sz="0" w:space="0" w:color="auto"/>
                <w:right w:val="none" w:sz="0" w:space="0" w:color="auto"/>
              </w:divBdr>
              <w:divsChild>
                <w:div w:id="90125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6362599">
      <w:bodyDiv w:val="1"/>
      <w:marLeft w:val="0"/>
      <w:marRight w:val="0"/>
      <w:marTop w:val="0"/>
      <w:marBottom w:val="0"/>
      <w:divBdr>
        <w:top w:val="none" w:sz="0" w:space="0" w:color="auto"/>
        <w:left w:val="none" w:sz="0" w:space="0" w:color="auto"/>
        <w:bottom w:val="none" w:sz="0" w:space="0" w:color="auto"/>
        <w:right w:val="none" w:sz="0" w:space="0" w:color="auto"/>
      </w:divBdr>
    </w:div>
    <w:div w:id="842933103">
      <w:bodyDiv w:val="1"/>
      <w:marLeft w:val="0"/>
      <w:marRight w:val="0"/>
      <w:marTop w:val="0"/>
      <w:marBottom w:val="0"/>
      <w:divBdr>
        <w:top w:val="none" w:sz="0" w:space="0" w:color="auto"/>
        <w:left w:val="none" w:sz="0" w:space="0" w:color="auto"/>
        <w:bottom w:val="none" w:sz="0" w:space="0" w:color="auto"/>
        <w:right w:val="none" w:sz="0" w:space="0" w:color="auto"/>
      </w:divBdr>
      <w:divsChild>
        <w:div w:id="826212627">
          <w:marLeft w:val="0"/>
          <w:marRight w:val="0"/>
          <w:marTop w:val="0"/>
          <w:marBottom w:val="0"/>
          <w:divBdr>
            <w:top w:val="none" w:sz="0" w:space="0" w:color="auto"/>
            <w:left w:val="none" w:sz="0" w:space="0" w:color="auto"/>
            <w:bottom w:val="none" w:sz="0" w:space="0" w:color="auto"/>
            <w:right w:val="none" w:sz="0" w:space="0" w:color="auto"/>
          </w:divBdr>
          <w:divsChild>
            <w:div w:id="1639916521">
              <w:marLeft w:val="0"/>
              <w:marRight w:val="0"/>
              <w:marTop w:val="0"/>
              <w:marBottom w:val="0"/>
              <w:divBdr>
                <w:top w:val="none" w:sz="0" w:space="0" w:color="auto"/>
                <w:left w:val="none" w:sz="0" w:space="0" w:color="auto"/>
                <w:bottom w:val="none" w:sz="0" w:space="0" w:color="auto"/>
                <w:right w:val="none" w:sz="0" w:space="0" w:color="auto"/>
              </w:divBdr>
              <w:divsChild>
                <w:div w:id="2059013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471330">
      <w:bodyDiv w:val="1"/>
      <w:marLeft w:val="0"/>
      <w:marRight w:val="0"/>
      <w:marTop w:val="0"/>
      <w:marBottom w:val="0"/>
      <w:divBdr>
        <w:top w:val="none" w:sz="0" w:space="0" w:color="auto"/>
        <w:left w:val="none" w:sz="0" w:space="0" w:color="auto"/>
        <w:bottom w:val="none" w:sz="0" w:space="0" w:color="auto"/>
        <w:right w:val="none" w:sz="0" w:space="0" w:color="auto"/>
      </w:divBdr>
      <w:divsChild>
        <w:div w:id="1653368040">
          <w:marLeft w:val="0"/>
          <w:marRight w:val="0"/>
          <w:marTop w:val="0"/>
          <w:marBottom w:val="0"/>
          <w:divBdr>
            <w:top w:val="none" w:sz="0" w:space="0" w:color="auto"/>
            <w:left w:val="none" w:sz="0" w:space="0" w:color="auto"/>
            <w:bottom w:val="none" w:sz="0" w:space="0" w:color="auto"/>
            <w:right w:val="none" w:sz="0" w:space="0" w:color="auto"/>
          </w:divBdr>
          <w:divsChild>
            <w:div w:id="441917204">
              <w:marLeft w:val="0"/>
              <w:marRight w:val="0"/>
              <w:marTop w:val="0"/>
              <w:marBottom w:val="0"/>
              <w:divBdr>
                <w:top w:val="none" w:sz="0" w:space="0" w:color="auto"/>
                <w:left w:val="none" w:sz="0" w:space="0" w:color="auto"/>
                <w:bottom w:val="none" w:sz="0" w:space="0" w:color="auto"/>
                <w:right w:val="none" w:sz="0" w:space="0" w:color="auto"/>
              </w:divBdr>
              <w:divsChild>
                <w:div w:id="1691755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636482">
      <w:bodyDiv w:val="1"/>
      <w:marLeft w:val="0"/>
      <w:marRight w:val="0"/>
      <w:marTop w:val="0"/>
      <w:marBottom w:val="0"/>
      <w:divBdr>
        <w:top w:val="none" w:sz="0" w:space="0" w:color="auto"/>
        <w:left w:val="none" w:sz="0" w:space="0" w:color="auto"/>
        <w:bottom w:val="none" w:sz="0" w:space="0" w:color="auto"/>
        <w:right w:val="none" w:sz="0" w:space="0" w:color="auto"/>
      </w:divBdr>
      <w:divsChild>
        <w:div w:id="1064597354">
          <w:marLeft w:val="0"/>
          <w:marRight w:val="0"/>
          <w:marTop w:val="0"/>
          <w:marBottom w:val="0"/>
          <w:divBdr>
            <w:top w:val="none" w:sz="0" w:space="0" w:color="auto"/>
            <w:left w:val="none" w:sz="0" w:space="0" w:color="auto"/>
            <w:bottom w:val="none" w:sz="0" w:space="0" w:color="auto"/>
            <w:right w:val="none" w:sz="0" w:space="0" w:color="auto"/>
          </w:divBdr>
          <w:divsChild>
            <w:div w:id="1514029215">
              <w:marLeft w:val="0"/>
              <w:marRight w:val="0"/>
              <w:marTop w:val="0"/>
              <w:marBottom w:val="0"/>
              <w:divBdr>
                <w:top w:val="none" w:sz="0" w:space="0" w:color="auto"/>
                <w:left w:val="none" w:sz="0" w:space="0" w:color="auto"/>
                <w:bottom w:val="none" w:sz="0" w:space="0" w:color="auto"/>
                <w:right w:val="none" w:sz="0" w:space="0" w:color="auto"/>
              </w:divBdr>
              <w:divsChild>
                <w:div w:id="2137096080">
                  <w:marLeft w:val="0"/>
                  <w:marRight w:val="0"/>
                  <w:marTop w:val="0"/>
                  <w:marBottom w:val="0"/>
                  <w:divBdr>
                    <w:top w:val="none" w:sz="0" w:space="0" w:color="auto"/>
                    <w:left w:val="none" w:sz="0" w:space="0" w:color="auto"/>
                    <w:bottom w:val="none" w:sz="0" w:space="0" w:color="auto"/>
                    <w:right w:val="none" w:sz="0" w:space="0" w:color="auto"/>
                  </w:divBdr>
                  <w:divsChild>
                    <w:div w:id="48138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114414">
      <w:bodyDiv w:val="1"/>
      <w:marLeft w:val="0"/>
      <w:marRight w:val="0"/>
      <w:marTop w:val="0"/>
      <w:marBottom w:val="0"/>
      <w:divBdr>
        <w:top w:val="none" w:sz="0" w:space="0" w:color="auto"/>
        <w:left w:val="none" w:sz="0" w:space="0" w:color="auto"/>
        <w:bottom w:val="none" w:sz="0" w:space="0" w:color="auto"/>
        <w:right w:val="none" w:sz="0" w:space="0" w:color="auto"/>
      </w:divBdr>
    </w:div>
    <w:div w:id="1009024522">
      <w:bodyDiv w:val="1"/>
      <w:marLeft w:val="0"/>
      <w:marRight w:val="0"/>
      <w:marTop w:val="0"/>
      <w:marBottom w:val="0"/>
      <w:divBdr>
        <w:top w:val="none" w:sz="0" w:space="0" w:color="auto"/>
        <w:left w:val="none" w:sz="0" w:space="0" w:color="auto"/>
        <w:bottom w:val="none" w:sz="0" w:space="0" w:color="auto"/>
        <w:right w:val="none" w:sz="0" w:space="0" w:color="auto"/>
      </w:divBdr>
      <w:divsChild>
        <w:div w:id="1143422214">
          <w:marLeft w:val="0"/>
          <w:marRight w:val="0"/>
          <w:marTop w:val="0"/>
          <w:marBottom w:val="0"/>
          <w:divBdr>
            <w:top w:val="none" w:sz="0" w:space="0" w:color="auto"/>
            <w:left w:val="none" w:sz="0" w:space="0" w:color="auto"/>
            <w:bottom w:val="none" w:sz="0" w:space="0" w:color="auto"/>
            <w:right w:val="none" w:sz="0" w:space="0" w:color="auto"/>
          </w:divBdr>
          <w:divsChild>
            <w:div w:id="563837952">
              <w:marLeft w:val="0"/>
              <w:marRight w:val="0"/>
              <w:marTop w:val="0"/>
              <w:marBottom w:val="0"/>
              <w:divBdr>
                <w:top w:val="none" w:sz="0" w:space="0" w:color="auto"/>
                <w:left w:val="none" w:sz="0" w:space="0" w:color="auto"/>
                <w:bottom w:val="none" w:sz="0" w:space="0" w:color="auto"/>
                <w:right w:val="none" w:sz="0" w:space="0" w:color="auto"/>
              </w:divBdr>
              <w:divsChild>
                <w:div w:id="151769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532656">
      <w:bodyDiv w:val="1"/>
      <w:marLeft w:val="0"/>
      <w:marRight w:val="0"/>
      <w:marTop w:val="0"/>
      <w:marBottom w:val="0"/>
      <w:divBdr>
        <w:top w:val="none" w:sz="0" w:space="0" w:color="auto"/>
        <w:left w:val="none" w:sz="0" w:space="0" w:color="auto"/>
        <w:bottom w:val="none" w:sz="0" w:space="0" w:color="auto"/>
        <w:right w:val="none" w:sz="0" w:space="0" w:color="auto"/>
      </w:divBdr>
    </w:div>
    <w:div w:id="1062408867">
      <w:bodyDiv w:val="1"/>
      <w:marLeft w:val="0"/>
      <w:marRight w:val="0"/>
      <w:marTop w:val="0"/>
      <w:marBottom w:val="0"/>
      <w:divBdr>
        <w:top w:val="none" w:sz="0" w:space="0" w:color="auto"/>
        <w:left w:val="none" w:sz="0" w:space="0" w:color="auto"/>
        <w:bottom w:val="none" w:sz="0" w:space="0" w:color="auto"/>
        <w:right w:val="none" w:sz="0" w:space="0" w:color="auto"/>
      </w:divBdr>
    </w:div>
    <w:div w:id="1097366762">
      <w:bodyDiv w:val="1"/>
      <w:marLeft w:val="0"/>
      <w:marRight w:val="0"/>
      <w:marTop w:val="0"/>
      <w:marBottom w:val="0"/>
      <w:divBdr>
        <w:top w:val="none" w:sz="0" w:space="0" w:color="auto"/>
        <w:left w:val="none" w:sz="0" w:space="0" w:color="auto"/>
        <w:bottom w:val="none" w:sz="0" w:space="0" w:color="auto"/>
        <w:right w:val="none" w:sz="0" w:space="0" w:color="auto"/>
      </w:divBdr>
      <w:divsChild>
        <w:div w:id="2097238150">
          <w:marLeft w:val="0"/>
          <w:marRight w:val="0"/>
          <w:marTop w:val="0"/>
          <w:marBottom w:val="0"/>
          <w:divBdr>
            <w:top w:val="none" w:sz="0" w:space="0" w:color="auto"/>
            <w:left w:val="none" w:sz="0" w:space="0" w:color="auto"/>
            <w:bottom w:val="none" w:sz="0" w:space="0" w:color="auto"/>
            <w:right w:val="none" w:sz="0" w:space="0" w:color="auto"/>
          </w:divBdr>
          <w:divsChild>
            <w:div w:id="371618127">
              <w:marLeft w:val="0"/>
              <w:marRight w:val="0"/>
              <w:marTop w:val="0"/>
              <w:marBottom w:val="0"/>
              <w:divBdr>
                <w:top w:val="none" w:sz="0" w:space="0" w:color="auto"/>
                <w:left w:val="none" w:sz="0" w:space="0" w:color="auto"/>
                <w:bottom w:val="none" w:sz="0" w:space="0" w:color="auto"/>
                <w:right w:val="none" w:sz="0" w:space="0" w:color="auto"/>
              </w:divBdr>
              <w:divsChild>
                <w:div w:id="1728724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462491">
      <w:bodyDiv w:val="1"/>
      <w:marLeft w:val="0"/>
      <w:marRight w:val="0"/>
      <w:marTop w:val="0"/>
      <w:marBottom w:val="0"/>
      <w:divBdr>
        <w:top w:val="none" w:sz="0" w:space="0" w:color="auto"/>
        <w:left w:val="none" w:sz="0" w:space="0" w:color="auto"/>
        <w:bottom w:val="none" w:sz="0" w:space="0" w:color="auto"/>
        <w:right w:val="none" w:sz="0" w:space="0" w:color="auto"/>
      </w:divBdr>
    </w:div>
    <w:div w:id="1141852079">
      <w:bodyDiv w:val="1"/>
      <w:marLeft w:val="0"/>
      <w:marRight w:val="0"/>
      <w:marTop w:val="0"/>
      <w:marBottom w:val="0"/>
      <w:divBdr>
        <w:top w:val="none" w:sz="0" w:space="0" w:color="auto"/>
        <w:left w:val="none" w:sz="0" w:space="0" w:color="auto"/>
        <w:bottom w:val="none" w:sz="0" w:space="0" w:color="auto"/>
        <w:right w:val="none" w:sz="0" w:space="0" w:color="auto"/>
      </w:divBdr>
      <w:divsChild>
        <w:div w:id="1469586612">
          <w:marLeft w:val="0"/>
          <w:marRight w:val="0"/>
          <w:marTop w:val="0"/>
          <w:marBottom w:val="0"/>
          <w:divBdr>
            <w:top w:val="none" w:sz="0" w:space="0" w:color="auto"/>
            <w:left w:val="none" w:sz="0" w:space="0" w:color="auto"/>
            <w:bottom w:val="none" w:sz="0" w:space="0" w:color="auto"/>
            <w:right w:val="none" w:sz="0" w:space="0" w:color="auto"/>
          </w:divBdr>
          <w:divsChild>
            <w:div w:id="616764630">
              <w:marLeft w:val="0"/>
              <w:marRight w:val="0"/>
              <w:marTop w:val="0"/>
              <w:marBottom w:val="0"/>
              <w:divBdr>
                <w:top w:val="none" w:sz="0" w:space="0" w:color="auto"/>
                <w:left w:val="none" w:sz="0" w:space="0" w:color="auto"/>
                <w:bottom w:val="none" w:sz="0" w:space="0" w:color="auto"/>
                <w:right w:val="none" w:sz="0" w:space="0" w:color="auto"/>
              </w:divBdr>
              <w:divsChild>
                <w:div w:id="153978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985225">
      <w:bodyDiv w:val="1"/>
      <w:marLeft w:val="0"/>
      <w:marRight w:val="0"/>
      <w:marTop w:val="0"/>
      <w:marBottom w:val="0"/>
      <w:divBdr>
        <w:top w:val="none" w:sz="0" w:space="0" w:color="auto"/>
        <w:left w:val="none" w:sz="0" w:space="0" w:color="auto"/>
        <w:bottom w:val="none" w:sz="0" w:space="0" w:color="auto"/>
        <w:right w:val="none" w:sz="0" w:space="0" w:color="auto"/>
      </w:divBdr>
    </w:div>
    <w:div w:id="1167668101">
      <w:bodyDiv w:val="1"/>
      <w:marLeft w:val="0"/>
      <w:marRight w:val="0"/>
      <w:marTop w:val="0"/>
      <w:marBottom w:val="0"/>
      <w:divBdr>
        <w:top w:val="none" w:sz="0" w:space="0" w:color="auto"/>
        <w:left w:val="none" w:sz="0" w:space="0" w:color="auto"/>
        <w:bottom w:val="none" w:sz="0" w:space="0" w:color="auto"/>
        <w:right w:val="none" w:sz="0" w:space="0" w:color="auto"/>
      </w:divBdr>
    </w:div>
    <w:div w:id="1200974792">
      <w:bodyDiv w:val="1"/>
      <w:marLeft w:val="0"/>
      <w:marRight w:val="0"/>
      <w:marTop w:val="0"/>
      <w:marBottom w:val="0"/>
      <w:divBdr>
        <w:top w:val="none" w:sz="0" w:space="0" w:color="auto"/>
        <w:left w:val="none" w:sz="0" w:space="0" w:color="auto"/>
        <w:bottom w:val="none" w:sz="0" w:space="0" w:color="auto"/>
        <w:right w:val="none" w:sz="0" w:space="0" w:color="auto"/>
      </w:divBdr>
    </w:div>
    <w:div w:id="1248618270">
      <w:bodyDiv w:val="1"/>
      <w:marLeft w:val="0"/>
      <w:marRight w:val="0"/>
      <w:marTop w:val="0"/>
      <w:marBottom w:val="0"/>
      <w:divBdr>
        <w:top w:val="none" w:sz="0" w:space="0" w:color="auto"/>
        <w:left w:val="none" w:sz="0" w:space="0" w:color="auto"/>
        <w:bottom w:val="none" w:sz="0" w:space="0" w:color="auto"/>
        <w:right w:val="none" w:sz="0" w:space="0" w:color="auto"/>
      </w:divBdr>
    </w:div>
    <w:div w:id="1265723971">
      <w:bodyDiv w:val="1"/>
      <w:marLeft w:val="0"/>
      <w:marRight w:val="0"/>
      <w:marTop w:val="0"/>
      <w:marBottom w:val="0"/>
      <w:divBdr>
        <w:top w:val="none" w:sz="0" w:space="0" w:color="auto"/>
        <w:left w:val="none" w:sz="0" w:space="0" w:color="auto"/>
        <w:bottom w:val="none" w:sz="0" w:space="0" w:color="auto"/>
        <w:right w:val="none" w:sz="0" w:space="0" w:color="auto"/>
      </w:divBdr>
      <w:divsChild>
        <w:div w:id="456142623">
          <w:marLeft w:val="0"/>
          <w:marRight w:val="0"/>
          <w:marTop w:val="0"/>
          <w:marBottom w:val="0"/>
          <w:divBdr>
            <w:top w:val="none" w:sz="0" w:space="0" w:color="auto"/>
            <w:left w:val="none" w:sz="0" w:space="0" w:color="auto"/>
            <w:bottom w:val="none" w:sz="0" w:space="0" w:color="auto"/>
            <w:right w:val="none" w:sz="0" w:space="0" w:color="auto"/>
          </w:divBdr>
          <w:divsChild>
            <w:div w:id="1628007712">
              <w:marLeft w:val="0"/>
              <w:marRight w:val="0"/>
              <w:marTop w:val="0"/>
              <w:marBottom w:val="0"/>
              <w:divBdr>
                <w:top w:val="none" w:sz="0" w:space="0" w:color="auto"/>
                <w:left w:val="none" w:sz="0" w:space="0" w:color="auto"/>
                <w:bottom w:val="none" w:sz="0" w:space="0" w:color="auto"/>
                <w:right w:val="none" w:sz="0" w:space="0" w:color="auto"/>
              </w:divBdr>
              <w:divsChild>
                <w:div w:id="1125008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3632345">
      <w:bodyDiv w:val="1"/>
      <w:marLeft w:val="0"/>
      <w:marRight w:val="0"/>
      <w:marTop w:val="0"/>
      <w:marBottom w:val="0"/>
      <w:divBdr>
        <w:top w:val="none" w:sz="0" w:space="0" w:color="auto"/>
        <w:left w:val="none" w:sz="0" w:space="0" w:color="auto"/>
        <w:bottom w:val="none" w:sz="0" w:space="0" w:color="auto"/>
        <w:right w:val="none" w:sz="0" w:space="0" w:color="auto"/>
      </w:divBdr>
      <w:divsChild>
        <w:div w:id="634340028">
          <w:marLeft w:val="0"/>
          <w:marRight w:val="0"/>
          <w:marTop w:val="0"/>
          <w:marBottom w:val="0"/>
          <w:divBdr>
            <w:top w:val="none" w:sz="0" w:space="0" w:color="auto"/>
            <w:left w:val="none" w:sz="0" w:space="0" w:color="auto"/>
            <w:bottom w:val="none" w:sz="0" w:space="0" w:color="auto"/>
            <w:right w:val="none" w:sz="0" w:space="0" w:color="auto"/>
          </w:divBdr>
          <w:divsChild>
            <w:div w:id="672340331">
              <w:marLeft w:val="0"/>
              <w:marRight w:val="0"/>
              <w:marTop w:val="0"/>
              <w:marBottom w:val="0"/>
              <w:divBdr>
                <w:top w:val="none" w:sz="0" w:space="0" w:color="auto"/>
                <w:left w:val="none" w:sz="0" w:space="0" w:color="auto"/>
                <w:bottom w:val="none" w:sz="0" w:space="0" w:color="auto"/>
                <w:right w:val="none" w:sz="0" w:space="0" w:color="auto"/>
              </w:divBdr>
              <w:divsChild>
                <w:div w:id="2106684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863985">
      <w:bodyDiv w:val="1"/>
      <w:marLeft w:val="0"/>
      <w:marRight w:val="0"/>
      <w:marTop w:val="0"/>
      <w:marBottom w:val="0"/>
      <w:divBdr>
        <w:top w:val="none" w:sz="0" w:space="0" w:color="auto"/>
        <w:left w:val="none" w:sz="0" w:space="0" w:color="auto"/>
        <w:bottom w:val="none" w:sz="0" w:space="0" w:color="auto"/>
        <w:right w:val="none" w:sz="0" w:space="0" w:color="auto"/>
      </w:divBdr>
      <w:divsChild>
        <w:div w:id="1037318227">
          <w:marLeft w:val="0"/>
          <w:marRight w:val="0"/>
          <w:marTop w:val="0"/>
          <w:marBottom w:val="0"/>
          <w:divBdr>
            <w:top w:val="none" w:sz="0" w:space="0" w:color="auto"/>
            <w:left w:val="none" w:sz="0" w:space="0" w:color="auto"/>
            <w:bottom w:val="none" w:sz="0" w:space="0" w:color="auto"/>
            <w:right w:val="none" w:sz="0" w:space="0" w:color="auto"/>
          </w:divBdr>
          <w:divsChild>
            <w:div w:id="1357266927">
              <w:marLeft w:val="0"/>
              <w:marRight w:val="0"/>
              <w:marTop w:val="0"/>
              <w:marBottom w:val="0"/>
              <w:divBdr>
                <w:top w:val="none" w:sz="0" w:space="0" w:color="auto"/>
                <w:left w:val="none" w:sz="0" w:space="0" w:color="auto"/>
                <w:bottom w:val="none" w:sz="0" w:space="0" w:color="auto"/>
                <w:right w:val="none" w:sz="0" w:space="0" w:color="auto"/>
              </w:divBdr>
              <w:divsChild>
                <w:div w:id="250091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831321">
      <w:bodyDiv w:val="1"/>
      <w:marLeft w:val="0"/>
      <w:marRight w:val="0"/>
      <w:marTop w:val="0"/>
      <w:marBottom w:val="0"/>
      <w:divBdr>
        <w:top w:val="none" w:sz="0" w:space="0" w:color="auto"/>
        <w:left w:val="none" w:sz="0" w:space="0" w:color="auto"/>
        <w:bottom w:val="none" w:sz="0" w:space="0" w:color="auto"/>
        <w:right w:val="none" w:sz="0" w:space="0" w:color="auto"/>
      </w:divBdr>
    </w:div>
    <w:div w:id="1381515862">
      <w:bodyDiv w:val="1"/>
      <w:marLeft w:val="0"/>
      <w:marRight w:val="0"/>
      <w:marTop w:val="0"/>
      <w:marBottom w:val="0"/>
      <w:divBdr>
        <w:top w:val="none" w:sz="0" w:space="0" w:color="auto"/>
        <w:left w:val="none" w:sz="0" w:space="0" w:color="auto"/>
        <w:bottom w:val="none" w:sz="0" w:space="0" w:color="auto"/>
        <w:right w:val="none" w:sz="0" w:space="0" w:color="auto"/>
      </w:divBdr>
      <w:divsChild>
        <w:div w:id="1516578777">
          <w:marLeft w:val="0"/>
          <w:marRight w:val="0"/>
          <w:marTop w:val="0"/>
          <w:marBottom w:val="0"/>
          <w:divBdr>
            <w:top w:val="none" w:sz="0" w:space="0" w:color="auto"/>
            <w:left w:val="none" w:sz="0" w:space="0" w:color="auto"/>
            <w:bottom w:val="none" w:sz="0" w:space="0" w:color="auto"/>
            <w:right w:val="none" w:sz="0" w:space="0" w:color="auto"/>
          </w:divBdr>
          <w:divsChild>
            <w:div w:id="135339633">
              <w:marLeft w:val="0"/>
              <w:marRight w:val="0"/>
              <w:marTop w:val="0"/>
              <w:marBottom w:val="0"/>
              <w:divBdr>
                <w:top w:val="none" w:sz="0" w:space="0" w:color="auto"/>
                <w:left w:val="none" w:sz="0" w:space="0" w:color="auto"/>
                <w:bottom w:val="none" w:sz="0" w:space="0" w:color="auto"/>
                <w:right w:val="none" w:sz="0" w:space="0" w:color="auto"/>
              </w:divBdr>
              <w:divsChild>
                <w:div w:id="1819616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572784">
      <w:bodyDiv w:val="1"/>
      <w:marLeft w:val="0"/>
      <w:marRight w:val="0"/>
      <w:marTop w:val="0"/>
      <w:marBottom w:val="0"/>
      <w:divBdr>
        <w:top w:val="none" w:sz="0" w:space="0" w:color="auto"/>
        <w:left w:val="none" w:sz="0" w:space="0" w:color="auto"/>
        <w:bottom w:val="none" w:sz="0" w:space="0" w:color="auto"/>
        <w:right w:val="none" w:sz="0" w:space="0" w:color="auto"/>
      </w:divBdr>
      <w:divsChild>
        <w:div w:id="752091525">
          <w:marLeft w:val="0"/>
          <w:marRight w:val="0"/>
          <w:marTop w:val="0"/>
          <w:marBottom w:val="0"/>
          <w:divBdr>
            <w:top w:val="none" w:sz="0" w:space="0" w:color="auto"/>
            <w:left w:val="none" w:sz="0" w:space="0" w:color="auto"/>
            <w:bottom w:val="none" w:sz="0" w:space="0" w:color="auto"/>
            <w:right w:val="none" w:sz="0" w:space="0" w:color="auto"/>
          </w:divBdr>
          <w:divsChild>
            <w:div w:id="838033896">
              <w:marLeft w:val="0"/>
              <w:marRight w:val="0"/>
              <w:marTop w:val="0"/>
              <w:marBottom w:val="0"/>
              <w:divBdr>
                <w:top w:val="none" w:sz="0" w:space="0" w:color="auto"/>
                <w:left w:val="none" w:sz="0" w:space="0" w:color="auto"/>
                <w:bottom w:val="none" w:sz="0" w:space="0" w:color="auto"/>
                <w:right w:val="none" w:sz="0" w:space="0" w:color="auto"/>
              </w:divBdr>
              <w:divsChild>
                <w:div w:id="2043938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160883">
      <w:bodyDiv w:val="1"/>
      <w:marLeft w:val="0"/>
      <w:marRight w:val="0"/>
      <w:marTop w:val="0"/>
      <w:marBottom w:val="0"/>
      <w:divBdr>
        <w:top w:val="none" w:sz="0" w:space="0" w:color="auto"/>
        <w:left w:val="none" w:sz="0" w:space="0" w:color="auto"/>
        <w:bottom w:val="none" w:sz="0" w:space="0" w:color="auto"/>
        <w:right w:val="none" w:sz="0" w:space="0" w:color="auto"/>
      </w:divBdr>
      <w:divsChild>
        <w:div w:id="840657769">
          <w:marLeft w:val="0"/>
          <w:marRight w:val="0"/>
          <w:marTop w:val="0"/>
          <w:marBottom w:val="0"/>
          <w:divBdr>
            <w:top w:val="none" w:sz="0" w:space="0" w:color="auto"/>
            <w:left w:val="none" w:sz="0" w:space="0" w:color="auto"/>
            <w:bottom w:val="none" w:sz="0" w:space="0" w:color="auto"/>
            <w:right w:val="none" w:sz="0" w:space="0" w:color="auto"/>
          </w:divBdr>
          <w:divsChild>
            <w:div w:id="1905792910">
              <w:marLeft w:val="0"/>
              <w:marRight w:val="0"/>
              <w:marTop w:val="0"/>
              <w:marBottom w:val="0"/>
              <w:divBdr>
                <w:top w:val="none" w:sz="0" w:space="0" w:color="auto"/>
                <w:left w:val="none" w:sz="0" w:space="0" w:color="auto"/>
                <w:bottom w:val="none" w:sz="0" w:space="0" w:color="auto"/>
                <w:right w:val="none" w:sz="0" w:space="0" w:color="auto"/>
              </w:divBdr>
              <w:divsChild>
                <w:div w:id="147563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272811">
      <w:bodyDiv w:val="1"/>
      <w:marLeft w:val="0"/>
      <w:marRight w:val="0"/>
      <w:marTop w:val="0"/>
      <w:marBottom w:val="0"/>
      <w:divBdr>
        <w:top w:val="none" w:sz="0" w:space="0" w:color="auto"/>
        <w:left w:val="none" w:sz="0" w:space="0" w:color="auto"/>
        <w:bottom w:val="none" w:sz="0" w:space="0" w:color="auto"/>
        <w:right w:val="none" w:sz="0" w:space="0" w:color="auto"/>
      </w:divBdr>
      <w:divsChild>
        <w:div w:id="1974284517">
          <w:marLeft w:val="0"/>
          <w:marRight w:val="0"/>
          <w:marTop w:val="0"/>
          <w:marBottom w:val="0"/>
          <w:divBdr>
            <w:top w:val="none" w:sz="0" w:space="0" w:color="auto"/>
            <w:left w:val="none" w:sz="0" w:space="0" w:color="auto"/>
            <w:bottom w:val="none" w:sz="0" w:space="0" w:color="auto"/>
            <w:right w:val="none" w:sz="0" w:space="0" w:color="auto"/>
          </w:divBdr>
          <w:divsChild>
            <w:div w:id="2117216308">
              <w:marLeft w:val="0"/>
              <w:marRight w:val="0"/>
              <w:marTop w:val="0"/>
              <w:marBottom w:val="0"/>
              <w:divBdr>
                <w:top w:val="none" w:sz="0" w:space="0" w:color="auto"/>
                <w:left w:val="none" w:sz="0" w:space="0" w:color="auto"/>
                <w:bottom w:val="none" w:sz="0" w:space="0" w:color="auto"/>
                <w:right w:val="none" w:sz="0" w:space="0" w:color="auto"/>
              </w:divBdr>
              <w:divsChild>
                <w:div w:id="67149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487576">
      <w:bodyDiv w:val="1"/>
      <w:marLeft w:val="0"/>
      <w:marRight w:val="0"/>
      <w:marTop w:val="0"/>
      <w:marBottom w:val="0"/>
      <w:divBdr>
        <w:top w:val="none" w:sz="0" w:space="0" w:color="auto"/>
        <w:left w:val="none" w:sz="0" w:space="0" w:color="auto"/>
        <w:bottom w:val="none" w:sz="0" w:space="0" w:color="auto"/>
        <w:right w:val="none" w:sz="0" w:space="0" w:color="auto"/>
      </w:divBdr>
      <w:divsChild>
        <w:div w:id="1652952070">
          <w:marLeft w:val="0"/>
          <w:marRight w:val="0"/>
          <w:marTop w:val="0"/>
          <w:marBottom w:val="0"/>
          <w:divBdr>
            <w:top w:val="none" w:sz="0" w:space="0" w:color="auto"/>
            <w:left w:val="none" w:sz="0" w:space="0" w:color="auto"/>
            <w:bottom w:val="none" w:sz="0" w:space="0" w:color="auto"/>
            <w:right w:val="none" w:sz="0" w:space="0" w:color="auto"/>
          </w:divBdr>
          <w:divsChild>
            <w:div w:id="1437555654">
              <w:marLeft w:val="0"/>
              <w:marRight w:val="0"/>
              <w:marTop w:val="0"/>
              <w:marBottom w:val="0"/>
              <w:divBdr>
                <w:top w:val="none" w:sz="0" w:space="0" w:color="auto"/>
                <w:left w:val="none" w:sz="0" w:space="0" w:color="auto"/>
                <w:bottom w:val="none" w:sz="0" w:space="0" w:color="auto"/>
                <w:right w:val="none" w:sz="0" w:space="0" w:color="auto"/>
              </w:divBdr>
              <w:divsChild>
                <w:div w:id="120771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651383">
      <w:bodyDiv w:val="1"/>
      <w:marLeft w:val="0"/>
      <w:marRight w:val="0"/>
      <w:marTop w:val="0"/>
      <w:marBottom w:val="0"/>
      <w:divBdr>
        <w:top w:val="none" w:sz="0" w:space="0" w:color="auto"/>
        <w:left w:val="none" w:sz="0" w:space="0" w:color="auto"/>
        <w:bottom w:val="none" w:sz="0" w:space="0" w:color="auto"/>
        <w:right w:val="none" w:sz="0" w:space="0" w:color="auto"/>
      </w:divBdr>
    </w:div>
    <w:div w:id="1480807775">
      <w:bodyDiv w:val="1"/>
      <w:marLeft w:val="0"/>
      <w:marRight w:val="0"/>
      <w:marTop w:val="0"/>
      <w:marBottom w:val="0"/>
      <w:divBdr>
        <w:top w:val="none" w:sz="0" w:space="0" w:color="auto"/>
        <w:left w:val="none" w:sz="0" w:space="0" w:color="auto"/>
        <w:bottom w:val="none" w:sz="0" w:space="0" w:color="auto"/>
        <w:right w:val="none" w:sz="0" w:space="0" w:color="auto"/>
      </w:divBdr>
    </w:div>
    <w:div w:id="1520386768">
      <w:bodyDiv w:val="1"/>
      <w:marLeft w:val="0"/>
      <w:marRight w:val="0"/>
      <w:marTop w:val="0"/>
      <w:marBottom w:val="0"/>
      <w:divBdr>
        <w:top w:val="none" w:sz="0" w:space="0" w:color="auto"/>
        <w:left w:val="none" w:sz="0" w:space="0" w:color="auto"/>
        <w:bottom w:val="none" w:sz="0" w:space="0" w:color="auto"/>
        <w:right w:val="none" w:sz="0" w:space="0" w:color="auto"/>
      </w:divBdr>
      <w:divsChild>
        <w:div w:id="1787390212">
          <w:marLeft w:val="0"/>
          <w:marRight w:val="0"/>
          <w:marTop w:val="0"/>
          <w:marBottom w:val="0"/>
          <w:divBdr>
            <w:top w:val="none" w:sz="0" w:space="0" w:color="auto"/>
            <w:left w:val="none" w:sz="0" w:space="0" w:color="auto"/>
            <w:bottom w:val="none" w:sz="0" w:space="0" w:color="auto"/>
            <w:right w:val="none" w:sz="0" w:space="0" w:color="auto"/>
          </w:divBdr>
          <w:divsChild>
            <w:div w:id="1684434954">
              <w:marLeft w:val="0"/>
              <w:marRight w:val="0"/>
              <w:marTop w:val="0"/>
              <w:marBottom w:val="0"/>
              <w:divBdr>
                <w:top w:val="none" w:sz="0" w:space="0" w:color="auto"/>
                <w:left w:val="none" w:sz="0" w:space="0" w:color="auto"/>
                <w:bottom w:val="none" w:sz="0" w:space="0" w:color="auto"/>
                <w:right w:val="none" w:sz="0" w:space="0" w:color="auto"/>
              </w:divBdr>
              <w:divsChild>
                <w:div w:id="1329677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006157">
      <w:bodyDiv w:val="1"/>
      <w:marLeft w:val="0"/>
      <w:marRight w:val="0"/>
      <w:marTop w:val="0"/>
      <w:marBottom w:val="0"/>
      <w:divBdr>
        <w:top w:val="none" w:sz="0" w:space="0" w:color="auto"/>
        <w:left w:val="none" w:sz="0" w:space="0" w:color="auto"/>
        <w:bottom w:val="none" w:sz="0" w:space="0" w:color="auto"/>
        <w:right w:val="none" w:sz="0" w:space="0" w:color="auto"/>
      </w:divBdr>
    </w:div>
    <w:div w:id="1628121801">
      <w:bodyDiv w:val="1"/>
      <w:marLeft w:val="0"/>
      <w:marRight w:val="0"/>
      <w:marTop w:val="0"/>
      <w:marBottom w:val="0"/>
      <w:divBdr>
        <w:top w:val="none" w:sz="0" w:space="0" w:color="auto"/>
        <w:left w:val="none" w:sz="0" w:space="0" w:color="auto"/>
        <w:bottom w:val="none" w:sz="0" w:space="0" w:color="auto"/>
        <w:right w:val="none" w:sz="0" w:space="0" w:color="auto"/>
      </w:divBdr>
      <w:divsChild>
        <w:div w:id="1435783089">
          <w:marLeft w:val="0"/>
          <w:marRight w:val="0"/>
          <w:marTop w:val="0"/>
          <w:marBottom w:val="0"/>
          <w:divBdr>
            <w:top w:val="none" w:sz="0" w:space="0" w:color="auto"/>
            <w:left w:val="none" w:sz="0" w:space="0" w:color="auto"/>
            <w:bottom w:val="none" w:sz="0" w:space="0" w:color="auto"/>
            <w:right w:val="none" w:sz="0" w:space="0" w:color="auto"/>
          </w:divBdr>
          <w:divsChild>
            <w:div w:id="1469785603">
              <w:marLeft w:val="0"/>
              <w:marRight w:val="0"/>
              <w:marTop w:val="0"/>
              <w:marBottom w:val="0"/>
              <w:divBdr>
                <w:top w:val="none" w:sz="0" w:space="0" w:color="auto"/>
                <w:left w:val="none" w:sz="0" w:space="0" w:color="auto"/>
                <w:bottom w:val="none" w:sz="0" w:space="0" w:color="auto"/>
                <w:right w:val="none" w:sz="0" w:space="0" w:color="auto"/>
              </w:divBdr>
              <w:divsChild>
                <w:div w:id="147726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433675">
      <w:bodyDiv w:val="1"/>
      <w:marLeft w:val="0"/>
      <w:marRight w:val="0"/>
      <w:marTop w:val="0"/>
      <w:marBottom w:val="0"/>
      <w:divBdr>
        <w:top w:val="none" w:sz="0" w:space="0" w:color="auto"/>
        <w:left w:val="none" w:sz="0" w:space="0" w:color="auto"/>
        <w:bottom w:val="none" w:sz="0" w:space="0" w:color="auto"/>
        <w:right w:val="none" w:sz="0" w:space="0" w:color="auto"/>
      </w:divBdr>
    </w:div>
    <w:div w:id="1728718216">
      <w:bodyDiv w:val="1"/>
      <w:marLeft w:val="0"/>
      <w:marRight w:val="0"/>
      <w:marTop w:val="0"/>
      <w:marBottom w:val="0"/>
      <w:divBdr>
        <w:top w:val="none" w:sz="0" w:space="0" w:color="auto"/>
        <w:left w:val="none" w:sz="0" w:space="0" w:color="auto"/>
        <w:bottom w:val="none" w:sz="0" w:space="0" w:color="auto"/>
        <w:right w:val="none" w:sz="0" w:space="0" w:color="auto"/>
      </w:divBdr>
      <w:divsChild>
        <w:div w:id="122159263">
          <w:marLeft w:val="0"/>
          <w:marRight w:val="0"/>
          <w:marTop w:val="0"/>
          <w:marBottom w:val="0"/>
          <w:divBdr>
            <w:top w:val="none" w:sz="0" w:space="0" w:color="auto"/>
            <w:left w:val="none" w:sz="0" w:space="0" w:color="auto"/>
            <w:bottom w:val="none" w:sz="0" w:space="0" w:color="auto"/>
            <w:right w:val="none" w:sz="0" w:space="0" w:color="auto"/>
          </w:divBdr>
          <w:divsChild>
            <w:div w:id="372660287">
              <w:marLeft w:val="0"/>
              <w:marRight w:val="0"/>
              <w:marTop w:val="0"/>
              <w:marBottom w:val="0"/>
              <w:divBdr>
                <w:top w:val="none" w:sz="0" w:space="0" w:color="auto"/>
                <w:left w:val="none" w:sz="0" w:space="0" w:color="auto"/>
                <w:bottom w:val="none" w:sz="0" w:space="0" w:color="auto"/>
                <w:right w:val="none" w:sz="0" w:space="0" w:color="auto"/>
              </w:divBdr>
              <w:divsChild>
                <w:div w:id="1184904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831609">
      <w:bodyDiv w:val="1"/>
      <w:marLeft w:val="0"/>
      <w:marRight w:val="0"/>
      <w:marTop w:val="0"/>
      <w:marBottom w:val="0"/>
      <w:divBdr>
        <w:top w:val="none" w:sz="0" w:space="0" w:color="auto"/>
        <w:left w:val="none" w:sz="0" w:space="0" w:color="auto"/>
        <w:bottom w:val="none" w:sz="0" w:space="0" w:color="auto"/>
        <w:right w:val="none" w:sz="0" w:space="0" w:color="auto"/>
      </w:divBdr>
    </w:div>
    <w:div w:id="1744714209">
      <w:bodyDiv w:val="1"/>
      <w:marLeft w:val="0"/>
      <w:marRight w:val="0"/>
      <w:marTop w:val="0"/>
      <w:marBottom w:val="0"/>
      <w:divBdr>
        <w:top w:val="none" w:sz="0" w:space="0" w:color="auto"/>
        <w:left w:val="none" w:sz="0" w:space="0" w:color="auto"/>
        <w:bottom w:val="none" w:sz="0" w:space="0" w:color="auto"/>
        <w:right w:val="none" w:sz="0" w:space="0" w:color="auto"/>
      </w:divBdr>
      <w:divsChild>
        <w:div w:id="1810897584">
          <w:marLeft w:val="0"/>
          <w:marRight w:val="0"/>
          <w:marTop w:val="0"/>
          <w:marBottom w:val="0"/>
          <w:divBdr>
            <w:top w:val="none" w:sz="0" w:space="0" w:color="auto"/>
            <w:left w:val="none" w:sz="0" w:space="0" w:color="auto"/>
            <w:bottom w:val="none" w:sz="0" w:space="0" w:color="auto"/>
            <w:right w:val="none" w:sz="0" w:space="0" w:color="auto"/>
          </w:divBdr>
          <w:divsChild>
            <w:div w:id="158666576">
              <w:marLeft w:val="0"/>
              <w:marRight w:val="0"/>
              <w:marTop w:val="0"/>
              <w:marBottom w:val="0"/>
              <w:divBdr>
                <w:top w:val="none" w:sz="0" w:space="0" w:color="auto"/>
                <w:left w:val="none" w:sz="0" w:space="0" w:color="auto"/>
                <w:bottom w:val="none" w:sz="0" w:space="0" w:color="auto"/>
                <w:right w:val="none" w:sz="0" w:space="0" w:color="auto"/>
              </w:divBdr>
              <w:divsChild>
                <w:div w:id="4364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008158">
      <w:bodyDiv w:val="1"/>
      <w:marLeft w:val="0"/>
      <w:marRight w:val="0"/>
      <w:marTop w:val="0"/>
      <w:marBottom w:val="0"/>
      <w:divBdr>
        <w:top w:val="none" w:sz="0" w:space="0" w:color="auto"/>
        <w:left w:val="none" w:sz="0" w:space="0" w:color="auto"/>
        <w:bottom w:val="none" w:sz="0" w:space="0" w:color="auto"/>
        <w:right w:val="none" w:sz="0" w:space="0" w:color="auto"/>
      </w:divBdr>
      <w:divsChild>
        <w:div w:id="450592339">
          <w:marLeft w:val="0"/>
          <w:marRight w:val="0"/>
          <w:marTop w:val="0"/>
          <w:marBottom w:val="0"/>
          <w:divBdr>
            <w:top w:val="none" w:sz="0" w:space="0" w:color="auto"/>
            <w:left w:val="none" w:sz="0" w:space="0" w:color="auto"/>
            <w:bottom w:val="none" w:sz="0" w:space="0" w:color="auto"/>
            <w:right w:val="none" w:sz="0" w:space="0" w:color="auto"/>
          </w:divBdr>
          <w:divsChild>
            <w:div w:id="1704746428">
              <w:marLeft w:val="0"/>
              <w:marRight w:val="0"/>
              <w:marTop w:val="0"/>
              <w:marBottom w:val="0"/>
              <w:divBdr>
                <w:top w:val="none" w:sz="0" w:space="0" w:color="auto"/>
                <w:left w:val="none" w:sz="0" w:space="0" w:color="auto"/>
                <w:bottom w:val="none" w:sz="0" w:space="0" w:color="auto"/>
                <w:right w:val="none" w:sz="0" w:space="0" w:color="auto"/>
              </w:divBdr>
              <w:divsChild>
                <w:div w:id="59448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3572709">
      <w:bodyDiv w:val="1"/>
      <w:marLeft w:val="0"/>
      <w:marRight w:val="0"/>
      <w:marTop w:val="0"/>
      <w:marBottom w:val="0"/>
      <w:divBdr>
        <w:top w:val="none" w:sz="0" w:space="0" w:color="auto"/>
        <w:left w:val="none" w:sz="0" w:space="0" w:color="auto"/>
        <w:bottom w:val="none" w:sz="0" w:space="0" w:color="auto"/>
        <w:right w:val="none" w:sz="0" w:space="0" w:color="auto"/>
      </w:divBdr>
    </w:div>
    <w:div w:id="1910769518">
      <w:bodyDiv w:val="1"/>
      <w:marLeft w:val="0"/>
      <w:marRight w:val="0"/>
      <w:marTop w:val="0"/>
      <w:marBottom w:val="0"/>
      <w:divBdr>
        <w:top w:val="none" w:sz="0" w:space="0" w:color="auto"/>
        <w:left w:val="none" w:sz="0" w:space="0" w:color="auto"/>
        <w:bottom w:val="none" w:sz="0" w:space="0" w:color="auto"/>
        <w:right w:val="none" w:sz="0" w:space="0" w:color="auto"/>
      </w:divBdr>
    </w:div>
    <w:div w:id="2037004154">
      <w:bodyDiv w:val="1"/>
      <w:marLeft w:val="0"/>
      <w:marRight w:val="0"/>
      <w:marTop w:val="0"/>
      <w:marBottom w:val="0"/>
      <w:divBdr>
        <w:top w:val="none" w:sz="0" w:space="0" w:color="auto"/>
        <w:left w:val="none" w:sz="0" w:space="0" w:color="auto"/>
        <w:bottom w:val="none" w:sz="0" w:space="0" w:color="auto"/>
        <w:right w:val="none" w:sz="0" w:space="0" w:color="auto"/>
      </w:divBdr>
      <w:divsChild>
        <w:div w:id="154801724">
          <w:marLeft w:val="0"/>
          <w:marRight w:val="0"/>
          <w:marTop w:val="0"/>
          <w:marBottom w:val="0"/>
          <w:divBdr>
            <w:top w:val="none" w:sz="0" w:space="0" w:color="auto"/>
            <w:left w:val="none" w:sz="0" w:space="0" w:color="auto"/>
            <w:bottom w:val="none" w:sz="0" w:space="0" w:color="auto"/>
            <w:right w:val="none" w:sz="0" w:space="0" w:color="auto"/>
          </w:divBdr>
          <w:divsChild>
            <w:div w:id="22749807">
              <w:marLeft w:val="0"/>
              <w:marRight w:val="0"/>
              <w:marTop w:val="0"/>
              <w:marBottom w:val="0"/>
              <w:divBdr>
                <w:top w:val="none" w:sz="0" w:space="0" w:color="auto"/>
                <w:left w:val="none" w:sz="0" w:space="0" w:color="auto"/>
                <w:bottom w:val="none" w:sz="0" w:space="0" w:color="auto"/>
                <w:right w:val="none" w:sz="0" w:space="0" w:color="auto"/>
              </w:divBdr>
              <w:divsChild>
                <w:div w:id="1527598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977254">
      <w:bodyDiv w:val="1"/>
      <w:marLeft w:val="0"/>
      <w:marRight w:val="0"/>
      <w:marTop w:val="0"/>
      <w:marBottom w:val="0"/>
      <w:divBdr>
        <w:top w:val="none" w:sz="0" w:space="0" w:color="auto"/>
        <w:left w:val="none" w:sz="0" w:space="0" w:color="auto"/>
        <w:bottom w:val="none" w:sz="0" w:space="0" w:color="auto"/>
        <w:right w:val="none" w:sz="0" w:space="0" w:color="auto"/>
      </w:divBdr>
      <w:divsChild>
        <w:div w:id="1386374411">
          <w:marLeft w:val="0"/>
          <w:marRight w:val="0"/>
          <w:marTop w:val="0"/>
          <w:marBottom w:val="0"/>
          <w:divBdr>
            <w:top w:val="none" w:sz="0" w:space="0" w:color="auto"/>
            <w:left w:val="none" w:sz="0" w:space="0" w:color="auto"/>
            <w:bottom w:val="none" w:sz="0" w:space="0" w:color="auto"/>
            <w:right w:val="none" w:sz="0" w:space="0" w:color="auto"/>
          </w:divBdr>
          <w:divsChild>
            <w:div w:id="684135451">
              <w:marLeft w:val="0"/>
              <w:marRight w:val="0"/>
              <w:marTop w:val="0"/>
              <w:marBottom w:val="0"/>
              <w:divBdr>
                <w:top w:val="none" w:sz="0" w:space="0" w:color="auto"/>
                <w:left w:val="none" w:sz="0" w:space="0" w:color="auto"/>
                <w:bottom w:val="none" w:sz="0" w:space="0" w:color="auto"/>
                <w:right w:val="none" w:sz="0" w:space="0" w:color="auto"/>
              </w:divBdr>
              <w:divsChild>
                <w:div w:id="1038166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2335063">
      <w:bodyDiv w:val="1"/>
      <w:marLeft w:val="0"/>
      <w:marRight w:val="0"/>
      <w:marTop w:val="0"/>
      <w:marBottom w:val="0"/>
      <w:divBdr>
        <w:top w:val="none" w:sz="0" w:space="0" w:color="auto"/>
        <w:left w:val="none" w:sz="0" w:space="0" w:color="auto"/>
        <w:bottom w:val="none" w:sz="0" w:space="0" w:color="auto"/>
        <w:right w:val="none" w:sz="0" w:space="0" w:color="auto"/>
      </w:divBdr>
    </w:div>
    <w:div w:id="2113431613">
      <w:bodyDiv w:val="1"/>
      <w:marLeft w:val="0"/>
      <w:marRight w:val="0"/>
      <w:marTop w:val="0"/>
      <w:marBottom w:val="0"/>
      <w:divBdr>
        <w:top w:val="none" w:sz="0" w:space="0" w:color="auto"/>
        <w:left w:val="none" w:sz="0" w:space="0" w:color="auto"/>
        <w:bottom w:val="none" w:sz="0" w:space="0" w:color="auto"/>
        <w:right w:val="none" w:sz="0" w:space="0" w:color="auto"/>
      </w:divBdr>
    </w:div>
    <w:div w:id="2115709306">
      <w:bodyDiv w:val="1"/>
      <w:marLeft w:val="0"/>
      <w:marRight w:val="0"/>
      <w:marTop w:val="0"/>
      <w:marBottom w:val="0"/>
      <w:divBdr>
        <w:top w:val="none" w:sz="0" w:space="0" w:color="auto"/>
        <w:left w:val="none" w:sz="0" w:space="0" w:color="auto"/>
        <w:bottom w:val="none" w:sz="0" w:space="0" w:color="auto"/>
        <w:right w:val="none" w:sz="0" w:space="0" w:color="auto"/>
      </w:divBdr>
    </w:div>
    <w:div w:id="2130119919">
      <w:bodyDiv w:val="1"/>
      <w:marLeft w:val="0"/>
      <w:marRight w:val="0"/>
      <w:marTop w:val="0"/>
      <w:marBottom w:val="0"/>
      <w:divBdr>
        <w:top w:val="none" w:sz="0" w:space="0" w:color="auto"/>
        <w:left w:val="none" w:sz="0" w:space="0" w:color="auto"/>
        <w:bottom w:val="none" w:sz="0" w:space="0" w:color="auto"/>
        <w:right w:val="none" w:sz="0" w:space="0" w:color="auto"/>
      </w:divBdr>
      <w:divsChild>
        <w:div w:id="1159034224">
          <w:marLeft w:val="0"/>
          <w:marRight w:val="0"/>
          <w:marTop w:val="0"/>
          <w:marBottom w:val="0"/>
          <w:divBdr>
            <w:top w:val="none" w:sz="0" w:space="0" w:color="auto"/>
            <w:left w:val="none" w:sz="0" w:space="0" w:color="auto"/>
            <w:bottom w:val="none" w:sz="0" w:space="0" w:color="auto"/>
            <w:right w:val="none" w:sz="0" w:space="0" w:color="auto"/>
          </w:divBdr>
          <w:divsChild>
            <w:div w:id="1382172202">
              <w:marLeft w:val="0"/>
              <w:marRight w:val="0"/>
              <w:marTop w:val="0"/>
              <w:marBottom w:val="0"/>
              <w:divBdr>
                <w:top w:val="none" w:sz="0" w:space="0" w:color="auto"/>
                <w:left w:val="none" w:sz="0" w:space="0" w:color="auto"/>
                <w:bottom w:val="none" w:sz="0" w:space="0" w:color="auto"/>
                <w:right w:val="none" w:sz="0" w:space="0" w:color="auto"/>
              </w:divBdr>
              <w:divsChild>
                <w:div w:id="1132013730">
                  <w:marLeft w:val="0"/>
                  <w:marRight w:val="0"/>
                  <w:marTop w:val="0"/>
                  <w:marBottom w:val="0"/>
                  <w:divBdr>
                    <w:top w:val="none" w:sz="0" w:space="0" w:color="auto"/>
                    <w:left w:val="none" w:sz="0" w:space="0" w:color="auto"/>
                    <w:bottom w:val="none" w:sz="0" w:space="0" w:color="auto"/>
                    <w:right w:val="none" w:sz="0" w:space="0" w:color="auto"/>
                  </w:divBdr>
                  <w:divsChild>
                    <w:div w:id="202987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3549775">
      <w:bodyDiv w:val="1"/>
      <w:marLeft w:val="0"/>
      <w:marRight w:val="0"/>
      <w:marTop w:val="0"/>
      <w:marBottom w:val="0"/>
      <w:divBdr>
        <w:top w:val="none" w:sz="0" w:space="0" w:color="auto"/>
        <w:left w:val="none" w:sz="0" w:space="0" w:color="auto"/>
        <w:bottom w:val="none" w:sz="0" w:space="0" w:color="auto"/>
        <w:right w:val="none" w:sz="0" w:space="0" w:color="auto"/>
      </w:divBdr>
      <w:divsChild>
        <w:div w:id="1457992921">
          <w:marLeft w:val="0"/>
          <w:marRight w:val="0"/>
          <w:marTop w:val="0"/>
          <w:marBottom w:val="0"/>
          <w:divBdr>
            <w:top w:val="none" w:sz="0" w:space="0" w:color="auto"/>
            <w:left w:val="none" w:sz="0" w:space="0" w:color="auto"/>
            <w:bottom w:val="none" w:sz="0" w:space="0" w:color="auto"/>
            <w:right w:val="none" w:sz="0" w:space="0" w:color="auto"/>
          </w:divBdr>
          <w:divsChild>
            <w:div w:id="980384041">
              <w:marLeft w:val="0"/>
              <w:marRight w:val="0"/>
              <w:marTop w:val="0"/>
              <w:marBottom w:val="0"/>
              <w:divBdr>
                <w:top w:val="none" w:sz="0" w:space="0" w:color="auto"/>
                <w:left w:val="none" w:sz="0" w:space="0" w:color="auto"/>
                <w:bottom w:val="none" w:sz="0" w:space="0" w:color="auto"/>
                <w:right w:val="none" w:sz="0" w:space="0" w:color="auto"/>
              </w:divBdr>
              <w:divsChild>
                <w:div w:id="51315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s://www.researchgate.net/publication/343702232_Current_account_deficits_and_implications_on_Romanian_economy" TargetMode="External"/><Relationship Id="rId39" Type="http://schemas.openxmlformats.org/officeDocument/2006/relationships/hyperlink" Target="https://ukrstat.gov.ua/" TargetMode="External"/><Relationship Id="rId21" Type="http://schemas.openxmlformats.org/officeDocument/2006/relationships/chart" Target="charts/chart14.xml"/><Relationship Id="rId34" Type="http://schemas.openxmlformats.org/officeDocument/2006/relationships/hyperlink" Target="https://data.imf.org/regular.aspx?key=62805742" TargetMode="External"/><Relationship Id="rId42" Type="http://schemas.openxmlformats.org/officeDocument/2006/relationships/hyperlink" Target="https://www.xe.com/currencycharts/?from=DKK&amp;to=UAH&amp;view=2Y" TargetMode="External"/><Relationship Id="rId47" Type="http://schemas.openxmlformats.org/officeDocument/2006/relationships/hyperlink" Target="http://data.imf.org/?sk=7A51304B-6426-40C0-83DD-CA473CA1FD52&amp;sId=1542635306163" TargetMode="External"/><Relationship Id="rId50" Type="http://schemas.openxmlformats.org/officeDocument/2006/relationships/hyperlink" Target="http://data.imf.org/?sk=7A51304B-6426-40C0-83DD-CA473CA1FD52&amp;sId=1542635306163" TargetMode="External"/><Relationship Id="rId55" Type="http://schemas.openxmlformats.org/officeDocument/2006/relationships/hyperlink" Target="http://data.imf.org/?sk=7A51304B-6426-40C0-83DD-CA473CA1FD52&amp;sId=1542635306163" TargetMode="Externa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hyperlink" Target="https://papers.ssrn.com/sol3/papers.cfm?abstract_id=2930934" TargetMode="External"/><Relationship Id="rId41" Type="http://schemas.openxmlformats.org/officeDocument/2006/relationships/hyperlink" Target="https://tradingeconomics.com/country-list/lending-rate?continent=europe" TargetMode="External"/><Relationship Id="rId54" Type="http://schemas.openxmlformats.org/officeDocument/2006/relationships/hyperlink" Target="http://data.imf.org/?sk=7A51304B-6426-40C0-83DD-CA473CA1FD52&amp;sId=1542635306163"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economic-research.bnpparibas.com/html/en-US/Romania-widening-current-account-deficit-2022-11/15/2022,47945" TargetMode="External"/><Relationship Id="rId32" Type="http://schemas.openxmlformats.org/officeDocument/2006/relationships/hyperlink" Target="https://www.lloydsbanktrade.com/en/market-potential/romania/investment" TargetMode="External"/><Relationship Id="rId37" Type="http://schemas.openxmlformats.org/officeDocument/2006/relationships/hyperlink" Target="https://en.bia-bg.com/" TargetMode="External"/><Relationship Id="rId40" Type="http://schemas.openxmlformats.org/officeDocument/2006/relationships/hyperlink" Target="https://bank.gov.ua/ua/statistic/sector-external" TargetMode="External"/><Relationship Id="rId45" Type="http://schemas.openxmlformats.org/officeDocument/2006/relationships/hyperlink" Target="http://data.imf.org/?sk=7A51304B-6426-40C0-83DD-CA473CA1FD52&amp;sId=1542635306163" TargetMode="External"/><Relationship Id="rId53" Type="http://schemas.openxmlformats.org/officeDocument/2006/relationships/hyperlink" Target="http://data.imf.org/?sk=7A51304B-6426-40C0-83DD-CA473CA1FD52&amp;sId=1542635306163" TargetMode="External"/><Relationship Id="rId58" Type="http://schemas.openxmlformats.org/officeDocument/2006/relationships/hyperlink" Target="http://data.imf.org/?sk=7A51304B-6426-40C0-83DD-CA473CA1FD52&amp;sId=1542635306163" TargetMode="Externa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hyperlink" Target="https://www.imf.org/en/Publications/CR/Issues/2022/06/24/Bulgaria-Article-IV-Consultation-Press-Release-and-Staff-Report-for-Bulgaria-519932" TargetMode="External"/><Relationship Id="rId36" Type="http://schemas.openxmlformats.org/officeDocument/2006/relationships/hyperlink" Target="https://ukrstat.gov.ua/operativ/operativ2022/zd/ztt/arh_ztt2022.html" TargetMode="External"/><Relationship Id="rId49" Type="http://schemas.openxmlformats.org/officeDocument/2006/relationships/hyperlink" Target="http://data.imf.org/?sk=7A51304B-6426-40C0-83DD-CA473CA1FD52&amp;sId=1542635306163" TargetMode="External"/><Relationship Id="rId57" Type="http://schemas.openxmlformats.org/officeDocument/2006/relationships/hyperlink" Target="http://data.imf.org/?sk=7A51304B-6426-40C0-83DD-CA473CA1FD52&amp;sId=1542635306163" TargetMode="External"/><Relationship Id="rId61"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hyperlink" Target="https://oec.world/en/profile/country/bgr" TargetMode="External"/><Relationship Id="rId44" Type="http://schemas.openxmlformats.org/officeDocument/2006/relationships/hyperlink" Target="http://data.imf.org/?sk=7A51304B-6426-40C0-83DD-CA473CA1FD52&amp;sId=1542635306163" TargetMode="External"/><Relationship Id="rId52" Type="http://schemas.openxmlformats.org/officeDocument/2006/relationships/hyperlink" Target="http://data.imf.org/?sk=7A51304B-6426-40C0-83DD-CA473CA1FD52&amp;sId=1542635306163" TargetMode="Externa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hyperlink" Target="https://papers.ssrn.com/sol3/papers.cfm?abstract_id=3757003" TargetMode="External"/><Relationship Id="rId30" Type="http://schemas.openxmlformats.org/officeDocument/2006/relationships/hyperlink" Target="https://data.imf.org/regular.aspx?key=62805742" TargetMode="External"/><Relationship Id="rId35" Type="http://schemas.openxmlformats.org/officeDocument/2006/relationships/hyperlink" Target="https://data.worldbank.org/" TargetMode="External"/><Relationship Id="rId43" Type="http://schemas.openxmlformats.org/officeDocument/2006/relationships/hyperlink" Target="https://www.investing.com/rates-bonds/bulgaria-government-bonds?maturity_from=10&amp;maturity_to=100" TargetMode="External"/><Relationship Id="rId48" Type="http://schemas.openxmlformats.org/officeDocument/2006/relationships/hyperlink" Target="http://data.imf.org/?sk=7A51304B-6426-40C0-83DD-CA473CA1FD52&amp;sId=1542635306163" TargetMode="External"/><Relationship Id="rId56" Type="http://schemas.openxmlformats.org/officeDocument/2006/relationships/hyperlink" Target="http://data.imf.org/?sk=7A51304B-6426-40C0-83DD-CA473CA1FD52&amp;sId=1542635306163" TargetMode="External"/><Relationship Id="rId8" Type="http://schemas.openxmlformats.org/officeDocument/2006/relationships/chart" Target="charts/chart1.xml"/><Relationship Id="rId51" Type="http://schemas.openxmlformats.org/officeDocument/2006/relationships/hyperlink" Target="http://data.imf.org/?sk=7A51304B-6426-40C0-83DD-CA473CA1FD52&amp;sId=1542635306163" TargetMode="External"/><Relationship Id="rId3" Type="http://schemas.microsoft.com/office/2007/relationships/stylesWithEffects" Target="stylesWithEffect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s://www.imf.org/-/media/Files/Publications/CR/2022/English/1ROUEA2022004.ashx" TargetMode="External"/><Relationship Id="rId33" Type="http://schemas.openxmlformats.org/officeDocument/2006/relationships/hyperlink" Target="https://www.lloydsbanktrade.com/en/market-potential/bulgaria/investment" TargetMode="External"/><Relationship Id="rId38" Type="http://schemas.openxmlformats.org/officeDocument/2006/relationships/hyperlink" Target="https://ukrstat.gov.ua/operativ/menu/menu_u/zed.htm" TargetMode="External"/><Relationship Id="rId46" Type="http://schemas.openxmlformats.org/officeDocument/2006/relationships/hyperlink" Target="http://data.imf.org/?sk=7A51304B-6426-40C0-83DD-CA473CA1FD52&amp;sId=1542635306163" TargetMode="External"/><Relationship Id="rId59" Type="http://schemas.openxmlformats.org/officeDocument/2006/relationships/hyperlink" Target="http://data.imf.org/?sk=7A51304B-6426-40C0-83DD-CA473CA1FD52&amp;sId=1542635306163"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Users\uliatimohina\Desktop\&#1090;&#1088;&#1077;&#1090;&#1100;&#1080;%20&#1075;&#1088;&#1072;&#1073;&#1083;&#1080;,%20&#1085;&#1072;%20&#1082;&#1086;&#1090;&#1086;&#1088;&#1099;&#1077;%20&#1103;%20&#1085;&#1072;&#1089;&#1090;&#1091;&#1087;&#1072;&#1102;\2.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Users\uliatimohina\Desktop\&#1090;&#1088;&#1077;&#1090;&#1100;&#1080;%20&#1075;&#1088;&#1072;&#1073;&#1083;&#1080;,%20&#1085;&#1072;%20&#1082;&#1086;&#1090;&#1086;&#1088;&#1099;&#1077;%20&#1103;%20&#1085;&#1072;&#1089;&#1090;&#1091;&#1087;&#1072;&#1102;\3%20&#1088;&#1072;&#1079;&#1076;&#1077;&#1083;.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Users\uliatimohina\Desktop\&#1090;&#1088;&#1077;&#1090;&#1100;&#1080;%20&#1075;&#1088;&#1072;&#1073;&#1083;&#1080;,%20&#1085;&#1072;%20&#1082;&#1086;&#1090;&#1086;&#1088;&#1099;&#1077;%20&#1103;%20&#1085;&#1072;&#1089;&#1090;&#1091;&#1087;&#1072;&#1102;\3%20&#1088;&#1072;&#1079;&#1076;&#1077;&#1083;.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Users\uliatimohina\Desktop\&#1090;&#1088;&#1077;&#1090;&#1100;&#1080;%20&#1075;&#1088;&#1072;&#1073;&#1083;&#1080;,%20&#1085;&#1072;%20&#1082;&#1086;&#1090;&#1086;&#1088;&#1099;&#1077;%20&#1103;%20&#1085;&#1072;&#1089;&#1090;&#1091;&#1087;&#1072;&#1102;\3%20&#1088;&#1072;&#1079;&#1076;&#1077;&#108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uliatimohina\Desktop\&#1090;&#1088;&#1077;&#1090;&#1100;&#1080;%20&#1075;&#1088;&#1072;&#1073;&#1083;&#1080;,%20&#1085;&#1072;%20&#1082;&#1086;&#1090;&#1086;&#1088;&#1099;&#1077;%20&#1103;%20&#1085;&#1072;&#1089;&#1090;&#1091;&#1087;&#1072;&#1102;\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uliatimohina\Desktop\&#1090;&#1088;&#1077;&#1090;&#1100;&#1080;%20&#1075;&#1088;&#1072;&#1073;&#1083;&#1080;,%20&#1085;&#1072;%20&#1082;&#1086;&#1090;&#1086;&#1088;&#1099;&#1077;%20&#1103;%20&#1085;&#1072;&#1089;&#1090;&#1091;&#1087;&#1072;&#1102;\2.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Users\uliatimohina\Desktop\&#1090;&#1088;&#1077;&#1090;&#1100;&#1080;%20&#1075;&#1088;&#1072;&#1073;&#1083;&#1080;,%20&#1085;&#1072;%20&#1082;&#1086;&#1090;&#1086;&#1088;&#1099;&#1077;%20&#1103;%20&#1085;&#1072;&#1089;&#1090;&#1091;&#1087;&#1072;&#1102;\2.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Users\uliatimohina\Desktop\&#1090;&#1088;&#1077;&#1090;&#1100;&#1080;%20&#1075;&#1088;&#1072;&#1073;&#1083;&#1080;,%20&#1085;&#1072;%20&#1082;&#1086;&#1090;&#1086;&#1088;&#1099;&#1077;%20&#1103;%20&#1085;&#1072;&#1089;&#1090;&#1091;&#1087;&#1072;&#1102;\2.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Users\uliatimohina\Desktop\&#1090;&#1088;&#1077;&#1090;&#1100;&#1080;%20&#1075;&#1088;&#1072;&#1073;&#1083;&#1080;,%20&#1085;&#1072;%20&#1082;&#1086;&#1090;&#1086;&#1088;&#1099;&#1077;%20&#1103;%20&#1085;&#1072;&#1089;&#1090;&#1091;&#1087;&#1072;&#1102;\2.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Users\uliatimohina\Desktop\&#1090;&#1088;&#1077;&#1090;&#1100;&#1080;%20&#1075;&#1088;&#1072;&#1073;&#1083;&#1080;,%20&#1085;&#1072;%20&#1082;&#1086;&#1090;&#1086;&#1088;&#1099;&#1077;%20&#1103;%20&#1085;&#1072;&#1089;&#1090;&#1091;&#1087;&#1072;&#1102;\2.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Торговий</a:t>
            </a:r>
            <a:r>
              <a:rPr lang="ru-RU" baseline="0"/>
              <a:t> баланс</a:t>
            </a:r>
            <a:endParaRPr lang="ru-RU"/>
          </a:p>
        </c:rich>
      </c:tx>
      <c:overlay val="0"/>
      <c:spPr>
        <a:noFill/>
        <a:ln>
          <a:noFill/>
        </a:ln>
        <a:effectLst/>
      </c:spPr>
    </c:title>
    <c:autoTitleDeleted val="0"/>
    <c:plotArea>
      <c:layout/>
      <c:lineChart>
        <c:grouping val="standard"/>
        <c:varyColors val="0"/>
        <c:ser>
          <c:idx val="0"/>
          <c:order val="0"/>
          <c:tx>
            <c:strRef>
              <c:f>Лист1!$I$2</c:f>
              <c:strCache>
                <c:ptCount val="1"/>
                <c:pt idx="0">
                  <c:v>Торговий баланс Румунії</c:v>
                </c:pt>
              </c:strCache>
            </c:strRef>
          </c:tx>
          <c:spPr>
            <a:ln w="28575" cap="rnd">
              <a:solidFill>
                <a:schemeClr val="accent1"/>
              </a:solidFill>
              <a:round/>
            </a:ln>
            <a:effectLst/>
          </c:spPr>
          <c:marker>
            <c:symbol val="none"/>
          </c:marker>
          <c:cat>
            <c:numRef>
              <c:f>Лист1!$J$1:$O$1</c:f>
              <c:numCache>
                <c:formatCode>General</c:formatCode>
                <c:ptCount val="6"/>
                <c:pt idx="0">
                  <c:v>2017</c:v>
                </c:pt>
                <c:pt idx="1">
                  <c:v>2018</c:v>
                </c:pt>
                <c:pt idx="2">
                  <c:v>2019</c:v>
                </c:pt>
                <c:pt idx="3">
                  <c:v>2020</c:v>
                </c:pt>
                <c:pt idx="4">
                  <c:v>2021</c:v>
                </c:pt>
                <c:pt idx="5">
                  <c:v>2022</c:v>
                </c:pt>
              </c:numCache>
            </c:numRef>
          </c:cat>
          <c:val>
            <c:numRef>
              <c:f>Лист1!$J$2:$O$2</c:f>
              <c:numCache>
                <c:formatCode>#\ ##0.0</c:formatCode>
                <c:ptCount val="6"/>
                <c:pt idx="0">
                  <c:v>-14550.623447614562</c:v>
                </c:pt>
                <c:pt idx="1">
                  <c:v>-18018.649714636253</c:v>
                </c:pt>
                <c:pt idx="2">
                  <c:v>-19959.977122225828</c:v>
                </c:pt>
                <c:pt idx="3">
                  <c:v>-21675.913872812525</c:v>
                </c:pt>
                <c:pt idx="4">
                  <c:v>-27291.287573324356</c:v>
                </c:pt>
              </c:numCache>
            </c:numRef>
          </c:val>
          <c:smooth val="0"/>
          <c:extLst xmlns:c16r2="http://schemas.microsoft.com/office/drawing/2015/06/chart">
            <c:ext xmlns:c16="http://schemas.microsoft.com/office/drawing/2014/chart" uri="{C3380CC4-5D6E-409C-BE32-E72D297353CC}">
              <c16:uniqueId val="{00000000-FDE6-D749-B6D0-B25F6353DBEC}"/>
            </c:ext>
          </c:extLst>
        </c:ser>
        <c:ser>
          <c:idx val="1"/>
          <c:order val="1"/>
          <c:tx>
            <c:strRef>
              <c:f>Лист1!$I$3</c:f>
              <c:strCache>
                <c:ptCount val="1"/>
                <c:pt idx="0">
                  <c:v>Торговий баланс Болгарії</c:v>
                </c:pt>
              </c:strCache>
            </c:strRef>
          </c:tx>
          <c:spPr>
            <a:ln w="28575" cap="rnd">
              <a:solidFill>
                <a:schemeClr val="accent3"/>
              </a:solidFill>
              <a:round/>
            </a:ln>
            <a:effectLst/>
          </c:spPr>
          <c:marker>
            <c:symbol val="none"/>
          </c:marker>
          <c:cat>
            <c:numRef>
              <c:f>Лист1!$J$1:$O$1</c:f>
              <c:numCache>
                <c:formatCode>General</c:formatCode>
                <c:ptCount val="6"/>
                <c:pt idx="0">
                  <c:v>2017</c:v>
                </c:pt>
                <c:pt idx="1">
                  <c:v>2018</c:v>
                </c:pt>
                <c:pt idx="2">
                  <c:v>2019</c:v>
                </c:pt>
                <c:pt idx="3">
                  <c:v>2020</c:v>
                </c:pt>
                <c:pt idx="4">
                  <c:v>2021</c:v>
                </c:pt>
                <c:pt idx="5">
                  <c:v>2022</c:v>
                </c:pt>
              </c:numCache>
            </c:numRef>
          </c:cat>
          <c:val>
            <c:numRef>
              <c:f>Лист1!$J$3:$O$3</c:f>
              <c:numCache>
                <c:formatCode>#\ ##0.0</c:formatCode>
                <c:ptCount val="6"/>
                <c:pt idx="0">
                  <c:v>-866.56</c:v>
                </c:pt>
                <c:pt idx="1">
                  <c:v>-3200.73</c:v>
                </c:pt>
                <c:pt idx="2">
                  <c:v>-3255.64</c:v>
                </c:pt>
                <c:pt idx="3">
                  <c:v>-2256.0100000000002</c:v>
                </c:pt>
                <c:pt idx="4">
                  <c:v>-3378.71</c:v>
                </c:pt>
              </c:numCache>
            </c:numRef>
          </c:val>
          <c:smooth val="0"/>
          <c:extLst xmlns:c16r2="http://schemas.microsoft.com/office/drawing/2015/06/chart">
            <c:ext xmlns:c16="http://schemas.microsoft.com/office/drawing/2014/chart" uri="{C3380CC4-5D6E-409C-BE32-E72D297353CC}">
              <c16:uniqueId val="{00000001-FDE6-D749-B6D0-B25F6353DBEC}"/>
            </c:ext>
          </c:extLst>
        </c:ser>
        <c:dLbls>
          <c:showLegendKey val="0"/>
          <c:showVal val="0"/>
          <c:showCatName val="0"/>
          <c:showSerName val="0"/>
          <c:showPercent val="0"/>
          <c:showBubbleSize val="0"/>
        </c:dLbls>
        <c:marker val="1"/>
        <c:smooth val="0"/>
        <c:axId val="337524224"/>
        <c:axId val="337525760"/>
      </c:lineChart>
      <c:catAx>
        <c:axId val="337524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37525760"/>
        <c:crosses val="autoZero"/>
        <c:auto val="1"/>
        <c:lblAlgn val="ctr"/>
        <c:lblOffset val="100"/>
        <c:noMultiLvlLbl val="0"/>
      </c:catAx>
      <c:valAx>
        <c:axId val="337525760"/>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37524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a:t>
            </a:r>
            <a:r>
              <a:rPr lang="ru-RU" baseline="0"/>
              <a:t> інших інвестицій</a:t>
            </a:r>
            <a:endParaRPr lang="ru-RU"/>
          </a:p>
        </c:rich>
      </c:tx>
      <c:overlay val="0"/>
      <c:spPr>
        <a:noFill/>
        <a:ln>
          <a:noFill/>
        </a:ln>
        <a:effectLst/>
      </c:spPr>
    </c:title>
    <c:autoTitleDeleted val="0"/>
    <c:plotArea>
      <c:layout/>
      <c:lineChart>
        <c:grouping val="standard"/>
        <c:varyColors val="0"/>
        <c:ser>
          <c:idx val="0"/>
          <c:order val="0"/>
          <c:tx>
            <c:strRef>
              <c:f>Лист1!$I$21</c:f>
              <c:strCache>
                <c:ptCount val="1"/>
                <c:pt idx="0">
                  <c:v>Сальдо інших інвестицій, Румунія</c:v>
                </c:pt>
              </c:strCache>
            </c:strRef>
          </c:tx>
          <c:spPr>
            <a:ln w="28575" cap="rnd">
              <a:solidFill>
                <a:schemeClr val="accent1"/>
              </a:solidFill>
              <a:round/>
            </a:ln>
            <a:effectLst/>
          </c:spPr>
          <c:marker>
            <c:symbol val="none"/>
          </c:marker>
          <c:cat>
            <c:numRef>
              <c:f>Лист1!$J$20:$O$20</c:f>
              <c:numCache>
                <c:formatCode>General</c:formatCode>
                <c:ptCount val="6"/>
                <c:pt idx="0">
                  <c:v>2017</c:v>
                </c:pt>
                <c:pt idx="1">
                  <c:v>2018</c:v>
                </c:pt>
                <c:pt idx="2">
                  <c:v>2019</c:v>
                </c:pt>
                <c:pt idx="3">
                  <c:v>2020</c:v>
                </c:pt>
                <c:pt idx="4">
                  <c:v>2021</c:v>
                </c:pt>
                <c:pt idx="5">
                  <c:v>2022</c:v>
                </c:pt>
              </c:numCache>
            </c:numRef>
          </c:cat>
          <c:val>
            <c:numRef>
              <c:f>Лист1!$J$21:$O$21</c:f>
              <c:numCache>
                <c:formatCode>#\ ##0.0</c:formatCode>
                <c:ptCount val="6"/>
                <c:pt idx="0">
                  <c:v>5182.8047242184502</c:v>
                </c:pt>
                <c:pt idx="1">
                  <c:v>4051.4319783326578</c:v>
                </c:pt>
                <c:pt idx="2">
                  <c:v>2771.4233001293833</c:v>
                </c:pt>
                <c:pt idx="3">
                  <c:v>3221.1949143861643</c:v>
                </c:pt>
                <c:pt idx="4">
                  <c:v>-5623.0698993102142</c:v>
                </c:pt>
              </c:numCache>
            </c:numRef>
          </c:val>
          <c:smooth val="0"/>
          <c:extLst xmlns:c16r2="http://schemas.microsoft.com/office/drawing/2015/06/chart">
            <c:ext xmlns:c16="http://schemas.microsoft.com/office/drawing/2014/chart" uri="{C3380CC4-5D6E-409C-BE32-E72D297353CC}">
              <c16:uniqueId val="{00000000-E570-8E4C-A044-ED326CCE3C8E}"/>
            </c:ext>
          </c:extLst>
        </c:ser>
        <c:ser>
          <c:idx val="1"/>
          <c:order val="1"/>
          <c:tx>
            <c:strRef>
              <c:f>Лист1!$I$22</c:f>
              <c:strCache>
                <c:ptCount val="1"/>
                <c:pt idx="0">
                  <c:v>Сальдо інших інвестицій, Болгарія</c:v>
                </c:pt>
              </c:strCache>
            </c:strRef>
          </c:tx>
          <c:spPr>
            <a:ln w="28575" cap="rnd">
              <a:solidFill>
                <a:schemeClr val="accent3"/>
              </a:solidFill>
              <a:round/>
            </a:ln>
            <a:effectLst/>
          </c:spPr>
          <c:marker>
            <c:symbol val="none"/>
          </c:marker>
          <c:cat>
            <c:numRef>
              <c:f>Лист1!$J$20:$O$20</c:f>
              <c:numCache>
                <c:formatCode>General</c:formatCode>
                <c:ptCount val="6"/>
                <c:pt idx="0">
                  <c:v>2017</c:v>
                </c:pt>
                <c:pt idx="1">
                  <c:v>2018</c:v>
                </c:pt>
                <c:pt idx="2">
                  <c:v>2019</c:v>
                </c:pt>
                <c:pt idx="3">
                  <c:v>2020</c:v>
                </c:pt>
                <c:pt idx="4">
                  <c:v>2021</c:v>
                </c:pt>
                <c:pt idx="5">
                  <c:v>2022</c:v>
                </c:pt>
              </c:numCache>
            </c:numRef>
          </c:cat>
          <c:val>
            <c:numRef>
              <c:f>Лист1!$J$22:$O$22</c:f>
              <c:numCache>
                <c:formatCode>#\ ##0.0</c:formatCode>
                <c:ptCount val="6"/>
                <c:pt idx="0">
                  <c:v>785.33</c:v>
                </c:pt>
                <c:pt idx="1">
                  <c:v>1113.32</c:v>
                </c:pt>
                <c:pt idx="2">
                  <c:v>2939.69</c:v>
                </c:pt>
                <c:pt idx="3">
                  <c:v>-1890.49</c:v>
                </c:pt>
                <c:pt idx="4">
                  <c:v>-1733.0801477188741</c:v>
                </c:pt>
              </c:numCache>
            </c:numRef>
          </c:val>
          <c:smooth val="0"/>
          <c:extLst xmlns:c16r2="http://schemas.microsoft.com/office/drawing/2015/06/chart">
            <c:ext xmlns:c16="http://schemas.microsoft.com/office/drawing/2014/chart" uri="{C3380CC4-5D6E-409C-BE32-E72D297353CC}">
              <c16:uniqueId val="{00000001-E570-8E4C-A044-ED326CCE3C8E}"/>
            </c:ext>
          </c:extLst>
        </c:ser>
        <c:dLbls>
          <c:showLegendKey val="0"/>
          <c:showVal val="0"/>
          <c:showCatName val="0"/>
          <c:showSerName val="0"/>
          <c:showPercent val="0"/>
          <c:showBubbleSize val="0"/>
        </c:dLbls>
        <c:marker val="1"/>
        <c:smooth val="0"/>
        <c:axId val="409983616"/>
        <c:axId val="411111808"/>
      </c:lineChart>
      <c:catAx>
        <c:axId val="409983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1111808"/>
        <c:crosses val="autoZero"/>
        <c:auto val="1"/>
        <c:lblAlgn val="ctr"/>
        <c:lblOffset val="100"/>
        <c:noMultiLvlLbl val="0"/>
      </c:catAx>
      <c:valAx>
        <c:axId val="411111808"/>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9983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Фінансовий</a:t>
            </a:r>
            <a:r>
              <a:rPr lang="ru-RU" baseline="0"/>
              <a:t> рахунок</a:t>
            </a:r>
            <a:endParaRPr lang="ru-RU"/>
          </a:p>
        </c:rich>
      </c:tx>
      <c:overlay val="0"/>
      <c:spPr>
        <a:noFill/>
        <a:ln>
          <a:noFill/>
        </a:ln>
        <a:effectLst/>
      </c:spPr>
    </c:title>
    <c:autoTitleDeleted val="0"/>
    <c:plotArea>
      <c:layout/>
      <c:lineChart>
        <c:grouping val="standard"/>
        <c:varyColors val="0"/>
        <c:ser>
          <c:idx val="0"/>
          <c:order val="0"/>
          <c:tx>
            <c:strRef>
              <c:f>Лист1!$A$32</c:f>
              <c:strCache>
                <c:ptCount val="1"/>
                <c:pt idx="0">
                  <c:v>Фінансовий рахунок, Румунія</c:v>
                </c:pt>
              </c:strCache>
            </c:strRef>
          </c:tx>
          <c:spPr>
            <a:ln w="28575" cap="rnd">
              <a:solidFill>
                <a:schemeClr val="accent1"/>
              </a:solidFill>
              <a:round/>
            </a:ln>
            <a:effectLst/>
          </c:spPr>
          <c:marker>
            <c:symbol val="none"/>
          </c:marker>
          <c:cat>
            <c:numRef>
              <c:f>Лист1!$B$31:$G$31</c:f>
              <c:numCache>
                <c:formatCode>General</c:formatCode>
                <c:ptCount val="6"/>
                <c:pt idx="0">
                  <c:v>2017</c:v>
                </c:pt>
                <c:pt idx="1">
                  <c:v>2018</c:v>
                </c:pt>
                <c:pt idx="2">
                  <c:v>2019</c:v>
                </c:pt>
                <c:pt idx="3">
                  <c:v>2020</c:v>
                </c:pt>
                <c:pt idx="4">
                  <c:v>2021</c:v>
                </c:pt>
                <c:pt idx="5">
                  <c:v>2022</c:v>
                </c:pt>
              </c:numCache>
            </c:numRef>
          </c:cat>
          <c:val>
            <c:numRef>
              <c:f>Лист1!$B$32:$G$32</c:f>
              <c:numCache>
                <c:formatCode>#\ ##0.0</c:formatCode>
                <c:ptCount val="6"/>
                <c:pt idx="0">
                  <c:v>-3485.2754251659517</c:v>
                </c:pt>
                <c:pt idx="1">
                  <c:v>-6036.7475325599926</c:v>
                </c:pt>
                <c:pt idx="2">
                  <c:v>-5727.6353884027394</c:v>
                </c:pt>
                <c:pt idx="3">
                  <c:v>-8995.5949173392219</c:v>
                </c:pt>
                <c:pt idx="4">
                  <c:v>-17333.842000280649</c:v>
                </c:pt>
              </c:numCache>
            </c:numRef>
          </c:val>
          <c:smooth val="0"/>
          <c:extLst xmlns:c16r2="http://schemas.microsoft.com/office/drawing/2015/06/chart">
            <c:ext xmlns:c16="http://schemas.microsoft.com/office/drawing/2014/chart" uri="{C3380CC4-5D6E-409C-BE32-E72D297353CC}">
              <c16:uniqueId val="{00000000-62BA-254E-B317-E0C3BBA0DF30}"/>
            </c:ext>
          </c:extLst>
        </c:ser>
        <c:ser>
          <c:idx val="1"/>
          <c:order val="1"/>
          <c:tx>
            <c:strRef>
              <c:f>Лист1!$A$33</c:f>
              <c:strCache>
                <c:ptCount val="1"/>
                <c:pt idx="0">
                  <c:v>Фінансовий рахунок, Болгарія</c:v>
                </c:pt>
              </c:strCache>
            </c:strRef>
          </c:tx>
          <c:spPr>
            <a:ln w="28575" cap="rnd">
              <a:solidFill>
                <a:schemeClr val="accent3"/>
              </a:solidFill>
              <a:round/>
            </a:ln>
            <a:effectLst/>
          </c:spPr>
          <c:marker>
            <c:symbol val="none"/>
          </c:marker>
          <c:cat>
            <c:numRef>
              <c:f>Лист1!$B$31:$G$31</c:f>
              <c:numCache>
                <c:formatCode>General</c:formatCode>
                <c:ptCount val="6"/>
                <c:pt idx="0">
                  <c:v>2017</c:v>
                </c:pt>
                <c:pt idx="1">
                  <c:v>2018</c:v>
                </c:pt>
                <c:pt idx="2">
                  <c:v>2019</c:v>
                </c:pt>
                <c:pt idx="3">
                  <c:v>2020</c:v>
                </c:pt>
                <c:pt idx="4">
                  <c:v>2021</c:v>
                </c:pt>
                <c:pt idx="5">
                  <c:v>2022</c:v>
                </c:pt>
              </c:numCache>
            </c:numRef>
          </c:cat>
          <c:val>
            <c:numRef>
              <c:f>Лист1!$B$33:$G$33</c:f>
              <c:numCache>
                <c:formatCode>#\ ##0.0</c:formatCode>
                <c:ptCount val="6"/>
                <c:pt idx="0">
                  <c:v>2419.392544618222</c:v>
                </c:pt>
                <c:pt idx="1">
                  <c:v>3640.2784224172788</c:v>
                </c:pt>
                <c:pt idx="2">
                  <c:v>2678.0959721480353</c:v>
                </c:pt>
                <c:pt idx="3">
                  <c:v>2407.9012409133561</c:v>
                </c:pt>
                <c:pt idx="4">
                  <c:v>3948.4300702654882</c:v>
                </c:pt>
              </c:numCache>
            </c:numRef>
          </c:val>
          <c:smooth val="0"/>
          <c:extLst xmlns:c16r2="http://schemas.microsoft.com/office/drawing/2015/06/chart">
            <c:ext xmlns:c16="http://schemas.microsoft.com/office/drawing/2014/chart" uri="{C3380CC4-5D6E-409C-BE32-E72D297353CC}">
              <c16:uniqueId val="{00000001-62BA-254E-B317-E0C3BBA0DF30}"/>
            </c:ext>
          </c:extLst>
        </c:ser>
        <c:dLbls>
          <c:showLegendKey val="0"/>
          <c:showVal val="0"/>
          <c:showCatName val="0"/>
          <c:showSerName val="0"/>
          <c:showPercent val="0"/>
          <c:showBubbleSize val="0"/>
        </c:dLbls>
        <c:marker val="1"/>
        <c:smooth val="0"/>
        <c:axId val="411158400"/>
        <c:axId val="411159936"/>
      </c:lineChart>
      <c:catAx>
        <c:axId val="411158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1159936"/>
        <c:crosses val="autoZero"/>
        <c:auto val="1"/>
        <c:lblAlgn val="ctr"/>
        <c:lblOffset val="100"/>
        <c:noMultiLvlLbl val="0"/>
      </c:catAx>
      <c:valAx>
        <c:axId val="411159936"/>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1158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Резервні</a:t>
            </a:r>
            <a:r>
              <a:rPr lang="ru-RU" baseline="0"/>
              <a:t> активи</a:t>
            </a:r>
            <a:endParaRPr lang="ru-RU"/>
          </a:p>
        </c:rich>
      </c:tx>
      <c:overlay val="0"/>
      <c:spPr>
        <a:noFill/>
        <a:ln>
          <a:noFill/>
        </a:ln>
        <a:effectLst/>
      </c:spPr>
    </c:title>
    <c:autoTitleDeleted val="0"/>
    <c:plotArea>
      <c:layout/>
      <c:lineChart>
        <c:grouping val="standard"/>
        <c:varyColors val="0"/>
        <c:ser>
          <c:idx val="0"/>
          <c:order val="0"/>
          <c:tx>
            <c:strRef>
              <c:f>Лист1!$A$38</c:f>
              <c:strCache>
                <c:ptCount val="1"/>
                <c:pt idx="0">
                  <c:v>Резервні активи, Румунія</c:v>
                </c:pt>
              </c:strCache>
            </c:strRef>
          </c:tx>
          <c:spPr>
            <a:ln w="28575" cap="rnd">
              <a:solidFill>
                <a:schemeClr val="accent1"/>
              </a:solidFill>
              <a:round/>
            </a:ln>
            <a:effectLst/>
          </c:spPr>
          <c:marker>
            <c:symbol val="none"/>
          </c:marker>
          <c:cat>
            <c:numRef>
              <c:f>Лист1!$B$37:$G$37</c:f>
              <c:numCache>
                <c:formatCode>General</c:formatCode>
                <c:ptCount val="6"/>
                <c:pt idx="0">
                  <c:v>2017</c:v>
                </c:pt>
                <c:pt idx="1">
                  <c:v>2018</c:v>
                </c:pt>
                <c:pt idx="2">
                  <c:v>2019</c:v>
                </c:pt>
                <c:pt idx="3">
                  <c:v>2020</c:v>
                </c:pt>
                <c:pt idx="4">
                  <c:v>2021</c:v>
                </c:pt>
                <c:pt idx="5">
                  <c:v>2022</c:v>
                </c:pt>
              </c:numCache>
            </c:numRef>
          </c:cat>
          <c:val>
            <c:numRef>
              <c:f>Лист1!$B$38:$G$38</c:f>
              <c:numCache>
                <c:formatCode>#\ ##0.0</c:formatCode>
                <c:ptCount val="6"/>
                <c:pt idx="0">
                  <c:v>338.56954706379759</c:v>
                </c:pt>
                <c:pt idx="1">
                  <c:v>-935.78984462709434</c:v>
                </c:pt>
                <c:pt idx="2">
                  <c:v>-289.75321618792515</c:v>
                </c:pt>
                <c:pt idx="3">
                  <c:v>6479.5157662978554</c:v>
                </c:pt>
                <c:pt idx="4">
                  <c:v>2659.2864148149006</c:v>
                </c:pt>
              </c:numCache>
            </c:numRef>
          </c:val>
          <c:smooth val="0"/>
          <c:extLst xmlns:c16r2="http://schemas.microsoft.com/office/drawing/2015/06/chart">
            <c:ext xmlns:c16="http://schemas.microsoft.com/office/drawing/2014/chart" uri="{C3380CC4-5D6E-409C-BE32-E72D297353CC}">
              <c16:uniqueId val="{00000000-6042-2E48-BA30-47DC2A7A7E30}"/>
            </c:ext>
          </c:extLst>
        </c:ser>
        <c:ser>
          <c:idx val="1"/>
          <c:order val="1"/>
          <c:tx>
            <c:strRef>
              <c:f>Лист1!$A$39</c:f>
              <c:strCache>
                <c:ptCount val="1"/>
                <c:pt idx="0">
                  <c:v>Резервні активи, Болгарія</c:v>
                </c:pt>
              </c:strCache>
            </c:strRef>
          </c:tx>
          <c:spPr>
            <a:ln w="28575" cap="rnd">
              <a:solidFill>
                <a:schemeClr val="accent3"/>
              </a:solidFill>
              <a:round/>
            </a:ln>
            <a:effectLst/>
          </c:spPr>
          <c:marker>
            <c:symbol val="none"/>
          </c:marker>
          <c:cat>
            <c:numRef>
              <c:f>Лист1!$B$37:$G$37</c:f>
              <c:numCache>
                <c:formatCode>General</c:formatCode>
                <c:ptCount val="6"/>
                <c:pt idx="0">
                  <c:v>2017</c:v>
                </c:pt>
                <c:pt idx="1">
                  <c:v>2018</c:v>
                </c:pt>
                <c:pt idx="2">
                  <c:v>2019</c:v>
                </c:pt>
                <c:pt idx="3">
                  <c:v>2020</c:v>
                </c:pt>
                <c:pt idx="4">
                  <c:v>2021</c:v>
                </c:pt>
                <c:pt idx="5">
                  <c:v>2022</c:v>
                </c:pt>
              </c:numCache>
            </c:numRef>
          </c:cat>
          <c:val>
            <c:numRef>
              <c:f>Лист1!$B$39:$G$39</c:f>
              <c:numCache>
                <c:formatCode>#\ ##0.0</c:formatCode>
                <c:ptCount val="6"/>
                <c:pt idx="0">
                  <c:v>-88.377455381777878</c:v>
                </c:pt>
                <c:pt idx="1">
                  <c:v>1516.8784224172787</c:v>
                </c:pt>
                <c:pt idx="2">
                  <c:v>-631.19402785196473</c:v>
                </c:pt>
                <c:pt idx="3">
                  <c:v>6698.9712409133572</c:v>
                </c:pt>
                <c:pt idx="4">
                  <c:v>4046.0302179843625</c:v>
                </c:pt>
              </c:numCache>
            </c:numRef>
          </c:val>
          <c:smooth val="0"/>
          <c:extLst xmlns:c16r2="http://schemas.microsoft.com/office/drawing/2015/06/chart">
            <c:ext xmlns:c16="http://schemas.microsoft.com/office/drawing/2014/chart" uri="{C3380CC4-5D6E-409C-BE32-E72D297353CC}">
              <c16:uniqueId val="{00000001-6042-2E48-BA30-47DC2A7A7E30}"/>
            </c:ext>
          </c:extLst>
        </c:ser>
        <c:dLbls>
          <c:showLegendKey val="0"/>
          <c:showVal val="0"/>
          <c:showCatName val="0"/>
          <c:showSerName val="0"/>
          <c:showPercent val="0"/>
          <c:showBubbleSize val="0"/>
        </c:dLbls>
        <c:marker val="1"/>
        <c:smooth val="0"/>
        <c:axId val="414475392"/>
        <c:axId val="414476928"/>
      </c:lineChart>
      <c:catAx>
        <c:axId val="414475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4476928"/>
        <c:crosses val="autoZero"/>
        <c:auto val="1"/>
        <c:lblAlgn val="ctr"/>
        <c:lblOffset val="100"/>
        <c:noMultiLvlLbl val="0"/>
      </c:catAx>
      <c:valAx>
        <c:axId val="414476928"/>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44753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a:t>
            </a:r>
            <a:r>
              <a:rPr lang="ru-RU" baseline="0"/>
              <a:t> торгівлі товарами</a:t>
            </a:r>
            <a:endParaRPr lang="ru-RU"/>
          </a:p>
        </c:rich>
      </c:tx>
      <c:overlay val="0"/>
      <c:spPr>
        <a:noFill/>
        <a:ln>
          <a:noFill/>
        </a:ln>
        <a:effectLst/>
      </c:spPr>
    </c:title>
    <c:autoTitleDeleted val="0"/>
    <c:plotArea>
      <c:layout/>
      <c:lineChart>
        <c:grouping val="standard"/>
        <c:varyColors val="0"/>
        <c:ser>
          <c:idx val="0"/>
          <c:order val="0"/>
          <c:tx>
            <c:strRef>
              <c:f>Лист1!$I$2</c:f>
              <c:strCache>
                <c:ptCount val="1"/>
                <c:pt idx="0">
                  <c:v>Сальдо торгівлі товарами з Болгарією</c:v>
                </c:pt>
              </c:strCache>
            </c:strRef>
          </c:tx>
          <c:spPr>
            <a:ln w="28575" cap="rnd">
              <a:solidFill>
                <a:schemeClr val="accent1"/>
              </a:solidFill>
              <a:round/>
            </a:ln>
            <a:effectLst/>
          </c:spPr>
          <c:marker>
            <c:symbol val="none"/>
          </c:marker>
          <c:cat>
            <c:numRef>
              <c:f>Лист1!$J$1:$N$1</c:f>
              <c:numCache>
                <c:formatCode>General</c:formatCode>
                <c:ptCount val="5"/>
                <c:pt idx="0">
                  <c:v>2018</c:v>
                </c:pt>
                <c:pt idx="1">
                  <c:v>2019</c:v>
                </c:pt>
                <c:pt idx="2">
                  <c:v>2020</c:v>
                </c:pt>
                <c:pt idx="3">
                  <c:v>2021</c:v>
                </c:pt>
                <c:pt idx="4">
                  <c:v>2022</c:v>
                </c:pt>
              </c:numCache>
            </c:numRef>
          </c:cat>
          <c:val>
            <c:numRef>
              <c:f>Лист1!$J$2:$N$2</c:f>
              <c:numCache>
                <c:formatCode>#,##0.00</c:formatCode>
                <c:ptCount val="5"/>
                <c:pt idx="0">
                  <c:v>254440.3</c:v>
                </c:pt>
                <c:pt idx="1">
                  <c:v>22826.3</c:v>
                </c:pt>
                <c:pt idx="2" formatCode="0.0;\-0.0;\-">
                  <c:v>221593.39088999998</c:v>
                </c:pt>
                <c:pt idx="3" formatCode="0.0;\-0.0;\-">
                  <c:v>292972.94380000001</c:v>
                </c:pt>
                <c:pt idx="4" formatCode="#\ ##0.0">
                  <c:v>30064.7</c:v>
                </c:pt>
              </c:numCache>
            </c:numRef>
          </c:val>
          <c:smooth val="0"/>
          <c:extLst xmlns:c16r2="http://schemas.microsoft.com/office/drawing/2015/06/chart">
            <c:ext xmlns:c16="http://schemas.microsoft.com/office/drawing/2014/chart" uri="{C3380CC4-5D6E-409C-BE32-E72D297353CC}">
              <c16:uniqueId val="{00000000-5F67-3344-9B45-6B62129AF168}"/>
            </c:ext>
          </c:extLst>
        </c:ser>
        <c:ser>
          <c:idx val="1"/>
          <c:order val="1"/>
          <c:tx>
            <c:strRef>
              <c:f>Лист1!$I$3</c:f>
              <c:strCache>
                <c:ptCount val="1"/>
                <c:pt idx="0">
                  <c:v>Сальдо торгівлі товарами з Румунією</c:v>
                </c:pt>
              </c:strCache>
            </c:strRef>
          </c:tx>
          <c:spPr>
            <a:ln w="28575" cap="rnd">
              <a:solidFill>
                <a:schemeClr val="accent3"/>
              </a:solidFill>
              <a:round/>
            </a:ln>
            <a:effectLst/>
          </c:spPr>
          <c:marker>
            <c:symbol val="none"/>
          </c:marker>
          <c:cat>
            <c:numRef>
              <c:f>Лист1!$J$1:$N$1</c:f>
              <c:numCache>
                <c:formatCode>General</c:formatCode>
                <c:ptCount val="5"/>
                <c:pt idx="0">
                  <c:v>2018</c:v>
                </c:pt>
                <c:pt idx="1">
                  <c:v>2019</c:v>
                </c:pt>
                <c:pt idx="2">
                  <c:v>2020</c:v>
                </c:pt>
                <c:pt idx="3">
                  <c:v>2021</c:v>
                </c:pt>
                <c:pt idx="4">
                  <c:v>2022</c:v>
                </c:pt>
              </c:numCache>
            </c:numRef>
          </c:cat>
          <c:val>
            <c:numRef>
              <c:f>Лист1!$J$3:$N$3</c:f>
              <c:numCache>
                <c:formatCode>#,##0</c:formatCode>
                <c:ptCount val="5"/>
                <c:pt idx="0" formatCode="#,##0.00">
                  <c:v>421543.2</c:v>
                </c:pt>
                <c:pt idx="1">
                  <c:v>360062</c:v>
                </c:pt>
                <c:pt idx="2" formatCode="0.0_ ;\-0.0\ ">
                  <c:v>398519.56195000012</c:v>
                </c:pt>
                <c:pt idx="3" formatCode="0.0_ ;\-0.0\ ">
                  <c:v>747011.62856999994</c:v>
                </c:pt>
                <c:pt idx="4" formatCode="General">
                  <c:v>96860.800000000003</c:v>
                </c:pt>
              </c:numCache>
            </c:numRef>
          </c:val>
          <c:smooth val="0"/>
          <c:extLst xmlns:c16r2="http://schemas.microsoft.com/office/drawing/2015/06/chart">
            <c:ext xmlns:c16="http://schemas.microsoft.com/office/drawing/2014/chart" uri="{C3380CC4-5D6E-409C-BE32-E72D297353CC}">
              <c16:uniqueId val="{00000001-5F67-3344-9B45-6B62129AF168}"/>
            </c:ext>
          </c:extLst>
        </c:ser>
        <c:dLbls>
          <c:showLegendKey val="0"/>
          <c:showVal val="0"/>
          <c:showCatName val="0"/>
          <c:showSerName val="0"/>
          <c:showPercent val="0"/>
          <c:showBubbleSize val="0"/>
        </c:dLbls>
        <c:marker val="1"/>
        <c:smooth val="0"/>
        <c:axId val="414683520"/>
        <c:axId val="414685056"/>
      </c:lineChart>
      <c:catAx>
        <c:axId val="414683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4685056"/>
        <c:crosses val="autoZero"/>
        <c:auto val="1"/>
        <c:lblAlgn val="ctr"/>
        <c:lblOffset val="100"/>
        <c:noMultiLvlLbl val="0"/>
      </c:catAx>
      <c:valAx>
        <c:axId val="4146850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4683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a:t>
            </a:r>
            <a:r>
              <a:rPr lang="ru-RU" baseline="0"/>
              <a:t> торгівлі послугами</a:t>
            </a:r>
            <a:endParaRPr lang="ru-RU"/>
          </a:p>
        </c:rich>
      </c:tx>
      <c:overlay val="0"/>
      <c:spPr>
        <a:noFill/>
        <a:ln>
          <a:noFill/>
        </a:ln>
        <a:effectLst/>
      </c:spPr>
    </c:title>
    <c:autoTitleDeleted val="0"/>
    <c:plotArea>
      <c:layout/>
      <c:lineChart>
        <c:grouping val="standard"/>
        <c:varyColors val="0"/>
        <c:ser>
          <c:idx val="0"/>
          <c:order val="0"/>
          <c:tx>
            <c:strRef>
              <c:f>Лист1!$I$12</c:f>
              <c:strCache>
                <c:ptCount val="1"/>
                <c:pt idx="0">
                  <c:v>Сальдо торгівлі послугами з Болгарією</c:v>
                </c:pt>
              </c:strCache>
            </c:strRef>
          </c:tx>
          <c:spPr>
            <a:ln w="28575" cap="rnd">
              <a:solidFill>
                <a:schemeClr val="accent1"/>
              </a:solidFill>
              <a:round/>
            </a:ln>
            <a:effectLst/>
          </c:spPr>
          <c:marker>
            <c:symbol val="none"/>
          </c:marker>
          <c:cat>
            <c:numRef>
              <c:f>Лист1!$J$11:$O$11</c:f>
              <c:numCache>
                <c:formatCode>General</c:formatCode>
                <c:ptCount val="6"/>
                <c:pt idx="0">
                  <c:v>2017</c:v>
                </c:pt>
                <c:pt idx="1">
                  <c:v>2018</c:v>
                </c:pt>
                <c:pt idx="2">
                  <c:v>2019</c:v>
                </c:pt>
                <c:pt idx="3">
                  <c:v>2020</c:v>
                </c:pt>
                <c:pt idx="4">
                  <c:v>2021</c:v>
                </c:pt>
                <c:pt idx="5">
                  <c:v>2022</c:v>
                </c:pt>
              </c:numCache>
            </c:numRef>
          </c:cat>
          <c:val>
            <c:numRef>
              <c:f>Лист1!$J$12:$O$12</c:f>
              <c:numCache>
                <c:formatCode>#\ ##0.0</c:formatCode>
                <c:ptCount val="6"/>
                <c:pt idx="0">
                  <c:v>7077.4</c:v>
                </c:pt>
                <c:pt idx="1">
                  <c:v>9511.2000000000007</c:v>
                </c:pt>
                <c:pt idx="2">
                  <c:v>16851.900000000001</c:v>
                </c:pt>
                <c:pt idx="3">
                  <c:v>21145</c:v>
                </c:pt>
                <c:pt idx="4">
                  <c:v>-4402.7</c:v>
                </c:pt>
              </c:numCache>
            </c:numRef>
          </c:val>
          <c:smooth val="0"/>
          <c:extLst xmlns:c16r2="http://schemas.microsoft.com/office/drawing/2015/06/chart">
            <c:ext xmlns:c16="http://schemas.microsoft.com/office/drawing/2014/chart" uri="{C3380CC4-5D6E-409C-BE32-E72D297353CC}">
              <c16:uniqueId val="{00000000-E320-F346-B81F-FD62E9C19BA9}"/>
            </c:ext>
          </c:extLst>
        </c:ser>
        <c:ser>
          <c:idx val="1"/>
          <c:order val="1"/>
          <c:tx>
            <c:strRef>
              <c:f>Лист1!$I$13</c:f>
              <c:strCache>
                <c:ptCount val="1"/>
                <c:pt idx="0">
                  <c:v>Сальдо послугами товарами з Румунією</c:v>
                </c:pt>
              </c:strCache>
            </c:strRef>
          </c:tx>
          <c:spPr>
            <a:ln w="28575" cap="rnd">
              <a:solidFill>
                <a:schemeClr val="accent3"/>
              </a:solidFill>
              <a:round/>
            </a:ln>
            <a:effectLst/>
          </c:spPr>
          <c:marker>
            <c:symbol val="none"/>
          </c:marker>
          <c:cat>
            <c:numRef>
              <c:f>Лист1!$J$11:$O$11</c:f>
              <c:numCache>
                <c:formatCode>General</c:formatCode>
                <c:ptCount val="6"/>
                <c:pt idx="0">
                  <c:v>2017</c:v>
                </c:pt>
                <c:pt idx="1">
                  <c:v>2018</c:v>
                </c:pt>
                <c:pt idx="2">
                  <c:v>2019</c:v>
                </c:pt>
                <c:pt idx="3">
                  <c:v>2020</c:v>
                </c:pt>
                <c:pt idx="4">
                  <c:v>2021</c:v>
                </c:pt>
                <c:pt idx="5">
                  <c:v>2022</c:v>
                </c:pt>
              </c:numCache>
            </c:numRef>
          </c:cat>
          <c:val>
            <c:numRef>
              <c:f>Лист1!$J$13:$O$13</c:f>
              <c:numCache>
                <c:formatCode>#\ ##0.0</c:formatCode>
                <c:ptCount val="6"/>
                <c:pt idx="0">
                  <c:v>44914.400000000001</c:v>
                </c:pt>
                <c:pt idx="1">
                  <c:v>53267.1</c:v>
                </c:pt>
                <c:pt idx="2">
                  <c:v>78248.3</c:v>
                </c:pt>
                <c:pt idx="3">
                  <c:v>90156.6</c:v>
                </c:pt>
                <c:pt idx="4">
                  <c:v>98662.6</c:v>
                </c:pt>
              </c:numCache>
            </c:numRef>
          </c:val>
          <c:smooth val="0"/>
          <c:extLst xmlns:c16r2="http://schemas.microsoft.com/office/drawing/2015/06/chart">
            <c:ext xmlns:c16="http://schemas.microsoft.com/office/drawing/2014/chart" uri="{C3380CC4-5D6E-409C-BE32-E72D297353CC}">
              <c16:uniqueId val="{00000001-E320-F346-B81F-FD62E9C19BA9}"/>
            </c:ext>
          </c:extLst>
        </c:ser>
        <c:dLbls>
          <c:showLegendKey val="0"/>
          <c:showVal val="0"/>
          <c:showCatName val="0"/>
          <c:showSerName val="0"/>
          <c:showPercent val="0"/>
          <c:showBubbleSize val="0"/>
        </c:dLbls>
        <c:marker val="1"/>
        <c:smooth val="0"/>
        <c:axId val="414702976"/>
        <c:axId val="414991488"/>
      </c:lineChart>
      <c:catAx>
        <c:axId val="414702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4991488"/>
        <c:crosses val="autoZero"/>
        <c:auto val="1"/>
        <c:lblAlgn val="ctr"/>
        <c:lblOffset val="100"/>
        <c:noMultiLvlLbl val="0"/>
      </c:catAx>
      <c:valAx>
        <c:axId val="414991488"/>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47029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Поток</a:t>
            </a:r>
            <a:r>
              <a:rPr lang="ru-RU" baseline="0"/>
              <a:t> прямих інвестицій</a:t>
            </a:r>
            <a:endParaRPr lang="ru-RU"/>
          </a:p>
        </c:rich>
      </c:tx>
      <c:overlay val="0"/>
      <c:spPr>
        <a:noFill/>
        <a:ln>
          <a:noFill/>
        </a:ln>
        <a:effectLst/>
      </c:spPr>
    </c:title>
    <c:autoTitleDeleted val="0"/>
    <c:plotArea>
      <c:layout/>
      <c:lineChart>
        <c:grouping val="standard"/>
        <c:varyColors val="0"/>
        <c:ser>
          <c:idx val="0"/>
          <c:order val="0"/>
          <c:tx>
            <c:strRef>
              <c:f>Лист1!$A$22</c:f>
              <c:strCache>
                <c:ptCount val="1"/>
                <c:pt idx="0">
                  <c:v>Прямі інвестиції з Болгарії в Україну</c:v>
                </c:pt>
              </c:strCache>
            </c:strRef>
          </c:tx>
          <c:spPr>
            <a:ln w="28575" cap="rnd">
              <a:solidFill>
                <a:schemeClr val="accent1"/>
              </a:solidFill>
              <a:round/>
            </a:ln>
            <a:effectLst/>
          </c:spPr>
          <c:marker>
            <c:symbol val="none"/>
          </c:marker>
          <c:cat>
            <c:numRef>
              <c:f>Лист1!$B$21:$G$21</c:f>
              <c:numCache>
                <c:formatCode>General</c:formatCode>
                <c:ptCount val="6"/>
                <c:pt idx="0">
                  <c:v>2016</c:v>
                </c:pt>
                <c:pt idx="1">
                  <c:v>2017</c:v>
                </c:pt>
                <c:pt idx="2">
                  <c:v>2018</c:v>
                </c:pt>
                <c:pt idx="3">
                  <c:v>2019</c:v>
                </c:pt>
              </c:numCache>
            </c:numRef>
          </c:cat>
          <c:val>
            <c:numRef>
              <c:f>Лист1!$B$22:$G$22</c:f>
              <c:numCache>
                <c:formatCode>#\ ##0.0</c:formatCode>
                <c:ptCount val="6"/>
                <c:pt idx="0">
                  <c:v>32.1</c:v>
                </c:pt>
                <c:pt idx="1">
                  <c:v>38.4</c:v>
                </c:pt>
                <c:pt idx="2">
                  <c:v>39.9</c:v>
                </c:pt>
                <c:pt idx="3">
                  <c:v>42.9</c:v>
                </c:pt>
              </c:numCache>
            </c:numRef>
          </c:val>
          <c:smooth val="0"/>
          <c:extLst xmlns:c16r2="http://schemas.microsoft.com/office/drawing/2015/06/chart">
            <c:ext xmlns:c16="http://schemas.microsoft.com/office/drawing/2014/chart" uri="{C3380CC4-5D6E-409C-BE32-E72D297353CC}">
              <c16:uniqueId val="{00000000-8B34-C14F-9537-48A34E59B0E9}"/>
            </c:ext>
          </c:extLst>
        </c:ser>
        <c:ser>
          <c:idx val="1"/>
          <c:order val="1"/>
          <c:tx>
            <c:strRef>
              <c:f>Лист1!$A$23</c:f>
              <c:strCache>
                <c:ptCount val="1"/>
                <c:pt idx="0">
                  <c:v>Прямі інвестиції з Румунії в Україну</c:v>
                </c:pt>
              </c:strCache>
            </c:strRef>
          </c:tx>
          <c:spPr>
            <a:ln w="28575" cap="rnd">
              <a:solidFill>
                <a:schemeClr val="accent3"/>
              </a:solidFill>
              <a:round/>
            </a:ln>
            <a:effectLst/>
          </c:spPr>
          <c:marker>
            <c:symbol val="none"/>
          </c:marker>
          <c:cat>
            <c:numRef>
              <c:f>Лист1!$B$21:$G$21</c:f>
              <c:numCache>
                <c:formatCode>General</c:formatCode>
                <c:ptCount val="6"/>
                <c:pt idx="0">
                  <c:v>2016</c:v>
                </c:pt>
                <c:pt idx="1">
                  <c:v>2017</c:v>
                </c:pt>
                <c:pt idx="2">
                  <c:v>2018</c:v>
                </c:pt>
                <c:pt idx="3">
                  <c:v>2019</c:v>
                </c:pt>
              </c:numCache>
            </c:numRef>
          </c:cat>
          <c:val>
            <c:numRef>
              <c:f>Лист1!$B$23:$G$23</c:f>
              <c:numCache>
                <c:formatCode>#\ ##0.0</c:formatCode>
                <c:ptCount val="6"/>
                <c:pt idx="0">
                  <c:v>20.2</c:v>
                </c:pt>
                <c:pt idx="1">
                  <c:v>19.3</c:v>
                </c:pt>
                <c:pt idx="2">
                  <c:v>20.100000000000001</c:v>
                </c:pt>
                <c:pt idx="3">
                  <c:v>24.8</c:v>
                </c:pt>
              </c:numCache>
            </c:numRef>
          </c:val>
          <c:smooth val="0"/>
          <c:extLst xmlns:c16r2="http://schemas.microsoft.com/office/drawing/2015/06/chart">
            <c:ext xmlns:c16="http://schemas.microsoft.com/office/drawing/2014/chart" uri="{C3380CC4-5D6E-409C-BE32-E72D297353CC}">
              <c16:uniqueId val="{00000001-8B34-C14F-9537-48A34E59B0E9}"/>
            </c:ext>
          </c:extLst>
        </c:ser>
        <c:dLbls>
          <c:showLegendKey val="0"/>
          <c:showVal val="0"/>
          <c:showCatName val="0"/>
          <c:showSerName val="0"/>
          <c:showPercent val="0"/>
          <c:showBubbleSize val="0"/>
        </c:dLbls>
        <c:marker val="1"/>
        <c:smooth val="0"/>
        <c:axId val="415013504"/>
        <c:axId val="415019392"/>
      </c:lineChart>
      <c:catAx>
        <c:axId val="415013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5019392"/>
        <c:crosses val="autoZero"/>
        <c:auto val="1"/>
        <c:lblAlgn val="ctr"/>
        <c:lblOffset val="100"/>
        <c:noMultiLvlLbl val="0"/>
      </c:catAx>
      <c:valAx>
        <c:axId val="415019392"/>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5013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Поток</a:t>
            </a:r>
            <a:r>
              <a:rPr lang="ru-RU" baseline="0"/>
              <a:t> прямих інвестицій</a:t>
            </a:r>
            <a:endParaRPr lang="ru-RU"/>
          </a:p>
        </c:rich>
      </c:tx>
      <c:overlay val="0"/>
      <c:spPr>
        <a:noFill/>
        <a:ln>
          <a:noFill/>
        </a:ln>
        <a:effectLst/>
      </c:spPr>
    </c:title>
    <c:autoTitleDeleted val="0"/>
    <c:plotArea>
      <c:layout/>
      <c:lineChart>
        <c:grouping val="standard"/>
        <c:varyColors val="0"/>
        <c:ser>
          <c:idx val="0"/>
          <c:order val="0"/>
          <c:tx>
            <c:strRef>
              <c:f>Лист1!$A$28</c:f>
              <c:strCache>
                <c:ptCount val="1"/>
                <c:pt idx="0">
                  <c:v>Прямі інвестиції з Болгарії в Україну</c:v>
                </c:pt>
              </c:strCache>
            </c:strRef>
          </c:tx>
          <c:spPr>
            <a:ln w="28575" cap="rnd">
              <a:solidFill>
                <a:schemeClr val="accent1"/>
              </a:solidFill>
              <a:round/>
            </a:ln>
            <a:effectLst/>
          </c:spPr>
          <c:marker>
            <c:symbol val="none"/>
          </c:marker>
          <c:cat>
            <c:numRef>
              <c:f>Лист1!$B$27:$D$27</c:f>
              <c:numCache>
                <c:formatCode>@</c:formatCode>
                <c:ptCount val="3"/>
                <c:pt idx="0">
                  <c:v>2019</c:v>
                </c:pt>
                <c:pt idx="1">
                  <c:v>2020</c:v>
                </c:pt>
                <c:pt idx="2">
                  <c:v>2021</c:v>
                </c:pt>
              </c:numCache>
            </c:numRef>
          </c:cat>
          <c:val>
            <c:numRef>
              <c:f>Лист1!$B$28:$D$28</c:f>
              <c:numCache>
                <c:formatCode>@</c:formatCode>
                <c:ptCount val="3"/>
                <c:pt idx="0">
                  <c:v>13.54</c:v>
                </c:pt>
                <c:pt idx="1">
                  <c:v>18.8</c:v>
                </c:pt>
                <c:pt idx="2">
                  <c:v>12</c:v>
                </c:pt>
              </c:numCache>
            </c:numRef>
          </c:val>
          <c:smooth val="0"/>
          <c:extLst xmlns:c16r2="http://schemas.microsoft.com/office/drawing/2015/06/chart">
            <c:ext xmlns:c16="http://schemas.microsoft.com/office/drawing/2014/chart" uri="{C3380CC4-5D6E-409C-BE32-E72D297353CC}">
              <c16:uniqueId val="{00000000-991B-7D47-BB70-042709987E2E}"/>
            </c:ext>
          </c:extLst>
        </c:ser>
        <c:ser>
          <c:idx val="1"/>
          <c:order val="1"/>
          <c:tx>
            <c:strRef>
              <c:f>Лист1!$A$29</c:f>
              <c:strCache>
                <c:ptCount val="1"/>
                <c:pt idx="0">
                  <c:v>Прямі інвестиції з Румунії в Україну</c:v>
                </c:pt>
              </c:strCache>
            </c:strRef>
          </c:tx>
          <c:spPr>
            <a:ln w="28575" cap="rnd">
              <a:solidFill>
                <a:schemeClr val="accent3"/>
              </a:solidFill>
              <a:round/>
            </a:ln>
            <a:effectLst/>
          </c:spPr>
          <c:marker>
            <c:symbol val="none"/>
          </c:marker>
          <c:cat>
            <c:numRef>
              <c:f>Лист1!$B$27:$D$27</c:f>
              <c:numCache>
                <c:formatCode>@</c:formatCode>
                <c:ptCount val="3"/>
                <c:pt idx="0">
                  <c:v>2019</c:v>
                </c:pt>
                <c:pt idx="1">
                  <c:v>2020</c:v>
                </c:pt>
                <c:pt idx="2">
                  <c:v>2021</c:v>
                </c:pt>
              </c:numCache>
            </c:numRef>
          </c:cat>
          <c:val>
            <c:numRef>
              <c:f>Лист1!$B$29:$D$29</c:f>
              <c:numCache>
                <c:formatCode>@</c:formatCode>
                <c:ptCount val="3"/>
                <c:pt idx="0">
                  <c:v>2.48</c:v>
                </c:pt>
                <c:pt idx="1">
                  <c:v>-0.03</c:v>
                </c:pt>
                <c:pt idx="2">
                  <c:v>2.98</c:v>
                </c:pt>
              </c:numCache>
            </c:numRef>
          </c:val>
          <c:smooth val="0"/>
          <c:extLst xmlns:c16r2="http://schemas.microsoft.com/office/drawing/2015/06/chart">
            <c:ext xmlns:c16="http://schemas.microsoft.com/office/drawing/2014/chart" uri="{C3380CC4-5D6E-409C-BE32-E72D297353CC}">
              <c16:uniqueId val="{00000001-991B-7D47-BB70-042709987E2E}"/>
            </c:ext>
          </c:extLst>
        </c:ser>
        <c:dLbls>
          <c:showLegendKey val="0"/>
          <c:showVal val="0"/>
          <c:showCatName val="0"/>
          <c:showSerName val="0"/>
          <c:showPercent val="0"/>
          <c:showBubbleSize val="0"/>
        </c:dLbls>
        <c:marker val="1"/>
        <c:smooth val="0"/>
        <c:axId val="416237824"/>
        <c:axId val="416239616"/>
      </c:lineChart>
      <c:catAx>
        <c:axId val="416237824"/>
        <c:scaling>
          <c:orientation val="minMax"/>
        </c:scaling>
        <c:delete val="0"/>
        <c:axPos val="b"/>
        <c:numFmt formatCode="@"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6239616"/>
        <c:crosses val="autoZero"/>
        <c:auto val="1"/>
        <c:lblAlgn val="ctr"/>
        <c:lblOffset val="100"/>
        <c:noMultiLvlLbl val="0"/>
      </c:catAx>
      <c:valAx>
        <c:axId val="416239616"/>
        <c:scaling>
          <c:orientation val="minMax"/>
        </c:scaling>
        <c:delete val="0"/>
        <c:axPos val="l"/>
        <c:majorGridlines>
          <c:spPr>
            <a:ln w="9525" cap="flat" cmpd="sng" algn="ctr">
              <a:solidFill>
                <a:schemeClr val="tx1">
                  <a:lumMod val="15000"/>
                  <a:lumOff val="85000"/>
                </a:schemeClr>
              </a:solidFill>
              <a:round/>
            </a:ln>
            <a:effectLst/>
          </c:spPr>
        </c:majorGridlines>
        <c:numFmt formatCode="@"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6237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Баланс</a:t>
            </a:r>
            <a:r>
              <a:rPr lang="ru-RU" baseline="0"/>
              <a:t> послуг</a:t>
            </a:r>
            <a:endParaRPr lang="ru-RU"/>
          </a:p>
        </c:rich>
      </c:tx>
      <c:overlay val="0"/>
      <c:spPr>
        <a:noFill/>
        <a:ln>
          <a:noFill/>
        </a:ln>
        <a:effectLst/>
      </c:spPr>
    </c:title>
    <c:autoTitleDeleted val="0"/>
    <c:plotArea>
      <c:layout/>
      <c:lineChart>
        <c:grouping val="standard"/>
        <c:varyColors val="0"/>
        <c:ser>
          <c:idx val="0"/>
          <c:order val="0"/>
          <c:tx>
            <c:strRef>
              <c:f>Лист1!$I$11</c:f>
              <c:strCache>
                <c:ptCount val="1"/>
                <c:pt idx="0">
                  <c:v>Баланс послуг Румунії</c:v>
                </c:pt>
              </c:strCache>
            </c:strRef>
          </c:tx>
          <c:spPr>
            <a:ln w="28575" cap="rnd">
              <a:solidFill>
                <a:schemeClr val="accent1"/>
              </a:solidFill>
              <a:round/>
            </a:ln>
            <a:effectLst/>
          </c:spPr>
          <c:marker>
            <c:symbol val="none"/>
          </c:marker>
          <c:cat>
            <c:numRef>
              <c:f>Лист1!$J$10:$O$10</c:f>
              <c:numCache>
                <c:formatCode>General</c:formatCode>
                <c:ptCount val="6"/>
                <c:pt idx="0">
                  <c:v>2017</c:v>
                </c:pt>
                <c:pt idx="1">
                  <c:v>2018</c:v>
                </c:pt>
                <c:pt idx="2">
                  <c:v>2019</c:v>
                </c:pt>
                <c:pt idx="3">
                  <c:v>2020</c:v>
                </c:pt>
                <c:pt idx="4">
                  <c:v>2021</c:v>
                </c:pt>
                <c:pt idx="5">
                  <c:v>2022</c:v>
                </c:pt>
              </c:numCache>
            </c:numRef>
          </c:cat>
          <c:val>
            <c:numRef>
              <c:f>Лист1!$J$11:$O$11</c:f>
              <c:numCache>
                <c:formatCode>#\ ##0.0</c:formatCode>
                <c:ptCount val="6"/>
                <c:pt idx="0">
                  <c:v>9247.235856830177</c:v>
                </c:pt>
                <c:pt idx="1">
                  <c:v>9861.4525929303072</c:v>
                </c:pt>
                <c:pt idx="2">
                  <c:v>9677.5492143745359</c:v>
                </c:pt>
                <c:pt idx="3">
                  <c:v>10801.259882856442</c:v>
                </c:pt>
                <c:pt idx="4">
                  <c:v>11114.328508927163</c:v>
                </c:pt>
              </c:numCache>
            </c:numRef>
          </c:val>
          <c:smooth val="0"/>
          <c:extLst xmlns:c16r2="http://schemas.microsoft.com/office/drawing/2015/06/chart">
            <c:ext xmlns:c16="http://schemas.microsoft.com/office/drawing/2014/chart" uri="{C3380CC4-5D6E-409C-BE32-E72D297353CC}">
              <c16:uniqueId val="{00000000-AF66-EB4D-891C-835F5B0ADF51}"/>
            </c:ext>
          </c:extLst>
        </c:ser>
        <c:ser>
          <c:idx val="1"/>
          <c:order val="1"/>
          <c:tx>
            <c:strRef>
              <c:f>Лист1!$I$12</c:f>
              <c:strCache>
                <c:ptCount val="1"/>
                <c:pt idx="0">
                  <c:v>Баланс послуг Болгарії</c:v>
                </c:pt>
              </c:strCache>
            </c:strRef>
          </c:tx>
          <c:spPr>
            <a:ln w="28575" cap="rnd">
              <a:solidFill>
                <a:schemeClr val="accent3"/>
              </a:solidFill>
              <a:round/>
            </a:ln>
            <a:effectLst/>
          </c:spPr>
          <c:marker>
            <c:symbol val="none"/>
          </c:marker>
          <c:cat>
            <c:numRef>
              <c:f>Лист1!$J$10:$O$10</c:f>
              <c:numCache>
                <c:formatCode>General</c:formatCode>
                <c:ptCount val="6"/>
                <c:pt idx="0">
                  <c:v>2017</c:v>
                </c:pt>
                <c:pt idx="1">
                  <c:v>2018</c:v>
                </c:pt>
                <c:pt idx="2">
                  <c:v>2019</c:v>
                </c:pt>
                <c:pt idx="3">
                  <c:v>2020</c:v>
                </c:pt>
                <c:pt idx="4">
                  <c:v>2021</c:v>
                </c:pt>
                <c:pt idx="5">
                  <c:v>2022</c:v>
                </c:pt>
              </c:numCache>
            </c:numRef>
          </c:cat>
          <c:val>
            <c:numRef>
              <c:f>Лист1!$J$12:$O$12</c:f>
              <c:numCache>
                <c:formatCode>#\ ##0.0</c:formatCode>
                <c:ptCount val="6"/>
                <c:pt idx="0">
                  <c:v>3475.44</c:v>
                </c:pt>
                <c:pt idx="1">
                  <c:v>4813.03</c:v>
                </c:pt>
                <c:pt idx="2">
                  <c:v>5454.25</c:v>
                </c:pt>
                <c:pt idx="3">
                  <c:v>3599.91</c:v>
                </c:pt>
                <c:pt idx="4">
                  <c:v>4824.4399999999996</c:v>
                </c:pt>
              </c:numCache>
            </c:numRef>
          </c:val>
          <c:smooth val="0"/>
          <c:extLst xmlns:c16r2="http://schemas.microsoft.com/office/drawing/2015/06/chart">
            <c:ext xmlns:c16="http://schemas.microsoft.com/office/drawing/2014/chart" uri="{C3380CC4-5D6E-409C-BE32-E72D297353CC}">
              <c16:uniqueId val="{00000001-AF66-EB4D-891C-835F5B0ADF51}"/>
            </c:ext>
          </c:extLst>
        </c:ser>
        <c:dLbls>
          <c:showLegendKey val="0"/>
          <c:showVal val="0"/>
          <c:showCatName val="0"/>
          <c:showSerName val="0"/>
          <c:showPercent val="0"/>
          <c:showBubbleSize val="0"/>
        </c:dLbls>
        <c:marker val="1"/>
        <c:smooth val="0"/>
        <c:axId val="340787968"/>
        <c:axId val="340789504"/>
      </c:lineChart>
      <c:catAx>
        <c:axId val="340787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0789504"/>
        <c:crosses val="autoZero"/>
        <c:auto val="1"/>
        <c:lblAlgn val="ctr"/>
        <c:lblOffset val="100"/>
        <c:noMultiLvlLbl val="0"/>
      </c:catAx>
      <c:valAx>
        <c:axId val="340789504"/>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0787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a:t>
            </a:r>
            <a:r>
              <a:rPr lang="ru-RU" baseline="0"/>
              <a:t> первинних доходів</a:t>
            </a:r>
            <a:endParaRPr lang="ru-RU"/>
          </a:p>
        </c:rich>
      </c:tx>
      <c:overlay val="0"/>
      <c:spPr>
        <a:noFill/>
        <a:ln>
          <a:noFill/>
        </a:ln>
        <a:effectLst/>
      </c:spPr>
    </c:title>
    <c:autoTitleDeleted val="0"/>
    <c:plotArea>
      <c:layout/>
      <c:lineChart>
        <c:grouping val="standard"/>
        <c:varyColors val="0"/>
        <c:ser>
          <c:idx val="0"/>
          <c:order val="0"/>
          <c:tx>
            <c:strRef>
              <c:f>Лист1!$I$46</c:f>
              <c:strCache>
                <c:ptCount val="1"/>
                <c:pt idx="0">
                  <c:v>Сальдо первинних доходів Румунія</c:v>
                </c:pt>
              </c:strCache>
            </c:strRef>
          </c:tx>
          <c:spPr>
            <a:ln w="28575" cap="rnd">
              <a:solidFill>
                <a:schemeClr val="accent1"/>
              </a:solidFill>
              <a:round/>
            </a:ln>
            <a:effectLst/>
          </c:spPr>
          <c:marker>
            <c:symbol val="none"/>
          </c:marker>
          <c:cat>
            <c:numRef>
              <c:f>Лист1!$J$45:$O$45</c:f>
              <c:numCache>
                <c:formatCode>General</c:formatCode>
                <c:ptCount val="6"/>
                <c:pt idx="0">
                  <c:v>2017</c:v>
                </c:pt>
                <c:pt idx="1">
                  <c:v>2018</c:v>
                </c:pt>
                <c:pt idx="2">
                  <c:v>2019</c:v>
                </c:pt>
                <c:pt idx="3">
                  <c:v>2020</c:v>
                </c:pt>
                <c:pt idx="4">
                  <c:v>2021</c:v>
                </c:pt>
                <c:pt idx="5">
                  <c:v>2022</c:v>
                </c:pt>
              </c:numCache>
            </c:numRef>
          </c:cat>
          <c:val>
            <c:numRef>
              <c:f>Лист1!$J$46:$O$46</c:f>
              <c:numCache>
                <c:formatCode>#\ ##0.0</c:formatCode>
                <c:ptCount val="6"/>
                <c:pt idx="0">
                  <c:v>-2970.3412679637786</c:v>
                </c:pt>
                <c:pt idx="1">
                  <c:v>-4441.2357301794918</c:v>
                </c:pt>
                <c:pt idx="2">
                  <c:v>-3552.4851891386888</c:v>
                </c:pt>
                <c:pt idx="3">
                  <c:v>-3889.6633822350595</c:v>
                </c:pt>
                <c:pt idx="4">
                  <c:v>-5713.2727619202478</c:v>
                </c:pt>
              </c:numCache>
            </c:numRef>
          </c:val>
          <c:smooth val="0"/>
          <c:extLst xmlns:c16r2="http://schemas.microsoft.com/office/drawing/2015/06/chart">
            <c:ext xmlns:c16="http://schemas.microsoft.com/office/drawing/2014/chart" uri="{C3380CC4-5D6E-409C-BE32-E72D297353CC}">
              <c16:uniqueId val="{00000000-D238-2448-AD26-49D9B8B2197C}"/>
            </c:ext>
          </c:extLst>
        </c:ser>
        <c:ser>
          <c:idx val="1"/>
          <c:order val="1"/>
          <c:tx>
            <c:strRef>
              <c:f>Лист1!$I$47</c:f>
              <c:strCache>
                <c:ptCount val="1"/>
                <c:pt idx="0">
                  <c:v>Сальдо первинних доходів Болгарія</c:v>
                </c:pt>
              </c:strCache>
            </c:strRef>
          </c:tx>
          <c:spPr>
            <a:ln w="28575" cap="rnd">
              <a:solidFill>
                <a:schemeClr val="accent3"/>
              </a:solidFill>
              <a:round/>
            </a:ln>
            <a:effectLst/>
          </c:spPr>
          <c:marker>
            <c:symbol val="none"/>
          </c:marker>
          <c:cat>
            <c:numRef>
              <c:f>Лист1!$J$45:$O$45</c:f>
              <c:numCache>
                <c:formatCode>General</c:formatCode>
                <c:ptCount val="6"/>
                <c:pt idx="0">
                  <c:v>2017</c:v>
                </c:pt>
                <c:pt idx="1">
                  <c:v>2018</c:v>
                </c:pt>
                <c:pt idx="2">
                  <c:v>2019</c:v>
                </c:pt>
                <c:pt idx="3">
                  <c:v>2020</c:v>
                </c:pt>
                <c:pt idx="4">
                  <c:v>2021</c:v>
                </c:pt>
                <c:pt idx="5">
                  <c:v>2022</c:v>
                </c:pt>
              </c:numCache>
            </c:numRef>
          </c:cat>
          <c:val>
            <c:numRef>
              <c:f>Лист1!$J$47:$O$47</c:f>
              <c:numCache>
                <c:formatCode>#\ ##0.0</c:formatCode>
                <c:ptCount val="6"/>
                <c:pt idx="0">
                  <c:v>-2545.84</c:v>
                </c:pt>
                <c:pt idx="1">
                  <c:v>-3179.15</c:v>
                </c:pt>
                <c:pt idx="2">
                  <c:v>-2924.75</c:v>
                </c:pt>
                <c:pt idx="3">
                  <c:v>-2503.79</c:v>
                </c:pt>
                <c:pt idx="4">
                  <c:v>-2801.38</c:v>
                </c:pt>
              </c:numCache>
            </c:numRef>
          </c:val>
          <c:smooth val="0"/>
          <c:extLst xmlns:c16r2="http://schemas.microsoft.com/office/drawing/2015/06/chart">
            <c:ext xmlns:c16="http://schemas.microsoft.com/office/drawing/2014/chart" uri="{C3380CC4-5D6E-409C-BE32-E72D297353CC}">
              <c16:uniqueId val="{00000001-D238-2448-AD26-49D9B8B2197C}"/>
            </c:ext>
          </c:extLst>
        </c:ser>
        <c:dLbls>
          <c:showLegendKey val="0"/>
          <c:showVal val="0"/>
          <c:showCatName val="0"/>
          <c:showSerName val="0"/>
          <c:showPercent val="0"/>
          <c:showBubbleSize val="0"/>
        </c:dLbls>
        <c:marker val="1"/>
        <c:smooth val="0"/>
        <c:axId val="340889600"/>
        <c:axId val="340891136"/>
      </c:lineChart>
      <c:catAx>
        <c:axId val="340889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0891136"/>
        <c:crosses val="autoZero"/>
        <c:auto val="1"/>
        <c:lblAlgn val="ctr"/>
        <c:lblOffset val="100"/>
        <c:noMultiLvlLbl val="0"/>
      </c:catAx>
      <c:valAx>
        <c:axId val="340891136"/>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0889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a:t>
            </a:r>
            <a:r>
              <a:rPr lang="ru-RU" baseline="0"/>
              <a:t> доходів від інвестицій</a:t>
            </a:r>
            <a:endParaRPr lang="ru-RU"/>
          </a:p>
        </c:rich>
      </c:tx>
      <c:overlay val="0"/>
      <c:spPr>
        <a:noFill/>
        <a:ln>
          <a:noFill/>
        </a:ln>
        <a:effectLst/>
      </c:spPr>
    </c:title>
    <c:autoTitleDeleted val="0"/>
    <c:plotArea>
      <c:layout/>
      <c:lineChart>
        <c:grouping val="standard"/>
        <c:varyColors val="0"/>
        <c:ser>
          <c:idx val="0"/>
          <c:order val="0"/>
          <c:tx>
            <c:strRef>
              <c:f>Лист1!$I$20</c:f>
              <c:strCache>
                <c:ptCount val="1"/>
                <c:pt idx="0">
                  <c:v>Сальдо доходів від інвестицій Румунія</c:v>
                </c:pt>
              </c:strCache>
            </c:strRef>
          </c:tx>
          <c:spPr>
            <a:ln w="28575" cap="rnd">
              <a:solidFill>
                <a:schemeClr val="accent1"/>
              </a:solidFill>
              <a:round/>
            </a:ln>
            <a:effectLst/>
          </c:spPr>
          <c:marker>
            <c:symbol val="none"/>
          </c:marker>
          <c:cat>
            <c:numRef>
              <c:f>Лист1!$J$19:$O$19</c:f>
              <c:numCache>
                <c:formatCode>General</c:formatCode>
                <c:ptCount val="6"/>
                <c:pt idx="0">
                  <c:v>2017</c:v>
                </c:pt>
                <c:pt idx="1">
                  <c:v>2018</c:v>
                </c:pt>
                <c:pt idx="2">
                  <c:v>2019</c:v>
                </c:pt>
                <c:pt idx="3">
                  <c:v>2020</c:v>
                </c:pt>
                <c:pt idx="4">
                  <c:v>2021</c:v>
                </c:pt>
                <c:pt idx="5">
                  <c:v>2022</c:v>
                </c:pt>
              </c:numCache>
            </c:numRef>
          </c:cat>
          <c:val>
            <c:numRef>
              <c:f>Лист1!$J$20:$O$20</c:f>
              <c:numCache>
                <c:formatCode>#\ ##0.0</c:formatCode>
                <c:ptCount val="6"/>
                <c:pt idx="0">
                  <c:v>-7945.5</c:v>
                </c:pt>
                <c:pt idx="1">
                  <c:v>-9670.6</c:v>
                </c:pt>
                <c:pt idx="2">
                  <c:v>-9285.7999999999993</c:v>
                </c:pt>
                <c:pt idx="3">
                  <c:v>-9318.1</c:v>
                </c:pt>
                <c:pt idx="4">
                  <c:v>-12074.4</c:v>
                </c:pt>
              </c:numCache>
            </c:numRef>
          </c:val>
          <c:smooth val="0"/>
          <c:extLst xmlns:c16r2="http://schemas.microsoft.com/office/drawing/2015/06/chart">
            <c:ext xmlns:c16="http://schemas.microsoft.com/office/drawing/2014/chart" uri="{C3380CC4-5D6E-409C-BE32-E72D297353CC}">
              <c16:uniqueId val="{00000000-A90E-8841-9BF6-03C30E9A51D6}"/>
            </c:ext>
          </c:extLst>
        </c:ser>
        <c:ser>
          <c:idx val="1"/>
          <c:order val="1"/>
          <c:tx>
            <c:strRef>
              <c:f>Лист1!$I$21</c:f>
              <c:strCache>
                <c:ptCount val="1"/>
                <c:pt idx="0">
                  <c:v>Сальдо доходів від інвестицій Болгарія</c:v>
                </c:pt>
              </c:strCache>
            </c:strRef>
          </c:tx>
          <c:spPr>
            <a:ln w="28575" cap="rnd">
              <a:solidFill>
                <a:schemeClr val="accent3"/>
              </a:solidFill>
              <a:round/>
            </a:ln>
            <a:effectLst/>
          </c:spPr>
          <c:marker>
            <c:symbol val="none"/>
          </c:marker>
          <c:cat>
            <c:numRef>
              <c:f>Лист1!$J$19:$O$19</c:f>
              <c:numCache>
                <c:formatCode>General</c:formatCode>
                <c:ptCount val="6"/>
                <c:pt idx="0">
                  <c:v>2017</c:v>
                </c:pt>
                <c:pt idx="1">
                  <c:v>2018</c:v>
                </c:pt>
                <c:pt idx="2">
                  <c:v>2019</c:v>
                </c:pt>
                <c:pt idx="3">
                  <c:v>2020</c:v>
                </c:pt>
                <c:pt idx="4">
                  <c:v>2021</c:v>
                </c:pt>
                <c:pt idx="5">
                  <c:v>2022</c:v>
                </c:pt>
              </c:numCache>
            </c:numRef>
          </c:cat>
          <c:val>
            <c:numRef>
              <c:f>Лист1!$J$21:$O$21</c:f>
              <c:numCache>
                <c:formatCode>#\ ##0.0</c:formatCode>
                <c:ptCount val="6"/>
                <c:pt idx="0">
                  <c:v>-3310.3</c:v>
                </c:pt>
                <c:pt idx="1">
                  <c:v>-4013</c:v>
                </c:pt>
                <c:pt idx="2">
                  <c:v>-3720.7</c:v>
                </c:pt>
                <c:pt idx="3">
                  <c:v>-3759.7</c:v>
                </c:pt>
                <c:pt idx="4">
                  <c:v>-4321.3999999999996</c:v>
                </c:pt>
              </c:numCache>
            </c:numRef>
          </c:val>
          <c:smooth val="0"/>
          <c:extLst xmlns:c16r2="http://schemas.microsoft.com/office/drawing/2015/06/chart">
            <c:ext xmlns:c16="http://schemas.microsoft.com/office/drawing/2014/chart" uri="{C3380CC4-5D6E-409C-BE32-E72D297353CC}">
              <c16:uniqueId val="{00000001-A90E-8841-9BF6-03C30E9A51D6}"/>
            </c:ext>
          </c:extLst>
        </c:ser>
        <c:dLbls>
          <c:showLegendKey val="0"/>
          <c:showVal val="0"/>
          <c:showCatName val="0"/>
          <c:showSerName val="0"/>
          <c:showPercent val="0"/>
          <c:showBubbleSize val="0"/>
        </c:dLbls>
        <c:marker val="1"/>
        <c:smooth val="0"/>
        <c:axId val="342150144"/>
        <c:axId val="342586112"/>
      </c:lineChart>
      <c:catAx>
        <c:axId val="342150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2586112"/>
        <c:crosses val="autoZero"/>
        <c:auto val="1"/>
        <c:lblAlgn val="ctr"/>
        <c:lblOffset val="100"/>
        <c:noMultiLvlLbl val="0"/>
      </c:catAx>
      <c:valAx>
        <c:axId val="342586112"/>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2150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a:t>
            </a:r>
            <a:r>
              <a:rPr lang="ru-RU" baseline="0"/>
              <a:t> оплати праці</a:t>
            </a:r>
            <a:endParaRPr lang="ru-RU"/>
          </a:p>
        </c:rich>
      </c:tx>
      <c:overlay val="0"/>
      <c:spPr>
        <a:noFill/>
        <a:ln>
          <a:noFill/>
        </a:ln>
        <a:effectLst/>
      </c:spPr>
    </c:title>
    <c:autoTitleDeleted val="0"/>
    <c:plotArea>
      <c:layout/>
      <c:lineChart>
        <c:grouping val="standard"/>
        <c:varyColors val="0"/>
        <c:ser>
          <c:idx val="0"/>
          <c:order val="0"/>
          <c:tx>
            <c:strRef>
              <c:f>Лист1!$I$29</c:f>
              <c:strCache>
                <c:ptCount val="1"/>
                <c:pt idx="0">
                  <c:v>Сальдо оплати праці Румунія</c:v>
                </c:pt>
              </c:strCache>
            </c:strRef>
          </c:tx>
          <c:spPr>
            <a:ln w="28575" cap="rnd">
              <a:solidFill>
                <a:schemeClr val="accent1"/>
              </a:solidFill>
              <a:round/>
            </a:ln>
            <a:effectLst/>
          </c:spPr>
          <c:marker>
            <c:symbol val="none"/>
          </c:marker>
          <c:cat>
            <c:numRef>
              <c:f>Лист1!$J$28:$O$28</c:f>
              <c:numCache>
                <c:formatCode>General</c:formatCode>
                <c:ptCount val="6"/>
                <c:pt idx="0">
                  <c:v>2017</c:v>
                </c:pt>
                <c:pt idx="1">
                  <c:v>2018</c:v>
                </c:pt>
                <c:pt idx="2">
                  <c:v>2019</c:v>
                </c:pt>
                <c:pt idx="3">
                  <c:v>2020</c:v>
                </c:pt>
                <c:pt idx="4">
                  <c:v>2021</c:v>
                </c:pt>
                <c:pt idx="5">
                  <c:v>2022</c:v>
                </c:pt>
              </c:numCache>
            </c:numRef>
          </c:cat>
          <c:val>
            <c:numRef>
              <c:f>Лист1!$J$29:$O$29</c:f>
              <c:numCache>
                <c:formatCode>#\ ##0.0</c:formatCode>
                <c:ptCount val="6"/>
                <c:pt idx="0">
                  <c:v>3252.3</c:v>
                </c:pt>
                <c:pt idx="1">
                  <c:v>3347.2</c:v>
                </c:pt>
                <c:pt idx="2">
                  <c:v>3908.5</c:v>
                </c:pt>
                <c:pt idx="3">
                  <c:v>3557.4</c:v>
                </c:pt>
                <c:pt idx="4">
                  <c:v>4328.2</c:v>
                </c:pt>
              </c:numCache>
            </c:numRef>
          </c:val>
          <c:smooth val="0"/>
          <c:extLst xmlns:c16r2="http://schemas.microsoft.com/office/drawing/2015/06/chart">
            <c:ext xmlns:c16="http://schemas.microsoft.com/office/drawing/2014/chart" uri="{C3380CC4-5D6E-409C-BE32-E72D297353CC}">
              <c16:uniqueId val="{00000000-D5D2-5F43-AE95-3F0FAD512166}"/>
            </c:ext>
          </c:extLst>
        </c:ser>
        <c:ser>
          <c:idx val="1"/>
          <c:order val="1"/>
          <c:tx>
            <c:strRef>
              <c:f>Лист1!$I$30</c:f>
              <c:strCache>
                <c:ptCount val="1"/>
                <c:pt idx="0">
                  <c:v>Сальдо оплати праці Болгарія</c:v>
                </c:pt>
              </c:strCache>
            </c:strRef>
          </c:tx>
          <c:spPr>
            <a:ln w="28575" cap="rnd">
              <a:solidFill>
                <a:schemeClr val="accent3"/>
              </a:solidFill>
              <a:round/>
            </a:ln>
            <a:effectLst/>
          </c:spPr>
          <c:marker>
            <c:symbol val="none"/>
          </c:marker>
          <c:cat>
            <c:numRef>
              <c:f>Лист1!$J$28:$O$28</c:f>
              <c:numCache>
                <c:formatCode>General</c:formatCode>
                <c:ptCount val="6"/>
                <c:pt idx="0">
                  <c:v>2017</c:v>
                </c:pt>
                <c:pt idx="1">
                  <c:v>2018</c:v>
                </c:pt>
                <c:pt idx="2">
                  <c:v>2019</c:v>
                </c:pt>
                <c:pt idx="3">
                  <c:v>2020</c:v>
                </c:pt>
                <c:pt idx="4">
                  <c:v>2021</c:v>
                </c:pt>
                <c:pt idx="5">
                  <c:v>2022</c:v>
                </c:pt>
              </c:numCache>
            </c:numRef>
          </c:cat>
          <c:val>
            <c:numRef>
              <c:f>Лист1!$J$30:$O$30</c:f>
              <c:numCache>
                <c:formatCode>#\ ##0.0</c:formatCode>
                <c:ptCount val="6"/>
                <c:pt idx="0">
                  <c:v>764.5</c:v>
                </c:pt>
                <c:pt idx="1">
                  <c:v>833.8</c:v>
                </c:pt>
                <c:pt idx="2">
                  <c:v>796</c:v>
                </c:pt>
                <c:pt idx="3">
                  <c:v>380.7</c:v>
                </c:pt>
                <c:pt idx="4">
                  <c:v>462.3</c:v>
                </c:pt>
              </c:numCache>
            </c:numRef>
          </c:val>
          <c:smooth val="0"/>
          <c:extLst xmlns:c16r2="http://schemas.microsoft.com/office/drawing/2015/06/chart">
            <c:ext xmlns:c16="http://schemas.microsoft.com/office/drawing/2014/chart" uri="{C3380CC4-5D6E-409C-BE32-E72D297353CC}">
              <c16:uniqueId val="{00000001-D5D2-5F43-AE95-3F0FAD512166}"/>
            </c:ext>
          </c:extLst>
        </c:ser>
        <c:dLbls>
          <c:showLegendKey val="0"/>
          <c:showVal val="0"/>
          <c:showCatName val="0"/>
          <c:showSerName val="0"/>
          <c:showPercent val="0"/>
          <c:showBubbleSize val="0"/>
        </c:dLbls>
        <c:marker val="1"/>
        <c:smooth val="0"/>
        <c:axId val="408496384"/>
        <c:axId val="408518656"/>
      </c:lineChart>
      <c:catAx>
        <c:axId val="408496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8518656"/>
        <c:crosses val="autoZero"/>
        <c:auto val="1"/>
        <c:lblAlgn val="ctr"/>
        <c:lblOffset val="100"/>
        <c:noMultiLvlLbl val="0"/>
      </c:catAx>
      <c:valAx>
        <c:axId val="408518656"/>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8496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a:t>
            </a:r>
            <a:r>
              <a:rPr lang="ru-RU" baseline="0"/>
              <a:t> вторинних доходів</a:t>
            </a:r>
            <a:endParaRPr lang="ru-RU"/>
          </a:p>
        </c:rich>
      </c:tx>
      <c:overlay val="0"/>
      <c:spPr>
        <a:noFill/>
        <a:ln>
          <a:noFill/>
        </a:ln>
        <a:effectLst/>
      </c:spPr>
    </c:title>
    <c:autoTitleDeleted val="0"/>
    <c:plotArea>
      <c:layout/>
      <c:lineChart>
        <c:grouping val="standard"/>
        <c:varyColors val="0"/>
        <c:ser>
          <c:idx val="0"/>
          <c:order val="0"/>
          <c:tx>
            <c:strRef>
              <c:f>Лист1!$I$38</c:f>
              <c:strCache>
                <c:ptCount val="1"/>
                <c:pt idx="0">
                  <c:v>Сальдо вторинних доходів Румунія</c:v>
                </c:pt>
              </c:strCache>
            </c:strRef>
          </c:tx>
          <c:spPr>
            <a:ln w="28575" cap="rnd">
              <a:solidFill>
                <a:schemeClr val="accent1"/>
              </a:solidFill>
              <a:round/>
            </a:ln>
            <a:effectLst/>
          </c:spPr>
          <c:marker>
            <c:symbol val="none"/>
          </c:marker>
          <c:cat>
            <c:numRef>
              <c:f>Лист1!$J$37:$O$37</c:f>
              <c:numCache>
                <c:formatCode>General</c:formatCode>
                <c:ptCount val="6"/>
                <c:pt idx="0">
                  <c:v>2017</c:v>
                </c:pt>
                <c:pt idx="1">
                  <c:v>2018</c:v>
                </c:pt>
                <c:pt idx="2">
                  <c:v>2019</c:v>
                </c:pt>
                <c:pt idx="3">
                  <c:v>2020</c:v>
                </c:pt>
                <c:pt idx="4">
                  <c:v>2021</c:v>
                </c:pt>
                <c:pt idx="5">
                  <c:v>2022</c:v>
                </c:pt>
              </c:numCache>
            </c:numRef>
          </c:cat>
          <c:val>
            <c:numRef>
              <c:f>Лист1!$J$38:$O$38</c:f>
              <c:numCache>
                <c:formatCode>#\ ##0.0</c:formatCode>
                <c:ptCount val="6"/>
                <c:pt idx="0">
                  <c:v>1689.8415783742823</c:v>
                </c:pt>
                <c:pt idx="1">
                  <c:v>1462.1079939103083</c:v>
                </c:pt>
                <c:pt idx="2">
                  <c:v>1650.2815140920948</c:v>
                </c:pt>
                <c:pt idx="3">
                  <c:v>2230.2277788267488</c:v>
                </c:pt>
                <c:pt idx="4">
                  <c:v>1263.0311482043928</c:v>
                </c:pt>
              </c:numCache>
            </c:numRef>
          </c:val>
          <c:smooth val="0"/>
          <c:extLst xmlns:c16r2="http://schemas.microsoft.com/office/drawing/2015/06/chart">
            <c:ext xmlns:c16="http://schemas.microsoft.com/office/drawing/2014/chart" uri="{C3380CC4-5D6E-409C-BE32-E72D297353CC}">
              <c16:uniqueId val="{00000000-49D4-DE47-8947-B6ED753AE6E5}"/>
            </c:ext>
          </c:extLst>
        </c:ser>
        <c:ser>
          <c:idx val="1"/>
          <c:order val="1"/>
          <c:tx>
            <c:strRef>
              <c:f>Лист1!$I$39</c:f>
              <c:strCache>
                <c:ptCount val="1"/>
                <c:pt idx="0">
                  <c:v>Сальдо вторинних доходів Болгарія</c:v>
                </c:pt>
              </c:strCache>
            </c:strRef>
          </c:tx>
          <c:spPr>
            <a:ln w="28575" cap="rnd">
              <a:solidFill>
                <a:schemeClr val="accent3"/>
              </a:solidFill>
              <a:round/>
            </a:ln>
            <a:effectLst/>
          </c:spPr>
          <c:marker>
            <c:symbol val="none"/>
          </c:marker>
          <c:cat>
            <c:numRef>
              <c:f>Лист1!$J$37:$O$37</c:f>
              <c:numCache>
                <c:formatCode>General</c:formatCode>
                <c:ptCount val="6"/>
                <c:pt idx="0">
                  <c:v>2017</c:v>
                </c:pt>
                <c:pt idx="1">
                  <c:v>2018</c:v>
                </c:pt>
                <c:pt idx="2">
                  <c:v>2019</c:v>
                </c:pt>
                <c:pt idx="3">
                  <c:v>2020</c:v>
                </c:pt>
                <c:pt idx="4">
                  <c:v>2021</c:v>
                </c:pt>
                <c:pt idx="5">
                  <c:v>2022</c:v>
                </c:pt>
              </c:numCache>
            </c:numRef>
          </c:cat>
          <c:val>
            <c:numRef>
              <c:f>Лист1!$J$39:$O$39</c:f>
              <c:numCache>
                <c:formatCode>#\ ##0.0</c:formatCode>
                <c:ptCount val="6"/>
                <c:pt idx="0">
                  <c:v>1924.29</c:v>
                </c:pt>
                <c:pt idx="1">
                  <c:v>2126.21</c:v>
                </c:pt>
                <c:pt idx="2">
                  <c:v>1989.73</c:v>
                </c:pt>
                <c:pt idx="3">
                  <c:v>1128.67</c:v>
                </c:pt>
                <c:pt idx="4">
                  <c:v>981.96</c:v>
                </c:pt>
              </c:numCache>
            </c:numRef>
          </c:val>
          <c:smooth val="0"/>
          <c:extLst xmlns:c16r2="http://schemas.microsoft.com/office/drawing/2015/06/chart">
            <c:ext xmlns:c16="http://schemas.microsoft.com/office/drawing/2014/chart" uri="{C3380CC4-5D6E-409C-BE32-E72D297353CC}">
              <c16:uniqueId val="{00000001-49D4-DE47-8947-B6ED753AE6E5}"/>
            </c:ext>
          </c:extLst>
        </c:ser>
        <c:dLbls>
          <c:showLegendKey val="0"/>
          <c:showVal val="0"/>
          <c:showCatName val="0"/>
          <c:showSerName val="0"/>
          <c:showPercent val="0"/>
          <c:showBubbleSize val="0"/>
        </c:dLbls>
        <c:marker val="1"/>
        <c:smooth val="0"/>
        <c:axId val="408544768"/>
        <c:axId val="408546304"/>
      </c:lineChart>
      <c:catAx>
        <c:axId val="408544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8546304"/>
        <c:crosses val="autoZero"/>
        <c:auto val="1"/>
        <c:lblAlgn val="ctr"/>
        <c:lblOffset val="100"/>
        <c:noMultiLvlLbl val="0"/>
      </c:catAx>
      <c:valAx>
        <c:axId val="408546304"/>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8544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Рахунок</a:t>
            </a:r>
            <a:r>
              <a:rPr lang="ru-RU" baseline="0"/>
              <a:t> поточних операцій</a:t>
            </a:r>
            <a:endParaRPr lang="ru-RU"/>
          </a:p>
        </c:rich>
      </c:tx>
      <c:overlay val="0"/>
      <c:spPr>
        <a:noFill/>
        <a:ln>
          <a:noFill/>
        </a:ln>
        <a:effectLst/>
      </c:spPr>
    </c:title>
    <c:autoTitleDeleted val="0"/>
    <c:plotArea>
      <c:layout/>
      <c:lineChart>
        <c:grouping val="standard"/>
        <c:varyColors val="0"/>
        <c:ser>
          <c:idx val="0"/>
          <c:order val="0"/>
          <c:tx>
            <c:strRef>
              <c:f>Лист1!$I$54</c:f>
              <c:strCache>
                <c:ptCount val="1"/>
                <c:pt idx="0">
                  <c:v>Рахунок поточних операцій, Румунія</c:v>
                </c:pt>
              </c:strCache>
            </c:strRef>
          </c:tx>
          <c:spPr>
            <a:ln w="28575" cap="rnd">
              <a:solidFill>
                <a:schemeClr val="accent1"/>
              </a:solidFill>
              <a:round/>
            </a:ln>
            <a:effectLst/>
          </c:spPr>
          <c:marker>
            <c:symbol val="none"/>
          </c:marker>
          <c:cat>
            <c:numRef>
              <c:f>Лист1!$J$53:$O$53</c:f>
              <c:numCache>
                <c:formatCode>General</c:formatCode>
                <c:ptCount val="6"/>
                <c:pt idx="0">
                  <c:v>2017</c:v>
                </c:pt>
                <c:pt idx="1">
                  <c:v>2018</c:v>
                </c:pt>
                <c:pt idx="2">
                  <c:v>2019</c:v>
                </c:pt>
                <c:pt idx="3">
                  <c:v>2020</c:v>
                </c:pt>
                <c:pt idx="4">
                  <c:v>2021</c:v>
                </c:pt>
                <c:pt idx="5">
                  <c:v>2022</c:v>
                </c:pt>
              </c:numCache>
            </c:numRef>
          </c:cat>
          <c:val>
            <c:numRef>
              <c:f>Лист1!$J$54:$O$54</c:f>
              <c:numCache>
                <c:formatCode>#\ ##0.0</c:formatCode>
                <c:ptCount val="6"/>
                <c:pt idx="0">
                  <c:v>-6584.1629675097956</c:v>
                </c:pt>
                <c:pt idx="1">
                  <c:v>-11136.060726966158</c:v>
                </c:pt>
                <c:pt idx="2">
                  <c:v>-12184.40112226884</c:v>
                </c:pt>
                <c:pt idx="3">
                  <c:v>-12534.575620224488</c:v>
                </c:pt>
                <c:pt idx="4">
                  <c:v>-20626.953524498847</c:v>
                </c:pt>
              </c:numCache>
            </c:numRef>
          </c:val>
          <c:smooth val="0"/>
          <c:extLst xmlns:c16r2="http://schemas.microsoft.com/office/drawing/2015/06/chart">
            <c:ext xmlns:c16="http://schemas.microsoft.com/office/drawing/2014/chart" uri="{C3380CC4-5D6E-409C-BE32-E72D297353CC}">
              <c16:uniqueId val="{00000000-4FA9-114B-80D4-FAF1E6479F3D}"/>
            </c:ext>
          </c:extLst>
        </c:ser>
        <c:ser>
          <c:idx val="1"/>
          <c:order val="1"/>
          <c:tx>
            <c:strRef>
              <c:f>Лист1!$I$55</c:f>
              <c:strCache>
                <c:ptCount val="1"/>
                <c:pt idx="0">
                  <c:v>Рахунок поточних операцій, Болгарія</c:v>
                </c:pt>
              </c:strCache>
            </c:strRef>
          </c:tx>
          <c:spPr>
            <a:ln w="28575" cap="rnd">
              <a:solidFill>
                <a:schemeClr val="accent3"/>
              </a:solidFill>
              <a:round/>
            </a:ln>
            <a:effectLst/>
          </c:spPr>
          <c:marker>
            <c:symbol val="none"/>
          </c:marker>
          <c:cat>
            <c:numRef>
              <c:f>Лист1!$J$53:$O$53</c:f>
              <c:numCache>
                <c:formatCode>General</c:formatCode>
                <c:ptCount val="6"/>
                <c:pt idx="0">
                  <c:v>2017</c:v>
                </c:pt>
                <c:pt idx="1">
                  <c:v>2018</c:v>
                </c:pt>
                <c:pt idx="2">
                  <c:v>2019</c:v>
                </c:pt>
                <c:pt idx="3">
                  <c:v>2020</c:v>
                </c:pt>
                <c:pt idx="4">
                  <c:v>2021</c:v>
                </c:pt>
                <c:pt idx="5">
                  <c:v>2022</c:v>
                </c:pt>
              </c:numCache>
            </c:numRef>
          </c:cat>
          <c:val>
            <c:numRef>
              <c:f>Лист1!$J$55:$O$55</c:f>
              <c:numCache>
                <c:formatCode>#\ ##0.0</c:formatCode>
                <c:ptCount val="6"/>
                <c:pt idx="0">
                  <c:v>1987.34</c:v>
                </c:pt>
                <c:pt idx="1">
                  <c:v>559.36</c:v>
                </c:pt>
                <c:pt idx="2">
                  <c:v>1263.58</c:v>
                </c:pt>
                <c:pt idx="3">
                  <c:v>-31.19</c:v>
                </c:pt>
                <c:pt idx="4">
                  <c:v>-373.66</c:v>
                </c:pt>
              </c:numCache>
            </c:numRef>
          </c:val>
          <c:smooth val="0"/>
          <c:extLst xmlns:c16r2="http://schemas.microsoft.com/office/drawing/2015/06/chart">
            <c:ext xmlns:c16="http://schemas.microsoft.com/office/drawing/2014/chart" uri="{C3380CC4-5D6E-409C-BE32-E72D297353CC}">
              <c16:uniqueId val="{00000001-4FA9-114B-80D4-FAF1E6479F3D}"/>
            </c:ext>
          </c:extLst>
        </c:ser>
        <c:dLbls>
          <c:showLegendKey val="0"/>
          <c:showVal val="0"/>
          <c:showCatName val="0"/>
          <c:showSerName val="0"/>
          <c:showPercent val="0"/>
          <c:showBubbleSize val="0"/>
        </c:dLbls>
        <c:marker val="1"/>
        <c:smooth val="0"/>
        <c:axId val="409776896"/>
        <c:axId val="409778432"/>
      </c:lineChart>
      <c:catAx>
        <c:axId val="409776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9778432"/>
        <c:crosses val="autoZero"/>
        <c:auto val="1"/>
        <c:lblAlgn val="ctr"/>
        <c:lblOffset val="100"/>
        <c:noMultiLvlLbl val="0"/>
      </c:catAx>
      <c:valAx>
        <c:axId val="409778432"/>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9776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a:t>
            </a:r>
            <a:r>
              <a:rPr lang="ru-RU" baseline="0"/>
              <a:t> п</a:t>
            </a:r>
            <a:r>
              <a:rPr lang="ru-RU"/>
              <a:t>рямих</a:t>
            </a:r>
            <a:r>
              <a:rPr lang="ru-RU" baseline="0"/>
              <a:t> інвестицій</a:t>
            </a:r>
            <a:endParaRPr lang="ru-RU"/>
          </a:p>
        </c:rich>
      </c:tx>
      <c:overlay val="0"/>
      <c:spPr>
        <a:noFill/>
        <a:ln>
          <a:noFill/>
        </a:ln>
        <a:effectLst/>
      </c:spPr>
    </c:title>
    <c:autoTitleDeleted val="0"/>
    <c:plotArea>
      <c:layout/>
      <c:lineChart>
        <c:grouping val="standard"/>
        <c:varyColors val="0"/>
        <c:ser>
          <c:idx val="0"/>
          <c:order val="0"/>
          <c:tx>
            <c:strRef>
              <c:f>Лист1!$I$2</c:f>
              <c:strCache>
                <c:ptCount val="1"/>
                <c:pt idx="0">
                  <c:v>Сальдо прямих інвестицій, Румунія</c:v>
                </c:pt>
              </c:strCache>
            </c:strRef>
          </c:tx>
          <c:spPr>
            <a:ln w="28575" cap="rnd">
              <a:solidFill>
                <a:schemeClr val="accent1"/>
              </a:solidFill>
              <a:round/>
            </a:ln>
            <a:effectLst/>
          </c:spPr>
          <c:marker>
            <c:symbol val="none"/>
          </c:marker>
          <c:cat>
            <c:numRef>
              <c:f>Лист1!$J$1:$O$1</c:f>
              <c:numCache>
                <c:formatCode>General</c:formatCode>
                <c:ptCount val="6"/>
                <c:pt idx="0">
                  <c:v>2017</c:v>
                </c:pt>
                <c:pt idx="1">
                  <c:v>2018</c:v>
                </c:pt>
                <c:pt idx="2">
                  <c:v>2019</c:v>
                </c:pt>
                <c:pt idx="3">
                  <c:v>2020</c:v>
                </c:pt>
                <c:pt idx="4">
                  <c:v>2021</c:v>
                </c:pt>
                <c:pt idx="5">
                  <c:v>2022</c:v>
                </c:pt>
              </c:numCache>
            </c:numRef>
          </c:cat>
          <c:val>
            <c:numRef>
              <c:f>Лист1!$J$2:$O$2</c:f>
              <c:numCache>
                <c:formatCode>#\ ##0.0</c:formatCode>
                <c:ptCount val="6"/>
                <c:pt idx="0">
                  <c:v>-5566.5771678867413</c:v>
                </c:pt>
                <c:pt idx="1">
                  <c:v>-5840.119126743878</c:v>
                </c:pt>
                <c:pt idx="2">
                  <c:v>-5441.5727732261494</c:v>
                </c:pt>
                <c:pt idx="3">
                  <c:v>-3403.7893826860627</c:v>
                </c:pt>
                <c:pt idx="4">
                  <c:v>-10398.707803390265</c:v>
                </c:pt>
              </c:numCache>
            </c:numRef>
          </c:val>
          <c:smooth val="0"/>
          <c:extLst xmlns:c16r2="http://schemas.microsoft.com/office/drawing/2015/06/chart">
            <c:ext xmlns:c16="http://schemas.microsoft.com/office/drawing/2014/chart" uri="{C3380CC4-5D6E-409C-BE32-E72D297353CC}">
              <c16:uniqueId val="{00000000-F6C7-F240-85E7-BD28CD660FD8}"/>
            </c:ext>
          </c:extLst>
        </c:ser>
        <c:ser>
          <c:idx val="1"/>
          <c:order val="1"/>
          <c:tx>
            <c:strRef>
              <c:f>Лист1!$I$3</c:f>
              <c:strCache>
                <c:ptCount val="1"/>
                <c:pt idx="0">
                  <c:v>Сальдо прямих інвестицій, Болгарія</c:v>
                </c:pt>
              </c:strCache>
            </c:strRef>
          </c:tx>
          <c:spPr>
            <a:ln w="28575" cap="rnd">
              <a:solidFill>
                <a:schemeClr val="accent3"/>
              </a:solidFill>
              <a:round/>
            </a:ln>
            <a:effectLst/>
          </c:spPr>
          <c:marker>
            <c:symbol val="none"/>
          </c:marker>
          <c:cat>
            <c:numRef>
              <c:f>Лист1!$J$1:$O$1</c:f>
              <c:numCache>
                <c:formatCode>General</c:formatCode>
                <c:ptCount val="6"/>
                <c:pt idx="0">
                  <c:v>2017</c:v>
                </c:pt>
                <c:pt idx="1">
                  <c:v>2018</c:v>
                </c:pt>
                <c:pt idx="2">
                  <c:v>2019</c:v>
                </c:pt>
                <c:pt idx="3">
                  <c:v>2020</c:v>
                </c:pt>
                <c:pt idx="4">
                  <c:v>2021</c:v>
                </c:pt>
                <c:pt idx="5">
                  <c:v>2022</c:v>
                </c:pt>
              </c:numCache>
            </c:numRef>
          </c:cat>
          <c:val>
            <c:numRef>
              <c:f>Лист1!$J$3:$O$3</c:f>
              <c:numCache>
                <c:formatCode>#\ ##0.0</c:formatCode>
                <c:ptCount val="6"/>
                <c:pt idx="0">
                  <c:v>-1511.54</c:v>
                </c:pt>
                <c:pt idx="1">
                  <c:v>-885.51</c:v>
                </c:pt>
                <c:pt idx="2">
                  <c:v>-1392.12</c:v>
                </c:pt>
                <c:pt idx="3">
                  <c:v>-3162.44</c:v>
                </c:pt>
                <c:pt idx="4">
                  <c:v>-1195.9000000000001</c:v>
                </c:pt>
              </c:numCache>
            </c:numRef>
          </c:val>
          <c:smooth val="0"/>
          <c:extLst xmlns:c16r2="http://schemas.microsoft.com/office/drawing/2015/06/chart">
            <c:ext xmlns:c16="http://schemas.microsoft.com/office/drawing/2014/chart" uri="{C3380CC4-5D6E-409C-BE32-E72D297353CC}">
              <c16:uniqueId val="{00000001-F6C7-F240-85E7-BD28CD660FD8}"/>
            </c:ext>
          </c:extLst>
        </c:ser>
        <c:dLbls>
          <c:showLegendKey val="0"/>
          <c:showVal val="0"/>
          <c:showCatName val="0"/>
          <c:showSerName val="0"/>
          <c:showPercent val="0"/>
          <c:showBubbleSize val="0"/>
        </c:dLbls>
        <c:marker val="1"/>
        <c:smooth val="0"/>
        <c:axId val="409939968"/>
        <c:axId val="409941504"/>
      </c:lineChart>
      <c:catAx>
        <c:axId val="409939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9941504"/>
        <c:crosses val="autoZero"/>
        <c:auto val="1"/>
        <c:lblAlgn val="ctr"/>
        <c:lblOffset val="100"/>
        <c:noMultiLvlLbl val="0"/>
      </c:catAx>
      <c:valAx>
        <c:axId val="409941504"/>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9939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a:t>
            </a:r>
            <a:r>
              <a:rPr lang="ru-RU" baseline="0"/>
              <a:t> портфельних інвестицій</a:t>
            </a:r>
            <a:endParaRPr lang="ru-RU"/>
          </a:p>
        </c:rich>
      </c:tx>
      <c:overlay val="0"/>
      <c:spPr>
        <a:noFill/>
        <a:ln>
          <a:noFill/>
        </a:ln>
        <a:effectLst/>
      </c:spPr>
    </c:title>
    <c:autoTitleDeleted val="0"/>
    <c:plotArea>
      <c:layout/>
      <c:lineChart>
        <c:grouping val="standard"/>
        <c:varyColors val="0"/>
        <c:ser>
          <c:idx val="0"/>
          <c:order val="0"/>
          <c:tx>
            <c:strRef>
              <c:f>Лист1!$I$11</c:f>
              <c:strCache>
                <c:ptCount val="1"/>
                <c:pt idx="0">
                  <c:v>Сальдо портфельних інвестицій, Румунія</c:v>
                </c:pt>
              </c:strCache>
            </c:strRef>
          </c:tx>
          <c:spPr>
            <a:ln w="28575" cap="rnd">
              <a:solidFill>
                <a:schemeClr val="accent1"/>
              </a:solidFill>
              <a:round/>
            </a:ln>
            <a:effectLst/>
          </c:spPr>
          <c:marker>
            <c:symbol val="none"/>
          </c:marker>
          <c:cat>
            <c:numRef>
              <c:f>Лист1!$J$10:$O$10</c:f>
              <c:numCache>
                <c:formatCode>General</c:formatCode>
                <c:ptCount val="6"/>
                <c:pt idx="0">
                  <c:v>2017</c:v>
                </c:pt>
                <c:pt idx="1">
                  <c:v>2018</c:v>
                </c:pt>
                <c:pt idx="2">
                  <c:v>2019</c:v>
                </c:pt>
                <c:pt idx="3">
                  <c:v>2020</c:v>
                </c:pt>
                <c:pt idx="4">
                  <c:v>2021</c:v>
                </c:pt>
                <c:pt idx="5">
                  <c:v>2022</c:v>
                </c:pt>
              </c:numCache>
            </c:numRef>
          </c:cat>
          <c:val>
            <c:numRef>
              <c:f>Лист1!$J$11:$O$11</c:f>
              <c:numCache>
                <c:formatCode>#\ ##0.0</c:formatCode>
                <c:ptCount val="6"/>
                <c:pt idx="0">
                  <c:v>-3358.280108976975</c:v>
                </c:pt>
                <c:pt idx="1">
                  <c:v>-3414.5178577660372</c:v>
                </c:pt>
                <c:pt idx="2">
                  <c:v>-2712.9728931287655</c:v>
                </c:pt>
                <c:pt idx="3">
                  <c:v>-15273.581716933018</c:v>
                </c:pt>
                <c:pt idx="4">
                  <c:v>-4152.233441629779</c:v>
                </c:pt>
              </c:numCache>
            </c:numRef>
          </c:val>
          <c:smooth val="0"/>
          <c:extLst xmlns:c16r2="http://schemas.microsoft.com/office/drawing/2015/06/chart">
            <c:ext xmlns:c16="http://schemas.microsoft.com/office/drawing/2014/chart" uri="{C3380CC4-5D6E-409C-BE32-E72D297353CC}">
              <c16:uniqueId val="{00000000-39D7-A448-9AEA-B27B32E4BD53}"/>
            </c:ext>
          </c:extLst>
        </c:ser>
        <c:ser>
          <c:idx val="1"/>
          <c:order val="1"/>
          <c:tx>
            <c:strRef>
              <c:f>Лист1!$I$12</c:f>
              <c:strCache>
                <c:ptCount val="1"/>
                <c:pt idx="0">
                  <c:v>Сальдо портфельних інвестицій, Болгарія</c:v>
                </c:pt>
              </c:strCache>
            </c:strRef>
          </c:tx>
          <c:spPr>
            <a:ln w="28575" cap="rnd">
              <a:solidFill>
                <a:schemeClr val="accent3"/>
              </a:solidFill>
              <a:round/>
            </a:ln>
            <a:effectLst/>
          </c:spPr>
          <c:marker>
            <c:symbol val="none"/>
          </c:marker>
          <c:cat>
            <c:numRef>
              <c:f>Лист1!$J$10:$O$10</c:f>
              <c:numCache>
                <c:formatCode>General</c:formatCode>
                <c:ptCount val="6"/>
                <c:pt idx="0">
                  <c:v>2017</c:v>
                </c:pt>
                <c:pt idx="1">
                  <c:v>2018</c:v>
                </c:pt>
                <c:pt idx="2">
                  <c:v>2019</c:v>
                </c:pt>
                <c:pt idx="3">
                  <c:v>2020</c:v>
                </c:pt>
                <c:pt idx="4">
                  <c:v>2021</c:v>
                </c:pt>
                <c:pt idx="5">
                  <c:v>2022</c:v>
                </c:pt>
              </c:numCache>
            </c:numRef>
          </c:cat>
          <c:val>
            <c:numRef>
              <c:f>Лист1!$J$12:$O$12</c:f>
              <c:numCache>
                <c:formatCode>#\ ##0.0</c:formatCode>
                <c:ptCount val="6"/>
                <c:pt idx="0">
                  <c:v>3257.07</c:v>
                </c:pt>
                <c:pt idx="1">
                  <c:v>1841.09</c:v>
                </c:pt>
                <c:pt idx="2">
                  <c:v>1792.77</c:v>
                </c:pt>
                <c:pt idx="3">
                  <c:v>812.92</c:v>
                </c:pt>
                <c:pt idx="4">
                  <c:v>2737.93</c:v>
                </c:pt>
              </c:numCache>
            </c:numRef>
          </c:val>
          <c:smooth val="0"/>
          <c:extLst xmlns:c16r2="http://schemas.microsoft.com/office/drawing/2015/06/chart">
            <c:ext xmlns:c16="http://schemas.microsoft.com/office/drawing/2014/chart" uri="{C3380CC4-5D6E-409C-BE32-E72D297353CC}">
              <c16:uniqueId val="{00000001-39D7-A448-9AEA-B27B32E4BD53}"/>
            </c:ext>
          </c:extLst>
        </c:ser>
        <c:dLbls>
          <c:showLegendKey val="0"/>
          <c:showVal val="0"/>
          <c:showCatName val="0"/>
          <c:showSerName val="0"/>
          <c:showPercent val="0"/>
          <c:showBubbleSize val="0"/>
        </c:dLbls>
        <c:marker val="1"/>
        <c:smooth val="0"/>
        <c:axId val="409951232"/>
        <c:axId val="409961216"/>
      </c:lineChart>
      <c:catAx>
        <c:axId val="409951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9961216"/>
        <c:crosses val="autoZero"/>
        <c:auto val="1"/>
        <c:lblAlgn val="ctr"/>
        <c:lblOffset val="100"/>
        <c:noMultiLvlLbl val="0"/>
      </c:catAx>
      <c:valAx>
        <c:axId val="409961216"/>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9951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192</TotalTime>
  <Pages>44</Pages>
  <Words>45326</Words>
  <Characters>25836</Characters>
  <Application>Microsoft Office Word</Application>
  <DocSecurity>0</DocSecurity>
  <Lines>215</Lines>
  <Paragraphs>142</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71020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 Timohina</dc:creator>
  <cp:lastModifiedBy>ONU</cp:lastModifiedBy>
  <cp:revision>8</cp:revision>
  <dcterms:created xsi:type="dcterms:W3CDTF">2023-06-14T15:34:00Z</dcterms:created>
  <dcterms:modified xsi:type="dcterms:W3CDTF">2023-06-14T18:49:00Z</dcterms:modified>
</cp:coreProperties>
</file>