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7BE564" w14:textId="77777777" w:rsidR="00CB2BA9" w:rsidRDefault="00773039">
      <w:pPr>
        <w:autoSpaceDE w:val="0"/>
        <w:autoSpaceDN w:val="0"/>
        <w:snapToGrid w:val="0"/>
        <w:jc w:val="center"/>
        <w:rPr>
          <w:rFonts w:ascii="Times New Roman" w:eastAsia="Times New Roman" w:hAnsi="Times New Roman" w:cs="Times New Roman"/>
          <w:caps/>
          <w:sz w:val="28"/>
          <w:szCs w:val="28"/>
          <w:lang w:val="en-US"/>
        </w:rPr>
      </w:pPr>
      <w:r>
        <w:rPr>
          <w:rFonts w:ascii="Times New Roman" w:eastAsia="Times New Roman" w:hAnsi="Times New Roman" w:cs="Times New Roman"/>
          <w:caps/>
          <w:sz w:val="28"/>
          <w:szCs w:val="28"/>
          <w:lang w:val="en-US"/>
        </w:rPr>
        <w:t>ODESA I.I. MECHNIKOV NATIONAL UNIVERSITY</w:t>
      </w:r>
    </w:p>
    <w:p w14:paraId="2F1C1495" w14:textId="77777777" w:rsidR="00CB2BA9" w:rsidRDefault="00773039">
      <w:pPr>
        <w:autoSpaceDE w:val="0"/>
        <w:autoSpaceDN w:val="0"/>
        <w:snapToGrid w:val="0"/>
        <w:jc w:val="center"/>
        <w:rPr>
          <w:rFonts w:ascii="Times New Roman" w:eastAsia="Times New Roman" w:hAnsi="Times New Roman" w:cs="Times New Roman"/>
          <w:caps/>
          <w:sz w:val="28"/>
          <w:szCs w:val="28"/>
          <w:lang w:val="en-US"/>
        </w:rPr>
      </w:pPr>
      <w:r>
        <w:rPr>
          <w:rFonts w:ascii="Times New Roman" w:eastAsia="Times New Roman" w:hAnsi="Times New Roman" w:cs="Times New Roman"/>
          <w:caps/>
          <w:sz w:val="28"/>
          <w:szCs w:val="28"/>
          <w:lang w:val="en-US"/>
        </w:rPr>
        <w:t>FACULTY OF ECONOMICS AND LAW</w:t>
      </w:r>
    </w:p>
    <w:p w14:paraId="634E5724" w14:textId="77777777" w:rsidR="00CB2BA9" w:rsidRDefault="00773039">
      <w:pPr>
        <w:autoSpaceDE w:val="0"/>
        <w:autoSpaceDN w:val="0"/>
        <w:snapToGrid w:val="0"/>
        <w:jc w:val="center"/>
        <w:rPr>
          <w:rFonts w:ascii="Times New Roman" w:eastAsia="Times New Roman" w:hAnsi="Times New Roman" w:cs="Times New Roman"/>
          <w:sz w:val="28"/>
          <w:szCs w:val="28"/>
          <w:lang w:val="en-US"/>
        </w:rPr>
      </w:pPr>
      <w:r>
        <w:rPr>
          <w:rFonts w:ascii="Times New Roman" w:eastAsia="Times New Roman" w:hAnsi="Times New Roman" w:cs="Times New Roman"/>
          <w:caps/>
          <w:sz w:val="28"/>
          <w:szCs w:val="28"/>
          <w:lang w:val="en-US"/>
        </w:rPr>
        <w:t>DEPARTMENT OF MANAGEMENT AND INNOVATIONS</w:t>
      </w:r>
    </w:p>
    <w:p w14:paraId="4F71F710" w14:textId="77777777" w:rsidR="00CB2BA9" w:rsidRDefault="00CB2BA9">
      <w:pPr>
        <w:autoSpaceDE w:val="0"/>
        <w:autoSpaceDN w:val="0"/>
        <w:snapToGrid w:val="0"/>
        <w:jc w:val="center"/>
        <w:rPr>
          <w:rFonts w:ascii="Times New Roman" w:eastAsia="Times New Roman" w:hAnsi="Times New Roman" w:cs="Times New Roman"/>
          <w:sz w:val="28"/>
          <w:szCs w:val="28"/>
          <w:lang w:val="en-US"/>
        </w:rPr>
      </w:pPr>
    </w:p>
    <w:p w14:paraId="62200BBC" w14:textId="77777777" w:rsidR="00CB2BA9" w:rsidRDefault="00CB2BA9">
      <w:pPr>
        <w:autoSpaceDE w:val="0"/>
        <w:autoSpaceDN w:val="0"/>
        <w:snapToGrid w:val="0"/>
        <w:jc w:val="center"/>
        <w:rPr>
          <w:rFonts w:ascii="Times New Roman" w:eastAsia="Times New Roman" w:hAnsi="Times New Roman" w:cs="Times New Roman"/>
          <w:sz w:val="28"/>
          <w:szCs w:val="28"/>
          <w:lang w:val="en-US"/>
        </w:rPr>
      </w:pPr>
    </w:p>
    <w:p w14:paraId="026F0CDC" w14:textId="77777777" w:rsidR="00CB2BA9" w:rsidRDefault="00CB2BA9">
      <w:pPr>
        <w:autoSpaceDE w:val="0"/>
        <w:autoSpaceDN w:val="0"/>
        <w:snapToGrid w:val="0"/>
        <w:jc w:val="center"/>
        <w:rPr>
          <w:rFonts w:ascii="Times New Roman" w:eastAsia="Times New Roman" w:hAnsi="Times New Roman" w:cs="Times New Roman"/>
          <w:sz w:val="28"/>
          <w:szCs w:val="28"/>
          <w:lang w:val="en-US"/>
        </w:rPr>
      </w:pPr>
    </w:p>
    <w:p w14:paraId="794CF410" w14:textId="77777777" w:rsidR="00CB2BA9" w:rsidRDefault="00CB2BA9">
      <w:pPr>
        <w:autoSpaceDE w:val="0"/>
        <w:autoSpaceDN w:val="0"/>
        <w:snapToGrid w:val="0"/>
        <w:jc w:val="center"/>
        <w:rPr>
          <w:rFonts w:ascii="Times New Roman" w:eastAsia="Times New Roman" w:hAnsi="Times New Roman" w:cs="Times New Roman"/>
          <w:sz w:val="28"/>
          <w:szCs w:val="28"/>
          <w:lang w:val="en-US"/>
        </w:rPr>
      </w:pPr>
    </w:p>
    <w:p w14:paraId="183C0719" w14:textId="77777777" w:rsidR="00CB2BA9" w:rsidRDefault="00CB2BA9">
      <w:pPr>
        <w:autoSpaceDE w:val="0"/>
        <w:autoSpaceDN w:val="0"/>
        <w:snapToGrid w:val="0"/>
        <w:jc w:val="left"/>
        <w:rPr>
          <w:rFonts w:ascii="Times New Roman" w:eastAsia="Times New Roman" w:hAnsi="Times New Roman" w:cs="Times New Roman"/>
          <w:b/>
          <w:sz w:val="28"/>
          <w:szCs w:val="28"/>
          <w:lang w:val="en-US"/>
        </w:rPr>
      </w:pPr>
    </w:p>
    <w:p w14:paraId="51E9093F" w14:textId="77777777" w:rsidR="00CB2BA9" w:rsidRDefault="00773039">
      <w:pPr>
        <w:autoSpaceDE w:val="0"/>
        <w:autoSpaceDN w:val="0"/>
        <w:snapToGrid w:val="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Qualification project (thesis)</w:t>
      </w:r>
    </w:p>
    <w:p w14:paraId="74149472" w14:textId="77777777" w:rsidR="00CB2BA9" w:rsidRDefault="00773039">
      <w:pPr>
        <w:autoSpaceDE w:val="0"/>
        <w:autoSpaceDN w:val="0"/>
        <w:snapToGrid w:val="0"/>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for obtaining the degree of higher education "master"</w:t>
      </w:r>
    </w:p>
    <w:p w14:paraId="548FBC18" w14:textId="77777777" w:rsidR="002F17AA" w:rsidRDefault="00773039">
      <w:pPr>
        <w:autoSpaceDE w:val="0"/>
        <w:autoSpaceDN w:val="0"/>
        <w:snapToGrid w:val="0"/>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en-US"/>
        </w:rPr>
        <w:t xml:space="preserve">«Conceptual Provision for Asset Management in Chinese Companies» </w:t>
      </w:r>
    </w:p>
    <w:p w14:paraId="292FC71A" w14:textId="77777777" w:rsidR="00CB2BA9" w:rsidRPr="002F17AA" w:rsidRDefault="00773039">
      <w:pPr>
        <w:autoSpaceDE w:val="0"/>
        <w:autoSpaceDN w:val="0"/>
        <w:snapToGrid w:val="0"/>
        <w:jc w:val="center"/>
        <w:rPr>
          <w:rFonts w:ascii="Times New Roman" w:eastAsia="Times New Roman" w:hAnsi="Times New Roman" w:cs="Times New Roman"/>
          <w:sz w:val="28"/>
          <w:szCs w:val="28"/>
          <w:lang w:val="ru-RU"/>
        </w:rPr>
      </w:pPr>
      <w:r w:rsidRPr="002F17AA">
        <w:rPr>
          <w:rFonts w:ascii="Times New Roman" w:eastAsia="Times New Roman" w:hAnsi="Times New Roman" w:cs="Times New Roman"/>
          <w:b/>
          <w:sz w:val="28"/>
          <w:szCs w:val="28"/>
          <w:lang w:val="ru-RU"/>
        </w:rPr>
        <w:t>«</w:t>
      </w:r>
      <w:proofErr w:type="spellStart"/>
      <w:r w:rsidR="002F17AA" w:rsidRPr="002F17AA">
        <w:rPr>
          <w:rFonts w:ascii="Times New Roman" w:eastAsia="Times New Roman" w:hAnsi="Times New Roman" w:cs="Times New Roman"/>
          <w:sz w:val="28"/>
          <w:szCs w:val="28"/>
          <w:lang w:val="ru-RU"/>
        </w:rPr>
        <w:t>Концептуальне</w:t>
      </w:r>
      <w:proofErr w:type="spellEnd"/>
      <w:r w:rsidR="002F17AA" w:rsidRPr="002F17AA">
        <w:rPr>
          <w:rFonts w:ascii="Times New Roman" w:eastAsia="Times New Roman" w:hAnsi="Times New Roman" w:cs="Times New Roman"/>
          <w:sz w:val="28"/>
          <w:szCs w:val="28"/>
          <w:lang w:val="ru-RU"/>
        </w:rPr>
        <w:t xml:space="preserve"> </w:t>
      </w:r>
      <w:proofErr w:type="spellStart"/>
      <w:r w:rsidR="002F17AA" w:rsidRPr="002F17AA">
        <w:rPr>
          <w:rFonts w:ascii="Times New Roman" w:eastAsia="Times New Roman" w:hAnsi="Times New Roman" w:cs="Times New Roman"/>
          <w:sz w:val="28"/>
          <w:szCs w:val="28"/>
          <w:lang w:val="ru-RU"/>
        </w:rPr>
        <w:t>забезпечення</w:t>
      </w:r>
      <w:proofErr w:type="spellEnd"/>
      <w:r w:rsidR="002F17AA" w:rsidRPr="002F17AA">
        <w:rPr>
          <w:rFonts w:ascii="Times New Roman" w:eastAsia="Times New Roman" w:hAnsi="Times New Roman" w:cs="Times New Roman"/>
          <w:sz w:val="28"/>
          <w:szCs w:val="28"/>
          <w:lang w:val="ru-RU"/>
        </w:rPr>
        <w:t xml:space="preserve"> </w:t>
      </w:r>
      <w:proofErr w:type="spellStart"/>
      <w:r w:rsidR="002F17AA" w:rsidRPr="002F17AA">
        <w:rPr>
          <w:rFonts w:ascii="Times New Roman" w:eastAsia="Times New Roman" w:hAnsi="Times New Roman" w:cs="Times New Roman"/>
          <w:sz w:val="28"/>
          <w:szCs w:val="28"/>
          <w:lang w:val="ru-RU"/>
        </w:rPr>
        <w:t>управління</w:t>
      </w:r>
      <w:proofErr w:type="spellEnd"/>
      <w:r w:rsidR="002F17AA" w:rsidRPr="002F17AA">
        <w:rPr>
          <w:rFonts w:ascii="Times New Roman" w:eastAsia="Times New Roman" w:hAnsi="Times New Roman" w:cs="Times New Roman"/>
          <w:sz w:val="28"/>
          <w:szCs w:val="28"/>
          <w:lang w:val="ru-RU"/>
        </w:rPr>
        <w:t xml:space="preserve"> активами у </w:t>
      </w:r>
      <w:proofErr w:type="spellStart"/>
      <w:r w:rsidR="002F17AA" w:rsidRPr="002F17AA">
        <w:rPr>
          <w:rFonts w:ascii="Times New Roman" w:eastAsia="Times New Roman" w:hAnsi="Times New Roman" w:cs="Times New Roman"/>
          <w:sz w:val="28"/>
          <w:szCs w:val="28"/>
          <w:lang w:val="ru-RU"/>
        </w:rPr>
        <w:t>китайських</w:t>
      </w:r>
      <w:proofErr w:type="spellEnd"/>
      <w:r w:rsidR="002F17AA" w:rsidRPr="002F17AA">
        <w:rPr>
          <w:rFonts w:ascii="Times New Roman" w:eastAsia="Times New Roman" w:hAnsi="Times New Roman" w:cs="Times New Roman"/>
          <w:sz w:val="28"/>
          <w:szCs w:val="28"/>
          <w:lang w:val="ru-RU"/>
        </w:rPr>
        <w:t xml:space="preserve"> </w:t>
      </w:r>
      <w:proofErr w:type="spellStart"/>
      <w:r w:rsidR="002F17AA" w:rsidRPr="002F17AA">
        <w:rPr>
          <w:rFonts w:ascii="Times New Roman" w:eastAsia="Times New Roman" w:hAnsi="Times New Roman" w:cs="Times New Roman"/>
          <w:sz w:val="28"/>
          <w:szCs w:val="28"/>
          <w:lang w:val="ru-RU"/>
        </w:rPr>
        <w:t>компаніях</w:t>
      </w:r>
      <w:proofErr w:type="spellEnd"/>
      <w:r w:rsidRPr="002F17AA">
        <w:rPr>
          <w:rFonts w:ascii="Times New Roman" w:eastAsia="Times New Roman" w:hAnsi="Times New Roman" w:cs="Times New Roman"/>
          <w:sz w:val="28"/>
          <w:szCs w:val="28"/>
          <w:lang w:val="ru-RU"/>
        </w:rPr>
        <w:t>»</w:t>
      </w:r>
    </w:p>
    <w:p w14:paraId="28F5F6E1" w14:textId="77777777" w:rsidR="00CB2BA9" w:rsidRPr="002F17AA" w:rsidRDefault="00CB2BA9">
      <w:pPr>
        <w:autoSpaceDE w:val="0"/>
        <w:autoSpaceDN w:val="0"/>
        <w:snapToGrid w:val="0"/>
        <w:jc w:val="center"/>
        <w:rPr>
          <w:rFonts w:ascii="Times New Roman" w:eastAsia="Times New Roman" w:hAnsi="Times New Roman" w:cs="Times New Roman"/>
          <w:sz w:val="28"/>
          <w:szCs w:val="28"/>
          <w:lang w:val="ru-RU"/>
        </w:rPr>
      </w:pPr>
    </w:p>
    <w:p w14:paraId="7F0CE5AF" w14:textId="77777777" w:rsidR="00CB2BA9" w:rsidRPr="002F17AA" w:rsidRDefault="00CB2BA9">
      <w:pPr>
        <w:autoSpaceDE w:val="0"/>
        <w:autoSpaceDN w:val="0"/>
        <w:snapToGrid w:val="0"/>
        <w:jc w:val="left"/>
        <w:rPr>
          <w:rFonts w:ascii="Times New Roman" w:eastAsia="Times New Roman" w:hAnsi="Times New Roman" w:cs="Times New Roman"/>
          <w:b/>
          <w:sz w:val="28"/>
          <w:szCs w:val="28"/>
          <w:lang w:val="ru-RU"/>
        </w:rPr>
      </w:pPr>
    </w:p>
    <w:p w14:paraId="2CD46383" w14:textId="77777777" w:rsidR="00CB2BA9" w:rsidRDefault="00773039">
      <w:pPr>
        <w:autoSpaceDE w:val="0"/>
        <w:autoSpaceDN w:val="0"/>
        <w:snapToGrid w:val="0"/>
        <w:ind w:firstLine="3544"/>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Performed by: full-time student</w:t>
      </w:r>
    </w:p>
    <w:p w14:paraId="6AFA52A8" w14:textId="77777777" w:rsidR="00CB2BA9" w:rsidRDefault="00773039">
      <w:pPr>
        <w:autoSpaceDE w:val="0"/>
        <w:autoSpaceDN w:val="0"/>
        <w:snapToGrid w:val="0"/>
        <w:ind w:firstLine="3544"/>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specialty 073 Management</w:t>
      </w:r>
    </w:p>
    <w:p w14:paraId="2041EE78" w14:textId="77777777" w:rsidR="00CB2BA9" w:rsidRDefault="00773039">
      <w:pPr>
        <w:autoSpaceDE w:val="0"/>
        <w:autoSpaceDN w:val="0"/>
        <w:snapToGrid w:val="0"/>
        <w:ind w:firstLine="3544"/>
        <w:jc w:val="left"/>
        <w:rPr>
          <w:rFonts w:ascii="Times New Roman" w:hAnsi="Times New Roman" w:cs="Times New Roman"/>
          <w:bCs/>
          <w:sz w:val="28"/>
          <w:szCs w:val="28"/>
          <w:lang w:val="en-US"/>
        </w:rPr>
      </w:pPr>
      <w:r>
        <w:rPr>
          <w:rFonts w:ascii="Times New Roman" w:hAnsi="Times New Roman" w:cs="Times New Roman"/>
          <w:bCs/>
          <w:sz w:val="28"/>
          <w:szCs w:val="28"/>
          <w:lang w:val="en-US"/>
        </w:rPr>
        <w:t>Educational and professional program "Management"</w:t>
      </w:r>
    </w:p>
    <w:p w14:paraId="1C6639C1" w14:textId="77777777" w:rsidR="00CB2BA9" w:rsidRPr="00773039" w:rsidRDefault="00773039">
      <w:pPr>
        <w:autoSpaceDE w:val="0"/>
        <w:autoSpaceDN w:val="0"/>
        <w:snapToGrid w:val="0"/>
        <w:ind w:firstLine="3544"/>
        <w:jc w:val="left"/>
        <w:rPr>
          <w:rFonts w:ascii="Times New Roman" w:eastAsia="Times New Roman" w:hAnsi="Times New Roman" w:cs="Times New Roman"/>
          <w:b/>
          <w:sz w:val="28"/>
          <w:szCs w:val="28"/>
          <w:lang w:val="en-US"/>
        </w:rPr>
      </w:pPr>
      <w:r>
        <w:rPr>
          <w:rFonts w:ascii="Times New Roman" w:eastAsia="SimSun" w:hAnsi="Times New Roman" w:cs="Times New Roman" w:hint="eastAsia"/>
          <w:b/>
          <w:sz w:val="28"/>
          <w:szCs w:val="28"/>
          <w:lang w:val="en-US"/>
        </w:rPr>
        <w:t>Xia Na</w:t>
      </w:r>
      <w:r w:rsidRPr="00773039">
        <w:rPr>
          <w:rFonts w:ascii="Times New Roman" w:eastAsia="Times New Roman" w:hAnsi="Times New Roman" w:cs="Times New Roman"/>
          <w:b/>
          <w:sz w:val="28"/>
          <w:szCs w:val="28"/>
          <w:lang w:val="en-US"/>
        </w:rPr>
        <w:t xml:space="preserve"> / </w:t>
      </w:r>
      <w:r>
        <w:rPr>
          <w:rFonts w:ascii="Times New Roman" w:eastAsia="Times New Roman" w:hAnsi="Times New Roman" w:cs="Times New Roman"/>
          <w:b/>
          <w:sz w:val="28"/>
          <w:szCs w:val="28"/>
          <w:lang w:val="uk-UA"/>
        </w:rPr>
        <w:t>Ся На</w:t>
      </w:r>
    </w:p>
    <w:p w14:paraId="18C25185" w14:textId="77777777" w:rsidR="00CB2BA9" w:rsidRPr="00773039" w:rsidRDefault="00CB2BA9">
      <w:pPr>
        <w:autoSpaceDE w:val="0"/>
        <w:autoSpaceDN w:val="0"/>
        <w:snapToGrid w:val="0"/>
        <w:ind w:firstLine="3544"/>
        <w:jc w:val="left"/>
        <w:rPr>
          <w:rFonts w:ascii="Times New Roman" w:eastAsia="Times New Roman" w:hAnsi="Times New Roman" w:cs="Times New Roman"/>
          <w:b/>
          <w:sz w:val="28"/>
          <w:szCs w:val="28"/>
          <w:lang w:val="en-US"/>
        </w:rPr>
      </w:pPr>
    </w:p>
    <w:p w14:paraId="71BE1BD4" w14:textId="77777777" w:rsidR="00CB2BA9" w:rsidRPr="00773039" w:rsidRDefault="00CB2BA9">
      <w:pPr>
        <w:autoSpaceDE w:val="0"/>
        <w:autoSpaceDN w:val="0"/>
        <w:snapToGrid w:val="0"/>
        <w:ind w:firstLine="3544"/>
        <w:jc w:val="left"/>
        <w:rPr>
          <w:rFonts w:ascii="Times New Roman" w:eastAsia="Times New Roman" w:hAnsi="Times New Roman" w:cs="Times New Roman"/>
          <w:sz w:val="28"/>
          <w:szCs w:val="28"/>
          <w:lang w:val="en-US"/>
        </w:rPr>
      </w:pPr>
    </w:p>
    <w:p w14:paraId="253E7CEB" w14:textId="77777777" w:rsidR="00CB2BA9" w:rsidRDefault="00773039">
      <w:pPr>
        <w:autoSpaceDE w:val="0"/>
        <w:autoSpaceDN w:val="0"/>
        <w:snapToGrid w:val="0"/>
        <w:ind w:left="3544"/>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Scientistic supervisor: Doctor </w:t>
      </w:r>
      <w:proofErr w:type="gramStart"/>
      <w:r>
        <w:rPr>
          <w:rFonts w:ascii="Times New Roman" w:eastAsia="Times New Roman" w:hAnsi="Times New Roman" w:cs="Times New Roman"/>
          <w:sz w:val="28"/>
          <w:szCs w:val="28"/>
          <w:lang w:val="en-US"/>
        </w:rPr>
        <w:t>of  Economics</w:t>
      </w:r>
      <w:proofErr w:type="gramEnd"/>
      <w:r>
        <w:rPr>
          <w:rFonts w:ascii="Times New Roman" w:eastAsia="Times New Roman" w:hAnsi="Times New Roman" w:cs="Times New Roman"/>
          <w:sz w:val="28"/>
          <w:szCs w:val="28"/>
          <w:lang w:val="en-US"/>
        </w:rPr>
        <w:t xml:space="preserve">, </w:t>
      </w:r>
    </w:p>
    <w:p w14:paraId="694B023C" w14:textId="77777777" w:rsidR="00CB2BA9" w:rsidRDefault="00773039">
      <w:pPr>
        <w:autoSpaceDE w:val="0"/>
        <w:autoSpaceDN w:val="0"/>
        <w:snapToGrid w:val="0"/>
        <w:ind w:left="3544"/>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Prof. Olga POBEREZHETS</w:t>
      </w:r>
    </w:p>
    <w:p w14:paraId="545A860A" w14:textId="77777777" w:rsidR="008C5DBF" w:rsidRDefault="00773039">
      <w:pPr>
        <w:autoSpaceDE w:val="0"/>
        <w:autoSpaceDN w:val="0"/>
        <w:snapToGrid w:val="0"/>
        <w:ind w:firstLine="3544"/>
        <w:jc w:val="left"/>
        <w:rPr>
          <w:lang w:val="uk-UA"/>
        </w:rPr>
      </w:pPr>
      <w:r>
        <w:rPr>
          <w:rFonts w:ascii="Times New Roman" w:eastAsia="Times New Roman" w:hAnsi="Times New Roman" w:cs="Times New Roman"/>
          <w:sz w:val="28"/>
          <w:szCs w:val="28"/>
          <w:lang w:val="en-US"/>
        </w:rPr>
        <w:t xml:space="preserve">Reviewer: Doctor </w:t>
      </w:r>
      <w:proofErr w:type="gramStart"/>
      <w:r>
        <w:rPr>
          <w:rFonts w:ascii="Times New Roman" w:eastAsia="Times New Roman" w:hAnsi="Times New Roman" w:cs="Times New Roman"/>
          <w:sz w:val="28"/>
          <w:szCs w:val="28"/>
          <w:lang w:val="en-US"/>
        </w:rPr>
        <w:t>of  Economics</w:t>
      </w:r>
      <w:proofErr w:type="gramEnd"/>
      <w:r>
        <w:rPr>
          <w:rFonts w:ascii="Times New Roman" w:eastAsia="Times New Roman" w:hAnsi="Times New Roman" w:cs="Times New Roman"/>
          <w:sz w:val="28"/>
          <w:szCs w:val="28"/>
          <w:lang w:val="en-US"/>
        </w:rPr>
        <w:t>,</w:t>
      </w:r>
      <w:r w:rsidR="008C5DBF" w:rsidRPr="008C5DBF">
        <w:t xml:space="preserve"> </w:t>
      </w:r>
    </w:p>
    <w:p w14:paraId="7DA1A0D8" w14:textId="57723B51" w:rsidR="00CB2BA9" w:rsidRDefault="008C5DBF">
      <w:pPr>
        <w:autoSpaceDE w:val="0"/>
        <w:autoSpaceDN w:val="0"/>
        <w:snapToGrid w:val="0"/>
        <w:ind w:firstLine="3544"/>
        <w:jc w:val="left"/>
        <w:rPr>
          <w:rFonts w:ascii="Times New Roman" w:eastAsia="Times New Roman" w:hAnsi="Times New Roman" w:cs="Times New Roman"/>
          <w:sz w:val="28"/>
          <w:szCs w:val="28"/>
          <w:lang w:val="en-US"/>
        </w:rPr>
      </w:pPr>
      <w:r w:rsidRPr="008C5DBF">
        <w:rPr>
          <w:rFonts w:ascii="Times New Roman" w:eastAsia="Times New Roman" w:hAnsi="Times New Roman" w:cs="Times New Roman"/>
          <w:sz w:val="28"/>
          <w:szCs w:val="28"/>
          <w:lang w:val="en-US"/>
        </w:rPr>
        <w:t>Prof. Melnik Y.M.</w:t>
      </w:r>
      <w:r w:rsidR="00773039">
        <w:rPr>
          <w:rFonts w:ascii="Times New Roman" w:eastAsia="Times New Roman" w:hAnsi="Times New Roman" w:cs="Times New Roman"/>
          <w:sz w:val="28"/>
          <w:szCs w:val="28"/>
          <w:lang w:val="en-US"/>
        </w:rPr>
        <w:t xml:space="preserve"> </w:t>
      </w:r>
    </w:p>
    <w:p w14:paraId="3CA471A2" w14:textId="77777777" w:rsidR="00CB2BA9" w:rsidRDefault="00CB2BA9">
      <w:pPr>
        <w:autoSpaceDE w:val="0"/>
        <w:autoSpaceDN w:val="0"/>
        <w:snapToGrid w:val="0"/>
        <w:rPr>
          <w:rFonts w:ascii="Times New Roman" w:eastAsia="Times New Roman" w:hAnsi="Times New Roman" w:cs="Times New Roman"/>
          <w:b/>
          <w:sz w:val="28"/>
          <w:szCs w:val="28"/>
          <w:lang w:val="en-US"/>
        </w:rPr>
      </w:pPr>
    </w:p>
    <w:p w14:paraId="0BA834BD" w14:textId="77777777" w:rsidR="00CB2BA9" w:rsidRDefault="00CB2BA9">
      <w:pPr>
        <w:autoSpaceDE w:val="0"/>
        <w:autoSpaceDN w:val="0"/>
        <w:snapToGrid w:val="0"/>
        <w:rPr>
          <w:rFonts w:ascii="Times New Roman" w:eastAsia="Times New Roman" w:hAnsi="Times New Roman" w:cs="Times New Roman"/>
          <w:b/>
          <w:sz w:val="28"/>
          <w:szCs w:val="28"/>
          <w:lang w:val="en-US"/>
        </w:rPr>
      </w:pPr>
    </w:p>
    <w:tbl>
      <w:tblPr>
        <w:tblW w:w="5155" w:type="pct"/>
        <w:jc w:val="center"/>
        <w:tblLook w:val="04A0" w:firstRow="1" w:lastRow="0" w:firstColumn="1" w:lastColumn="0" w:noHBand="0" w:noVBand="1"/>
      </w:tblPr>
      <w:tblGrid>
        <w:gridCol w:w="5118"/>
        <w:gridCol w:w="4820"/>
      </w:tblGrid>
      <w:tr w:rsidR="00CB2BA9" w14:paraId="1B726DE7" w14:textId="77777777">
        <w:trPr>
          <w:jc w:val="center"/>
        </w:trPr>
        <w:tc>
          <w:tcPr>
            <w:tcW w:w="4967" w:type="dxa"/>
          </w:tcPr>
          <w:p w14:paraId="4EFBE4D1" w14:textId="77777777" w:rsidR="00CB2BA9" w:rsidRDefault="00773039">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Recommended for defense: </w:t>
            </w:r>
          </w:p>
          <w:p w14:paraId="3085FB92" w14:textId="77777777" w:rsidR="00CB2BA9" w:rsidRDefault="00773039">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protocol of the department meeting </w:t>
            </w:r>
          </w:p>
          <w:p w14:paraId="1F10DB1F" w14:textId="77777777" w:rsidR="00CB2BA9" w:rsidRDefault="00773039">
            <w:pPr>
              <w:autoSpaceDE w:val="0"/>
              <w:autoSpaceDN w:val="0"/>
              <w:snapToGrid w:val="0"/>
              <w:jc w:val="left"/>
              <w:rPr>
                <w:rFonts w:ascii="Times New Roman" w:eastAsia="SimSun" w:hAnsi="Times New Roman" w:cs="Times New Roman"/>
                <w:sz w:val="28"/>
                <w:szCs w:val="28"/>
                <w:lang w:val="en-US"/>
              </w:rPr>
            </w:pPr>
            <w:r>
              <w:rPr>
                <w:rFonts w:ascii="Times New Roman" w:eastAsia="Times New Roman" w:hAnsi="Times New Roman" w:cs="Times New Roman"/>
                <w:sz w:val="28"/>
                <w:szCs w:val="28"/>
                <w:lang w:val="en-US"/>
              </w:rPr>
              <w:t>No. ___ dated ____.____. 202</w:t>
            </w:r>
            <w:r>
              <w:rPr>
                <w:rFonts w:ascii="Times New Roman" w:eastAsia="SimSun" w:hAnsi="Times New Roman" w:cs="Times New Roman" w:hint="eastAsia"/>
                <w:sz w:val="28"/>
                <w:szCs w:val="28"/>
                <w:lang w:val="en-US"/>
              </w:rPr>
              <w:t>4</w:t>
            </w:r>
          </w:p>
          <w:p w14:paraId="64B2E7E3" w14:textId="77777777" w:rsidR="00CB2BA9" w:rsidRDefault="00CB2BA9">
            <w:pPr>
              <w:autoSpaceDE w:val="0"/>
              <w:autoSpaceDN w:val="0"/>
              <w:snapToGrid w:val="0"/>
              <w:jc w:val="left"/>
              <w:rPr>
                <w:rFonts w:ascii="Times New Roman" w:eastAsia="Times New Roman" w:hAnsi="Times New Roman" w:cs="Times New Roman"/>
                <w:sz w:val="28"/>
                <w:szCs w:val="28"/>
                <w:lang w:val="en-US"/>
              </w:rPr>
            </w:pPr>
          </w:p>
          <w:p w14:paraId="3E76CF13" w14:textId="77777777" w:rsidR="00CB2BA9" w:rsidRDefault="00CB2BA9">
            <w:pPr>
              <w:autoSpaceDE w:val="0"/>
              <w:autoSpaceDN w:val="0"/>
              <w:snapToGrid w:val="0"/>
              <w:jc w:val="left"/>
              <w:rPr>
                <w:rFonts w:ascii="Times New Roman" w:eastAsia="Times New Roman" w:hAnsi="Times New Roman" w:cs="Times New Roman"/>
                <w:sz w:val="28"/>
                <w:szCs w:val="28"/>
                <w:lang w:val="en-US"/>
              </w:rPr>
            </w:pPr>
          </w:p>
          <w:p w14:paraId="6EF2DD0C" w14:textId="77777777" w:rsidR="00CB2BA9" w:rsidRDefault="00773039">
            <w:pPr>
              <w:tabs>
                <w:tab w:val="left" w:pos="1168"/>
                <w:tab w:val="left" w:pos="3861"/>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Head of Department</w:t>
            </w:r>
          </w:p>
          <w:p w14:paraId="76170AB2" w14:textId="77777777" w:rsidR="00CB2BA9" w:rsidRDefault="00773039">
            <w:pPr>
              <w:tabs>
                <w:tab w:val="left" w:pos="284"/>
                <w:tab w:val="left" w:pos="1767"/>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u w:val="single"/>
                <w:lang w:val="en-US"/>
              </w:rPr>
              <w:tab/>
            </w:r>
            <w:r>
              <w:rPr>
                <w:rFonts w:ascii="Times New Roman" w:eastAsia="Times New Roman" w:hAnsi="Times New Roman" w:cs="Times New Roman"/>
                <w:sz w:val="28"/>
                <w:szCs w:val="28"/>
                <w:lang w:val="en-US"/>
              </w:rPr>
              <w:t>Prof. Eduard KUZNETSOV</w:t>
            </w:r>
          </w:p>
          <w:p w14:paraId="6D0239E2" w14:textId="77777777" w:rsidR="00CB2BA9" w:rsidRDefault="00773039">
            <w:pPr>
              <w:tabs>
                <w:tab w:val="left" w:pos="284"/>
                <w:tab w:val="left" w:pos="1767"/>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b/>
              <w:t>(signature)</w:t>
            </w:r>
            <w:r>
              <w:rPr>
                <w:rFonts w:ascii="Times New Roman" w:eastAsia="Times New Roman" w:hAnsi="Times New Roman" w:cs="Times New Roman"/>
                <w:sz w:val="28"/>
                <w:szCs w:val="28"/>
                <w:lang w:val="en-US"/>
              </w:rPr>
              <w:tab/>
            </w:r>
          </w:p>
        </w:tc>
        <w:tc>
          <w:tcPr>
            <w:tcW w:w="4678" w:type="dxa"/>
          </w:tcPr>
          <w:p w14:paraId="0973909C" w14:textId="77777777" w:rsidR="00CB2BA9" w:rsidRDefault="00773039">
            <w:pPr>
              <w:tabs>
                <w:tab w:val="right" w:pos="4462"/>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Defended at the EC meeting No. ___</w:t>
            </w:r>
          </w:p>
          <w:p w14:paraId="317F6DBD" w14:textId="77777777" w:rsidR="00CB2BA9" w:rsidRDefault="00773039">
            <w:pPr>
              <w:tabs>
                <w:tab w:val="right" w:pos="4462"/>
              </w:tabs>
              <w:autoSpaceDE w:val="0"/>
              <w:autoSpaceDN w:val="0"/>
              <w:snapToGrid w:val="0"/>
              <w:jc w:val="left"/>
              <w:rPr>
                <w:rFonts w:ascii="Times New Roman" w:eastAsia="SimSun" w:hAnsi="Times New Roman" w:cs="Times New Roman"/>
                <w:sz w:val="28"/>
                <w:szCs w:val="28"/>
                <w:lang w:val="en-US"/>
              </w:rPr>
            </w:pPr>
            <w:r>
              <w:rPr>
                <w:rFonts w:ascii="Times New Roman" w:eastAsia="Times New Roman" w:hAnsi="Times New Roman" w:cs="Times New Roman"/>
                <w:sz w:val="28"/>
                <w:szCs w:val="28"/>
                <w:lang w:val="en-US"/>
              </w:rPr>
              <w:t>protocol No. __from ____.12.202</w:t>
            </w:r>
            <w:r>
              <w:rPr>
                <w:rFonts w:ascii="Times New Roman" w:eastAsia="SimSun" w:hAnsi="Times New Roman" w:cs="Times New Roman" w:hint="eastAsia"/>
                <w:sz w:val="28"/>
                <w:szCs w:val="28"/>
                <w:lang w:val="en-US"/>
              </w:rPr>
              <w:t>4</w:t>
            </w:r>
          </w:p>
          <w:p w14:paraId="00A1C6ED" w14:textId="77777777" w:rsidR="00CB2BA9" w:rsidRDefault="00CB2BA9">
            <w:pPr>
              <w:tabs>
                <w:tab w:val="right" w:pos="4462"/>
              </w:tabs>
              <w:autoSpaceDE w:val="0"/>
              <w:autoSpaceDN w:val="0"/>
              <w:snapToGrid w:val="0"/>
              <w:jc w:val="left"/>
              <w:rPr>
                <w:rFonts w:ascii="Times New Roman" w:eastAsia="Times New Roman" w:hAnsi="Times New Roman" w:cs="Times New Roman"/>
                <w:sz w:val="28"/>
                <w:szCs w:val="28"/>
                <w:lang w:val="en-US"/>
              </w:rPr>
            </w:pPr>
          </w:p>
          <w:p w14:paraId="59592EB7" w14:textId="77777777" w:rsidR="00CB2BA9" w:rsidRDefault="00773039">
            <w:pPr>
              <w:tabs>
                <w:tab w:val="right" w:pos="4462"/>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Assessment ______________/___</w:t>
            </w:r>
            <w:r>
              <w:rPr>
                <w:rFonts w:ascii="Times New Roman" w:eastAsia="Times New Roman" w:hAnsi="Times New Roman" w:cs="Times New Roman"/>
                <w:sz w:val="28"/>
                <w:szCs w:val="28"/>
                <w:lang w:val="en-US"/>
              </w:rPr>
              <w:tab/>
            </w:r>
          </w:p>
          <w:p w14:paraId="4D61FA4C" w14:textId="77777777" w:rsidR="00CB2BA9" w:rsidRDefault="00773039">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(according to the national scale/ESTS scale/points)</w:t>
            </w:r>
          </w:p>
          <w:p w14:paraId="42CC166B" w14:textId="77777777" w:rsidR="00CB2BA9" w:rsidRDefault="00CB2BA9">
            <w:pPr>
              <w:autoSpaceDE w:val="0"/>
              <w:autoSpaceDN w:val="0"/>
              <w:snapToGrid w:val="0"/>
              <w:jc w:val="left"/>
              <w:rPr>
                <w:rFonts w:ascii="Times New Roman" w:eastAsia="Times New Roman" w:hAnsi="Times New Roman" w:cs="Times New Roman"/>
                <w:sz w:val="28"/>
                <w:szCs w:val="28"/>
                <w:lang w:val="en-US"/>
              </w:rPr>
            </w:pPr>
          </w:p>
          <w:p w14:paraId="2A84D46C" w14:textId="77777777" w:rsidR="00CB2BA9" w:rsidRDefault="00773039">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Head of the EC</w:t>
            </w:r>
          </w:p>
          <w:p w14:paraId="44D60D00" w14:textId="7B1E3EAD" w:rsidR="00CB2BA9" w:rsidRDefault="00773039">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_______ Prof. </w:t>
            </w:r>
            <w:r w:rsidR="008C5DBF">
              <w:rPr>
                <w:rFonts w:ascii="Times New Roman" w:eastAsia="Times New Roman" w:hAnsi="Times New Roman" w:cs="Times New Roman"/>
                <w:sz w:val="28"/>
                <w:szCs w:val="28"/>
                <w:lang w:val="en-US"/>
              </w:rPr>
              <w:t>Eduard KUZNETSOV</w:t>
            </w:r>
          </w:p>
          <w:p w14:paraId="62BD83B4" w14:textId="77777777" w:rsidR="00CB2BA9" w:rsidRDefault="00773039">
            <w:pPr>
              <w:tabs>
                <w:tab w:val="left" w:pos="454"/>
                <w:tab w:val="left" w:pos="2155"/>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b/>
              <w:t>(signature)</w:t>
            </w:r>
            <w:r>
              <w:rPr>
                <w:rFonts w:ascii="Times New Roman" w:eastAsia="Times New Roman" w:hAnsi="Times New Roman" w:cs="Times New Roman"/>
                <w:sz w:val="28"/>
                <w:szCs w:val="28"/>
                <w:lang w:val="en-US"/>
              </w:rPr>
              <w:tab/>
            </w:r>
          </w:p>
        </w:tc>
      </w:tr>
      <w:tr w:rsidR="00CB2BA9" w14:paraId="36A3C0B0" w14:textId="77777777">
        <w:trPr>
          <w:jc w:val="center"/>
        </w:trPr>
        <w:tc>
          <w:tcPr>
            <w:tcW w:w="4967" w:type="dxa"/>
          </w:tcPr>
          <w:p w14:paraId="0FEF04C6" w14:textId="77777777" w:rsidR="00CB2BA9" w:rsidRDefault="00CB2BA9">
            <w:pPr>
              <w:autoSpaceDE w:val="0"/>
              <w:autoSpaceDN w:val="0"/>
              <w:snapToGrid w:val="0"/>
              <w:jc w:val="left"/>
              <w:rPr>
                <w:rFonts w:ascii="Times New Roman" w:eastAsia="Times New Roman" w:hAnsi="Times New Roman" w:cs="Times New Roman"/>
                <w:sz w:val="28"/>
                <w:szCs w:val="28"/>
                <w:lang w:val="uk-UA"/>
              </w:rPr>
            </w:pPr>
          </w:p>
        </w:tc>
        <w:tc>
          <w:tcPr>
            <w:tcW w:w="4678" w:type="dxa"/>
          </w:tcPr>
          <w:p w14:paraId="5F96C8D7" w14:textId="77777777" w:rsidR="00CB2BA9" w:rsidRDefault="00CB2BA9">
            <w:pPr>
              <w:autoSpaceDE w:val="0"/>
              <w:autoSpaceDN w:val="0"/>
              <w:snapToGrid w:val="0"/>
              <w:jc w:val="left"/>
              <w:rPr>
                <w:rFonts w:ascii="Times New Roman" w:eastAsia="Times New Roman" w:hAnsi="Times New Roman" w:cs="Times New Roman"/>
                <w:sz w:val="28"/>
                <w:szCs w:val="28"/>
                <w:lang w:val="uk-UA"/>
              </w:rPr>
            </w:pPr>
          </w:p>
        </w:tc>
      </w:tr>
    </w:tbl>
    <w:p w14:paraId="4323FEF2" w14:textId="77777777" w:rsidR="00CB2BA9" w:rsidRDefault="00CB2BA9">
      <w:pPr>
        <w:autoSpaceDE w:val="0"/>
        <w:autoSpaceDN w:val="0"/>
        <w:snapToGrid w:val="0"/>
        <w:jc w:val="center"/>
        <w:rPr>
          <w:rFonts w:ascii="Times New Roman" w:eastAsia="Times New Roman" w:hAnsi="Times New Roman" w:cs="Times New Roman"/>
          <w:b/>
          <w:sz w:val="28"/>
          <w:szCs w:val="28"/>
          <w:lang w:val="ru-RU"/>
        </w:rPr>
      </w:pPr>
    </w:p>
    <w:p w14:paraId="56F8700A" w14:textId="77777777" w:rsidR="00CB2BA9" w:rsidRDefault="00CB2BA9">
      <w:pPr>
        <w:autoSpaceDE w:val="0"/>
        <w:autoSpaceDN w:val="0"/>
        <w:snapToGrid w:val="0"/>
        <w:jc w:val="center"/>
        <w:rPr>
          <w:rFonts w:ascii="Times New Roman" w:eastAsia="Times New Roman" w:hAnsi="Times New Roman" w:cs="Times New Roman"/>
          <w:b/>
          <w:sz w:val="28"/>
          <w:szCs w:val="28"/>
          <w:lang w:val="ru-RU"/>
        </w:rPr>
      </w:pPr>
    </w:p>
    <w:p w14:paraId="13EF1F94" w14:textId="77777777" w:rsidR="00CB2BA9" w:rsidRDefault="00CB2BA9">
      <w:pPr>
        <w:autoSpaceDE w:val="0"/>
        <w:autoSpaceDN w:val="0"/>
        <w:snapToGrid w:val="0"/>
        <w:jc w:val="center"/>
        <w:rPr>
          <w:rFonts w:ascii="Times New Roman" w:eastAsia="Times New Roman" w:hAnsi="Times New Roman" w:cs="Times New Roman"/>
          <w:b/>
          <w:sz w:val="28"/>
          <w:szCs w:val="28"/>
          <w:lang w:val="uk-UA"/>
        </w:rPr>
      </w:pPr>
    </w:p>
    <w:p w14:paraId="579B327A" w14:textId="77777777" w:rsidR="00CB2BA9" w:rsidRDefault="00CB2BA9">
      <w:pPr>
        <w:autoSpaceDE w:val="0"/>
        <w:autoSpaceDN w:val="0"/>
        <w:snapToGrid w:val="0"/>
        <w:rPr>
          <w:rFonts w:ascii="Times New Roman" w:eastAsia="Times New Roman" w:hAnsi="Times New Roman" w:cs="Times New Roman"/>
          <w:b/>
          <w:sz w:val="28"/>
          <w:szCs w:val="28"/>
          <w:lang w:val="uk-UA"/>
        </w:rPr>
      </w:pPr>
    </w:p>
    <w:p w14:paraId="40EA5EC8" w14:textId="77777777" w:rsidR="00CB2BA9" w:rsidRDefault="00CB2BA9">
      <w:pPr>
        <w:autoSpaceDE w:val="0"/>
        <w:autoSpaceDN w:val="0"/>
        <w:snapToGrid w:val="0"/>
        <w:jc w:val="center"/>
        <w:rPr>
          <w:rFonts w:ascii="Times New Roman" w:eastAsia="Times New Roman" w:hAnsi="Times New Roman" w:cs="Times New Roman"/>
          <w:b/>
          <w:sz w:val="28"/>
          <w:szCs w:val="28"/>
          <w:lang w:val="uk-UA"/>
        </w:rPr>
      </w:pPr>
    </w:p>
    <w:p w14:paraId="7A42E769" w14:textId="77777777" w:rsidR="00CB2BA9" w:rsidRDefault="00CB2BA9">
      <w:pPr>
        <w:autoSpaceDE w:val="0"/>
        <w:autoSpaceDN w:val="0"/>
        <w:snapToGrid w:val="0"/>
        <w:jc w:val="center"/>
        <w:rPr>
          <w:rFonts w:ascii="Times New Roman" w:eastAsia="Times New Roman" w:hAnsi="Times New Roman" w:cs="Times New Roman"/>
          <w:b/>
          <w:sz w:val="28"/>
          <w:szCs w:val="28"/>
          <w:lang w:val="uk-UA"/>
        </w:rPr>
      </w:pPr>
    </w:p>
    <w:p w14:paraId="73B48F4B" w14:textId="77777777" w:rsidR="00CB2BA9" w:rsidRDefault="00773039">
      <w:pPr>
        <w:autoSpaceDE w:val="0"/>
        <w:autoSpaceDN w:val="0"/>
        <w:snapToGrid w:val="0"/>
        <w:jc w:val="center"/>
        <w:rPr>
          <w:rFonts w:ascii="Times New Roman" w:hAnsi="Times New Roman" w:cs="Times New Roman"/>
          <w:b/>
          <w:bCs/>
          <w:sz w:val="28"/>
          <w:szCs w:val="28"/>
        </w:rPr>
      </w:pPr>
      <w:r>
        <w:rPr>
          <w:rFonts w:ascii="Times New Roman" w:eastAsia="Times New Roman" w:hAnsi="Times New Roman" w:cs="Times New Roman"/>
          <w:b/>
          <w:sz w:val="28"/>
          <w:szCs w:val="28"/>
          <w:lang w:val="uk-UA"/>
        </w:rPr>
        <w:t>О</w:t>
      </w:r>
      <w:proofErr w:type="spellStart"/>
      <w:r>
        <w:rPr>
          <w:rFonts w:ascii="Times New Roman" w:eastAsia="Times New Roman" w:hAnsi="Times New Roman" w:cs="Times New Roman"/>
          <w:b/>
          <w:sz w:val="28"/>
          <w:szCs w:val="28"/>
          <w:lang w:val="en-US"/>
        </w:rPr>
        <w:t>desa</w:t>
      </w:r>
      <w:proofErr w:type="spellEnd"/>
      <w:r>
        <w:rPr>
          <w:rFonts w:ascii="Times New Roman" w:eastAsia="Times New Roman" w:hAnsi="Times New Roman" w:cs="Times New Roman"/>
          <w:b/>
          <w:sz w:val="28"/>
          <w:szCs w:val="28"/>
          <w:lang w:val="uk-UA"/>
        </w:rPr>
        <w:t xml:space="preserve"> 202</w:t>
      </w:r>
      <w:r>
        <w:rPr>
          <w:rFonts w:ascii="Times New Roman" w:eastAsia="SimSun" w:hAnsi="Times New Roman" w:cs="Times New Roman" w:hint="eastAsia"/>
          <w:b/>
          <w:sz w:val="28"/>
          <w:szCs w:val="28"/>
          <w:lang w:val="en-US"/>
        </w:rPr>
        <w:t>4</w:t>
      </w:r>
    </w:p>
    <w:bookmarkStart w:id="0" w:name="_Toc149079642" w:displacedByCustomXml="next"/>
    <w:sdt>
      <w:sdtPr>
        <w:rPr>
          <w:rFonts w:ascii="Times New Roman" w:eastAsia="SimSun" w:hAnsi="Times New Roman" w:cs="Times New Roman"/>
          <w:b w:val="0"/>
          <w:bCs w:val="0"/>
          <w:kern w:val="2"/>
          <w:sz w:val="21"/>
          <w:szCs w:val="24"/>
        </w:rPr>
        <w:id w:val="147456037"/>
        <w:docPartObj>
          <w:docPartGallery w:val="Table of Contents"/>
          <w:docPartUnique/>
        </w:docPartObj>
      </w:sdtPr>
      <w:sdtContent>
        <w:p w14:paraId="70EA1CAA" w14:textId="77777777" w:rsidR="00CB2BA9" w:rsidRDefault="00773039">
          <w:pPr>
            <w:pStyle w:val="1"/>
            <w:spacing w:line="360" w:lineRule="auto"/>
            <w:rPr>
              <w:rFonts w:ascii="Times New Roman" w:hAnsi="Times New Roman" w:cs="Times New Roman"/>
              <w:lang w:val="en-US"/>
            </w:rPr>
          </w:pPr>
          <w:r>
            <w:rPr>
              <w:rFonts w:ascii="Times New Roman" w:hAnsi="Times New Roman" w:cs="Times New Roman"/>
              <w:lang w:val="en-US"/>
            </w:rPr>
            <w:t>CONTENTS</w:t>
          </w:r>
          <w:bookmarkEnd w:id="0"/>
        </w:p>
        <w:p w14:paraId="605A9FAA" w14:textId="77777777" w:rsidR="00CB2BA9" w:rsidRDefault="00CB2BA9">
          <w:pPr>
            <w:jc w:val="center"/>
          </w:pPr>
        </w:p>
        <w:p w14:paraId="0FAC2AFB" w14:textId="2281FB56" w:rsidR="00CB2BA9" w:rsidRDefault="00773039">
          <w:pPr>
            <w:pStyle w:val="10"/>
            <w:tabs>
              <w:tab w:val="right" w:leader="dot" w:pos="9639"/>
            </w:tabs>
            <w:snapToGrid w:val="0"/>
            <w:spacing w:line="360" w:lineRule="auto"/>
            <w:rPr>
              <w:rFonts w:ascii="Times New Roman" w:hAnsi="Times New Roman" w:cs="Times New Roman"/>
              <w:noProof/>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TOC \o "1-3" \h \u </w:instrText>
          </w:r>
          <w:r>
            <w:rPr>
              <w:rFonts w:ascii="Times New Roman" w:hAnsi="Times New Roman" w:cs="Times New Roman"/>
              <w:sz w:val="28"/>
              <w:szCs w:val="28"/>
            </w:rPr>
            <w:fldChar w:fldCharType="separate"/>
          </w:r>
          <w:hyperlink w:anchor="_Toc3618" w:history="1">
            <w:r>
              <w:rPr>
                <w:rFonts w:ascii="Times New Roman" w:hAnsi="Times New Roman" w:cs="Times New Roman"/>
                <w:bCs/>
                <w:noProof/>
                <w:sz w:val="28"/>
                <w:szCs w:val="28"/>
              </w:rPr>
              <w:t>INTRODUCTION</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_Toc3618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3</w:t>
            </w:r>
            <w:r>
              <w:rPr>
                <w:rFonts w:ascii="Times New Roman" w:hAnsi="Times New Roman" w:cs="Times New Roman"/>
                <w:noProof/>
                <w:sz w:val="28"/>
                <w:szCs w:val="28"/>
              </w:rPr>
              <w:fldChar w:fldCharType="end"/>
            </w:r>
          </w:hyperlink>
        </w:p>
        <w:p w14:paraId="5AF99A13" w14:textId="58243B21" w:rsidR="00CB2BA9" w:rsidRDefault="00773039">
          <w:pPr>
            <w:pStyle w:val="10"/>
            <w:tabs>
              <w:tab w:val="right" w:leader="dot" w:pos="9639"/>
            </w:tabs>
            <w:snapToGrid w:val="0"/>
            <w:spacing w:line="360" w:lineRule="auto"/>
            <w:rPr>
              <w:rFonts w:ascii="Times New Roman" w:hAnsi="Times New Roman" w:cs="Times New Roman"/>
              <w:noProof/>
              <w:sz w:val="28"/>
              <w:szCs w:val="28"/>
            </w:rPr>
          </w:pPr>
          <w:hyperlink w:anchor="_Toc7909" w:history="1">
            <w:r>
              <w:rPr>
                <w:rFonts w:ascii="Times New Roman" w:hAnsi="Times New Roman" w:cs="Times New Roman"/>
                <w:bCs/>
                <w:noProof/>
                <w:sz w:val="28"/>
                <w:szCs w:val="28"/>
              </w:rPr>
              <w:t>CHAPTER 1</w:t>
            </w:r>
          </w:hyperlink>
          <w:r>
            <w:rPr>
              <w:rFonts w:ascii="Times New Roman" w:hAnsi="Times New Roman" w:cs="Times New Roman"/>
              <w:noProof/>
              <w:sz w:val="28"/>
              <w:szCs w:val="28"/>
              <w:lang w:val="uk-UA"/>
            </w:rPr>
            <w:t xml:space="preserve">. </w:t>
          </w:r>
          <w:r>
            <w:rPr>
              <w:noProof/>
            </w:rPr>
            <w:fldChar w:fldCharType="begin"/>
          </w:r>
          <w:r>
            <w:rPr>
              <w:noProof/>
            </w:rPr>
            <w:instrText>HYPERLINK \l "_Toc936"</w:instrText>
          </w:r>
          <w:r w:rsidR="00633D08">
            <w:rPr>
              <w:noProof/>
            </w:rPr>
          </w:r>
          <w:r>
            <w:rPr>
              <w:noProof/>
            </w:rPr>
            <w:fldChar w:fldCharType="separate"/>
          </w:r>
          <w:r>
            <w:rPr>
              <w:rFonts w:ascii="Times New Roman" w:hAnsi="Times New Roman" w:cs="Times New Roman"/>
              <w:bCs/>
              <w:noProof/>
              <w:sz w:val="28"/>
              <w:szCs w:val="28"/>
            </w:rPr>
            <w:t>THEORETICAL FOUNDATIONS OF ASSET MANAGEMENT IN ENTERPRISES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_Toc936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5</w:t>
          </w:r>
          <w:r>
            <w:rPr>
              <w:rFonts w:ascii="Times New Roman" w:hAnsi="Times New Roman" w:cs="Times New Roman"/>
              <w:noProof/>
              <w:sz w:val="28"/>
              <w:szCs w:val="28"/>
            </w:rPr>
            <w:fldChar w:fldCharType="end"/>
          </w:r>
          <w:r>
            <w:rPr>
              <w:rFonts w:ascii="Times New Roman" w:hAnsi="Times New Roman" w:cs="Times New Roman"/>
              <w:noProof/>
              <w:sz w:val="28"/>
              <w:szCs w:val="28"/>
            </w:rPr>
            <w:fldChar w:fldCharType="end"/>
          </w:r>
        </w:p>
        <w:p w14:paraId="3498C244" w14:textId="108136E7" w:rsidR="00CB2BA9" w:rsidRDefault="00773039">
          <w:pPr>
            <w:pStyle w:val="2"/>
            <w:tabs>
              <w:tab w:val="right" w:leader="dot" w:pos="9639"/>
            </w:tabs>
            <w:snapToGrid w:val="0"/>
            <w:spacing w:line="360" w:lineRule="auto"/>
            <w:ind w:leftChars="0" w:left="0"/>
            <w:rPr>
              <w:rFonts w:ascii="Times New Roman" w:hAnsi="Times New Roman" w:cs="Times New Roman"/>
              <w:noProof/>
              <w:sz w:val="28"/>
              <w:szCs w:val="28"/>
            </w:rPr>
          </w:pPr>
          <w:hyperlink w:anchor="_Toc17828" w:history="1">
            <w:r>
              <w:rPr>
                <w:rFonts w:ascii="Times New Roman" w:hAnsi="Times New Roman" w:cs="Times New Roman"/>
                <w:bCs/>
                <w:noProof/>
                <w:sz w:val="28"/>
                <w:szCs w:val="28"/>
              </w:rPr>
              <w:t>1.1.Theoretical concepts and evolution of asset management</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_Toc17828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5</w:t>
            </w:r>
            <w:r>
              <w:rPr>
                <w:rFonts w:ascii="Times New Roman" w:hAnsi="Times New Roman" w:cs="Times New Roman"/>
                <w:noProof/>
                <w:sz w:val="28"/>
                <w:szCs w:val="28"/>
              </w:rPr>
              <w:fldChar w:fldCharType="end"/>
            </w:r>
          </w:hyperlink>
        </w:p>
        <w:p w14:paraId="63616BBD" w14:textId="2550769E" w:rsidR="00CB2BA9" w:rsidRDefault="00773039">
          <w:pPr>
            <w:pStyle w:val="2"/>
            <w:tabs>
              <w:tab w:val="right" w:leader="dot" w:pos="9639"/>
            </w:tabs>
            <w:snapToGrid w:val="0"/>
            <w:spacing w:line="360" w:lineRule="auto"/>
            <w:ind w:leftChars="0" w:left="0"/>
            <w:rPr>
              <w:rFonts w:ascii="Times New Roman" w:hAnsi="Times New Roman" w:cs="Times New Roman"/>
              <w:noProof/>
              <w:sz w:val="28"/>
              <w:szCs w:val="28"/>
            </w:rPr>
          </w:pPr>
          <w:hyperlink w:anchor="_Toc20118" w:history="1">
            <w:r>
              <w:rPr>
                <w:rFonts w:ascii="Times New Roman" w:hAnsi="Times New Roman" w:cs="Times New Roman"/>
                <w:bCs/>
                <w:noProof/>
                <w:sz w:val="28"/>
                <w:szCs w:val="28"/>
              </w:rPr>
              <w:t>1.2. Global standards and practices in asset management</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_Toc20118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13</w:t>
            </w:r>
            <w:r>
              <w:rPr>
                <w:rFonts w:ascii="Times New Roman" w:hAnsi="Times New Roman" w:cs="Times New Roman"/>
                <w:noProof/>
                <w:sz w:val="28"/>
                <w:szCs w:val="28"/>
              </w:rPr>
              <w:fldChar w:fldCharType="end"/>
            </w:r>
          </w:hyperlink>
        </w:p>
        <w:p w14:paraId="2B6F24FA" w14:textId="1DBBA8D9" w:rsidR="00CB2BA9" w:rsidRDefault="00773039">
          <w:pPr>
            <w:pStyle w:val="2"/>
            <w:tabs>
              <w:tab w:val="right" w:leader="dot" w:pos="9639"/>
            </w:tabs>
            <w:snapToGrid w:val="0"/>
            <w:spacing w:line="360" w:lineRule="auto"/>
            <w:ind w:leftChars="0" w:left="0"/>
            <w:rPr>
              <w:rFonts w:ascii="Times New Roman" w:hAnsi="Times New Roman" w:cs="Times New Roman"/>
              <w:noProof/>
              <w:sz w:val="28"/>
              <w:szCs w:val="28"/>
            </w:rPr>
          </w:pPr>
          <w:hyperlink w:anchor="_Toc10244" w:history="1">
            <w:r>
              <w:rPr>
                <w:rFonts w:ascii="Times New Roman" w:hAnsi="Times New Roman" w:cs="Times New Roman"/>
                <w:bCs/>
                <w:noProof/>
                <w:sz w:val="28"/>
                <w:szCs w:val="28"/>
              </w:rPr>
              <w:t>1.3. Conceptual framework for asset management in Chinese enterprises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_Toc10244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23</w:t>
            </w:r>
            <w:r>
              <w:rPr>
                <w:rFonts w:ascii="Times New Roman" w:hAnsi="Times New Roman" w:cs="Times New Roman"/>
                <w:noProof/>
                <w:sz w:val="28"/>
                <w:szCs w:val="28"/>
              </w:rPr>
              <w:fldChar w:fldCharType="end"/>
            </w:r>
          </w:hyperlink>
        </w:p>
        <w:p w14:paraId="61EA5333" w14:textId="6D967876" w:rsidR="00CB2BA9" w:rsidRDefault="00773039">
          <w:pPr>
            <w:pStyle w:val="10"/>
            <w:tabs>
              <w:tab w:val="right" w:leader="dot" w:pos="9639"/>
            </w:tabs>
            <w:snapToGrid w:val="0"/>
            <w:spacing w:line="360" w:lineRule="auto"/>
            <w:rPr>
              <w:rFonts w:ascii="Times New Roman" w:hAnsi="Times New Roman" w:cs="Times New Roman"/>
              <w:noProof/>
              <w:sz w:val="28"/>
              <w:szCs w:val="28"/>
            </w:rPr>
          </w:pPr>
          <w:hyperlink w:anchor="_Toc23576" w:history="1">
            <w:r>
              <w:rPr>
                <w:rFonts w:ascii="Times New Roman" w:hAnsi="Times New Roman" w:cs="Times New Roman"/>
                <w:bCs/>
                <w:noProof/>
                <w:sz w:val="28"/>
                <w:szCs w:val="28"/>
              </w:rPr>
              <w:t>CHAPTER 2</w:t>
            </w:r>
          </w:hyperlink>
          <w:r>
            <w:rPr>
              <w:rFonts w:ascii="Times New Roman" w:hAnsi="Times New Roman" w:cs="Times New Roman"/>
              <w:noProof/>
              <w:sz w:val="28"/>
              <w:szCs w:val="28"/>
              <w:lang w:val="uk-UA"/>
            </w:rPr>
            <w:t xml:space="preserve">. </w:t>
          </w:r>
          <w:r>
            <w:rPr>
              <w:noProof/>
            </w:rPr>
            <w:fldChar w:fldCharType="begin"/>
          </w:r>
          <w:r>
            <w:rPr>
              <w:noProof/>
            </w:rPr>
            <w:instrText>HYPERLINK \l "_Toc26414"</w:instrText>
          </w:r>
          <w:r w:rsidR="00633D08">
            <w:rPr>
              <w:noProof/>
            </w:rPr>
          </w:r>
          <w:r>
            <w:rPr>
              <w:noProof/>
            </w:rPr>
            <w:fldChar w:fldCharType="separate"/>
          </w:r>
          <w:r>
            <w:rPr>
              <w:rFonts w:ascii="Times New Roman" w:hAnsi="Times New Roman" w:cs="Times New Roman"/>
              <w:bCs/>
              <w:noProof/>
              <w:sz w:val="28"/>
              <w:szCs w:val="28"/>
            </w:rPr>
            <w:t>ANALYSIS OF ASSET MANAGEMENT PRACTICES IN CHINESE COMPANIES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_Toc26414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34</w:t>
          </w:r>
          <w:r>
            <w:rPr>
              <w:rFonts w:ascii="Times New Roman" w:hAnsi="Times New Roman" w:cs="Times New Roman"/>
              <w:noProof/>
              <w:sz w:val="28"/>
              <w:szCs w:val="28"/>
            </w:rPr>
            <w:fldChar w:fldCharType="end"/>
          </w:r>
          <w:r>
            <w:rPr>
              <w:rFonts w:ascii="Times New Roman" w:hAnsi="Times New Roman" w:cs="Times New Roman"/>
              <w:noProof/>
              <w:sz w:val="28"/>
              <w:szCs w:val="28"/>
            </w:rPr>
            <w:fldChar w:fldCharType="end"/>
          </w:r>
        </w:p>
        <w:p w14:paraId="7586B732" w14:textId="2BA0BE16" w:rsidR="00CB2BA9" w:rsidRDefault="00773039">
          <w:pPr>
            <w:pStyle w:val="2"/>
            <w:tabs>
              <w:tab w:val="right" w:leader="dot" w:pos="9639"/>
            </w:tabs>
            <w:snapToGrid w:val="0"/>
            <w:spacing w:line="360" w:lineRule="auto"/>
            <w:ind w:leftChars="0" w:left="0"/>
            <w:rPr>
              <w:rFonts w:ascii="Times New Roman" w:hAnsi="Times New Roman" w:cs="Times New Roman"/>
              <w:noProof/>
              <w:sz w:val="28"/>
              <w:szCs w:val="28"/>
            </w:rPr>
          </w:pPr>
          <w:hyperlink w:anchor="_Toc22182" w:history="1">
            <w:r>
              <w:rPr>
                <w:rFonts w:ascii="Times New Roman" w:hAnsi="Times New Roman" w:cs="Times New Roman"/>
                <w:bCs/>
                <w:noProof/>
                <w:sz w:val="28"/>
                <w:szCs w:val="28"/>
              </w:rPr>
              <w:t>2.1. Characteristics and strategies of asset management in Chinese enterprises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_Toc22182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34</w:t>
            </w:r>
            <w:r>
              <w:rPr>
                <w:rFonts w:ascii="Times New Roman" w:hAnsi="Times New Roman" w:cs="Times New Roman"/>
                <w:noProof/>
                <w:sz w:val="28"/>
                <w:szCs w:val="28"/>
              </w:rPr>
              <w:fldChar w:fldCharType="end"/>
            </w:r>
          </w:hyperlink>
        </w:p>
        <w:p w14:paraId="4C2EFA0A" w14:textId="013AA7A3" w:rsidR="00CB2BA9" w:rsidRDefault="00773039">
          <w:pPr>
            <w:pStyle w:val="2"/>
            <w:tabs>
              <w:tab w:val="right" w:leader="dot" w:pos="9639"/>
            </w:tabs>
            <w:snapToGrid w:val="0"/>
            <w:spacing w:line="360" w:lineRule="auto"/>
            <w:ind w:leftChars="0" w:left="0"/>
            <w:rPr>
              <w:rFonts w:ascii="Times New Roman" w:hAnsi="Times New Roman" w:cs="Times New Roman"/>
              <w:noProof/>
              <w:sz w:val="28"/>
              <w:szCs w:val="28"/>
            </w:rPr>
          </w:pPr>
          <w:hyperlink w:anchor="_Toc512" w:history="1">
            <w:r>
              <w:rPr>
                <w:rFonts w:ascii="Times New Roman" w:hAnsi="Times New Roman" w:cs="Times New Roman"/>
                <w:bCs/>
                <w:noProof/>
                <w:sz w:val="28"/>
                <w:szCs w:val="28"/>
              </w:rPr>
              <w:t>2.2. Organizational structure and processes of asset management in Chinese companies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_Toc512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44</w:t>
            </w:r>
            <w:r>
              <w:rPr>
                <w:rFonts w:ascii="Times New Roman" w:hAnsi="Times New Roman" w:cs="Times New Roman"/>
                <w:noProof/>
                <w:sz w:val="28"/>
                <w:szCs w:val="28"/>
              </w:rPr>
              <w:fldChar w:fldCharType="end"/>
            </w:r>
          </w:hyperlink>
        </w:p>
        <w:p w14:paraId="413B3BA8" w14:textId="58D2EA6E" w:rsidR="00CB2BA9" w:rsidRDefault="00773039">
          <w:pPr>
            <w:pStyle w:val="2"/>
            <w:tabs>
              <w:tab w:val="right" w:leader="dot" w:pos="9639"/>
            </w:tabs>
            <w:snapToGrid w:val="0"/>
            <w:spacing w:line="360" w:lineRule="auto"/>
            <w:ind w:leftChars="0" w:left="0"/>
            <w:rPr>
              <w:rFonts w:ascii="Times New Roman" w:hAnsi="Times New Roman" w:cs="Times New Roman"/>
              <w:noProof/>
              <w:sz w:val="28"/>
              <w:szCs w:val="28"/>
            </w:rPr>
          </w:pPr>
          <w:hyperlink w:anchor="_Toc20192" w:history="1">
            <w:r>
              <w:rPr>
                <w:rFonts w:ascii="Times New Roman" w:hAnsi="Times New Roman" w:cs="Times New Roman"/>
                <w:bCs/>
                <w:noProof/>
                <w:sz w:val="28"/>
                <w:szCs w:val="28"/>
              </w:rPr>
              <w:t>2.3. Comparison of asset management practices between Chinese and international companies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_Toc20192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51</w:t>
            </w:r>
            <w:r>
              <w:rPr>
                <w:rFonts w:ascii="Times New Roman" w:hAnsi="Times New Roman" w:cs="Times New Roman"/>
                <w:noProof/>
                <w:sz w:val="28"/>
                <w:szCs w:val="28"/>
              </w:rPr>
              <w:fldChar w:fldCharType="end"/>
            </w:r>
          </w:hyperlink>
        </w:p>
        <w:p w14:paraId="186C76B2" w14:textId="5909ADF0" w:rsidR="00CB2BA9" w:rsidRDefault="00773039">
          <w:pPr>
            <w:pStyle w:val="10"/>
            <w:tabs>
              <w:tab w:val="right" w:leader="dot" w:pos="9639"/>
            </w:tabs>
            <w:snapToGrid w:val="0"/>
            <w:spacing w:line="360" w:lineRule="auto"/>
            <w:rPr>
              <w:rFonts w:ascii="Times New Roman" w:hAnsi="Times New Roman" w:cs="Times New Roman"/>
              <w:noProof/>
              <w:sz w:val="28"/>
              <w:szCs w:val="28"/>
            </w:rPr>
          </w:pPr>
          <w:hyperlink w:anchor="_Toc1770" w:history="1">
            <w:r>
              <w:rPr>
                <w:rFonts w:ascii="Times New Roman" w:hAnsi="Times New Roman" w:cs="Times New Roman"/>
                <w:bCs/>
                <w:noProof/>
                <w:sz w:val="28"/>
                <w:szCs w:val="28"/>
              </w:rPr>
              <w:t>CHAPTER 3</w:t>
            </w:r>
          </w:hyperlink>
          <w:r>
            <w:rPr>
              <w:rFonts w:ascii="Times New Roman" w:hAnsi="Times New Roman" w:cs="Times New Roman"/>
              <w:noProof/>
              <w:sz w:val="28"/>
              <w:szCs w:val="28"/>
              <w:lang w:val="uk-UA"/>
            </w:rPr>
            <w:t xml:space="preserve">. </w:t>
          </w:r>
          <w:r>
            <w:rPr>
              <w:noProof/>
            </w:rPr>
            <w:fldChar w:fldCharType="begin"/>
          </w:r>
          <w:r>
            <w:rPr>
              <w:noProof/>
            </w:rPr>
            <w:instrText>HYPERLINK \l "_Toc8313"</w:instrText>
          </w:r>
          <w:r w:rsidR="00633D08">
            <w:rPr>
              <w:noProof/>
            </w:rPr>
          </w:r>
          <w:r>
            <w:rPr>
              <w:noProof/>
            </w:rPr>
            <w:fldChar w:fldCharType="separate"/>
          </w:r>
          <w:r>
            <w:rPr>
              <w:rFonts w:ascii="Times New Roman" w:hAnsi="Times New Roman" w:cs="Times New Roman"/>
              <w:bCs/>
              <w:noProof/>
              <w:sz w:val="28"/>
              <w:szCs w:val="28"/>
            </w:rPr>
            <w:t>IMPROVING THE ASSET MANAGEMENT SYSTEM IN CHINESE COMPANIES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_Toc8313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56</w:t>
          </w:r>
          <w:r>
            <w:rPr>
              <w:rFonts w:ascii="Times New Roman" w:hAnsi="Times New Roman" w:cs="Times New Roman"/>
              <w:noProof/>
              <w:sz w:val="28"/>
              <w:szCs w:val="28"/>
            </w:rPr>
            <w:fldChar w:fldCharType="end"/>
          </w:r>
          <w:r>
            <w:rPr>
              <w:rFonts w:ascii="Times New Roman" w:hAnsi="Times New Roman" w:cs="Times New Roman"/>
              <w:noProof/>
              <w:sz w:val="28"/>
              <w:szCs w:val="28"/>
            </w:rPr>
            <w:fldChar w:fldCharType="end"/>
          </w:r>
        </w:p>
        <w:p w14:paraId="14125C44" w14:textId="5CD0CCD1" w:rsidR="00CB2BA9" w:rsidRDefault="00773039">
          <w:pPr>
            <w:pStyle w:val="2"/>
            <w:tabs>
              <w:tab w:val="right" w:leader="dot" w:pos="9639"/>
            </w:tabs>
            <w:snapToGrid w:val="0"/>
            <w:spacing w:line="360" w:lineRule="auto"/>
            <w:ind w:leftChars="0" w:left="0"/>
            <w:rPr>
              <w:rFonts w:ascii="Times New Roman" w:hAnsi="Times New Roman" w:cs="Times New Roman"/>
              <w:noProof/>
              <w:sz w:val="28"/>
              <w:szCs w:val="28"/>
            </w:rPr>
          </w:pPr>
          <w:hyperlink w:anchor="_Toc30134" w:history="1">
            <w:r>
              <w:rPr>
                <w:rFonts w:ascii="Times New Roman" w:hAnsi="Times New Roman" w:cs="Times New Roman"/>
                <w:bCs/>
                <w:noProof/>
                <w:sz w:val="28"/>
                <w:szCs w:val="28"/>
              </w:rPr>
              <w:t>3.1. Development of asset management strategies for high-efficiency Chinese enterprises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_Toc30134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56</w:t>
            </w:r>
            <w:r>
              <w:rPr>
                <w:rFonts w:ascii="Times New Roman" w:hAnsi="Times New Roman" w:cs="Times New Roman"/>
                <w:noProof/>
                <w:sz w:val="28"/>
                <w:szCs w:val="28"/>
              </w:rPr>
              <w:fldChar w:fldCharType="end"/>
            </w:r>
          </w:hyperlink>
        </w:p>
        <w:p w14:paraId="1F6A48C3" w14:textId="426C0427" w:rsidR="00CB2BA9" w:rsidRDefault="00773039">
          <w:pPr>
            <w:pStyle w:val="2"/>
            <w:tabs>
              <w:tab w:val="right" w:leader="dot" w:pos="9639"/>
            </w:tabs>
            <w:snapToGrid w:val="0"/>
            <w:spacing w:line="360" w:lineRule="auto"/>
            <w:ind w:leftChars="0" w:left="0"/>
            <w:rPr>
              <w:rFonts w:ascii="Times New Roman" w:hAnsi="Times New Roman" w:cs="Times New Roman"/>
              <w:noProof/>
              <w:sz w:val="28"/>
              <w:szCs w:val="28"/>
            </w:rPr>
          </w:pPr>
          <w:hyperlink w:anchor="_Toc7026" w:history="1">
            <w:r>
              <w:rPr>
                <w:rFonts w:ascii="Times New Roman" w:hAnsi="Times New Roman" w:cs="Times New Roman"/>
                <w:bCs/>
                <w:noProof/>
                <w:sz w:val="28"/>
                <w:szCs w:val="28"/>
              </w:rPr>
              <w:t>3.2. Technologies and methodologies for optimizing asset management in the Chinese context</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_Toc7026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63</w:t>
            </w:r>
            <w:r>
              <w:rPr>
                <w:rFonts w:ascii="Times New Roman" w:hAnsi="Times New Roman" w:cs="Times New Roman"/>
                <w:noProof/>
                <w:sz w:val="28"/>
                <w:szCs w:val="28"/>
              </w:rPr>
              <w:fldChar w:fldCharType="end"/>
            </w:r>
          </w:hyperlink>
        </w:p>
        <w:p w14:paraId="4B763330" w14:textId="183DB574" w:rsidR="00CB2BA9" w:rsidRDefault="00773039">
          <w:pPr>
            <w:pStyle w:val="2"/>
            <w:tabs>
              <w:tab w:val="right" w:leader="dot" w:pos="9639"/>
            </w:tabs>
            <w:snapToGrid w:val="0"/>
            <w:spacing w:line="360" w:lineRule="auto"/>
            <w:ind w:leftChars="0" w:left="0"/>
            <w:rPr>
              <w:rFonts w:ascii="Times New Roman" w:hAnsi="Times New Roman" w:cs="Times New Roman"/>
              <w:noProof/>
              <w:sz w:val="28"/>
              <w:szCs w:val="28"/>
            </w:rPr>
          </w:pPr>
          <w:hyperlink w:anchor="_Toc22609" w:history="1">
            <w:r>
              <w:rPr>
                <w:rFonts w:ascii="Times New Roman" w:hAnsi="Times New Roman" w:cs="Times New Roman"/>
                <w:bCs/>
                <w:noProof/>
                <w:sz w:val="28"/>
                <w:szCs w:val="28"/>
              </w:rPr>
              <w:t>3.3. Risk management and recommendations for enhancing asset management in Chinese companies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_Toc22609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69</w:t>
            </w:r>
            <w:r>
              <w:rPr>
                <w:rFonts w:ascii="Times New Roman" w:hAnsi="Times New Roman" w:cs="Times New Roman"/>
                <w:noProof/>
                <w:sz w:val="28"/>
                <w:szCs w:val="28"/>
              </w:rPr>
              <w:fldChar w:fldCharType="end"/>
            </w:r>
          </w:hyperlink>
        </w:p>
        <w:p w14:paraId="109683D2" w14:textId="112F9B73" w:rsidR="00CB2BA9" w:rsidRDefault="00773039">
          <w:pPr>
            <w:pStyle w:val="10"/>
            <w:tabs>
              <w:tab w:val="right" w:leader="dot" w:pos="9639"/>
            </w:tabs>
            <w:snapToGrid w:val="0"/>
            <w:spacing w:line="360" w:lineRule="auto"/>
            <w:rPr>
              <w:rFonts w:ascii="Times New Roman" w:hAnsi="Times New Roman" w:cs="Times New Roman"/>
              <w:noProof/>
              <w:sz w:val="28"/>
              <w:szCs w:val="28"/>
            </w:rPr>
          </w:pPr>
          <w:hyperlink w:anchor="_Toc31793" w:history="1">
            <w:r>
              <w:rPr>
                <w:rFonts w:ascii="Times New Roman" w:hAnsi="Times New Roman" w:cs="Times New Roman"/>
                <w:bCs/>
                <w:noProof/>
                <w:sz w:val="28"/>
                <w:szCs w:val="28"/>
              </w:rPr>
              <w:t>CONCLUSIONS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_Toc31793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74</w:t>
            </w:r>
            <w:r>
              <w:rPr>
                <w:rFonts w:ascii="Times New Roman" w:hAnsi="Times New Roman" w:cs="Times New Roman"/>
                <w:noProof/>
                <w:sz w:val="28"/>
                <w:szCs w:val="28"/>
              </w:rPr>
              <w:fldChar w:fldCharType="end"/>
            </w:r>
          </w:hyperlink>
        </w:p>
        <w:p w14:paraId="794BB86C" w14:textId="2F965168" w:rsidR="00CB2BA9" w:rsidRDefault="00773039">
          <w:pPr>
            <w:pStyle w:val="10"/>
            <w:tabs>
              <w:tab w:val="right" w:leader="dot" w:pos="9639"/>
            </w:tabs>
            <w:snapToGrid w:val="0"/>
            <w:spacing w:line="360" w:lineRule="auto"/>
            <w:rPr>
              <w:rFonts w:ascii="Times New Roman" w:hAnsi="Times New Roman" w:cs="Times New Roman"/>
              <w:noProof/>
              <w:sz w:val="28"/>
              <w:szCs w:val="28"/>
            </w:rPr>
          </w:pPr>
          <w:hyperlink w:anchor="_Toc4877" w:history="1">
            <w:r>
              <w:rPr>
                <w:rFonts w:ascii="Times New Roman" w:hAnsi="Times New Roman" w:cs="Times New Roman"/>
                <w:bCs/>
                <w:noProof/>
                <w:sz w:val="28"/>
                <w:szCs w:val="28"/>
              </w:rPr>
              <w:t>REFERENCES</w:t>
            </w:r>
            <w:r>
              <w:rPr>
                <w:rFonts w:ascii="Times New Roman" w:hAnsi="Times New Roman" w:cs="Times New Roman"/>
                <w:noProof/>
                <w:sz w:val="28"/>
                <w:szCs w:val="28"/>
              </w:rPr>
              <w:tab/>
            </w:r>
            <w:r>
              <w:rPr>
                <w:rFonts w:ascii="Times New Roman" w:hAnsi="Times New Roman" w:cs="Times New Roman"/>
                <w:noProof/>
                <w:sz w:val="28"/>
                <w:szCs w:val="28"/>
              </w:rPr>
              <w:fldChar w:fldCharType="begin"/>
            </w:r>
            <w:r>
              <w:rPr>
                <w:rFonts w:ascii="Times New Roman" w:hAnsi="Times New Roman" w:cs="Times New Roman"/>
                <w:noProof/>
                <w:sz w:val="28"/>
                <w:szCs w:val="28"/>
              </w:rPr>
              <w:instrText xml:space="preserve"> PAGEREF _Toc4877 \h </w:instrText>
            </w:r>
            <w:r>
              <w:rPr>
                <w:rFonts w:ascii="Times New Roman" w:hAnsi="Times New Roman" w:cs="Times New Roman"/>
                <w:noProof/>
                <w:sz w:val="28"/>
                <w:szCs w:val="28"/>
              </w:rPr>
            </w:r>
            <w:r>
              <w:rPr>
                <w:rFonts w:ascii="Times New Roman" w:hAnsi="Times New Roman" w:cs="Times New Roman"/>
                <w:noProof/>
                <w:sz w:val="28"/>
                <w:szCs w:val="28"/>
              </w:rPr>
              <w:fldChar w:fldCharType="separate"/>
            </w:r>
            <w:r w:rsidR="00052A63">
              <w:rPr>
                <w:rFonts w:ascii="Times New Roman" w:hAnsi="Times New Roman" w:cs="Times New Roman"/>
                <w:noProof/>
                <w:sz w:val="28"/>
                <w:szCs w:val="28"/>
              </w:rPr>
              <w:t>76</w:t>
            </w:r>
            <w:r>
              <w:rPr>
                <w:rFonts w:ascii="Times New Roman" w:hAnsi="Times New Roman" w:cs="Times New Roman"/>
                <w:noProof/>
                <w:sz w:val="28"/>
                <w:szCs w:val="28"/>
              </w:rPr>
              <w:fldChar w:fldCharType="end"/>
            </w:r>
          </w:hyperlink>
        </w:p>
        <w:p w14:paraId="68EEFCB8" w14:textId="77777777" w:rsidR="00CB2BA9" w:rsidRDefault="00773039">
          <w:pPr>
            <w:snapToGrid w:val="0"/>
            <w:spacing w:line="360" w:lineRule="auto"/>
          </w:pPr>
          <w:r>
            <w:rPr>
              <w:rFonts w:ascii="Times New Roman" w:hAnsi="Times New Roman" w:cs="Times New Roman"/>
              <w:sz w:val="28"/>
              <w:szCs w:val="28"/>
            </w:rPr>
            <w:fldChar w:fldCharType="end"/>
          </w:r>
        </w:p>
      </w:sdtContent>
    </w:sdt>
    <w:p w14:paraId="336217DB" w14:textId="77777777" w:rsidR="00CB2BA9" w:rsidRDefault="00CB2BA9"/>
    <w:p w14:paraId="5539ED72" w14:textId="77777777" w:rsidR="00CB2BA9" w:rsidRDefault="00773039">
      <w:pPr>
        <w:rPr>
          <w:rFonts w:ascii="Times New Roman" w:hAnsi="Times New Roman" w:cs="Times New Roman"/>
          <w:b/>
          <w:bCs/>
          <w:sz w:val="32"/>
          <w:szCs w:val="40"/>
        </w:rPr>
      </w:pPr>
      <w:bookmarkStart w:id="1" w:name="_Toc3618"/>
      <w:r>
        <w:rPr>
          <w:rFonts w:ascii="Times New Roman" w:hAnsi="Times New Roman" w:cs="Times New Roman"/>
          <w:b/>
          <w:bCs/>
          <w:sz w:val="32"/>
          <w:szCs w:val="40"/>
        </w:rPr>
        <w:br w:type="page"/>
      </w:r>
    </w:p>
    <w:p w14:paraId="2A5713CB" w14:textId="77777777" w:rsidR="00CB2BA9" w:rsidRPr="00773039" w:rsidRDefault="00773039" w:rsidP="00773039">
      <w:pPr>
        <w:snapToGrid w:val="0"/>
        <w:spacing w:line="360" w:lineRule="auto"/>
        <w:ind w:firstLine="709"/>
        <w:jc w:val="center"/>
        <w:outlineLvl w:val="0"/>
        <w:rPr>
          <w:rFonts w:ascii="Times New Roman" w:hAnsi="Times New Roman" w:cs="Times New Roman"/>
          <w:b/>
          <w:bCs/>
          <w:sz w:val="28"/>
          <w:szCs w:val="28"/>
        </w:rPr>
      </w:pPr>
      <w:r w:rsidRPr="00773039">
        <w:rPr>
          <w:rFonts w:ascii="Times New Roman" w:hAnsi="Times New Roman" w:cs="Times New Roman"/>
          <w:b/>
          <w:bCs/>
          <w:sz w:val="28"/>
          <w:szCs w:val="28"/>
        </w:rPr>
        <w:lastRenderedPageBreak/>
        <w:t>INTRODUCTION</w:t>
      </w:r>
      <w:bookmarkEnd w:id="1"/>
    </w:p>
    <w:p w14:paraId="191CB813" w14:textId="77777777" w:rsidR="00CB2BA9" w:rsidRDefault="00773039" w:rsidP="00773039">
      <w:pPr>
        <w:pStyle w:val="a6"/>
        <w:widowControl/>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 xml:space="preserve">Relevance. </w:t>
      </w:r>
      <w:r>
        <w:rPr>
          <w:rFonts w:ascii="Times New Roman" w:hAnsi="Times New Roman" w:cs="Times New Roman"/>
          <w:sz w:val="28"/>
          <w:szCs w:val="28"/>
        </w:rPr>
        <w:t>Asset management is the cornerstone of economic development in the modern era. Excellent asset management not only enhances enterprises' core competitiveness but also injects strong momentum into the stable operation of the overall economy. Asset management is especially critical during the current period of economic transformation. Only by strengthening corporate asset management can we ensure the preservation and appreciation of state-owned assets, optimize resource allocation, and promote industrial transformation and upgrading, thus smoothly completing the key tasks of economic restructuring. This is of great importance for safeguarding national economic security and promoting high-quality development.</w:t>
      </w:r>
    </w:p>
    <w:p w14:paraId="7DCE6C18" w14:textId="77777777" w:rsidR="00CB2BA9" w:rsidRDefault="00773039" w:rsidP="00773039">
      <w:pPr>
        <w:pStyle w:val="a6"/>
        <w:widowControl/>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Analysis of recent research and publications.</w:t>
      </w:r>
      <w:r>
        <w:rPr>
          <w:rFonts w:ascii="Times New Roman" w:hAnsi="Times New Roman" w:cs="Times New Roman"/>
          <w:sz w:val="28"/>
          <w:szCs w:val="28"/>
        </w:rPr>
        <w:t xml:space="preserve"> In recent years, academic research on corporate asset management has deepened significantly, yielding fruitful results. Berger et al. (2021) analyzed the intrinsic connection between asset quality and liquidity risk from the perspective of bank asset-liability management. Zhong et al. (2020) empirically examined the impact of asset-liability constraints on bank risk-taking behavior and systemic risk. Bromiley et al. (2015) systematically reviewed the current state of ERM research abroad, providing important insights for advancing comprehensive risk management practices in Chinese enterprises. Yang </w:t>
      </w:r>
      <w:proofErr w:type="spellStart"/>
      <w:r>
        <w:rPr>
          <w:rFonts w:ascii="Times New Roman" w:hAnsi="Times New Roman" w:cs="Times New Roman"/>
          <w:sz w:val="28"/>
          <w:szCs w:val="28"/>
        </w:rPr>
        <w:t>Ruilong</w:t>
      </w:r>
      <w:proofErr w:type="spellEnd"/>
      <w:r>
        <w:rPr>
          <w:rFonts w:ascii="Times New Roman" w:hAnsi="Times New Roman" w:cs="Times New Roman"/>
          <w:sz w:val="28"/>
          <w:szCs w:val="28"/>
        </w:rPr>
        <w:t xml:space="preserve"> (2022) pointed out that Chinese state-owned enterprises face certain issues in ownership structure and governance mechanisms, and that the asset management system needs improvement. Ma Weihua (2022) emphasized the importance of accurately implementing national decisions to prevent and resolve major financial risks and continuously improve risk control in the banking industry.</w:t>
      </w:r>
    </w:p>
    <w:p w14:paraId="7315C196" w14:textId="77777777" w:rsidR="00CB2BA9" w:rsidRDefault="00773039" w:rsidP="00773039">
      <w:pPr>
        <w:pStyle w:val="a6"/>
        <w:widowControl/>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 xml:space="preserve">Connection of the qualification project with scientific projects, plans, and topics. </w:t>
      </w:r>
      <w:r>
        <w:rPr>
          <w:rFonts w:ascii="Times New Roman" w:hAnsi="Times New Roman" w:cs="Times New Roman"/>
          <w:sz w:val="28"/>
          <w:szCs w:val="28"/>
        </w:rPr>
        <w:t xml:space="preserve">This qualification project was conducted at the Department of Management and Innovation, Odesa I.I. </w:t>
      </w:r>
      <w:proofErr w:type="spellStart"/>
      <w:r>
        <w:rPr>
          <w:rFonts w:ascii="Times New Roman" w:hAnsi="Times New Roman" w:cs="Times New Roman"/>
          <w:sz w:val="28"/>
          <w:szCs w:val="28"/>
        </w:rPr>
        <w:t>Mechnikov</w:t>
      </w:r>
      <w:proofErr w:type="spellEnd"/>
      <w:r>
        <w:rPr>
          <w:rFonts w:ascii="Times New Roman" w:hAnsi="Times New Roman" w:cs="Times New Roman"/>
          <w:sz w:val="28"/>
          <w:szCs w:val="28"/>
        </w:rPr>
        <w:t xml:space="preserve"> National University, as part of the state budget research topic "Conceptual Provision for Asset Management in Chinese Companies" (2021-2025). The research contributes to understanding the strategic development of asset management systems in Chinese enterprises.</w:t>
      </w:r>
    </w:p>
    <w:p w14:paraId="24B094D9" w14:textId="77777777" w:rsidR="00CB2BA9" w:rsidRDefault="00773039" w:rsidP="00773039">
      <w:pPr>
        <w:pStyle w:val="a6"/>
        <w:widowControl/>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lastRenderedPageBreak/>
        <w:t>Goal and tasks.</w:t>
      </w:r>
      <w:r>
        <w:rPr>
          <w:rFonts w:ascii="Times New Roman" w:hAnsi="Times New Roman" w:cs="Times New Roman"/>
          <w:sz w:val="28"/>
          <w:szCs w:val="28"/>
        </w:rPr>
        <w:t xml:space="preserve"> The main goal of this research is to systematically review the development status of corporate asset management in China, analyze prominent issues, and provide recommendations for improvement. The specific research tasks include:</w:t>
      </w:r>
    </w:p>
    <w:p w14:paraId="254B1E54" w14:textId="77777777" w:rsidR="00CB2BA9" w:rsidRPr="00773039" w:rsidRDefault="002F17AA" w:rsidP="002F17AA">
      <w:pPr>
        <w:widowControl/>
        <w:snapToGrid w:val="0"/>
        <w:spacing w:line="360" w:lineRule="auto"/>
        <w:ind w:firstLineChars="300" w:firstLine="600"/>
        <w:rPr>
          <w:rFonts w:ascii="Times New Roman" w:hAnsi="Times New Roman" w:cs="Times New Roman"/>
          <w:sz w:val="28"/>
          <w:szCs w:val="28"/>
          <w:lang w:val="uk-UA"/>
        </w:rPr>
      </w:pPr>
      <w:r>
        <w:rPr>
          <w:rFonts w:ascii="Symbol" w:hAnsi="Symbol" w:cs="Symbol"/>
          <w:sz w:val="20"/>
          <w:szCs w:val="28"/>
          <w:lang w:val="uk-UA"/>
        </w:rPr>
        <w:t></w:t>
      </w:r>
      <w:r>
        <w:rPr>
          <w:rFonts w:ascii="Symbol" w:hAnsi="Symbol" w:cs="Symbol"/>
          <w:sz w:val="20"/>
          <w:szCs w:val="28"/>
          <w:lang w:val="uk-UA"/>
        </w:rPr>
        <w:t></w:t>
      </w:r>
      <w:r w:rsidR="00773039">
        <w:rPr>
          <w:rFonts w:ascii="Times New Roman" w:hAnsi="Times New Roman" w:cs="Times New Roman"/>
          <w:sz w:val="28"/>
          <w:szCs w:val="28"/>
        </w:rPr>
        <w:t>To summarize the new characteristics and trends in corporate asset management during this new development stage</w:t>
      </w:r>
      <w:r w:rsidR="00773039">
        <w:rPr>
          <w:rFonts w:ascii="Times New Roman" w:hAnsi="Times New Roman" w:cs="Times New Roman"/>
          <w:sz w:val="28"/>
          <w:szCs w:val="28"/>
          <w:lang w:val="uk-UA"/>
        </w:rPr>
        <w:t>,</w:t>
      </w:r>
    </w:p>
    <w:p w14:paraId="4DD739A8" w14:textId="77777777" w:rsidR="00CB2BA9" w:rsidRPr="00773039" w:rsidRDefault="002F17AA" w:rsidP="002F17AA">
      <w:pPr>
        <w:widowControl/>
        <w:snapToGrid w:val="0"/>
        <w:spacing w:line="360" w:lineRule="auto"/>
        <w:ind w:firstLineChars="300" w:firstLine="600"/>
        <w:rPr>
          <w:rFonts w:ascii="Times New Roman" w:hAnsi="Times New Roman" w:cs="Times New Roman"/>
          <w:sz w:val="28"/>
          <w:szCs w:val="28"/>
          <w:lang w:val="uk-UA"/>
        </w:rPr>
      </w:pPr>
      <w:r>
        <w:rPr>
          <w:rFonts w:ascii="Symbol" w:hAnsi="Symbol" w:cs="Symbol"/>
          <w:sz w:val="20"/>
          <w:szCs w:val="28"/>
          <w:lang w:val="uk-UA"/>
        </w:rPr>
        <w:t></w:t>
      </w:r>
      <w:r>
        <w:rPr>
          <w:rFonts w:ascii="Symbol" w:hAnsi="Symbol" w:cs="Symbol"/>
          <w:sz w:val="20"/>
          <w:szCs w:val="28"/>
          <w:lang w:val="uk-UA"/>
        </w:rPr>
        <w:t></w:t>
      </w:r>
      <w:r w:rsidR="00773039">
        <w:rPr>
          <w:rFonts w:ascii="Times New Roman" w:hAnsi="Times New Roman" w:cs="Times New Roman"/>
          <w:sz w:val="28"/>
          <w:szCs w:val="28"/>
        </w:rPr>
        <w:t>To analyze prominent issues and deep-seated causes in key areas such as asset quality, capital constraints, and risk management</w:t>
      </w:r>
      <w:r w:rsidR="00773039">
        <w:rPr>
          <w:rFonts w:ascii="Times New Roman" w:hAnsi="Times New Roman" w:cs="Times New Roman"/>
          <w:sz w:val="28"/>
          <w:szCs w:val="28"/>
          <w:lang w:val="uk-UA"/>
        </w:rPr>
        <w:t>,</w:t>
      </w:r>
    </w:p>
    <w:p w14:paraId="54CBC443" w14:textId="77777777" w:rsidR="00CB2BA9" w:rsidRPr="00773039" w:rsidRDefault="002F17AA" w:rsidP="002F17AA">
      <w:pPr>
        <w:widowControl/>
        <w:snapToGrid w:val="0"/>
        <w:spacing w:line="360" w:lineRule="auto"/>
        <w:ind w:firstLineChars="300" w:firstLine="600"/>
        <w:rPr>
          <w:rFonts w:ascii="Times New Roman" w:hAnsi="Times New Roman" w:cs="Times New Roman"/>
          <w:sz w:val="28"/>
          <w:szCs w:val="28"/>
          <w:lang w:val="uk-UA"/>
        </w:rPr>
      </w:pPr>
      <w:r>
        <w:rPr>
          <w:rFonts w:ascii="Symbol" w:hAnsi="Symbol" w:cs="Symbol"/>
          <w:sz w:val="20"/>
          <w:szCs w:val="28"/>
          <w:lang w:val="uk-UA"/>
        </w:rPr>
        <w:t></w:t>
      </w:r>
      <w:r>
        <w:rPr>
          <w:rFonts w:ascii="Symbol" w:hAnsi="Symbol" w:cs="Symbol"/>
          <w:sz w:val="20"/>
          <w:szCs w:val="28"/>
          <w:lang w:val="uk-UA"/>
        </w:rPr>
        <w:t></w:t>
      </w:r>
      <w:r w:rsidR="00773039">
        <w:rPr>
          <w:rFonts w:ascii="Times New Roman" w:hAnsi="Times New Roman" w:cs="Times New Roman"/>
          <w:sz w:val="28"/>
          <w:szCs w:val="28"/>
        </w:rPr>
        <w:t>To propose recommendations for establishing an asset management policy system that meets high-quality development requirements</w:t>
      </w:r>
      <w:r w:rsidR="00773039">
        <w:rPr>
          <w:rFonts w:ascii="Times New Roman" w:hAnsi="Times New Roman" w:cs="Times New Roman"/>
          <w:sz w:val="28"/>
          <w:szCs w:val="28"/>
          <w:lang w:val="uk-UA"/>
        </w:rPr>
        <w:t xml:space="preserve">. </w:t>
      </w:r>
    </w:p>
    <w:p w14:paraId="28351D33" w14:textId="77777777" w:rsidR="00CB2BA9" w:rsidRDefault="00773039" w:rsidP="00773039">
      <w:pPr>
        <w:pStyle w:val="a6"/>
        <w:widowControl/>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Object and subject of research.</w:t>
      </w:r>
      <w:r>
        <w:rPr>
          <w:rFonts w:ascii="Times New Roman" w:hAnsi="Times New Roman" w:cs="Times New Roman"/>
          <w:sz w:val="28"/>
          <w:szCs w:val="28"/>
        </w:rPr>
        <w:t xml:space="preserve"> </w:t>
      </w:r>
      <w:r>
        <w:rPr>
          <w:rFonts w:ascii="Times New Roman" w:hAnsi="Times New Roman" w:cs="Times New Roman"/>
          <w:b/>
          <w:bCs/>
          <w:sz w:val="28"/>
          <w:szCs w:val="28"/>
        </w:rPr>
        <w:t>The object</w:t>
      </w:r>
      <w:r>
        <w:rPr>
          <w:rFonts w:ascii="Times New Roman" w:hAnsi="Times New Roman" w:cs="Times New Roman"/>
          <w:sz w:val="28"/>
          <w:szCs w:val="28"/>
        </w:rPr>
        <w:t xml:space="preserve"> of this research is corporate asset management practices in Chinese companies. </w:t>
      </w:r>
      <w:r>
        <w:rPr>
          <w:rFonts w:ascii="Times New Roman" w:hAnsi="Times New Roman" w:cs="Times New Roman"/>
          <w:b/>
          <w:bCs/>
          <w:sz w:val="28"/>
          <w:szCs w:val="28"/>
        </w:rPr>
        <w:t>The subject</w:t>
      </w:r>
      <w:r>
        <w:rPr>
          <w:rFonts w:ascii="Times New Roman" w:hAnsi="Times New Roman" w:cs="Times New Roman"/>
          <w:sz w:val="28"/>
          <w:szCs w:val="28"/>
        </w:rPr>
        <w:t xml:space="preserve"> comprises the theoretical foundations, methodological approaches, and practical implementation of asset management systems in Chinese enterprises.</w:t>
      </w:r>
    </w:p>
    <w:p w14:paraId="18AE05B8" w14:textId="77777777" w:rsidR="00CB2BA9" w:rsidRDefault="00773039" w:rsidP="00773039">
      <w:pPr>
        <w:pStyle w:val="a6"/>
        <w:widowControl/>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Research methods.</w:t>
      </w:r>
      <w:r>
        <w:rPr>
          <w:rFonts w:ascii="Times New Roman" w:hAnsi="Times New Roman" w:cs="Times New Roman"/>
          <w:sz w:val="28"/>
          <w:szCs w:val="28"/>
        </w:rPr>
        <w:t xml:space="preserve"> This study adopts a combination of normative and empirical research methods, including:</w:t>
      </w:r>
    </w:p>
    <w:p w14:paraId="671E35AA" w14:textId="77777777" w:rsidR="00CB2BA9" w:rsidRDefault="00C927FF" w:rsidP="00C927FF">
      <w:pPr>
        <w:widowControl/>
        <w:snapToGrid w:val="0"/>
        <w:spacing w:line="360" w:lineRule="auto"/>
        <w:ind w:firstLineChars="200" w:firstLine="400"/>
        <w:rPr>
          <w:rFonts w:ascii="Times New Roman" w:hAnsi="Times New Roman" w:cs="Times New Roman"/>
          <w:sz w:val="28"/>
          <w:szCs w:val="28"/>
        </w:rPr>
      </w:pPr>
      <w:r>
        <w:rPr>
          <w:rFonts w:ascii="Symbol" w:hAnsi="Symbol" w:cs="Symbol"/>
          <w:sz w:val="20"/>
          <w:szCs w:val="28"/>
          <w:lang w:val="uk-UA"/>
        </w:rPr>
        <w:t></w:t>
      </w:r>
      <w:r>
        <w:rPr>
          <w:rFonts w:ascii="Symbol" w:hAnsi="Symbol" w:cs="Symbol"/>
          <w:sz w:val="20"/>
          <w:szCs w:val="28"/>
          <w:lang w:val="uk-UA"/>
        </w:rPr>
        <w:t></w:t>
      </w:r>
      <w:r w:rsidR="00773039">
        <w:rPr>
          <w:rFonts w:ascii="Times New Roman" w:hAnsi="Times New Roman" w:cs="Times New Roman"/>
          <w:sz w:val="28"/>
          <w:szCs w:val="28"/>
        </w:rPr>
        <w:t>Normative research applying basic principles of economic theory</w:t>
      </w:r>
    </w:p>
    <w:p w14:paraId="0CFDA216" w14:textId="77777777" w:rsidR="00CB2BA9" w:rsidRDefault="00C927FF" w:rsidP="00C927FF">
      <w:pPr>
        <w:widowControl/>
        <w:snapToGrid w:val="0"/>
        <w:spacing w:line="360" w:lineRule="auto"/>
        <w:ind w:firstLineChars="200" w:firstLine="400"/>
        <w:rPr>
          <w:rFonts w:ascii="Times New Roman" w:hAnsi="Times New Roman" w:cs="Times New Roman"/>
          <w:sz w:val="28"/>
          <w:szCs w:val="28"/>
        </w:rPr>
      </w:pPr>
      <w:r>
        <w:rPr>
          <w:rFonts w:ascii="Symbol" w:hAnsi="Symbol" w:cs="Symbol"/>
          <w:sz w:val="20"/>
          <w:szCs w:val="28"/>
          <w:lang w:val="uk-UA"/>
        </w:rPr>
        <w:t></w:t>
      </w:r>
      <w:r>
        <w:rPr>
          <w:rFonts w:ascii="Symbol" w:hAnsi="Symbol" w:cs="Symbol"/>
          <w:sz w:val="20"/>
          <w:szCs w:val="28"/>
          <w:lang w:val="uk-UA"/>
        </w:rPr>
        <w:t></w:t>
      </w:r>
      <w:r w:rsidR="00773039">
        <w:rPr>
          <w:rFonts w:ascii="Times New Roman" w:hAnsi="Times New Roman" w:cs="Times New Roman"/>
          <w:sz w:val="28"/>
          <w:szCs w:val="28"/>
        </w:rPr>
        <w:t>Case studies of successful enterprises like Sinopec, State Grid, and Huawei</w:t>
      </w:r>
    </w:p>
    <w:p w14:paraId="793FEBF9" w14:textId="77777777" w:rsidR="00CB2BA9" w:rsidRDefault="00773039" w:rsidP="00773039">
      <w:pPr>
        <w:widowControl/>
        <w:snapToGrid w:val="0"/>
        <w:spacing w:line="360" w:lineRule="auto"/>
        <w:ind w:firstLineChars="200" w:firstLine="400"/>
        <w:rPr>
          <w:rFonts w:ascii="Times New Roman" w:hAnsi="Times New Roman" w:cs="Times New Roman"/>
          <w:sz w:val="28"/>
          <w:szCs w:val="28"/>
        </w:rPr>
      </w:pPr>
      <w:r>
        <w:rPr>
          <w:rFonts w:ascii="Symbol" w:hAnsi="Symbol" w:cs="Symbol"/>
          <w:sz w:val="20"/>
          <w:szCs w:val="28"/>
          <w:lang w:val="en-US"/>
        </w:rPr>
        <w:t></w:t>
      </w:r>
      <w:r w:rsidR="00C927FF">
        <w:rPr>
          <w:rFonts w:ascii="Symbol" w:hAnsi="Symbol" w:cs="Symbol"/>
          <w:sz w:val="20"/>
          <w:szCs w:val="28"/>
          <w:lang w:val="uk-UA"/>
        </w:rPr>
        <w:t></w:t>
      </w:r>
      <w:r w:rsidR="00C927FF">
        <w:rPr>
          <w:rFonts w:ascii="Symbol" w:hAnsi="Symbol" w:cs="Symbol"/>
          <w:sz w:val="20"/>
          <w:szCs w:val="28"/>
          <w:lang w:val="uk-UA"/>
        </w:rPr>
        <w:t></w:t>
      </w:r>
      <w:r>
        <w:rPr>
          <w:rFonts w:ascii="Times New Roman" w:hAnsi="Times New Roman" w:cs="Times New Roman"/>
          <w:sz w:val="28"/>
          <w:szCs w:val="28"/>
        </w:rPr>
        <w:t>Comparative studies benchmarking against top international companies</w:t>
      </w:r>
    </w:p>
    <w:p w14:paraId="244CA253" w14:textId="77777777" w:rsidR="00CB2BA9" w:rsidRPr="00C927FF" w:rsidRDefault="00C927FF" w:rsidP="00C927FF">
      <w:pPr>
        <w:widowControl/>
        <w:snapToGrid w:val="0"/>
        <w:spacing w:line="360" w:lineRule="auto"/>
        <w:ind w:firstLineChars="200" w:firstLine="400"/>
        <w:rPr>
          <w:rFonts w:ascii="Times New Roman" w:hAnsi="Times New Roman" w:cs="Times New Roman"/>
          <w:sz w:val="28"/>
          <w:szCs w:val="28"/>
          <w:lang w:val="uk-UA"/>
        </w:rPr>
      </w:pPr>
      <w:r>
        <w:rPr>
          <w:rFonts w:ascii="Symbol" w:hAnsi="Symbol" w:cs="Symbol"/>
          <w:sz w:val="20"/>
          <w:szCs w:val="28"/>
          <w:lang w:val="uk-UA"/>
        </w:rPr>
        <w:t></w:t>
      </w:r>
      <w:r>
        <w:rPr>
          <w:rFonts w:ascii="Symbol" w:hAnsi="Symbol" w:cs="Symbol"/>
          <w:sz w:val="20"/>
          <w:szCs w:val="28"/>
          <w:lang w:val="uk-UA"/>
        </w:rPr>
        <w:t></w:t>
      </w:r>
      <w:r w:rsidR="00773039">
        <w:rPr>
          <w:rFonts w:ascii="Times New Roman" w:hAnsi="Times New Roman" w:cs="Times New Roman"/>
          <w:sz w:val="28"/>
          <w:szCs w:val="28"/>
        </w:rPr>
        <w:t>Qualitative and quantitative analyses of asset management practices</w:t>
      </w:r>
      <w:r>
        <w:rPr>
          <w:rFonts w:ascii="Times New Roman" w:hAnsi="Times New Roman" w:cs="Times New Roman"/>
          <w:sz w:val="28"/>
          <w:szCs w:val="28"/>
          <w:lang w:val="uk-UA"/>
        </w:rPr>
        <w:t xml:space="preserve"> </w:t>
      </w:r>
    </w:p>
    <w:p w14:paraId="2AFC0F2A"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sidRPr="00C927FF">
        <w:rPr>
          <w:rFonts w:ascii="Times New Roman" w:hAnsi="Times New Roman" w:cs="Times New Roman"/>
          <w:b/>
          <w:sz w:val="28"/>
          <w:szCs w:val="28"/>
        </w:rPr>
        <w:t>Information base.</w:t>
      </w:r>
      <w:r>
        <w:rPr>
          <w:rFonts w:ascii="Times New Roman" w:hAnsi="Times New Roman" w:cs="Times New Roman"/>
          <w:sz w:val="28"/>
          <w:szCs w:val="28"/>
        </w:rPr>
        <w:t xml:space="preserve"> The study utilizes multiple data sources:</w:t>
      </w:r>
    </w:p>
    <w:p w14:paraId="22DE7CE6" w14:textId="77777777" w:rsidR="00CB2BA9" w:rsidRDefault="00C927FF" w:rsidP="00C927FF">
      <w:pPr>
        <w:widowControl/>
        <w:snapToGrid w:val="0"/>
        <w:spacing w:line="360" w:lineRule="auto"/>
        <w:ind w:firstLineChars="200" w:firstLine="400"/>
        <w:rPr>
          <w:rFonts w:ascii="Times New Roman" w:hAnsi="Times New Roman" w:cs="Times New Roman"/>
          <w:sz w:val="28"/>
          <w:szCs w:val="28"/>
        </w:rPr>
      </w:pPr>
      <w:r>
        <w:rPr>
          <w:rFonts w:ascii="Symbol" w:hAnsi="Symbol" w:cs="Symbol"/>
          <w:sz w:val="20"/>
          <w:szCs w:val="28"/>
          <w:lang w:val="uk-UA"/>
        </w:rPr>
        <w:t></w:t>
      </w:r>
      <w:r>
        <w:rPr>
          <w:rFonts w:ascii="Symbol" w:hAnsi="Symbol" w:cs="Symbol"/>
          <w:sz w:val="20"/>
          <w:szCs w:val="28"/>
          <w:lang w:val="uk-UA"/>
        </w:rPr>
        <w:t></w:t>
      </w:r>
      <w:r w:rsidR="00773039">
        <w:rPr>
          <w:rFonts w:ascii="Times New Roman" w:hAnsi="Times New Roman" w:cs="Times New Roman"/>
          <w:sz w:val="28"/>
          <w:szCs w:val="28"/>
        </w:rPr>
        <w:t>Publicly available data from statistical yearbooks and company reports</w:t>
      </w:r>
    </w:p>
    <w:p w14:paraId="4C6A57B3" w14:textId="77777777" w:rsidR="00CB2BA9" w:rsidRDefault="00C927FF" w:rsidP="00C927FF">
      <w:pPr>
        <w:widowControl/>
        <w:snapToGrid w:val="0"/>
        <w:spacing w:line="360" w:lineRule="auto"/>
        <w:ind w:firstLineChars="200" w:firstLine="400"/>
        <w:rPr>
          <w:rFonts w:ascii="Times New Roman" w:hAnsi="Times New Roman" w:cs="Times New Roman"/>
          <w:sz w:val="28"/>
          <w:szCs w:val="28"/>
        </w:rPr>
      </w:pPr>
      <w:r>
        <w:rPr>
          <w:rFonts w:ascii="Symbol" w:hAnsi="Symbol" w:cs="Symbol"/>
          <w:sz w:val="20"/>
          <w:szCs w:val="28"/>
          <w:lang w:val="uk-UA"/>
        </w:rPr>
        <w:t></w:t>
      </w:r>
      <w:r>
        <w:rPr>
          <w:rFonts w:ascii="Symbol" w:hAnsi="Symbol" w:cs="Symbol"/>
          <w:sz w:val="20"/>
          <w:szCs w:val="28"/>
          <w:lang w:val="uk-UA"/>
        </w:rPr>
        <w:t></w:t>
      </w:r>
      <w:r w:rsidR="00773039">
        <w:rPr>
          <w:rFonts w:ascii="Times New Roman" w:hAnsi="Times New Roman" w:cs="Times New Roman"/>
          <w:sz w:val="28"/>
          <w:szCs w:val="28"/>
        </w:rPr>
        <w:t>Internal data gathered through enterprise surveys</w:t>
      </w:r>
    </w:p>
    <w:p w14:paraId="26B34732" w14:textId="77777777" w:rsidR="00CB2BA9" w:rsidRDefault="00773039" w:rsidP="00773039">
      <w:pPr>
        <w:pStyle w:val="a6"/>
        <w:widowControl/>
        <w:snapToGrid w:val="0"/>
        <w:spacing w:line="360" w:lineRule="auto"/>
        <w:ind w:firstLineChars="200" w:firstLine="562"/>
        <w:rPr>
          <w:rFonts w:ascii="Times New Roman" w:hAnsi="Times New Roman" w:cs="Times New Roman"/>
          <w:sz w:val="28"/>
          <w:szCs w:val="28"/>
        </w:rPr>
      </w:pPr>
      <w:r>
        <w:rPr>
          <w:rFonts w:ascii="Times New Roman" w:hAnsi="Times New Roman" w:cs="Times New Roman"/>
          <w:b/>
          <w:bCs/>
          <w:sz w:val="28"/>
          <w:szCs w:val="28"/>
        </w:rPr>
        <w:t>Structure and scope of work.</w:t>
      </w:r>
      <w:r>
        <w:rPr>
          <w:rFonts w:ascii="Times New Roman" w:hAnsi="Times New Roman" w:cs="Times New Roman"/>
          <w:sz w:val="28"/>
          <w:szCs w:val="28"/>
        </w:rPr>
        <w:t xml:space="preserve"> Structure and scope of work. The work consists of admission, three chapters, conclusions, bibliography (list of used sources) (90 positions). The total amount of qualification project is 8</w:t>
      </w:r>
      <w:r>
        <w:rPr>
          <w:rFonts w:ascii="Times New Roman" w:hAnsi="Times New Roman" w:cs="Times New Roman" w:hint="eastAsia"/>
          <w:sz w:val="28"/>
          <w:szCs w:val="28"/>
          <w:lang w:val="en-US"/>
        </w:rPr>
        <w:t>4</w:t>
      </w:r>
      <w:r>
        <w:rPr>
          <w:rFonts w:ascii="Times New Roman" w:hAnsi="Times New Roman" w:cs="Times New Roman"/>
          <w:sz w:val="28"/>
          <w:szCs w:val="28"/>
        </w:rPr>
        <w:t xml:space="preserve"> pages. The work includes </w:t>
      </w:r>
      <w:r>
        <w:rPr>
          <w:rFonts w:ascii="Times New Roman" w:hAnsi="Times New Roman" w:cs="Times New Roman" w:hint="eastAsia"/>
          <w:sz w:val="28"/>
          <w:szCs w:val="28"/>
        </w:rPr>
        <w:t>1</w:t>
      </w:r>
      <w:r>
        <w:rPr>
          <w:rFonts w:ascii="Times New Roman" w:hAnsi="Times New Roman" w:cs="Times New Roman" w:hint="eastAsia"/>
          <w:sz w:val="28"/>
          <w:szCs w:val="28"/>
          <w:lang w:val="en-US"/>
        </w:rPr>
        <w:t>5</w:t>
      </w:r>
      <w:r>
        <w:rPr>
          <w:rFonts w:ascii="Times New Roman" w:hAnsi="Times New Roman" w:cs="Times New Roman"/>
          <w:sz w:val="28"/>
          <w:szCs w:val="28"/>
        </w:rPr>
        <w:t xml:space="preserve"> tables and </w:t>
      </w:r>
      <w:r>
        <w:rPr>
          <w:rFonts w:ascii="Times New Roman" w:hAnsi="Times New Roman" w:cs="Times New Roman" w:hint="eastAsia"/>
          <w:sz w:val="28"/>
          <w:szCs w:val="28"/>
        </w:rPr>
        <w:t>1</w:t>
      </w:r>
      <w:r>
        <w:rPr>
          <w:rFonts w:ascii="Times New Roman" w:hAnsi="Times New Roman" w:cs="Times New Roman" w:hint="eastAsia"/>
          <w:sz w:val="28"/>
          <w:szCs w:val="28"/>
          <w:lang w:val="en-US"/>
        </w:rPr>
        <w:t>3</w:t>
      </w:r>
      <w:r>
        <w:rPr>
          <w:rFonts w:ascii="Times New Roman" w:hAnsi="Times New Roman" w:cs="Times New Roman"/>
          <w:sz w:val="28"/>
          <w:szCs w:val="28"/>
        </w:rPr>
        <w:t xml:space="preserve"> figures.</w:t>
      </w:r>
      <w:r>
        <w:rPr>
          <w:rFonts w:ascii="Times New Roman" w:hAnsi="Times New Roman" w:cs="Times New Roman"/>
          <w:sz w:val="28"/>
          <w:szCs w:val="28"/>
          <w:lang w:val="uk-UA"/>
        </w:rPr>
        <w:t xml:space="preserve"> </w:t>
      </w:r>
      <w:r>
        <w:rPr>
          <w:rFonts w:ascii="Times New Roman" w:hAnsi="Times New Roman" w:cs="Times New Roman"/>
          <w:sz w:val="28"/>
          <w:szCs w:val="28"/>
        </w:rPr>
        <w:t>The thesis consists of three chapters: Chapter 1 reviews asset management research progress and builds the analytical framework Chapter 2 analyzes the development status of corporate asset management in China Chapter 3 explores optimization paths and provides policy recommendations</w:t>
      </w:r>
    </w:p>
    <w:p w14:paraId="46BF027C" w14:textId="77777777" w:rsidR="00CB2BA9" w:rsidRPr="00773039" w:rsidRDefault="00773039" w:rsidP="00773039">
      <w:pPr>
        <w:snapToGrid w:val="0"/>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32"/>
          <w:szCs w:val="40"/>
        </w:rPr>
        <w:br w:type="page"/>
      </w:r>
      <w:bookmarkStart w:id="2" w:name="_Toc7909"/>
      <w:r w:rsidRPr="00773039">
        <w:rPr>
          <w:rFonts w:ascii="Times New Roman" w:hAnsi="Times New Roman" w:cs="Times New Roman"/>
          <w:b/>
          <w:bCs/>
          <w:sz w:val="28"/>
          <w:szCs w:val="28"/>
        </w:rPr>
        <w:lastRenderedPageBreak/>
        <w:t>CHAPTER 1</w:t>
      </w:r>
      <w:bookmarkEnd w:id="2"/>
    </w:p>
    <w:p w14:paraId="28CF272A" w14:textId="77777777" w:rsidR="00CB2BA9" w:rsidRPr="00773039" w:rsidRDefault="00773039" w:rsidP="00773039">
      <w:pPr>
        <w:snapToGrid w:val="0"/>
        <w:spacing w:line="360" w:lineRule="auto"/>
        <w:ind w:firstLine="709"/>
        <w:jc w:val="center"/>
        <w:outlineLvl w:val="0"/>
        <w:rPr>
          <w:rFonts w:ascii="Times New Roman" w:hAnsi="Times New Roman" w:cs="Times New Roman"/>
          <w:b/>
          <w:bCs/>
          <w:sz w:val="28"/>
          <w:szCs w:val="28"/>
        </w:rPr>
      </w:pPr>
      <w:bookmarkStart w:id="3" w:name="_Toc936"/>
      <w:r w:rsidRPr="00773039">
        <w:rPr>
          <w:rFonts w:ascii="Times New Roman" w:hAnsi="Times New Roman" w:cs="Times New Roman"/>
          <w:b/>
          <w:bCs/>
          <w:sz w:val="28"/>
          <w:szCs w:val="28"/>
        </w:rPr>
        <w:t>THEORETICAL FOUNDATIONS OF ASSET MANAGEMENT IN ENTERPRISES</w:t>
      </w:r>
      <w:bookmarkEnd w:id="3"/>
    </w:p>
    <w:p w14:paraId="2E1E411D" w14:textId="77777777" w:rsidR="00CB2BA9" w:rsidRDefault="00CB2BA9" w:rsidP="00773039">
      <w:pPr>
        <w:snapToGrid w:val="0"/>
        <w:spacing w:line="360" w:lineRule="auto"/>
        <w:ind w:firstLine="709"/>
        <w:jc w:val="center"/>
        <w:outlineLvl w:val="0"/>
        <w:rPr>
          <w:rFonts w:ascii="Times New Roman" w:hAnsi="Times New Roman" w:cs="Times New Roman"/>
          <w:b/>
          <w:bCs/>
          <w:sz w:val="32"/>
          <w:szCs w:val="40"/>
        </w:rPr>
      </w:pPr>
    </w:p>
    <w:p w14:paraId="59B4BA9E" w14:textId="77777777" w:rsidR="00CB2BA9" w:rsidRPr="00773039" w:rsidRDefault="00773039" w:rsidP="00773039">
      <w:pPr>
        <w:pStyle w:val="a9"/>
        <w:numPr>
          <w:ilvl w:val="1"/>
          <w:numId w:val="9"/>
        </w:numPr>
        <w:snapToGrid w:val="0"/>
        <w:spacing w:line="360" w:lineRule="auto"/>
        <w:ind w:left="0" w:firstLine="709"/>
        <w:outlineLvl w:val="1"/>
        <w:rPr>
          <w:rFonts w:ascii="Times New Roman" w:hAnsi="Times New Roman" w:cs="Times New Roman"/>
          <w:b/>
          <w:bCs/>
          <w:sz w:val="28"/>
          <w:szCs w:val="36"/>
        </w:rPr>
      </w:pPr>
      <w:bookmarkStart w:id="4" w:name="_Toc17828"/>
      <w:r w:rsidRPr="00773039">
        <w:rPr>
          <w:rFonts w:ascii="Times New Roman" w:hAnsi="Times New Roman" w:cs="Times New Roman"/>
          <w:b/>
          <w:bCs/>
          <w:sz w:val="28"/>
          <w:szCs w:val="36"/>
        </w:rPr>
        <w:t>Theoretical concepts and evolution of asset management</w:t>
      </w:r>
      <w:bookmarkEnd w:id="4"/>
    </w:p>
    <w:p w14:paraId="05682B60" w14:textId="77777777" w:rsidR="00CB2BA9" w:rsidRDefault="00CB2BA9" w:rsidP="00773039">
      <w:pPr>
        <w:snapToGrid w:val="0"/>
        <w:spacing w:line="360" w:lineRule="auto"/>
        <w:ind w:leftChars="200" w:left="420" w:firstLine="709"/>
        <w:outlineLvl w:val="1"/>
        <w:rPr>
          <w:rFonts w:ascii="Times New Roman" w:hAnsi="Times New Roman" w:cs="Times New Roman"/>
          <w:b/>
          <w:bCs/>
          <w:sz w:val="28"/>
          <w:szCs w:val="36"/>
        </w:rPr>
      </w:pPr>
    </w:p>
    <w:p w14:paraId="0854AB8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a professional field and management practice, the theoretical concepts and evolution of asset management reflect the complexity and dynamism of the business environment. From the initial simple financial records to today's comprehensive integrated management system, asset management theory has undergone profound changes, constantly adapting to and promoting the needs of corporate value creation. This section will explore the origin, development and modern evolution of asset management theory in depth, providing a theoretical basis for understanding the asset management practices of Chinese companies.</w:t>
      </w:r>
    </w:p>
    <w:p w14:paraId="3345804F"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origins of asset management can be traced back to ancient civilizations, when people made initial attempts to record and manage property. However, as a systematic management discipline, the theoretical foundation of asset management was truly established in financial management and accounting practices in the early 20th century. During this period, the focus of asset management was mainly on the accurate recording and maintenance of tangible assets to ensure that the financial status of the enterprise could be truly reflected [1]. Subsequently, over time, the scope of asset management continued to expand to include the management of financial assets and intangible assets.</w:t>
      </w:r>
    </w:p>
    <w:p w14:paraId="0C5832D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the mid-20th century, with the rise of modern corporate theory, asset management was gradually seen as an indispensable part of promoting corporate value creation. The modern portfolio theory proposed by Markowitz in 1952 laid a solid scientific foundation for financial asset management. The theory emphasized the importance of diversified investment and risk management for asset </w:t>
      </w:r>
      <w:proofErr w:type="gramStart"/>
      <w:r>
        <w:rPr>
          <w:rFonts w:ascii="Times New Roman" w:hAnsi="Times New Roman" w:cs="Times New Roman"/>
          <w:sz w:val="28"/>
          <w:szCs w:val="28"/>
        </w:rPr>
        <w:t>appreciation[</w:t>
      </w:r>
      <w:proofErr w:type="gramEnd"/>
      <w:r>
        <w:rPr>
          <w:rFonts w:ascii="Times New Roman" w:hAnsi="Times New Roman" w:cs="Times New Roman"/>
          <w:sz w:val="28"/>
          <w:szCs w:val="28"/>
        </w:rPr>
        <w:t xml:space="preserve">2]. This revolutionary theory not only profoundly influenced the allocation strategy of </w:t>
      </w:r>
      <w:r>
        <w:rPr>
          <w:rFonts w:ascii="Times New Roman" w:hAnsi="Times New Roman" w:cs="Times New Roman"/>
          <w:sz w:val="28"/>
          <w:szCs w:val="28"/>
        </w:rPr>
        <w:lastRenderedPageBreak/>
        <w:t xml:space="preserve">financial assets, but also provided a new dimension of thinking for the optimization layout of the overall assets of enterprises. At the same time, physical asset management has also begun to receive unprecedented attention, especially in the manufacturing and infrastructure sectors. The proper maintenance and continuous optimization of assets are regarded as the key to improving production efficiency and reducing operating </w:t>
      </w:r>
      <w:proofErr w:type="gramStart"/>
      <w:r>
        <w:rPr>
          <w:rFonts w:ascii="Times New Roman" w:hAnsi="Times New Roman" w:cs="Times New Roman"/>
          <w:sz w:val="28"/>
          <w:szCs w:val="28"/>
        </w:rPr>
        <w:t>costs[</w:t>
      </w:r>
      <w:proofErr w:type="gramEnd"/>
      <w:r>
        <w:rPr>
          <w:rFonts w:ascii="Times New Roman" w:hAnsi="Times New Roman" w:cs="Times New Roman"/>
          <w:sz w:val="28"/>
          <w:szCs w:val="28"/>
        </w:rPr>
        <w:t>3].</w:t>
      </w:r>
    </w:p>
    <w:p w14:paraId="2EA40BC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the 1970s and 1980s, asset management theory experienced another major leap forward, and the concept of asset life cycle management gradually gained popularity. This concept emphasizes that every link, from asset procurement, use to final disposal, must be included in a systematic management framework to maximize the value of </w:t>
      </w:r>
      <w:proofErr w:type="gramStart"/>
      <w:r>
        <w:rPr>
          <w:rFonts w:ascii="Times New Roman" w:hAnsi="Times New Roman" w:cs="Times New Roman"/>
          <w:sz w:val="28"/>
          <w:szCs w:val="28"/>
        </w:rPr>
        <w:t>assets[</w:t>
      </w:r>
      <w:proofErr w:type="gramEnd"/>
      <w:r>
        <w:rPr>
          <w:rFonts w:ascii="Times New Roman" w:hAnsi="Times New Roman" w:cs="Times New Roman"/>
          <w:sz w:val="28"/>
          <w:szCs w:val="28"/>
        </w:rPr>
        <w:t>4]. During this period, the responsibility of asset management was no longer limited to a single financial or operational department, but rose to a cross-departmental strategic task that required close collaboration and cooperation among departments. At the same time, the strategic value of intangible assets such as brand reputation, patented technology and intellectual property rights became increasingly apparent, prompting asset management theory to develop in a more comprehensive and integrated direction to adapt to the ever-changing market environment.</w:t>
      </w:r>
    </w:p>
    <w:p w14:paraId="66655DD5"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Since </w:t>
      </w:r>
      <w:r>
        <w:rPr>
          <w:rFonts w:ascii="Times New Roman" w:hAnsi="Times New Roman" w:cs="Times New Roman"/>
          <w:sz w:val="28"/>
          <w:szCs w:val="28"/>
        </w:rPr>
        <w:t xml:space="preserve">the beginning of the 21st </w:t>
      </w:r>
      <w:proofErr w:type="gramStart"/>
      <w:r>
        <w:rPr>
          <w:rFonts w:ascii="Times New Roman" w:hAnsi="Times New Roman" w:cs="Times New Roman"/>
          <w:sz w:val="28"/>
          <w:szCs w:val="28"/>
        </w:rPr>
        <w:t>century ,</w:t>
      </w:r>
      <w:proofErr w:type="gramEnd"/>
      <w:r>
        <w:rPr>
          <w:rFonts w:ascii="Times New Roman" w:hAnsi="Times New Roman" w:cs="Times New Roman"/>
          <w:sz w:val="28"/>
          <w:szCs w:val="28"/>
        </w:rPr>
        <w:t xml:space="preserve"> the wave of globalization and the rapid development of digital technology have brought unprecedented challenges and opportunities to enterprise asset management. </w:t>
      </w:r>
      <w:r>
        <w:rPr>
          <w:rFonts w:ascii="Times New Roman" w:hAnsi="Times New Roman" w:cs="Times New Roman"/>
          <w:sz w:val="28"/>
          <w:szCs w:val="28"/>
          <w:lang w:val="en-US"/>
        </w:rPr>
        <w:t xml:space="preserve">First, </w:t>
      </w:r>
      <w:r>
        <w:rPr>
          <w:rFonts w:ascii="Times New Roman" w:hAnsi="Times New Roman" w:cs="Times New Roman"/>
          <w:sz w:val="28"/>
          <w:szCs w:val="28"/>
        </w:rPr>
        <w:t xml:space="preserve">the emergence of enterprise asset management (EAM) systems marks the beginning of a new era for asset </w:t>
      </w:r>
      <w:proofErr w:type="gramStart"/>
      <w:r>
        <w:rPr>
          <w:rFonts w:ascii="Times New Roman" w:hAnsi="Times New Roman" w:cs="Times New Roman"/>
          <w:sz w:val="28"/>
          <w:szCs w:val="28"/>
        </w:rPr>
        <w:t>management[</w:t>
      </w:r>
      <w:proofErr w:type="gramEnd"/>
      <w:r>
        <w:rPr>
          <w:rFonts w:ascii="Times New Roman" w:hAnsi="Times New Roman" w:cs="Times New Roman"/>
          <w:sz w:val="28"/>
          <w:szCs w:val="28"/>
        </w:rPr>
        <w:t xml:space="preserve">5]. EAM systems not only integrate multiple functions such as asset lifecycle management, preventive maintenance, risk assessment, and decision support, but also enable enterprises to manage their complex asset portfolios with unprecedented accuracy and comprehensiveness through advanced technologies such as big data and cloud computing. In addition, as the world pays more attention to sustainable development and social responsibility, asset management theory has also begun to actively integrate these emerging issues, focusing not only on the economic benefits of assets, but also on their impact on the environment and society, as well as how to better respond to the expectations and needs of stakeholders. This series of </w:t>
      </w:r>
      <w:r>
        <w:rPr>
          <w:rFonts w:ascii="Times New Roman" w:hAnsi="Times New Roman" w:cs="Times New Roman"/>
          <w:sz w:val="28"/>
          <w:szCs w:val="28"/>
        </w:rPr>
        <w:lastRenderedPageBreak/>
        <w:t>changes has undoubtedly injected new vitality into the field of asset management and promoted its continuous evolution towards a more intelligent, green, and humane direction.</w:t>
      </w:r>
    </w:p>
    <w:p w14:paraId="59CDB494" w14:textId="77777777" w:rsidR="00CB2BA9" w:rsidRDefault="00773039" w:rsidP="00773039">
      <w:pPr>
        <w:snapToGrid w:val="0"/>
        <w:spacing w:line="360" w:lineRule="auto"/>
        <w:ind w:firstLine="709"/>
        <w:rPr>
          <w:rFonts w:ascii="Times New Roman" w:hAnsi="Times New Roman" w:cs="Times New Roman"/>
          <w:sz w:val="28"/>
          <w:szCs w:val="28"/>
          <w:lang w:val="en-US"/>
        </w:rPr>
      </w:pPr>
      <w:bookmarkStart w:id="5" w:name="OLE_LINK1"/>
      <w:r>
        <w:rPr>
          <w:rFonts w:ascii="Times New Roman" w:hAnsi="Times New Roman" w:cs="Times New Roman"/>
          <w:sz w:val="28"/>
          <w:szCs w:val="28"/>
          <w:lang w:val="en-US"/>
        </w:rPr>
        <w:t>As the global business environment becomes increasingly complex and competitive, modern asset management theory has undergone significant evolution in the early 21st century. This evolution is not only a summary of the practical experience of the previous decades, but also a response to emerging technologies and management ideas. In this context, modern asset management theory emphasizes several key concepts that profoundly change how organizations view and manage their assets.</w:t>
      </w:r>
    </w:p>
    <w:p w14:paraId="439589CD"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First, the concept of strategic asset management has been widely recognized and applied. This concept requires that asset management be closely integrated with the overall strategic goals of the enterprise, thereby ensuring that asset management decisions not only serve short-term goals but also support the long-term development of the </w:t>
      </w:r>
      <w:proofErr w:type="gramStart"/>
      <w:r>
        <w:rPr>
          <w:rFonts w:ascii="Times New Roman" w:hAnsi="Times New Roman" w:cs="Times New Roman"/>
          <w:sz w:val="28"/>
          <w:szCs w:val="28"/>
          <w:lang w:val="en-US"/>
        </w:rPr>
        <w:t>enterprise[</w:t>
      </w:r>
      <w:proofErr w:type="gramEnd"/>
      <w:r>
        <w:rPr>
          <w:rFonts w:ascii="Times New Roman" w:hAnsi="Times New Roman" w:cs="Times New Roman"/>
          <w:sz w:val="28"/>
          <w:szCs w:val="28"/>
          <w:lang w:val="en-US"/>
        </w:rPr>
        <w:t>6]. Specifically, strategic asset management emphasizes the following aspects:</w:t>
      </w:r>
    </w:p>
    <w:p w14:paraId="5AD456DC" w14:textId="77777777" w:rsidR="00CB2BA9" w:rsidRDefault="00773039" w:rsidP="00773039">
      <w:pPr>
        <w:numPr>
          <w:ilvl w:val="0"/>
          <w:numId w:val="1"/>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Long-term value creation: Asset management decisions are no longer focused solely on short-term financial returns, but are more concerned with how to create long-term value for the company through asset management. This may include investing in assets that may not bring direct benefits in the short term but are critical to the company's competitiveness in the long </w:t>
      </w:r>
      <w:proofErr w:type="gramStart"/>
      <w:r>
        <w:rPr>
          <w:rFonts w:ascii="Times New Roman" w:hAnsi="Times New Roman" w:cs="Times New Roman"/>
          <w:sz w:val="28"/>
          <w:szCs w:val="28"/>
          <w:lang w:val="en-US"/>
        </w:rPr>
        <w:t>run[</w:t>
      </w:r>
      <w:proofErr w:type="gramEnd"/>
      <w:r>
        <w:rPr>
          <w:rFonts w:ascii="Times New Roman" w:hAnsi="Times New Roman" w:cs="Times New Roman"/>
          <w:sz w:val="28"/>
          <w:szCs w:val="28"/>
          <w:lang w:val="en-US"/>
        </w:rPr>
        <w:t>7].</w:t>
      </w:r>
    </w:p>
    <w:p w14:paraId="1F152A83" w14:textId="77777777" w:rsidR="00CB2BA9" w:rsidRDefault="00773039" w:rsidP="00773039">
      <w:pPr>
        <w:numPr>
          <w:ilvl w:val="0"/>
          <w:numId w:val="1"/>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Full life cycle management: Strategic asset management requires enterprises to plan and make decisions from the perspective of the entire life cycle of assets. This includes the entire process from asset acquisition, use, maintenance to final disposal, ensuring that the asset value is maximized at every </w:t>
      </w:r>
      <w:proofErr w:type="gramStart"/>
      <w:r>
        <w:rPr>
          <w:rFonts w:ascii="Times New Roman" w:hAnsi="Times New Roman" w:cs="Times New Roman"/>
          <w:sz w:val="28"/>
          <w:szCs w:val="28"/>
          <w:lang w:val="en-US"/>
        </w:rPr>
        <w:t>stage[</w:t>
      </w:r>
      <w:proofErr w:type="gramEnd"/>
      <w:r>
        <w:rPr>
          <w:rFonts w:ascii="Times New Roman" w:hAnsi="Times New Roman" w:cs="Times New Roman"/>
          <w:sz w:val="28"/>
          <w:szCs w:val="28"/>
          <w:lang w:val="en-US"/>
        </w:rPr>
        <w:t>7].</w:t>
      </w:r>
    </w:p>
    <w:p w14:paraId="0A0CAF59" w14:textId="77777777" w:rsidR="00CB2BA9" w:rsidRDefault="00773039" w:rsidP="00773039">
      <w:pPr>
        <w:numPr>
          <w:ilvl w:val="0"/>
          <w:numId w:val="1"/>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Cross-departmental collaboration: In order to achieve strategic goals, asset management is no longer the responsibility of a single department, but requires collaboration among multiple departments such as finance, operations, and human resources. This cross-departmental collaboration ensures that asset management decisions take into account all aspects of the enterprise.</w:t>
      </w:r>
    </w:p>
    <w:p w14:paraId="23AF8EF3" w14:textId="77777777" w:rsidR="00CB2BA9" w:rsidRDefault="00773039" w:rsidP="00773039">
      <w:pPr>
        <w:numPr>
          <w:ilvl w:val="0"/>
          <w:numId w:val="1"/>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lastRenderedPageBreak/>
        <w:t>Integration with corporate culture: Strategic asset management also emphasizes integrating asset management concepts into corporate culture, so that every employee is aware of the importance of asset management and implements this concept in daily work.</w:t>
      </w:r>
    </w:p>
    <w:p w14:paraId="210BBACC"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Secondly, the risk-based asset management approach has become another core concept of modern asset management theory. This approach stems from people’s awareness of the potential risks that may arise from the pursuit of asset efficiency alone. It emphasizes that various relevant risks must be considered comprehensively when managing </w:t>
      </w:r>
      <w:proofErr w:type="gramStart"/>
      <w:r>
        <w:rPr>
          <w:rFonts w:ascii="Times New Roman" w:hAnsi="Times New Roman" w:cs="Times New Roman"/>
          <w:sz w:val="28"/>
          <w:szCs w:val="28"/>
          <w:lang w:val="en-US"/>
        </w:rPr>
        <w:t>assets[</w:t>
      </w:r>
      <w:proofErr w:type="gramEnd"/>
      <w:r>
        <w:rPr>
          <w:rFonts w:ascii="Times New Roman" w:hAnsi="Times New Roman" w:cs="Times New Roman"/>
          <w:sz w:val="28"/>
          <w:szCs w:val="28"/>
          <w:lang w:val="en-US"/>
        </w:rPr>
        <w:t>8]. The risk-based asset management approach includes the following key elements:</w:t>
      </w:r>
    </w:p>
    <w:p w14:paraId="5A09F8A1" w14:textId="77777777" w:rsidR="00CB2BA9" w:rsidRDefault="00773039" w:rsidP="00773039">
      <w:pPr>
        <w:numPr>
          <w:ilvl w:val="0"/>
          <w:numId w:val="2"/>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Risk identification: Systematically identify various risks associated with assets, including but not limited to financial risks, operational risks, market risks, technological risks and reputation risks.</w:t>
      </w:r>
    </w:p>
    <w:p w14:paraId="4B940E22" w14:textId="77777777" w:rsidR="00CB2BA9" w:rsidRDefault="00773039" w:rsidP="00773039">
      <w:pPr>
        <w:numPr>
          <w:ilvl w:val="0"/>
          <w:numId w:val="2"/>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Risk assessment: Quantitative and qualitative analysis of identified risks to assess their likelihood of occurrence and potential impact.</w:t>
      </w:r>
    </w:p>
    <w:p w14:paraId="09EEF96F" w14:textId="77777777" w:rsidR="00CB2BA9" w:rsidRDefault="00773039" w:rsidP="00773039">
      <w:pPr>
        <w:numPr>
          <w:ilvl w:val="0"/>
          <w:numId w:val="2"/>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Risk management strategy formulation: Based on the risk assessment results, formulate corresponding risk management strategies, which may include risk avoidance, risk transfer, risk mitigation or risk acceptance.</w:t>
      </w:r>
    </w:p>
    <w:p w14:paraId="2FE3CAF3" w14:textId="77777777" w:rsidR="00CB2BA9" w:rsidRDefault="00773039" w:rsidP="00773039">
      <w:pPr>
        <w:numPr>
          <w:ilvl w:val="0"/>
          <w:numId w:val="2"/>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Continuous monitoring and adjustment: Establish a risk monitoring mechanism, regularly evaluate the effectiveness of risk management strategies, and make timely adjustments based on changes in the internal and external environment.</w:t>
      </w:r>
    </w:p>
    <w:p w14:paraId="50EDABE3"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Third, data-driven decision making has become a prominent feature of modern asset management theory. This trend is inseparable from the rapid development of emerging technologies such as big data and artificial intelligence. Data-driven asset management decisions have the following characteristics:</w:t>
      </w:r>
    </w:p>
    <w:p w14:paraId="48E7F49D" w14:textId="77777777" w:rsidR="00CB2BA9" w:rsidRDefault="00773039" w:rsidP="00773039">
      <w:pPr>
        <w:numPr>
          <w:ilvl w:val="0"/>
          <w:numId w:val="3"/>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Real-time monitoring: Using the Internet of Things (IoT) technology, companies can monitor the status and performance of assets in real time, detect potential problems in a timely manner, and take preventive measures.</w:t>
      </w:r>
    </w:p>
    <w:p w14:paraId="059FFA03" w14:textId="77777777" w:rsidR="00CB2BA9" w:rsidRDefault="00773039" w:rsidP="00773039">
      <w:pPr>
        <w:numPr>
          <w:ilvl w:val="0"/>
          <w:numId w:val="3"/>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Predictive maintenance: By analyzing historical and real-time data, </w:t>
      </w:r>
      <w:r>
        <w:rPr>
          <w:rFonts w:ascii="Times New Roman" w:hAnsi="Times New Roman" w:cs="Times New Roman"/>
          <w:sz w:val="28"/>
          <w:szCs w:val="28"/>
          <w:lang w:val="en-US"/>
        </w:rPr>
        <w:lastRenderedPageBreak/>
        <w:t>companies can predict potential problems with assets and implement preventive maintenance, thereby reducing unplanned downtime and extending the life of assets.</w:t>
      </w:r>
    </w:p>
    <w:p w14:paraId="654709CC" w14:textId="77777777" w:rsidR="00CB2BA9" w:rsidRDefault="00773039" w:rsidP="00773039">
      <w:pPr>
        <w:numPr>
          <w:ilvl w:val="0"/>
          <w:numId w:val="3"/>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Optimize asset allocation: Using advanced analytics and machine learning algorithms, companies can more accurately predict asset demand, optimize asset allocation, and improve resource utilization efficiency.</w:t>
      </w:r>
    </w:p>
    <w:p w14:paraId="714FC69A" w14:textId="77777777" w:rsidR="00CB2BA9" w:rsidRDefault="00773039" w:rsidP="00773039">
      <w:pPr>
        <w:numPr>
          <w:ilvl w:val="0"/>
          <w:numId w:val="3"/>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Intelligent decision support: The application of artificial intelligence technology makes the asset management decision-making process more intelligent. AI systems can analyze large amounts of complex data and provide managers with decision-making suggestions to help them make more informed decisions.</w:t>
      </w:r>
    </w:p>
    <w:p w14:paraId="1C82E694" w14:textId="77777777" w:rsidR="00CB2BA9" w:rsidRDefault="00773039" w:rsidP="00773039">
      <w:pPr>
        <w:numPr>
          <w:ilvl w:val="0"/>
          <w:numId w:val="3"/>
        </w:num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Scenario simulation: Through digital twin technology, companies can simulate different asset management strategies in a virtual environment, evaluate their potential impacts, and select the optimal solution.</w:t>
      </w:r>
    </w:p>
    <w:p w14:paraId="64D46D24"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These three core concepts - strategic asset management, risk-based approach and data-driven decision making - are not isolated from each other, but closely linked and mutually reinforcing. Specifically, data-driven decision making provides the necessary information foundation and tool assistance for risk-based asset management, while strategic asset management provides a macro framework and clear direction for the other two.</w:t>
      </w:r>
    </w:p>
    <w:p w14:paraId="446BF2D1"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At the same time, the evolution and application of these concepts also demonstrate that asset management theory is gradually shifting from the traditional financial and operational focus to a more comprehensive and strategic direction. This trend of change is consistent with the aforementioned expansion of the scope of asset management, the rise of EAM systems, and the growing emphasis on sustainability and social responsibility.</w:t>
      </w:r>
    </w:p>
    <w:bookmarkEnd w:id="5"/>
    <w:p w14:paraId="7C4F159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addition, the trend towards standardization of asset management constitutes another important milestone, marking a new stage of maturity in the field of asset management. The ISO 55000 series of standards issued in 2014 provided a unified framework and common language for global asset management practices, marking a major turning point in the </w:t>
      </w:r>
      <w:proofErr w:type="gramStart"/>
      <w:r>
        <w:rPr>
          <w:rFonts w:ascii="Times New Roman" w:hAnsi="Times New Roman" w:cs="Times New Roman"/>
          <w:sz w:val="28"/>
          <w:szCs w:val="28"/>
        </w:rPr>
        <w:t>field[</w:t>
      </w:r>
      <w:proofErr w:type="gramEnd"/>
      <w:r>
        <w:rPr>
          <w:rFonts w:ascii="Times New Roman" w:hAnsi="Times New Roman" w:cs="Times New Roman"/>
          <w:sz w:val="28"/>
          <w:szCs w:val="28"/>
        </w:rPr>
        <w:t xml:space="preserve">9]. This series of standards consists of three interrelated </w:t>
      </w:r>
      <w:r>
        <w:rPr>
          <w:rFonts w:ascii="Times New Roman" w:hAnsi="Times New Roman" w:cs="Times New Roman"/>
          <w:sz w:val="28"/>
          <w:szCs w:val="28"/>
        </w:rPr>
        <w:lastRenderedPageBreak/>
        <w:t xml:space="preserve">parts: ISO 55000 (overview, principles and terminology), ISO 55001 (management system requirements) and ISO 55002 (guidance on the application of ISO </w:t>
      </w:r>
      <w:proofErr w:type="gramStart"/>
      <w:r>
        <w:rPr>
          <w:rFonts w:ascii="Times New Roman" w:hAnsi="Times New Roman" w:cs="Times New Roman"/>
          <w:sz w:val="28"/>
          <w:szCs w:val="28"/>
        </w:rPr>
        <w:t>55001)[</w:t>
      </w:r>
      <w:proofErr w:type="gramEnd"/>
      <w:r>
        <w:rPr>
          <w:rFonts w:ascii="Times New Roman" w:hAnsi="Times New Roman" w:cs="Times New Roman"/>
          <w:sz w:val="28"/>
          <w:szCs w:val="28"/>
        </w:rPr>
        <w:t>10]. The formulation of these standards is based on an in-depth summary and refinement of global asset management best practices, reflecting the trend of asset management shifting from simple technical maintenance to comprehensive strategic management.</w:t>
      </w:r>
    </w:p>
    <w:p w14:paraId="00FD122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the field of financial asset management, theoretical development has shown a trend of diversification and deepening, providing a more solid foundation for practice. Since its introduction in the 1950s, traditional modern portfolio theory has been the core theoretical basis of financial asset management </w:t>
      </w:r>
      <w:r>
        <w:rPr>
          <w:rFonts w:ascii="Times New Roman" w:hAnsi="Times New Roman" w:cs="Times New Roman"/>
          <w:sz w:val="28"/>
          <w:szCs w:val="28"/>
          <w:lang w:val="en-US"/>
        </w:rPr>
        <w:t>[11</w:t>
      </w:r>
      <w:proofErr w:type="gramStart"/>
      <w:r>
        <w:rPr>
          <w:rFonts w:ascii="Times New Roman" w:hAnsi="Times New Roman" w:cs="Times New Roman"/>
          <w:sz w:val="28"/>
          <w:szCs w:val="28"/>
          <w:lang w:val="en-US"/>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However, with the increasing complexity of financial markets and changes in investor demand, new models and strategies continue to emerge [1</w:t>
      </w:r>
      <w:r>
        <w:rPr>
          <w:rFonts w:ascii="Times New Roman" w:hAnsi="Times New Roman" w:cs="Times New Roman"/>
          <w:sz w:val="28"/>
          <w:szCs w:val="28"/>
          <w:lang w:val="en-US"/>
        </w:rPr>
        <w:t>2</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07AD83F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Among them, the development of factor investment models is particularly noteworthy. Based on the analysis of historical data, this model </w:t>
      </w:r>
      <w:r>
        <w:rPr>
          <w:rFonts w:ascii="Times New Roman" w:hAnsi="Times New Roman" w:cs="Times New Roman"/>
          <w:sz w:val="28"/>
          <w:szCs w:val="28"/>
          <w:lang w:val="en-US"/>
        </w:rPr>
        <w:t xml:space="preserve">can </w:t>
      </w:r>
      <w:r>
        <w:rPr>
          <w:rFonts w:ascii="Times New Roman" w:hAnsi="Times New Roman" w:cs="Times New Roman"/>
          <w:sz w:val="28"/>
          <w:szCs w:val="28"/>
        </w:rPr>
        <w:t xml:space="preserve">identify key factors or "factors" that affect asset returns, such as value, momentum, size, quality, and volatility. By systematically exposing to these factors, investors can more effectively capture excess returns and manage risks. For example, the Fama-French three-factor model and its subsequent extensions provide a more comprehensive framework for explaining stock returns, going beyond the traditional capital asset pricing model (CAPM) </w:t>
      </w:r>
      <w:r>
        <w:rPr>
          <w:rFonts w:ascii="Times New Roman" w:hAnsi="Times New Roman" w:cs="Times New Roman" w:hint="eastAsia"/>
          <w:sz w:val="28"/>
          <w:szCs w:val="28"/>
        </w:rPr>
        <w:t>[</w:t>
      </w:r>
      <w:r>
        <w:rPr>
          <w:rFonts w:ascii="Times New Roman" w:hAnsi="Times New Roman" w:cs="Times New Roman"/>
          <w:sz w:val="28"/>
          <w:szCs w:val="28"/>
          <w:lang w:val="en-US"/>
        </w:rPr>
        <w:t>13</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26AD280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At the same time, the development of behavioral finance has also had a profound impact on asset management theory. By studying investors’ psychological and behavioral biases, such as overconfidence, anchoring effect, and loss aversion, behavioral finance provides a new perspective for explaining market anomalies and optimizing investment decisions </w:t>
      </w:r>
      <w:r>
        <w:rPr>
          <w:rFonts w:ascii="Times New Roman" w:hAnsi="Times New Roman" w:cs="Times New Roman" w:hint="eastAsia"/>
          <w:sz w:val="28"/>
          <w:szCs w:val="28"/>
        </w:rPr>
        <w:t>[</w:t>
      </w:r>
      <w:r>
        <w:rPr>
          <w:rFonts w:ascii="Times New Roman" w:hAnsi="Times New Roman" w:cs="Times New Roman"/>
          <w:sz w:val="28"/>
          <w:szCs w:val="28"/>
          <w:lang w:val="en-US"/>
        </w:rPr>
        <w:t>14</w:t>
      </w:r>
      <w:r>
        <w:rPr>
          <w:rFonts w:ascii="Times New Roman" w:hAnsi="Times New Roman" w:cs="Times New Roman" w:hint="eastAsia"/>
          <w:sz w:val="28"/>
          <w:szCs w:val="28"/>
          <w:lang w:val="en-US"/>
        </w:rPr>
        <w:t>]</w:t>
      </w:r>
      <w:r>
        <w:rPr>
          <w:rFonts w:ascii="Times New Roman" w:hAnsi="Times New Roman" w:cs="Times New Roman"/>
          <w:sz w:val="28"/>
          <w:szCs w:val="28"/>
        </w:rPr>
        <w:t>. This has prompted asset managers to consider psychological factors more when formulating strategies in order to better predict and respond to market fluctuations.</w:t>
      </w:r>
    </w:p>
    <w:p w14:paraId="5BE54C7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rise of passive investing and indexing strategies is another important trend. These strategies are based on the efficient market hypothesis, which holds that it is difficult to consistently beat the market over the long term. Therefore, they seek to achieve their investment objectives by tracking a specific market index rather than </w:t>
      </w:r>
      <w:r>
        <w:rPr>
          <w:rFonts w:ascii="Times New Roman" w:hAnsi="Times New Roman" w:cs="Times New Roman"/>
          <w:sz w:val="28"/>
          <w:szCs w:val="28"/>
        </w:rPr>
        <w:lastRenderedPageBreak/>
        <w:t xml:space="preserve">trying to pick individual stocks or time their trades. This approach not only reduces management costs but also increases portfolio transparency and liquidity. For example, the rapid growth of exchange-traded funds (ETFs) is a reflection of this trend </w:t>
      </w:r>
      <w:r>
        <w:rPr>
          <w:rFonts w:ascii="Times New Roman" w:hAnsi="Times New Roman" w:cs="Times New Roman" w:hint="eastAsia"/>
          <w:sz w:val="28"/>
          <w:szCs w:val="28"/>
        </w:rPr>
        <w:t>[</w:t>
      </w:r>
      <w:r>
        <w:rPr>
          <w:rFonts w:ascii="Times New Roman" w:hAnsi="Times New Roman" w:cs="Times New Roman"/>
          <w:sz w:val="28"/>
          <w:szCs w:val="28"/>
          <w:lang w:val="en-US"/>
        </w:rPr>
        <w:t>15</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06B3C1C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environmental, social and governance (ESG) factors become increasingly important in investment decisions, sustainable asset management has become a new frontier in theory and practice. This shift reflects investors' and society's higher expectations of corporate responsibility and increased awareness of long-term systemic risks. ESG investing is no longer seen as a simple moral choice, but is recognized as an important tool for identifying long-term value and managing risk.</w:t>
      </w:r>
    </w:p>
    <w:p w14:paraId="391E6642"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Specifically, ESG (environmental, social and governance) integration requires asset managers to consider environmental factors (such as carbon emissions and resource efficiency), social factors (such as labor practices and product safety), and governance factors (such as board structure and business ethics) in addition to traditional financial analysis. This approach not only helps to identify sustainable long-term investment opportunities, but also effectively manages potential adverse factors related to systemic risks such as climate change and social inequality.</w:t>
      </w:r>
    </w:p>
    <w:p w14:paraId="5E45BFD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Take climate change risk, for example. It has become a core concern for many institutional investors. Asset managers need to assess potential physical risks (such as the direct impact of extreme weather events on assets) and transition risks (such as the challenges brought about by policy and technological changes in the transition to a low-carbon economy). This has driven the development of new analytical tools and methods, such as climate scenario analysis and carbon footprint assessment.</w:t>
      </w:r>
    </w:p>
    <w:p w14:paraId="34DCF74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Technological innovation continues to reshape the theory and practice of asset management, bringing unprecedented opportunities and challenges. The widespread application of Internet of Things (IoT) technology has completely changed the way physical assets are managed. By installing sensors on assets, companies can monitor asset status in real time, predict maintenance needs, and optimize asset use. In the manufacturing industry, predictive maintenance can significantly reduce equipment failures and downtime, thereby improving overall equipment effectiveness (OEE).</w:t>
      </w:r>
    </w:p>
    <w:p w14:paraId="1C07B27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Blockchain technology offers new possibilities for recording and transferring </w:t>
      </w:r>
      <w:r>
        <w:rPr>
          <w:rFonts w:ascii="Times New Roman" w:hAnsi="Times New Roman" w:cs="Times New Roman"/>
          <w:sz w:val="28"/>
          <w:szCs w:val="28"/>
        </w:rPr>
        <w:lastRenderedPageBreak/>
        <w:t>asset ownership. Its distributed ledger feature enhances the transparency and security of transactions and reduces intermediary costs. In the field of financial asset management, blockchain can simplify back-office operations and speed up the clearing and settlement process. For alternative assets, such as artworks or intellectual property, blockchain technology can facilitate the division and trading of ownership, potentially increasing the liquidity of these assets.</w:t>
      </w:r>
    </w:p>
    <w:p w14:paraId="6E565E3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application of artificial intelligence (AI) and machine learning (ML) algorithms is revolutionizing the face of financial asset management. These technologies can process massive amounts of data, identify complex patterns, and make real-time decisions. In investment management, AI/ML is widely used in market forecasting, risk modeling, portfolio optimization, and many other aspects. For example, natural language processing (NLP) technology can analyze news, social media, and company reports to provide more timely and detailed market insights.</w:t>
      </w:r>
    </w:p>
    <w:p w14:paraId="026A304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However, the application of technology also brings new challenges, including data quality and explainability issues, algorithmic bias, and cybersecurity risks, etc. This requires asset managers to be cautious when adopting new technologies and continue to invest in data governance and risk management.</w:t>
      </w:r>
    </w:p>
    <w:p w14:paraId="3ECB508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At the organizational level, asset management theory increasingly emphasizes the importance of cross-functional collaboration and overall optimization. The development of the concept of asset management office (AMO) is a reflection of this trend. As a central coordination agency, AMO is responsible for integrating various asset management activities within the enterprise to ensure the effective allocation and use of resources. Its responsibilities may include formulating unified asset management policies, coordinating asset management activities of different departments, monitoring asset performance, and identifying improvement opportunities.</w:t>
      </w:r>
    </w:p>
    <w:p w14:paraId="18DD86D1"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establishment of AMO helps break down traditional departmental barriers and promote information sharing and the dissemination of best practices. In large manufacturing companies, AMO can coordinate the efforts of departments such as production, maintenance, finance and IT to ensure that asset management decisions take into account the impact and needs of all aspects. This holistic approach can not </w:t>
      </w:r>
      <w:r>
        <w:rPr>
          <w:rFonts w:ascii="Times New Roman" w:hAnsi="Times New Roman" w:cs="Times New Roman"/>
          <w:sz w:val="28"/>
          <w:szCs w:val="28"/>
        </w:rPr>
        <w:lastRenderedPageBreak/>
        <w:t>only improve asset utilization, but also better integrate asset management with the company's strategic goals.</w:t>
      </w:r>
    </w:p>
    <w:p w14:paraId="0589D1C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At the same time, asset management theory has begun to pay more attention to the role of human resources and organizational culture. Successful asset management requires not only advanced technology and systems, but also appropriate skills, knowledge and organizational support. This includes cultivating asset managers with interdisciplinary knowledge, establishing a culture that encourages innovation and continuous learning, and designing appropriate incentive mechanisms.</w:t>
      </w:r>
    </w:p>
    <w:p w14:paraId="134073B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data analytics becomes increasingly important in asset management, many organizations are investing in improving their employees’ data literacy and analytical capabilities. At the same time, soft skills such as communication, collaboration, and change management are becoming increasingly important, as effective asset management often involves cross-departmental collaboration and stakeholder management.</w:t>
      </w:r>
    </w:p>
    <w:p w14:paraId="2AA3F97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global economic uncertainty increases, asset management theory is evolving to meet new challenges. Recent events, such as the 2008 global financial crisis, trade tensions, and the COVID-19 pandemic, have highlighted the fragility and interconnectedness of economic systems. This has prompted asset management theory to pay more and more attention to the importance of resilience and adaptability.</w:t>
      </w:r>
    </w:p>
    <w:p w14:paraId="6FA616BB" w14:textId="77777777" w:rsidR="00CB2BA9" w:rsidRDefault="00773039" w:rsidP="00773039">
      <w:pPr>
        <w:snapToGrid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rPr>
        <w:t>In summary, the development and application of these key concepts marks a new stage in asset management theory, providing solid theoretical guidance for enterprises to effectively manage assets and create value in an increasingly complex and changing environment. With the continuous advancement of technology and the increasing accumulation of management practices, these concepts are likely to continue to evolve, further promoting the development of asset management theory and practice in a more sophisticated and comprehensive direction.</w:t>
      </w:r>
    </w:p>
    <w:p w14:paraId="51C2EF3B" w14:textId="77777777" w:rsidR="00773039" w:rsidRPr="00773039" w:rsidRDefault="00773039" w:rsidP="00773039">
      <w:pPr>
        <w:snapToGrid w:val="0"/>
        <w:spacing w:line="360" w:lineRule="auto"/>
        <w:ind w:firstLine="709"/>
        <w:rPr>
          <w:rFonts w:ascii="Times New Roman" w:hAnsi="Times New Roman" w:cs="Times New Roman"/>
          <w:sz w:val="28"/>
          <w:szCs w:val="28"/>
          <w:lang w:val="uk-UA"/>
        </w:rPr>
      </w:pPr>
    </w:p>
    <w:p w14:paraId="3E608878" w14:textId="77777777" w:rsidR="00CB2BA9" w:rsidRDefault="00CB2BA9" w:rsidP="00773039">
      <w:pPr>
        <w:snapToGrid w:val="0"/>
        <w:spacing w:line="360" w:lineRule="auto"/>
        <w:ind w:firstLine="709"/>
        <w:rPr>
          <w:rFonts w:ascii="Times New Roman" w:hAnsi="Times New Roman" w:cs="Times New Roman"/>
        </w:rPr>
      </w:pPr>
    </w:p>
    <w:p w14:paraId="18603BDD" w14:textId="77777777" w:rsidR="00CB2BA9" w:rsidRDefault="00773039" w:rsidP="00773039">
      <w:pPr>
        <w:snapToGrid w:val="0"/>
        <w:spacing w:line="360" w:lineRule="auto"/>
        <w:ind w:firstLine="709"/>
        <w:outlineLvl w:val="1"/>
        <w:rPr>
          <w:rFonts w:ascii="Times New Roman" w:hAnsi="Times New Roman" w:cs="Times New Roman"/>
          <w:b/>
          <w:bCs/>
          <w:sz w:val="28"/>
          <w:szCs w:val="36"/>
        </w:rPr>
      </w:pPr>
      <w:bookmarkStart w:id="6" w:name="_Toc20118"/>
      <w:r>
        <w:rPr>
          <w:rFonts w:ascii="Times New Roman" w:hAnsi="Times New Roman" w:cs="Times New Roman"/>
          <w:b/>
          <w:bCs/>
          <w:sz w:val="28"/>
          <w:szCs w:val="36"/>
        </w:rPr>
        <w:t>1.2. Global standards and practices in asset management</w:t>
      </w:r>
      <w:bookmarkEnd w:id="6"/>
    </w:p>
    <w:p w14:paraId="3EE53FB6"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As corporate operations become more global and complex, asset management </w:t>
      </w:r>
      <w:r>
        <w:rPr>
          <w:rFonts w:ascii="Times New Roman" w:hAnsi="Times New Roman" w:cs="Times New Roman"/>
          <w:sz w:val="28"/>
          <w:szCs w:val="28"/>
        </w:rPr>
        <w:lastRenderedPageBreak/>
        <w:t>has become increasingly important, prompting the formation of a series of standards and best practices around the world. These standards and practices not only provide a common language and framework, but also promote cross-industry and cross-regional knowledge exchange. This section will explore these global standards and practices in depth, with a particular focus on the ISO 55000 series of standards and their application in different industries and regions. We will analyze how these standards shape the modern asset management landscape and illustrate their impact in practical applications through specific cases. This global perspective will provide an important comparative basis for our subsequent exploration of asset management practices of Chinese companies.</w:t>
      </w:r>
    </w:p>
    <w:p w14:paraId="7BCA0C52"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Among the global asset management standards, the ISO 55000 series undoubtedly occupies a central position. This series of standards developed by the International Organization for Standardization (ISO) provides organizations with a comprehensive asset management framework. The ISO 55000 series consists of three main parts: ISO 55000 (Overview, Principles and Terminology), ISO 55001 (Management System Requirements) and ISO 55002 (Guidelines for the application of ISO 55001). The importance of this series of standards lies in that it provides a common asset management language and framework, enabling organizations of different sizes and industries to establish and maintain effective asset management systems [16].</w:t>
      </w:r>
    </w:p>
    <w:p w14:paraId="1147928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ISO 55001, as the most operational part of the series, specifies the requirements for asset management systems in detail. It emphasizes several key areas: organizational context, leadership, planning, support, operation, performance evaluation and improvement. This standard requires organizations to consider their internal and external environment and ensure that asset management objectives are aligned with overall organizational goals. It also emphasizes the importance of commitment and involvement from senior leadership and requires the establishment of clear asset management policies and objectives. In terms of planning, ISO 55001 requires organizations to identify and assess risks and opportunities associated with asset management and develop appropriate plans to address these risks and opportunities [17].</w:t>
      </w:r>
    </w:p>
    <w:p w14:paraId="01CC74A6"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An important feature of ISO 55001 is that it adopts the Plan-Do-Check-Act (PDCA) cycle approach. This approach emphasizes the importance of continuous improvement and requires organizations to continuously evaluate the performance of their asset management systems and make adjustments and optimizations based on the evaluation results. This approach ensures that the asset management system can evolve over time to adapt to changing business environments and stakeholder needs</w:t>
      </w:r>
      <w:r>
        <w:rPr>
          <w:rFonts w:ascii="Times New Roman" w:hAnsi="Times New Roman" w:cs="Times New Roman"/>
          <w:sz w:val="28"/>
          <w:szCs w:val="28"/>
          <w:lang w:val="uk-UA"/>
        </w:rPr>
        <w:t xml:space="preserve"> </w:t>
      </w:r>
      <w:r>
        <w:rPr>
          <w:rFonts w:ascii="Times New Roman" w:hAnsi="Times New Roman" w:cs="Times New Roman"/>
          <w:sz w:val="28"/>
          <w:szCs w:val="28"/>
        </w:rPr>
        <w:t>18].</w:t>
      </w:r>
    </w:p>
    <w:p w14:paraId="1BA3BB9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While the ISO 55000 series provides a comprehensive framework for asset management, it does not prescribe specific technical solutions. Instead, it provides organizations with a flexible framework that allows asset management practices to be tailored to their specific needs and circumstances. This flexibility enables the ISO 55000 series to be applicable to a wide range of organizations and assets, from tangible assets such as infrastructure and equipment to intangible assets such as intellectual property and brands [19].</w:t>
      </w:r>
    </w:p>
    <w:p w14:paraId="7360DEB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the area of financial asset management, global practice presents a more diverse and complex picture. This is partly due to the highly dynamic and interconnected nature of financial markets, but also due to differences in regulatory environments across countries and regions. However, despite these differences, certain core principles and practices have been widely adopted around the world.</w:t>
      </w:r>
    </w:p>
    <w:p w14:paraId="664DB05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Risk management is a core focus in financial asset management. Leading financial institutions around the world generally adopt complex risk management frameworks that typically include multiple levels of risk identification, assessment, monitoring, and mitigation strategies. For example, many institutions use methods such as value at risk (</w:t>
      </w:r>
      <w:proofErr w:type="spellStart"/>
      <w:r>
        <w:rPr>
          <w:rFonts w:ascii="Times New Roman" w:hAnsi="Times New Roman" w:cs="Times New Roman"/>
          <w:sz w:val="28"/>
          <w:szCs w:val="28"/>
        </w:rPr>
        <w:t>VaR</w:t>
      </w:r>
      <w:proofErr w:type="spellEnd"/>
      <w:r>
        <w:rPr>
          <w:rFonts w:ascii="Times New Roman" w:hAnsi="Times New Roman" w:cs="Times New Roman"/>
          <w:sz w:val="28"/>
          <w:szCs w:val="28"/>
        </w:rPr>
        <w:t xml:space="preserve">) and conditional value at risk (CVaR) to quantify potential market risks. At the same time, stress testing and scenario analysis are also widely used to assess potential losses under extreme market </w:t>
      </w:r>
      <w:proofErr w:type="gramStart"/>
      <w:r>
        <w:rPr>
          <w:rFonts w:ascii="Times New Roman" w:hAnsi="Times New Roman" w:cs="Times New Roman"/>
          <w:sz w:val="28"/>
          <w:szCs w:val="28"/>
        </w:rPr>
        <w:t>conditions[</w:t>
      </w:r>
      <w:proofErr w:type="gramEnd"/>
      <w:r>
        <w:rPr>
          <w:rFonts w:ascii="Times New Roman" w:hAnsi="Times New Roman" w:cs="Times New Roman"/>
          <w:sz w:val="28"/>
          <w:szCs w:val="28"/>
        </w:rPr>
        <w:t>20].</w:t>
      </w:r>
    </w:p>
    <w:p w14:paraId="4D72853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Another key aspect is diversification of investment strategies. Global asset managers typically spread their risk across different asset classes, geographic regions, and investment styles. This diversification strategy not only helps manage risk but also provides more stable returns. For example, a typical global portfolio may include stocks from developed and emerging markets, government and corporate bonds, real </w:t>
      </w:r>
      <w:r>
        <w:rPr>
          <w:rFonts w:ascii="Times New Roman" w:hAnsi="Times New Roman" w:cs="Times New Roman"/>
          <w:sz w:val="28"/>
          <w:szCs w:val="28"/>
        </w:rPr>
        <w:lastRenderedPageBreak/>
        <w:t>estate, commodities, and alternative investments such as private equity and hedge funds</w:t>
      </w:r>
      <w:r>
        <w:rPr>
          <w:rFonts w:ascii="Times New Roman" w:hAnsi="Times New Roman" w:cs="Times New Roman"/>
          <w:sz w:val="28"/>
          <w:szCs w:val="28"/>
          <w:lang w:val="uk-UA"/>
        </w:rPr>
        <w:t xml:space="preserve"> </w:t>
      </w:r>
      <w:r>
        <w:rPr>
          <w:rFonts w:ascii="Times New Roman" w:hAnsi="Times New Roman" w:cs="Times New Roman"/>
          <w:sz w:val="28"/>
          <w:szCs w:val="28"/>
        </w:rPr>
        <w:t>[21].</w:t>
      </w:r>
    </w:p>
    <w:p w14:paraId="3D6D951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recent years, responsible investment and environmental, social and governance (ESG) factors have gained significant attention in global asset management practices. Many leading asset managers now integrate ESG considerations into their investment decision-making processes, recognizing that these factors can have a significant impact on long-term financial performance. This trend is reflected in the growth of sustainable investment funds and the increasing emphasis on corporate engagement and stewardship by asset managers</w:t>
      </w:r>
      <w:r>
        <w:rPr>
          <w:rFonts w:ascii="Times New Roman" w:hAnsi="Times New Roman" w:cs="Times New Roman"/>
          <w:sz w:val="28"/>
          <w:szCs w:val="28"/>
          <w:lang w:val="uk-UA"/>
        </w:rPr>
        <w:t xml:space="preserve"> </w:t>
      </w:r>
      <w:r>
        <w:rPr>
          <w:rFonts w:ascii="Times New Roman" w:hAnsi="Times New Roman" w:cs="Times New Roman"/>
          <w:sz w:val="28"/>
          <w:szCs w:val="28"/>
        </w:rPr>
        <w:t>[22].</w:t>
      </w:r>
    </w:p>
    <w:p w14:paraId="2FFDE58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Technology is also reshaping global asset management practices. Advanced data analytics, artificial intelligence, and machine learning are increasingly being used to guide investment decisions, optimize portfolio construction, and enhance risk management. For example, some asset managers are using natural language processing to analyze large amounts of unstructured data, such as news articles and social media posts, to gain insights into market sentiment and potential investment opportunities</w:t>
      </w:r>
      <w:r>
        <w:rPr>
          <w:rFonts w:ascii="Times New Roman" w:hAnsi="Times New Roman" w:cs="Times New Roman"/>
          <w:sz w:val="28"/>
          <w:szCs w:val="28"/>
          <w:lang w:val="uk-UA"/>
        </w:rPr>
        <w:t xml:space="preserve"> </w:t>
      </w:r>
      <w:r>
        <w:rPr>
          <w:rFonts w:ascii="Times New Roman" w:hAnsi="Times New Roman" w:cs="Times New Roman"/>
          <w:sz w:val="28"/>
          <w:szCs w:val="28"/>
        </w:rPr>
        <w:t>[23].</w:t>
      </w:r>
    </w:p>
    <w:p w14:paraId="3A5B592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While global standards like ISO 55000 provide a common framework, actual asset management practices can vary significantly across industries and regions. To illustrate this diversity and the practical application of asset management principles, we can examine the case studies of some of the world’s leading companies.</w:t>
      </w:r>
    </w:p>
    <w:p w14:paraId="5D777F89"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Siemens, a global technology giant, has developed a comprehensive asset management system that is closely aligned with ISO 55000 principles. The company’s approach to asset management is characterized by its strong focus on digitalization and data-driven decision making. Siemens uses its own </w:t>
      </w:r>
      <w:proofErr w:type="spellStart"/>
      <w:r>
        <w:rPr>
          <w:rFonts w:ascii="Times New Roman" w:hAnsi="Times New Roman" w:cs="Times New Roman"/>
          <w:sz w:val="28"/>
          <w:szCs w:val="28"/>
        </w:rPr>
        <w:t>MindSphere</w:t>
      </w:r>
      <w:proofErr w:type="spellEnd"/>
      <w:r>
        <w:rPr>
          <w:rFonts w:ascii="Times New Roman" w:hAnsi="Times New Roman" w:cs="Times New Roman"/>
          <w:sz w:val="28"/>
          <w:szCs w:val="28"/>
        </w:rPr>
        <w:t xml:space="preserve"> IoT operating system to collect and analyze data from its extensive network of physical assets, enabling predictive maintenance and optimizing asset performance</w:t>
      </w:r>
      <w:r>
        <w:rPr>
          <w:rFonts w:ascii="Times New Roman" w:hAnsi="Times New Roman" w:cs="Times New Roman"/>
          <w:sz w:val="28"/>
          <w:szCs w:val="28"/>
          <w:lang w:val="uk-UA"/>
        </w:rPr>
        <w:t xml:space="preserve"> </w:t>
      </w:r>
      <w:r>
        <w:rPr>
          <w:rFonts w:ascii="Times New Roman" w:hAnsi="Times New Roman" w:cs="Times New Roman"/>
          <w:sz w:val="28"/>
          <w:szCs w:val="28"/>
        </w:rPr>
        <w:t>[24].</w:t>
      </w:r>
    </w:p>
    <w:p w14:paraId="4C64933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 key aspect of Siemens’ asset management strategy is its emphasis on the entire lifecycle of assets, from design and procurement to operation and eventual decommissioning. This holistic approach allows the company to optimize the total cost of ownership of its assets, balancing upfront costs with long-term operational efficiency. </w:t>
      </w:r>
      <w:r>
        <w:rPr>
          <w:rFonts w:ascii="Times New Roman" w:hAnsi="Times New Roman" w:cs="Times New Roman"/>
          <w:sz w:val="28"/>
          <w:szCs w:val="28"/>
        </w:rPr>
        <w:lastRenderedPageBreak/>
        <w:t>In addition, Siemens has aligned its asset management practices with its sustainability goals, leveraging asset data to drive energy efficiency improvements and reduce environmental impact</w:t>
      </w:r>
      <w:r>
        <w:rPr>
          <w:rFonts w:ascii="Times New Roman" w:hAnsi="Times New Roman" w:cs="Times New Roman"/>
          <w:sz w:val="28"/>
          <w:szCs w:val="28"/>
          <w:lang w:val="uk-UA"/>
        </w:rPr>
        <w:t xml:space="preserve"> </w:t>
      </w:r>
      <w:r>
        <w:rPr>
          <w:rFonts w:ascii="Times New Roman" w:hAnsi="Times New Roman" w:cs="Times New Roman"/>
          <w:sz w:val="28"/>
          <w:szCs w:val="28"/>
        </w:rPr>
        <w:t>[25].</w:t>
      </w:r>
    </w:p>
    <w:p w14:paraId="4970AD20" w14:textId="77777777" w:rsidR="00CB2BA9" w:rsidRPr="00773039" w:rsidRDefault="00773039" w:rsidP="00773039">
      <w:pPr>
        <w:snapToGrid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rPr>
        <w:t>Siemens’ asset management practices extend beyond its own operations to its customer services. The company provides asset management solutions to customers across a variety of industries, leveraging its internal expertise to help other organizations optimize asset performance. This not only creates an additional revenue stream for Siemens, but also positions the company as a thought leader in the asset management space</w:t>
      </w:r>
      <w:r>
        <w:rPr>
          <w:rFonts w:ascii="Times New Roman" w:hAnsi="Times New Roman" w:cs="Times New Roman"/>
          <w:sz w:val="28"/>
          <w:szCs w:val="28"/>
          <w:lang w:val="uk-UA"/>
        </w:rPr>
        <w:t xml:space="preserve"> </w:t>
      </w:r>
      <w:r>
        <w:rPr>
          <w:rFonts w:ascii="Times New Roman" w:hAnsi="Times New Roman" w:cs="Times New Roman"/>
          <w:sz w:val="28"/>
          <w:szCs w:val="28"/>
        </w:rPr>
        <w:t>[26]</w:t>
      </w:r>
      <w:r>
        <w:rPr>
          <w:rFonts w:ascii="Times New Roman" w:hAnsi="Times New Roman" w:cs="Times New Roman"/>
          <w:sz w:val="28"/>
          <w:szCs w:val="28"/>
          <w:lang w:val="uk-UA"/>
        </w:rPr>
        <w:t>.</w:t>
      </w:r>
    </w:p>
    <w:p w14:paraId="02AE800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General Electric (GE), another global industrial giant, has also been at the forefront of innovation in asset management, particularly in the areas of predictive maintenance and asset performance management. GE’s approach is represented by its Predix platform, a cloud-based platform as a service (PaaS) designed specifically for Industrial Internet applications [27].</w:t>
      </w:r>
    </w:p>
    <w:p w14:paraId="7B72CA2F"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GE’s asset management strategy is built on the concept of a “digital twin,” a virtual model of a physical asset that can be used to simulate and optimize asset performance. By combining real-time data from sensors with advanced analytics and machine learning algorithms, GE can predict potential failures, optimize maintenance schedules, and improve overall asset efficiency. This approach has had a particularly significant impact in GE’s aviation and power generation businesses, where asset reliability and performance are critical</w:t>
      </w:r>
      <w:r>
        <w:rPr>
          <w:rFonts w:ascii="Times New Roman" w:hAnsi="Times New Roman" w:cs="Times New Roman"/>
          <w:sz w:val="28"/>
          <w:szCs w:val="28"/>
          <w:lang w:val="uk-UA"/>
        </w:rPr>
        <w:t xml:space="preserve"> </w:t>
      </w:r>
      <w:r>
        <w:rPr>
          <w:rFonts w:ascii="Times New Roman" w:hAnsi="Times New Roman" w:cs="Times New Roman"/>
          <w:sz w:val="28"/>
          <w:szCs w:val="28"/>
        </w:rPr>
        <w:t>[28].</w:t>
      </w:r>
    </w:p>
    <w:p w14:paraId="7DC36303" w14:textId="77777777" w:rsidR="00CB2BA9" w:rsidRPr="00773039" w:rsidRDefault="00773039" w:rsidP="00773039">
      <w:pPr>
        <w:snapToGrid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rPr>
        <w:t>A key advantage of GE’s asset management approach is its scalability and adaptability. The company has been able to apply its asset management principles to its diverse portfolio of businesses, from jet engines to wind turbines. In addition, GE has successfully commercialized its asset management capabilities, offering the Predix platform and related services to other companies, thereby creating new revenue streams and solidifying its position as a leader in industrial asset management</w:t>
      </w:r>
      <w:r>
        <w:rPr>
          <w:rFonts w:ascii="Times New Roman" w:hAnsi="Times New Roman" w:cs="Times New Roman"/>
          <w:sz w:val="28"/>
          <w:szCs w:val="28"/>
          <w:lang w:val="uk-UA"/>
        </w:rPr>
        <w:t xml:space="preserve"> </w:t>
      </w:r>
      <w:r>
        <w:rPr>
          <w:rFonts w:ascii="Times New Roman" w:hAnsi="Times New Roman" w:cs="Times New Roman"/>
          <w:sz w:val="28"/>
          <w:szCs w:val="28"/>
        </w:rPr>
        <w:t>[29]</w:t>
      </w:r>
      <w:r>
        <w:rPr>
          <w:rFonts w:ascii="Times New Roman" w:hAnsi="Times New Roman" w:cs="Times New Roman"/>
          <w:sz w:val="28"/>
          <w:szCs w:val="28"/>
          <w:lang w:val="uk-UA"/>
        </w:rPr>
        <w:t>.</w:t>
      </w:r>
    </w:p>
    <w:p w14:paraId="4BBA574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Although primarily known as a technology company, IBM has also made important contributions to the asset management space through its internal practices and services to clients. IBM’s approach to asset management is characterized by its </w:t>
      </w:r>
      <w:r>
        <w:rPr>
          <w:rFonts w:ascii="Times New Roman" w:hAnsi="Times New Roman" w:cs="Times New Roman"/>
          <w:sz w:val="28"/>
          <w:szCs w:val="28"/>
        </w:rPr>
        <w:lastRenderedPageBreak/>
        <w:t>heavy reliance on artificial intelligence and cognitive computing, as reflected in its Maximo asset management platform</w:t>
      </w:r>
      <w:r>
        <w:rPr>
          <w:rFonts w:ascii="Times New Roman" w:hAnsi="Times New Roman" w:cs="Times New Roman"/>
          <w:sz w:val="28"/>
          <w:szCs w:val="28"/>
          <w:lang w:val="uk-UA"/>
        </w:rPr>
        <w:t xml:space="preserve"> </w:t>
      </w:r>
      <w:r>
        <w:rPr>
          <w:rFonts w:ascii="Times New Roman" w:hAnsi="Times New Roman" w:cs="Times New Roman"/>
          <w:sz w:val="28"/>
          <w:szCs w:val="28"/>
        </w:rPr>
        <w:t>[30].</w:t>
      </w:r>
    </w:p>
    <w:p w14:paraId="46B271D7" w14:textId="77777777" w:rsidR="00CB2BA9" w:rsidRPr="00773039" w:rsidRDefault="00773039" w:rsidP="00773039">
      <w:pPr>
        <w:snapToGrid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rPr>
        <w:t>IBM’s asset management strategy focuses on creating so-called “cognitive assets”—physical assets equipped with sensors, artificial intelligence, and advanced analytics capabilities. This approach allows for real-time monitoring of asset health, predictive maintenance, and optimization of asset performance. IBM applies these principles not only to its own IT infrastructure, but also to the physical assets in its global operations</w:t>
      </w:r>
      <w:r>
        <w:rPr>
          <w:rFonts w:ascii="Times New Roman" w:hAnsi="Times New Roman" w:cs="Times New Roman"/>
          <w:sz w:val="28"/>
          <w:szCs w:val="28"/>
          <w:lang w:val="uk-UA"/>
        </w:rPr>
        <w:t xml:space="preserve"> </w:t>
      </w:r>
      <w:r>
        <w:rPr>
          <w:rFonts w:ascii="Times New Roman" w:hAnsi="Times New Roman" w:cs="Times New Roman"/>
          <w:sz w:val="28"/>
          <w:szCs w:val="28"/>
        </w:rPr>
        <w:t>[31]</w:t>
      </w:r>
      <w:r>
        <w:rPr>
          <w:rFonts w:ascii="Times New Roman" w:hAnsi="Times New Roman" w:cs="Times New Roman"/>
          <w:sz w:val="28"/>
          <w:szCs w:val="28"/>
          <w:lang w:val="uk-UA"/>
        </w:rPr>
        <w:t>.</w:t>
      </w:r>
    </w:p>
    <w:p w14:paraId="46C6306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 key feature of IBM’s approach to asset management is its emphasis on interoperability and open standards. The company has been a strong advocate for the use of open APIs and industry standards in asset management systems, recognizing that many organizations have complex, heterogeneous asset portfolios that require an integrated management approach. This philosophy aligns well with the principles outlined in ISO 55000, which emphasizes the importance of an integrated, organization-wide asset management system</w:t>
      </w:r>
      <w:r>
        <w:rPr>
          <w:rFonts w:ascii="Times New Roman" w:hAnsi="Times New Roman" w:cs="Times New Roman"/>
          <w:sz w:val="28"/>
          <w:szCs w:val="28"/>
          <w:lang w:val="uk-UA"/>
        </w:rPr>
        <w:t xml:space="preserve"> </w:t>
      </w:r>
      <w:r>
        <w:rPr>
          <w:rFonts w:ascii="Times New Roman" w:hAnsi="Times New Roman" w:cs="Times New Roman"/>
          <w:sz w:val="28"/>
          <w:szCs w:val="28"/>
        </w:rPr>
        <w:t>[32].</w:t>
      </w:r>
    </w:p>
    <w:p w14:paraId="3C3BBD7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These case studies illustrate how global leaders are implementing and advancing asset management practices. While each company has a unique approach shaped by its industry, technology focus, and organizational culture, several common themes emerge:</w:t>
      </w:r>
    </w:p>
    <w:p w14:paraId="5ADFE36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Integration of asset management into overall business strategy: All three companies view asset management not as an isolated function but as a key contributor to their overall business performance and competitive advantage.</w:t>
      </w:r>
    </w:p>
    <w:p w14:paraId="5A23E592"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Emphasis on data and analytics: Advanced data analytics, artificial intelligence, and machine learning play a core role in these companies’ asset management strategies, enabling more informed decisions and providing predictive capabilities.</w:t>
      </w:r>
    </w:p>
    <w:p w14:paraId="2E2AF53F"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Life cycle approach: These companies consider the entire life cycle of an asset, from acquisition to disposal, in their management strategy, aligned with the principles outlined in ISO 55000.</w:t>
      </w:r>
    </w:p>
    <w:p w14:paraId="410F383F"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4. Commercialization of asset management capabilities: All three companies are leveraging their internal asset management expertise to create new business </w:t>
      </w:r>
      <w:r>
        <w:rPr>
          <w:rFonts w:ascii="Times New Roman" w:hAnsi="Times New Roman" w:cs="Times New Roman"/>
          <w:sz w:val="28"/>
          <w:szCs w:val="28"/>
        </w:rPr>
        <w:lastRenderedPageBreak/>
        <w:t>opportunities and provide asset management solutions to clients.</w:t>
      </w:r>
    </w:p>
    <w:p w14:paraId="7FED91D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5. Sustainability Integration: Integrating sustainability considerations into asset management practices is a growing trend, reflecting the increasing importance of ESG factors in business operations.</w:t>
      </w:r>
    </w:p>
    <w:p w14:paraId="5801C85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While these case studies provide valuable insights, it is important to note that they represent the leading edge of asset management practice. Many organizations around the world are still in the process of developing or maturing their asset management capabilities. The journey toward comprehensive, strategic asset management often involves significant challenges, including legacy systems, data quality issues, organizational silos, and resistance to change</w:t>
      </w:r>
      <w:r>
        <w:rPr>
          <w:rFonts w:ascii="Times New Roman" w:hAnsi="Times New Roman" w:cs="Times New Roman"/>
          <w:sz w:val="28"/>
          <w:szCs w:val="28"/>
          <w:lang w:val="uk-UA"/>
        </w:rPr>
        <w:t xml:space="preserve"> </w:t>
      </w:r>
      <w:r>
        <w:rPr>
          <w:rFonts w:ascii="Times New Roman" w:hAnsi="Times New Roman" w:cs="Times New Roman"/>
          <w:sz w:val="28"/>
          <w:szCs w:val="28"/>
        </w:rPr>
        <w:t>[33].</w:t>
      </w:r>
    </w:p>
    <w:p w14:paraId="576F9196"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Furthermore, the application of global asset management standards and practices needs to be adapted to local contexts. Factors such as the regulatory environment, cultural norms, economic conditions, and technological infrastructure may significantly influence how asset management principles are implemented in different regions. For example, asset management practices in emerging markets may need to address issues such as less developed infrastructure, different risk profiles, and unique regulatory challenges</w:t>
      </w:r>
      <w:r>
        <w:rPr>
          <w:rFonts w:ascii="Times New Roman" w:hAnsi="Times New Roman" w:cs="Times New Roman"/>
          <w:sz w:val="28"/>
          <w:szCs w:val="28"/>
          <w:lang w:val="uk-UA"/>
        </w:rPr>
        <w:t xml:space="preserve"> </w:t>
      </w:r>
      <w:r>
        <w:rPr>
          <w:rFonts w:ascii="Times New Roman" w:hAnsi="Times New Roman" w:cs="Times New Roman"/>
          <w:sz w:val="28"/>
          <w:szCs w:val="28"/>
        </w:rPr>
        <w:t>[34].</w:t>
      </w:r>
    </w:p>
    <w:p w14:paraId="6E311B7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the financial sector, global asset management practices are profoundly influenced by regulatory frameworks such as Basel III for banks and Solvency II for insurance companies. While these regulations are intended to ensure financial stability and protect investors, they can significantly affect asset allocation strategies and risk management practices. For example, the liquidity coverage ratio (LCR) requirements under Basel III have led many banks to increase their holdings of high-quality liquid assets, affecting their overall asset composition and return </w:t>
      </w:r>
      <w:proofErr w:type="gramStart"/>
      <w:r>
        <w:rPr>
          <w:rFonts w:ascii="Times New Roman" w:hAnsi="Times New Roman" w:cs="Times New Roman"/>
          <w:sz w:val="28"/>
          <w:szCs w:val="28"/>
        </w:rPr>
        <w:t>profile[</w:t>
      </w:r>
      <w:proofErr w:type="gramEnd"/>
      <w:r>
        <w:rPr>
          <w:rFonts w:ascii="Times New Roman" w:hAnsi="Times New Roman" w:cs="Times New Roman"/>
          <w:sz w:val="28"/>
          <w:szCs w:val="28"/>
        </w:rPr>
        <w:t>35].</w:t>
      </w:r>
    </w:p>
    <w:p w14:paraId="6CF81E6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Asset management practices are undergoing significant changes around the world, with one notable trend being the growing focus on operational resilience. Recent events, particularly the COVID-19 pandemic, have highlighted the importance of building robust, adaptable asset management systems that can withstand major disruptions. As a result, companies are placing greater emphasis on scenario planning, business continuity management, and developing flexible, cloud-based asset </w:t>
      </w:r>
      <w:r>
        <w:rPr>
          <w:rFonts w:ascii="Times New Roman" w:hAnsi="Times New Roman" w:cs="Times New Roman"/>
          <w:sz w:val="28"/>
          <w:szCs w:val="28"/>
        </w:rPr>
        <w:lastRenderedPageBreak/>
        <w:t>management solutions.</w:t>
      </w:r>
    </w:p>
    <w:p w14:paraId="05B3B58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growing importance of intangible assets in the global economy is also shaping asset management practices. For many companies, especially in the technology and service industries, intangible assets such as intellectual property, brand value and human capital constitute a significant portion of their total asset value. Effectively managing these intangible assets requires a different approach from traditional tangible asset management, prompting the emergence of new methodologies and tools.</w:t>
      </w:r>
    </w:p>
    <w:p w14:paraId="5A47E0F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application of global asset management standards and practices needs to take into account the particularities of different industries and regions. For example, in the manufacturing industry, asset management may focus more on equipment maintenance and production efficiency, while in the financial services industry, the focus may be more on risk management and portfolio optimization. Similarly, asset management practices in developing countries may need to focus more on infrastructure construction and resource optimization, while developed countries may focus more on technological innovation and sustainable development.</w:t>
      </w:r>
    </w:p>
    <w:p w14:paraId="128E7DA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the Chinese context, asset management practices are undergoing rapid development and change. With the continued growth and structural transformation of China's economy, companies are increasingly aware of the importance of effective asset management in improving competitiveness and achieving sustainable development. Factors such as state-owned enterprise reform, the development of mixed-ownership economy, and the opening of capital markets have had a profound impact on China's asset management practices.</w:t>
      </w:r>
    </w:p>
    <w:p w14:paraId="7F768D22"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China's asset management practices present unique characteristics. For example, in state-owned enterprises, asset management needs to consider not only economic benefits, but also social benefits and policy goals. This requires appropriate adjustments and localization when applying global standards such as ISO 55000. At the same time, the rapid development of China's digital economy has also brought new opportunities and challenges to asset management. How to use new technologies such as big data and artificial intelligence to optimize asset management has become the focus of many Chinese companies.</w:t>
      </w:r>
    </w:p>
    <w:p w14:paraId="0211570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Another noteworthy global trend is the growth of asset management outsourcing. Many organizations, especially small and medium-sized enterprises, have found that outsourcing certain asset management functions to professional service providers can improve efficiency and reduce costs. This trend has led to an expansion of the market for professional asset management services, but it has also brought new challenges, such as how to ensure that outsourced services are aligned with the organization's overall strategy and how to manage the risks associated with outsourcing.</w:t>
      </w:r>
    </w:p>
    <w:p w14:paraId="6E445CD1"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Asset management education and professional development are also an important aspect of the evolution of asset management practices around the world. As the complexity of the asset management field increases, the demand for professional talent is also increasing. Many universities and professional organizations now offer specialized asset management courses and certification programs. For example, the asset management certification offered by the Institute of Asset Management Professionals (IAM) has been recognized worldwide. These education and certification programs help ensure that asset management practitioners have the necessary knowledge and skills to implement best practices.</w:t>
      </w:r>
    </w:p>
    <w:p w14:paraId="4FA99D6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the public sector, asset management is also gaining more and more attention. Many national and regional governments have begun to adopt a more systematic and strategic approach to the management of public assets. This includes the management of infrastructure assets (such as roads, bridges, and public buildings), as well as the management of natural resources and public land. The asset management practices of government departments often need to balance multiple goals such as economic benefits, social equity, and environmental sustainability, which provides new challenges and opportunities for asset management theory and practice.</w:t>
      </w:r>
    </w:p>
    <w:p w14:paraId="3907B941"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Globalization and increased supply chain complexity have also had a profound impact on asset management practices. Companies need to manage assets distributed across different countries and regions, which requires asset management systems to cope with different legal, cultural and operating environments. At the same time, the increased risk of supply chain disruptions (such as we have seen during the COVID-19 pandemic) highlights the key role of asset management in ensuring business </w:t>
      </w:r>
      <w:r>
        <w:rPr>
          <w:rFonts w:ascii="Times New Roman" w:hAnsi="Times New Roman" w:cs="Times New Roman"/>
          <w:sz w:val="28"/>
          <w:szCs w:val="28"/>
        </w:rPr>
        <w:lastRenderedPageBreak/>
        <w:t>continuity. This has driven the development of a more integrated and resilient asset management approach.</w:t>
      </w:r>
    </w:p>
    <w:p w14:paraId="785AC7B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climate change becomes a global concern, asset management practices also need to consider environmental factors and climate-related risks. This includes not only managing the impact of assets on the environment (such as reducing carbon emissions), but also assessing and mitigating the potential impact of climate change on assets. For example, infrastructure asset managers need to consider the impact of factors such as rising sea levels and increased extreme weather events on asset life and performance. This has promoted the development of the concept of "climate-resilient asset management", emphasizing the important role of asset management in addressing global environmental challenges.</w:t>
      </w:r>
    </w:p>
    <w:p w14:paraId="4DAD37F6"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the financial asset management sector, the rise of passive investing continues to reshape the industry landscape. The popularity of index funds and exchange-traded funds (ETFs) is changing the traditional asset management model. This trend not only affects the business model of asset managers, but also has broad implications for market dynamics. For example, there are concerns that the increase in passive investing may affect market efficiency and the price discovery process. These developments are pushing regulators and industry participants to rethink the roles and responsibilities of asset management.</w:t>
      </w:r>
    </w:p>
    <w:p w14:paraId="0948A8E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Technological advancements continue to be a key driver in shaping asset management practices around the world. In addition to AI and machine learning applications, other emerging technologies are also impacting the asset management space. For example, augmented reality (AR) and virtual reality (VR) technologies are being used to enhance asset maintenance and training processes. The rollout of 5G networks is also opening up new possibilities for real-time asset monitoring and remote asset management. These technological advances not only improve the efficiency of asset management, but also enable new business models and service offerings.</w:t>
      </w:r>
    </w:p>
    <w:p w14:paraId="4384FCF6"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As asset management practices evolve, the importance of measurement and reporting increases. Stakeholders, including investors, regulators and the public, are increasingly demanding more transparent and comprehensive reporting on asset </w:t>
      </w:r>
      <w:r>
        <w:rPr>
          <w:rFonts w:ascii="Times New Roman" w:hAnsi="Times New Roman" w:cs="Times New Roman"/>
          <w:sz w:val="28"/>
          <w:szCs w:val="28"/>
        </w:rPr>
        <w:lastRenderedPageBreak/>
        <w:t>performance. This is driving the development of new reporting frameworks and standards, such as climate-related financial disclosures recommended by the Task Force on Climate-related Financial Disclosures (TCFD). These developments are changing how organizations measure, manage and communicate the value and performance of their assets.</w:t>
      </w:r>
    </w:p>
    <w:p w14:paraId="5FE94F0B" w14:textId="77777777" w:rsidR="00CB2BA9" w:rsidRDefault="00CB2BA9">
      <w:pPr>
        <w:snapToGrid w:val="0"/>
        <w:spacing w:line="360" w:lineRule="auto"/>
        <w:ind w:firstLineChars="200" w:firstLine="560"/>
        <w:rPr>
          <w:rFonts w:ascii="Times New Roman" w:hAnsi="Times New Roman" w:cs="Times New Roman"/>
          <w:sz w:val="28"/>
          <w:szCs w:val="28"/>
        </w:rPr>
      </w:pPr>
    </w:p>
    <w:p w14:paraId="148A457F" w14:textId="77777777" w:rsidR="00CB2BA9" w:rsidRDefault="00773039" w:rsidP="00773039">
      <w:pPr>
        <w:snapToGrid w:val="0"/>
        <w:spacing w:line="360" w:lineRule="auto"/>
        <w:ind w:firstLine="709"/>
        <w:outlineLvl w:val="1"/>
        <w:rPr>
          <w:rFonts w:ascii="Times New Roman" w:hAnsi="Times New Roman" w:cs="Times New Roman"/>
          <w:b/>
          <w:bCs/>
          <w:sz w:val="28"/>
          <w:szCs w:val="36"/>
        </w:rPr>
      </w:pPr>
      <w:bookmarkStart w:id="7" w:name="_Toc10244"/>
      <w:r>
        <w:rPr>
          <w:rFonts w:ascii="Times New Roman" w:hAnsi="Times New Roman" w:cs="Times New Roman"/>
          <w:b/>
          <w:bCs/>
          <w:sz w:val="28"/>
          <w:szCs w:val="36"/>
        </w:rPr>
        <w:t>1.3. Conceptual framework for asset management in Chinese enterprises</w:t>
      </w:r>
      <w:bookmarkEnd w:id="7"/>
    </w:p>
    <w:p w14:paraId="1798CD37" w14:textId="77777777" w:rsidR="00CB2BA9" w:rsidRDefault="00CB2BA9" w:rsidP="00773039">
      <w:pPr>
        <w:snapToGrid w:val="0"/>
        <w:spacing w:line="360" w:lineRule="auto"/>
        <w:ind w:firstLine="709"/>
        <w:rPr>
          <w:rFonts w:ascii="Times New Roman" w:hAnsi="Times New Roman" w:cs="Times New Roman"/>
          <w:sz w:val="28"/>
          <w:szCs w:val="28"/>
        </w:rPr>
      </w:pPr>
    </w:p>
    <w:p w14:paraId="5C0573A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Against the backdrop of global asset management theory and practice, the asset management practices of Chinese companies present unique characteristics and development trajectories. This uniqueness stems from China's unique economic system, regulatory environment, cultural traditions, and rapidly changing market dynamics. This section will delve into how Chinese companies adopt and adapt to global asset management concepts, analyze the conceptual framework of Chinese asset management, and explore its integration and innovation with global best practices. We will focus on the impact of factors such as China's regulatory environment, state-owned enterprise reform, and the "Belt and Road" initiative on asset management practices, as well as the innovative practices of Chinese companies in digital transformation, sustainable development, and other areas. Through this analysis, we will reveal the uniqueness of Chinese corporate asset management and lay the foundation for in-depth discussions in subsequent chapters.</w:t>
      </w:r>
    </w:p>
    <w:p w14:paraId="58336C4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Asset management practices in China have </w:t>
      </w:r>
      <w:r>
        <w:rPr>
          <w:rFonts w:ascii="Times New Roman" w:hAnsi="Times New Roman" w:cs="Times New Roman"/>
          <w:sz w:val="28"/>
          <w:szCs w:val="28"/>
          <w:lang w:val="en-US"/>
        </w:rPr>
        <w:t xml:space="preserve">always </w:t>
      </w:r>
      <w:r>
        <w:rPr>
          <w:rFonts w:ascii="Times New Roman" w:hAnsi="Times New Roman" w:cs="Times New Roman"/>
          <w:sz w:val="28"/>
          <w:szCs w:val="28"/>
        </w:rPr>
        <w:t xml:space="preserve">been deeply influenced by its unique economic and political environment. </w:t>
      </w:r>
      <w:r>
        <w:rPr>
          <w:rFonts w:ascii="Times New Roman" w:hAnsi="Times New Roman" w:cs="Times New Roman"/>
          <w:sz w:val="28"/>
          <w:szCs w:val="28"/>
          <w:lang w:val="en-US"/>
        </w:rPr>
        <w:t xml:space="preserve">Since </w:t>
      </w:r>
      <w:r>
        <w:rPr>
          <w:rFonts w:ascii="Times New Roman" w:hAnsi="Times New Roman" w:cs="Times New Roman"/>
          <w:sz w:val="28"/>
          <w:szCs w:val="28"/>
        </w:rPr>
        <w:t xml:space="preserve">the reform and opening up, China's economy has undergone a rapid transformation, gradually transitioning from a planned economy to a market economy. In this process, the concept and practice of asset management have also undergone significant evolution. Initially, asset management focused on the management of fixed assets of state-owned enterprises, with an emphasis on maintaining and increasing value and improving production efficiency. With the in-depth development of the market economy and the rise of private enterprises, the scope of asset management has gradually expanded to include a wider </w:t>
      </w:r>
      <w:r>
        <w:rPr>
          <w:rFonts w:ascii="Times New Roman" w:hAnsi="Times New Roman" w:cs="Times New Roman"/>
          <w:sz w:val="28"/>
          <w:szCs w:val="28"/>
        </w:rPr>
        <w:lastRenderedPageBreak/>
        <w:t>range of areas such as financial assets, intangible assets, and human resources.</w:t>
      </w:r>
      <w:r>
        <w:rPr>
          <w:rFonts w:ascii="Times New Roman" w:hAnsi="Times New Roman" w:cs="Times New Roman"/>
          <w:sz w:val="28"/>
          <w:szCs w:val="28"/>
          <w:lang w:val="en-US"/>
        </w:rPr>
        <w:t xml:space="preserve"> </w:t>
      </w:r>
      <w:r>
        <w:rPr>
          <w:rFonts w:ascii="Times New Roman" w:hAnsi="Times New Roman" w:cs="Times New Roman" w:hint="eastAsia"/>
          <w:sz w:val="28"/>
          <w:szCs w:val="28"/>
        </w:rPr>
        <w:t>[</w:t>
      </w:r>
      <w:r>
        <w:rPr>
          <w:rFonts w:ascii="Times New Roman" w:hAnsi="Times New Roman" w:cs="Times New Roman"/>
          <w:sz w:val="28"/>
          <w:szCs w:val="28"/>
          <w:lang w:val="en-US"/>
        </w:rPr>
        <w:t>36</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47CD644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regulatory framework for asset management in China is key to understanding its uniqueness. The State-owned Assets Supervision and Administration Commission (SASAC), as the primary regulator of SOEs, has played a key role in shaping the asset management practices of China’s largest companies. SASAC was established to strengthen the supervision of state assets and improve the efficiency and competitiveness of SOEs. This regulatory structure has led to a top-down approach to asset management, in which policy directives and national strategic goals have a significant impact on companies’ asset allo</w:t>
      </w:r>
      <w:r w:rsidR="002D0281">
        <w:rPr>
          <w:rFonts w:ascii="Times New Roman" w:hAnsi="Times New Roman" w:cs="Times New Roman"/>
          <w:sz w:val="28"/>
          <w:szCs w:val="28"/>
        </w:rPr>
        <w:t>cation and management decisions</w:t>
      </w:r>
      <w:r w:rsidR="002D0281">
        <w:rPr>
          <w:rFonts w:ascii="Times New Roman" w:hAnsi="Times New Roman" w:cs="Times New Roman"/>
          <w:sz w:val="28"/>
          <w:szCs w:val="28"/>
          <w:lang w:val="uk-UA"/>
        </w:rPr>
        <w:t xml:space="preserve"> </w:t>
      </w:r>
      <w:r>
        <w:rPr>
          <w:rFonts w:ascii="Times New Roman" w:hAnsi="Times New Roman" w:cs="Times New Roman" w:hint="eastAsia"/>
          <w:sz w:val="28"/>
          <w:szCs w:val="28"/>
        </w:rPr>
        <w:t>[</w:t>
      </w:r>
      <w:r>
        <w:rPr>
          <w:rFonts w:ascii="Times New Roman" w:hAnsi="Times New Roman" w:cs="Times New Roman"/>
          <w:sz w:val="28"/>
          <w:szCs w:val="28"/>
          <w:lang w:val="en-US"/>
        </w:rPr>
        <w:t>37</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2D8D40D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For example, the SOE reforms promoted by SASAC, including mixed ownership reform and optimization of corporate governance structures, have directly influenced the asset management strategies of these enterprises. These reforms are designed to introduce market mechanisms and improve enterprise efficiency while maintaining state control over key industries and assets. This unique regulatory environment requires Chinese companies to make appropriate adjustments and innovations when adopting global asset management best practices</w:t>
      </w:r>
      <w:r>
        <w:rPr>
          <w:rFonts w:ascii="Times New Roman" w:hAnsi="Times New Roman" w:cs="Times New Roman" w:hint="eastAsia"/>
          <w:sz w:val="28"/>
          <w:szCs w:val="28"/>
          <w:lang w:val="en-US"/>
        </w:rPr>
        <w:t xml:space="preserve"> </w:t>
      </w:r>
      <w:r>
        <w:rPr>
          <w:rFonts w:ascii="Times New Roman" w:hAnsi="Times New Roman" w:cs="Times New Roman" w:hint="eastAsia"/>
          <w:sz w:val="28"/>
          <w:szCs w:val="28"/>
        </w:rPr>
        <w:t>[</w:t>
      </w:r>
      <w:r>
        <w:rPr>
          <w:rFonts w:ascii="Times New Roman" w:hAnsi="Times New Roman" w:cs="Times New Roman"/>
          <w:sz w:val="28"/>
          <w:szCs w:val="28"/>
          <w:lang w:val="en-US"/>
        </w:rPr>
        <w:t>38</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1EFCC59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China’s legal framework has also had a profound impact on asset management practices. The Company Law, the Securities Law, and a series of industry-specific regulations provide a legal basis for companies’ asset management activities. In recent years, with the opening and development of China’s financial markets, new regulations have been introduced, such as the unified regulatory standards for asset management products, which further standardize and guide the development of the asset management industry. </w:t>
      </w:r>
      <w:r>
        <w:rPr>
          <w:rFonts w:ascii="Times New Roman" w:hAnsi="Times New Roman" w:cs="Times New Roman" w:hint="eastAsia"/>
          <w:sz w:val="28"/>
          <w:szCs w:val="28"/>
        </w:rPr>
        <w:t>[</w:t>
      </w:r>
      <w:r>
        <w:rPr>
          <w:rFonts w:ascii="Times New Roman" w:hAnsi="Times New Roman" w:cs="Times New Roman"/>
          <w:sz w:val="28"/>
          <w:szCs w:val="28"/>
          <w:lang w:val="en-US"/>
        </w:rPr>
        <w:t>39</w:t>
      </w:r>
      <w:r>
        <w:rPr>
          <w:rFonts w:ascii="Times New Roman" w:hAnsi="Times New Roman" w:cs="Times New Roman" w:hint="eastAsia"/>
          <w:sz w:val="28"/>
          <w:szCs w:val="28"/>
          <w:lang w:val="en-US"/>
        </w:rPr>
        <w:t>]</w:t>
      </w:r>
    </w:p>
    <w:p w14:paraId="623594D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 notable feature of Chinese corporate asset management is its close integration with national development strategies. The Belt and Road Initiative is a typical example. This initiative has not only influenced the overseas asset allocation strategies of Chinese companies, but also promoted the development of a new international asset management model. Chinese companies participating in the Belt and Road projects need to manage a diverse portfolio of assets distributed in different countries, which poses new challenges to their asset management capabilities. For example, the </w:t>
      </w:r>
      <w:r>
        <w:rPr>
          <w:rFonts w:ascii="Times New Roman" w:hAnsi="Times New Roman" w:cs="Times New Roman"/>
          <w:sz w:val="28"/>
          <w:szCs w:val="28"/>
        </w:rPr>
        <w:lastRenderedPageBreak/>
        <w:t xml:space="preserve">management of oil and gas assets of China National Petroleum Corporation (CNPC) in Central Asia and Africa needs to consider complex factors such as geopolitical risks, cultural differences, and local laws and regulations </w:t>
      </w:r>
      <w:r>
        <w:rPr>
          <w:rFonts w:ascii="Times New Roman" w:hAnsi="Times New Roman" w:cs="Times New Roman" w:hint="eastAsia"/>
          <w:sz w:val="28"/>
          <w:szCs w:val="28"/>
        </w:rPr>
        <w:t>[</w:t>
      </w:r>
      <w:r>
        <w:rPr>
          <w:rFonts w:ascii="Times New Roman" w:hAnsi="Times New Roman" w:cs="Times New Roman"/>
          <w:sz w:val="28"/>
          <w:szCs w:val="28"/>
          <w:lang w:val="en-US"/>
        </w:rPr>
        <w:t>40</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3C9AD0A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asset management practices of Chinese companies are also influenced by their unique corporate governance structure. Many large Chinese companies, especially state-owned enterprises, adopt a "board of directors under the leadership of the party committee" governance model. This model requires companies to consider not only commercial factors but also policy orientation and social responsibility when making major asset management decisions. This governance structure has a profound impact on asset allocation, risk management, and performance evaluation. </w:t>
      </w:r>
      <w:r>
        <w:rPr>
          <w:rFonts w:ascii="Times New Roman" w:hAnsi="Times New Roman" w:cs="Times New Roman" w:hint="eastAsia"/>
          <w:sz w:val="28"/>
          <w:szCs w:val="28"/>
        </w:rPr>
        <w:t>[</w:t>
      </w:r>
      <w:r>
        <w:rPr>
          <w:rFonts w:ascii="Times New Roman" w:hAnsi="Times New Roman" w:cs="Times New Roman"/>
          <w:sz w:val="28"/>
          <w:szCs w:val="28"/>
          <w:lang w:val="en-US"/>
        </w:rPr>
        <w:t>41</w:t>
      </w:r>
      <w:r>
        <w:rPr>
          <w:rFonts w:ascii="Times New Roman" w:hAnsi="Times New Roman" w:cs="Times New Roman" w:hint="eastAsia"/>
          <w:sz w:val="28"/>
          <w:szCs w:val="28"/>
          <w:lang w:val="en-US"/>
        </w:rPr>
        <w:t>]</w:t>
      </w:r>
    </w:p>
    <w:p w14:paraId="1A44198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the field of financial asset management, China's practices also present unique characteristics. With the rapid development and opening up of China's financial markets, asset management products and services have become increasingly diversified. However, compared with mature markets, China's financial asset management still faces some unique challenges. For example, factors such as large market volatility, insufficient information transparency, and the need to improve investor education have all affected the formulation and implementation of asset management strategies. In recent years, the new asset management regulations promoted by regulators aim to regulate the asset management industry and prevent and control financial risks, which has further shaped China's financial asset management practices </w:t>
      </w:r>
      <w:r>
        <w:rPr>
          <w:rFonts w:ascii="Times New Roman" w:hAnsi="Times New Roman" w:cs="Times New Roman" w:hint="eastAsia"/>
          <w:sz w:val="28"/>
          <w:szCs w:val="28"/>
        </w:rPr>
        <w:t>[</w:t>
      </w:r>
      <w:r>
        <w:rPr>
          <w:rFonts w:ascii="Times New Roman" w:hAnsi="Times New Roman" w:cs="Times New Roman"/>
          <w:sz w:val="28"/>
          <w:szCs w:val="28"/>
          <w:lang w:val="en-US"/>
        </w:rPr>
        <w:t>42</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4194D92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When Chinese companies adopt global asset management standards, they often need to make local adjustments. Taking the ISO 55000 series of standards as an example, although many Chinese companies recognize the value of these standards, they often need to consider China's unique management culture and organizational structure during implementation. For example, the decision-making process may be more centralized, and the way of stakeholder engagement may need to adapt to China's hierarchical culture. At the same time, Chinese companies are also actively participating in the formulation of global standards and contributing Chinese experience to international asset management practices </w:t>
      </w:r>
      <w:r>
        <w:rPr>
          <w:rFonts w:ascii="Times New Roman" w:hAnsi="Times New Roman" w:cs="Times New Roman" w:hint="eastAsia"/>
          <w:sz w:val="28"/>
          <w:szCs w:val="28"/>
        </w:rPr>
        <w:t>[</w:t>
      </w:r>
      <w:r>
        <w:rPr>
          <w:rFonts w:ascii="Times New Roman" w:hAnsi="Times New Roman" w:cs="Times New Roman"/>
          <w:sz w:val="28"/>
          <w:szCs w:val="28"/>
          <w:lang w:val="en-US"/>
        </w:rPr>
        <w:t>43</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065B0649"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Technological innovation plays a key role in shaping the asset management </w:t>
      </w:r>
      <w:r>
        <w:rPr>
          <w:rFonts w:ascii="Times New Roman" w:hAnsi="Times New Roman" w:cs="Times New Roman"/>
          <w:sz w:val="28"/>
          <w:szCs w:val="28"/>
        </w:rPr>
        <w:lastRenderedPageBreak/>
        <w:t xml:space="preserve">practices of Chinese companies. China’s rapid development in the field of digital technology has brought new opportunities and challenges to asset management. For example, Huawei’s innovative practices in technology asset management are worthy of attention. Huawei uses artificial intelligence and big data technologies to optimize the allocation and management of its global R&amp;D assets and improve innovation efficiency. This practice not only enhances Huawei’s own competitiveness, but also provides experience that can be learned from by other Chinese companies </w:t>
      </w:r>
      <w:r>
        <w:rPr>
          <w:rFonts w:ascii="Times New Roman" w:hAnsi="Times New Roman" w:cs="Times New Roman" w:hint="eastAsia"/>
          <w:sz w:val="28"/>
          <w:szCs w:val="28"/>
        </w:rPr>
        <w:t>[</w:t>
      </w:r>
      <w:r>
        <w:rPr>
          <w:rFonts w:ascii="Times New Roman" w:hAnsi="Times New Roman" w:cs="Times New Roman"/>
          <w:sz w:val="28"/>
          <w:szCs w:val="28"/>
          <w:lang w:val="en-US"/>
        </w:rPr>
        <w:t>44</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6D0CC79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China’s SOE reform has had a profound impact on asset management practices. In recent years, the “mixed ownership reform” promoted by the State-owned Assets Supervision and Administration Commission of the State Council (SASAC) aims to introduce private capital and optimize the equity structure and governance mechanism of SOEs. This reform has directly affected the asset allocation and management strategies of SOEs. For example, Sinopec introduced private investors to participate in the operation of its gas station network, which not only optimized the asset structure but also improved operational efficiency. This reform model shows how Chinese companies can introduce market mechanisms to improve asset management efficiency while maintaining state control.</w:t>
      </w:r>
      <w:r>
        <w:rPr>
          <w:rFonts w:ascii="Times New Roman" w:hAnsi="Times New Roman" w:cs="Times New Roman" w:hint="eastAsia"/>
          <w:sz w:val="28"/>
          <w:szCs w:val="28"/>
        </w:rPr>
        <w:t>[</w:t>
      </w:r>
      <w:r>
        <w:rPr>
          <w:rFonts w:ascii="Times New Roman" w:hAnsi="Times New Roman" w:cs="Times New Roman"/>
          <w:sz w:val="28"/>
          <w:szCs w:val="28"/>
          <w:lang w:val="en-US"/>
        </w:rPr>
        <w:t>45</w:t>
      </w:r>
      <w:r>
        <w:rPr>
          <w:rFonts w:ascii="Times New Roman" w:hAnsi="Times New Roman" w:cs="Times New Roman" w:hint="eastAsia"/>
          <w:sz w:val="28"/>
          <w:szCs w:val="28"/>
          <w:lang w:val="en-US"/>
        </w:rPr>
        <w:t>]</w:t>
      </w:r>
    </w:p>
    <w:p w14:paraId="1E51674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Chinese companies’ overseas asset management also presents unique characteristics. As Chinese companies’ “going global” strategy advances, more and more Chinese companies are beginning to manage overseas assets. This includes not only greenfield investments, but also overseas assets acquired through mergers and acquisitions. In this process, Chinese companies face many challenges, such as cultural differences, legal compliance risks, and geopolitical risks. For example, when managing its manufacturing bases in the United States and Europe, CRRC Corporation Limited needs to balance local operations with global strategic coordination. This cross-cultural asset management experience is enriching the global asset management practices of Chinese companies </w:t>
      </w:r>
      <w:r>
        <w:rPr>
          <w:rFonts w:ascii="Times New Roman" w:hAnsi="Times New Roman" w:cs="Times New Roman" w:hint="eastAsia"/>
          <w:sz w:val="28"/>
          <w:szCs w:val="28"/>
        </w:rPr>
        <w:t>[</w:t>
      </w:r>
      <w:r>
        <w:rPr>
          <w:rFonts w:ascii="Times New Roman" w:hAnsi="Times New Roman" w:cs="Times New Roman"/>
          <w:sz w:val="28"/>
          <w:szCs w:val="28"/>
          <w:lang w:val="en-US"/>
        </w:rPr>
        <w:t>46</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33F4325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terms of environmental, social and governance (ESG) factors, Chinese companies' asset management practices are also evolving. With the Chinese government's emphasis on sustainable development and international investors' </w:t>
      </w:r>
      <w:r>
        <w:rPr>
          <w:rFonts w:ascii="Times New Roman" w:hAnsi="Times New Roman" w:cs="Times New Roman"/>
          <w:sz w:val="28"/>
          <w:szCs w:val="28"/>
        </w:rPr>
        <w:lastRenderedPageBreak/>
        <w:t>attention to ESG factors, more and more Chinese companies are beginning to incorporate ESG factors into asset management decisions. For example, State Grid not only considers economic benefits but also attaches importance to environmental impact and social responsibility in the asset management of its transmission network. This trend reflects that Chinese companies' asset management practices are moving towards a more comprehensive and sustainable direction.</w:t>
      </w:r>
    </w:p>
    <w:p w14:paraId="3A3CE14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China's asset management practices are also influenced by its unique culture and values. The traditional "people-oriented" concept has, to some extent, influenced how Chinese companies view and manage human resources, a key asset. Compared with Western companies, Chinese companies may be more inclined to cultivate and retain core talents for a long time and regard human resources as a long-term strategic asset. This concept affects human resource management strategies, such as training investment and career development planning.</w:t>
      </w:r>
    </w:p>
    <w:p w14:paraId="4C9AD27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risk management, Chinese companies' asset management practices also present some unique characteristics. Compared with Western companies that may pay more attention to short-term market fluctuations, Chinese companies, especially state-owned enterprises, may pay more attention to long-term strategic risks and policy risks. This difference is partly due to China's economic structure and policy environment, but also reflects the different cultural understanding of risks among Chinese companies. For example, when evaluating overseas investment risks, Chinese companies may consider the consistency of the project with the national strategy more than just the financial return.</w:t>
      </w:r>
    </w:p>
    <w:p w14:paraId="6A899E49"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development of China's capital market has also had a significant impact on corporate asset management practices. With the continuous improvement of the stock market and bond market, and the opening of new financing channels (such as the Science and Technology Innovation Board), Chinese companies have more options in asset financing and allocation. This has prompted companies to need more sophisticated asset-liability management strategies. At the same time, with the increasing internationalization of China's capital market, such as the implementation of the Shanghai-Hong Kong Stock Connect and the Shenzhen-Hong Kong Stock </w:t>
      </w:r>
      <w:r>
        <w:rPr>
          <w:rFonts w:ascii="Times New Roman" w:hAnsi="Times New Roman" w:cs="Times New Roman"/>
          <w:sz w:val="28"/>
          <w:szCs w:val="28"/>
        </w:rPr>
        <w:lastRenderedPageBreak/>
        <w:t>Connect, Chinese companies also need to consider global market factors more in asset management.</w:t>
      </w:r>
    </w:p>
    <w:p w14:paraId="3C8A3C0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Digital transformation is another key factor influencing the asset management practices of Chinese companies. China’s leading position in areas such as mobile payments and e-commerce has brought new possibilities for corporate asset management. For example, Alibaba Group has accumulated a large amount of user data and transaction data through its huge e-commerce ecosystem. This data itself has become an important strategic asset that requires special management strategies. At the same time, this data also provides valuable insights for optimizing the management of physical assets such as logistics networks and warehousing facilities.</w:t>
      </w:r>
    </w:p>
    <w:p w14:paraId="1E2E76E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practices of Chinese companies in intellectual property management are also worthy of attention. As China transforms from a "manufacturing power" to an "innovation power", the importance of intellectual property as a key intangible asset has become increasingly prominent. In recent years, China has leapt to the forefront of the world in the number of patent applications, but how to effectively manage and commercialize these intellectual property rights remains a challenge. Some leading companies, such as Huawei and Xiaomi, have begun to adopt more sophisticated intellectual property management strategies, not only to protect their own innovations, but also to create value by using patent portfolios as strategic assets.</w:t>
      </w:r>
    </w:p>
    <w:p w14:paraId="7794F80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terms of infrastructure asset management, China's practices also show unique characteristics. With the advancement of the "new infrastructure" strategy, the construction and management of new infrastructure such as 5G networks, artificial intelligence, and industrial Internet have become the focus. The management of these new infrastructure assets needs to consider not only traditional efficiency and reliability, but also new features such as fast technology iteration and high integration with other systems. For example, when managing its 5G network assets, China Mobile needs to not only optimize network coverage and performance, but also consider how to support future application scenarios such as the Internet of Things and smart cities.</w:t>
      </w:r>
    </w:p>
    <w:p w14:paraId="28FCED0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cross-industry asset management practices of Chinese companies also present some interesting characteristics. Large corporate groups, such as China </w:t>
      </w:r>
      <w:r>
        <w:rPr>
          <w:rFonts w:ascii="Times New Roman" w:hAnsi="Times New Roman" w:cs="Times New Roman"/>
          <w:sz w:val="28"/>
          <w:szCs w:val="28"/>
        </w:rPr>
        <w:lastRenderedPageBreak/>
        <w:t>Resources Group and CITIC Group, often have diversified asset portfolios across multiple industries. In this case, how to optimize asset allocation at the group level and achieve synergy between different business units has become a key challenge for asset management. Some corporate groups have adopted the "industry + finance" model, using financial means to optimize the management and value creation of industrial assets</w:t>
      </w:r>
      <w:r>
        <w:rPr>
          <w:rFonts w:ascii="Times New Roman" w:hAnsi="Times New Roman" w:cs="Times New Roman"/>
          <w:sz w:val="28"/>
          <w:szCs w:val="28"/>
          <w:lang w:val="en-US"/>
        </w:rPr>
        <w:t xml:space="preserve"> </w:t>
      </w:r>
      <w:r>
        <w:rPr>
          <w:rFonts w:ascii="Times New Roman" w:hAnsi="Times New Roman" w:cs="Times New Roman" w:hint="eastAsia"/>
          <w:sz w:val="28"/>
          <w:szCs w:val="28"/>
        </w:rPr>
        <w:t>[</w:t>
      </w:r>
      <w:r>
        <w:rPr>
          <w:rFonts w:ascii="Times New Roman" w:hAnsi="Times New Roman" w:cs="Times New Roman"/>
          <w:sz w:val="28"/>
          <w:szCs w:val="28"/>
          <w:lang w:val="en-US"/>
        </w:rPr>
        <w:t>47</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0A1E0B6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deepening of SOE reform has also brought new challenges and opportunities for asset management. For example, the establishment of state-owned capital investment and operation companies aims to promote the concentration of state-owned capital in important industries and key areas. Under this model, how to balance the needs of strategic shareholding and active management, and how to improve asset operation efficiency while maintaining state control have become new issues. Some pilot enterprises, such as SDIC, have made useful explorations in this regard and provided new ideas for state-owned asset management </w:t>
      </w:r>
      <w:r>
        <w:rPr>
          <w:rFonts w:ascii="Times New Roman" w:hAnsi="Times New Roman" w:cs="Times New Roman" w:hint="eastAsia"/>
          <w:sz w:val="28"/>
          <w:szCs w:val="28"/>
        </w:rPr>
        <w:t>[</w:t>
      </w:r>
      <w:r>
        <w:rPr>
          <w:rFonts w:ascii="Times New Roman" w:hAnsi="Times New Roman" w:cs="Times New Roman"/>
          <w:sz w:val="28"/>
          <w:szCs w:val="28"/>
          <w:lang w:val="en-US"/>
        </w:rPr>
        <w:t>48</w:t>
      </w:r>
      <w:r>
        <w:rPr>
          <w:rFonts w:ascii="Times New Roman" w:hAnsi="Times New Roman" w:cs="Times New Roman" w:hint="eastAsia"/>
          <w:sz w:val="28"/>
          <w:szCs w:val="28"/>
          <w:lang w:val="en-US"/>
        </w:rPr>
        <w:t>]</w:t>
      </w:r>
      <w:r>
        <w:rPr>
          <w:rFonts w:ascii="Times New Roman" w:hAnsi="Times New Roman" w:cs="Times New Roman"/>
          <w:sz w:val="28"/>
          <w:szCs w:val="28"/>
        </w:rPr>
        <w:t>.</w:t>
      </w:r>
    </w:p>
    <w:p w14:paraId="3DA70F95"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Chinese companies also demonstrate unique practices in supply chain asset management. As the "world's factory", Chinese companies play a key role in the global supply chain. In recent years, facing changes in the global trade environment and increasing risks of supply chain disruptions, many Chinese companies have begun to re-examine their supply chain asset management strategies. For example, some companies have begun to relocate some of their production bases to Southeast Asian countries to diversify risks and optimize cost structures. This global supply chain asset management strategy requires companies to have higher cross-cultural management capabilities and risk management levels.</w:t>
      </w:r>
    </w:p>
    <w:p w14:paraId="4D0D995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China is also actively exploring innovative models in public sector asset management. With the transformation of government functions and the increase in public service requirements, how to better manage public assets has become an important issue. Some local governments have begun to try to introduce corporate asset management methods, such as setting up government investment companies to manage urban infrastructure assets. This approach aims to improve the efficiency of public asset use and value creation, while also opening up new ways for private capital to participate </w:t>
      </w:r>
      <w:r>
        <w:rPr>
          <w:rFonts w:ascii="Times New Roman" w:hAnsi="Times New Roman" w:cs="Times New Roman"/>
          <w:sz w:val="28"/>
          <w:szCs w:val="28"/>
        </w:rPr>
        <w:lastRenderedPageBreak/>
        <w:t>in public asset management. For example, Shanghai International Group, as an investment platform for the Shanghai Municipal Government, has played an important role in the management and operation of major urban assets, providing a new paradigm for public asset management.</w:t>
      </w:r>
    </w:p>
    <w:p w14:paraId="1DBFE8F6"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Chinese companies have also made significant progress in the informatization of asset management. With the development of digital technology, more and more companies have begun to adopt tools such as enterprise resource planning (ERP) systems and asset management information systems (AMIS) to support asset management throughout the life cycle. These systems not only improve the efficiency and accuracy of asset management, but also provide data support for decision-making. For example, China Petrochemical Corporation (Sinopec) has developed and implemented an asset management information system covering the entire group, realizing digital management of the entire process from asset acquisition, use, maintenance to disposal, greatly improving the transparency and efficiency of asset management.</w:t>
      </w:r>
    </w:p>
    <w:p w14:paraId="6658D6BE"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the field of financial asset management, China's practices are also constantly innovating. With the implementation of the new asset management regulations and the deepening reform of the financial market, China's asset management industry is undergoing profound changes. Different types of asset management institutions, such as bank wealth management subsidiaries, public funds, and private equity funds, are repositioning and adjusting their strategies. For example, some leading asset management companies have begun to pay more attention to the improvement of active management capabilities, gradually shifting from traditional "channel business" to real asset management. At the same time, with the opening of China's capital market, more and more international asset management companies have entered the Chinese market, which has also brought new competition and learning opportunities to China's asset management industry.</w:t>
      </w:r>
    </w:p>
    <w:p w14:paraId="79332BC2"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challenges and opportunities faced by Chinese companies in overseas asset management are also worth noting. With the deepening of the "going out" strategy, the scale of Chinese companies' overseas assets has continued to expand, and managing </w:t>
      </w:r>
      <w:r>
        <w:rPr>
          <w:rFonts w:ascii="Times New Roman" w:hAnsi="Times New Roman" w:cs="Times New Roman"/>
          <w:sz w:val="28"/>
          <w:szCs w:val="28"/>
        </w:rPr>
        <w:lastRenderedPageBreak/>
        <w:t>these assets has become a complex task. On the one hand, Chinese companies need to deal with the legal, cultural, and political environments of different countries; on the other hand, they also need to balance commercial interests with geopolitical considerations. For example, when managing its power grid assets in Brazil, Portugal and other countries, the State Grid Corporation of China needs to consider not only technical and economic factors, but also local political sensitivities and social responsibility issues. This global asset management practice is driving Chinese companies to improve their cross-cultural management capabilities and international operations.</w:t>
      </w:r>
    </w:p>
    <w:p w14:paraId="3B22B18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concept of sustainable development is also having an increasingly significant impact on the asset management practices of Chinese companies. As the Chinese government has proposed the "carbon peak and carbon neutrality" goals, many companies have begun to reassess the environmental impact of their asset portfolios. This involves not only traditional environmental protection measures, but also broader sustainable development strategies. For example, some energy companies have begun to increase investment in renewable energy assets while gradually optimizing traditional fossil energy assets. While promoting the construction of ultra-high voltage transmission networks, State Grid Corporation of China is also actively exploring how to support the large-scale access and utilization of renewable energy through smart grid technology. This trend reflects that Chinese companies are working hard to integrate the concept of sustainable development into all aspects of asset management.</w:t>
      </w:r>
    </w:p>
    <w:p w14:paraId="3D01723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Chinese companies also show unique characteristics in their practices of human capital management. With the transformation and upgrading of China's economic structure, talent has become one of the most critical strategic assets of enterprises. Many companies have begun to adopt more sophisticated human capital management strategies, including establishing long-term incentive mechanisms, promoting internal innovation and entrepreneurship, and implementing employee stock ownership plans. For example, Huawei's "strivers-oriented" human resource management concept closely combines employee interests with the company's long-term development through a unique virtual restricted equity incentive plan, which has had a wide impact </w:t>
      </w:r>
      <w:r>
        <w:rPr>
          <w:rFonts w:ascii="Times New Roman" w:hAnsi="Times New Roman" w:cs="Times New Roman"/>
          <w:sz w:val="28"/>
          <w:szCs w:val="28"/>
        </w:rPr>
        <w:lastRenderedPageBreak/>
        <w:t>in Chinese companies.</w:t>
      </w:r>
    </w:p>
    <w:p w14:paraId="7B87909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Chinese companies are also constantly improving their practices in asset valuation and value management. With the deepening development of the market economy and the increase in corporate mergers and acquisitions and restructuring activities, it is becoming increasingly important to accurately assess the value of corporate assets. China's asset valuation industry is moving closer to international standards, while also exploring valuation methods that are suitable for China's national conditions. For example, when evaluating state-owned enterprise assets, in addition to considering financial value, social value and strategic value also need to be considered. This multi-dimensional asset value assessment method reflects the complexity and particularity of Chinese corporate asset management practices.</w:t>
      </w:r>
    </w:p>
    <w:p w14:paraId="1AC26D7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management of data as a new strategic asset has also become a new issue facing Chinese companies. With the development of big data and artificial intelligence technologies, the value of data assets has become increasingly prominent. How to collect, store, analyze and use data, how to protect data security, and how to create value through data have become new areas of enterprise asset management. Some Internet giants, such as Alibaba and Tencent, are at the forefront in this regard. For example, Alibaba has accumulated massive user data and transaction data through its ecosystem, which not only supports the optimization of its own business, but also derives new business models such as data services.</w:t>
      </w:r>
    </w:p>
    <w:p w14:paraId="2FEF014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Chinese companies also demonstrate unique practices in brand asset management. With the increasing internationalization of Chinese companies and the strengthening of consumer brand awareness, brand has become one of the most valuable intangible assets of many companies. Some leading companies have begun to adopt a more systematic approach to brand management, including brand positioning, brand extension, and brand value assessment. For example, Huawei has successfully developed its brand from a local Chinese brand to a globally renowned technology brand through continuous technological innovation and quality assurance. This successful practice of brand asset management provides valuable experience for other Chinese companies.</w:t>
      </w:r>
    </w:p>
    <w:p w14:paraId="7F116C8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Asset management in the process of corporate mergers and acquisitions and restructuring is also an important issue facing Chinese companies. With the increase in Chinese corporate mergers and acquisitions, especially cross-border mergers and acquisitions, how to effectively integrate and manage the assets of acquired companies has become a key challenge. This not only involves integration at the financial and operational levels, but also includes the management of intangible assets such as culture, talent, and technology. For example, after Geely Automobile acquired Volvo, how to maintain the independence of the Volvo brand while achieving synergy, this balance reflects the innovative practice of Chinese companies in cross-cultural asset management.</w:t>
      </w:r>
    </w:p>
    <w:p w14:paraId="5A7CEEB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general, the asset management conceptual framework of Chinese enterprises is undergoing a dynamic evolution. It combines global best practices with Chinese characteristics, reflecting the needs of China's economic transformation and corporate internationalization. The characteristics of this framework include: 1) emphasizing the alignment of asset management with national strategy; 2) focusing on long-term value creation and sustainable development; 3) focusing on innovation and technology-driven asset management models; 4) attaching importance to the management of intangible assets and human capital; 5) gradually moving closer to international standards while maintaining local characteristics.</w:t>
      </w:r>
    </w:p>
    <w:p w14:paraId="05DF2945" w14:textId="77777777" w:rsidR="00CB2BA9" w:rsidRDefault="00773039">
      <w:pPr>
        <w:rPr>
          <w:rFonts w:ascii="Times New Roman" w:hAnsi="Times New Roman" w:cs="Times New Roman"/>
          <w:b/>
          <w:bCs/>
          <w:sz w:val="28"/>
          <w:szCs w:val="36"/>
        </w:rPr>
      </w:pPr>
      <w:r>
        <w:rPr>
          <w:rFonts w:ascii="Times New Roman" w:hAnsi="Times New Roman" w:cs="Times New Roman"/>
          <w:b/>
          <w:bCs/>
          <w:sz w:val="28"/>
          <w:szCs w:val="36"/>
        </w:rPr>
        <w:br w:type="page"/>
      </w:r>
    </w:p>
    <w:p w14:paraId="5D3EEB6B" w14:textId="77777777" w:rsidR="00CB2BA9" w:rsidRDefault="00773039" w:rsidP="002D0281">
      <w:pPr>
        <w:snapToGrid w:val="0"/>
        <w:spacing w:line="360" w:lineRule="auto"/>
        <w:ind w:firstLine="709"/>
        <w:jc w:val="center"/>
        <w:outlineLvl w:val="0"/>
        <w:rPr>
          <w:rFonts w:ascii="Times New Roman" w:hAnsi="Times New Roman" w:cs="Times New Roman"/>
          <w:b/>
          <w:bCs/>
          <w:sz w:val="28"/>
          <w:szCs w:val="36"/>
        </w:rPr>
      </w:pPr>
      <w:bookmarkStart w:id="8" w:name="_Toc23576"/>
      <w:r>
        <w:rPr>
          <w:rFonts w:ascii="Times New Roman" w:hAnsi="Times New Roman" w:cs="Times New Roman"/>
          <w:b/>
          <w:bCs/>
          <w:sz w:val="28"/>
          <w:szCs w:val="36"/>
        </w:rPr>
        <w:lastRenderedPageBreak/>
        <w:t>CHAPTER 2</w:t>
      </w:r>
      <w:bookmarkEnd w:id="8"/>
    </w:p>
    <w:p w14:paraId="51DA6048" w14:textId="77777777" w:rsidR="00CB2BA9" w:rsidRDefault="00773039" w:rsidP="002D0281">
      <w:pPr>
        <w:snapToGrid w:val="0"/>
        <w:spacing w:line="360" w:lineRule="auto"/>
        <w:ind w:firstLine="709"/>
        <w:jc w:val="center"/>
        <w:outlineLvl w:val="0"/>
        <w:rPr>
          <w:rFonts w:ascii="Times New Roman" w:hAnsi="Times New Roman" w:cs="Times New Roman"/>
          <w:b/>
          <w:bCs/>
          <w:sz w:val="28"/>
          <w:szCs w:val="36"/>
        </w:rPr>
      </w:pPr>
      <w:bookmarkStart w:id="9" w:name="_Toc26414"/>
      <w:r>
        <w:rPr>
          <w:rFonts w:ascii="Times New Roman" w:hAnsi="Times New Roman" w:cs="Times New Roman"/>
          <w:b/>
          <w:bCs/>
          <w:sz w:val="28"/>
          <w:szCs w:val="36"/>
        </w:rPr>
        <w:t>ANALYSIS OF ASSET MANAGEMENT PRACTICES IN CHINESE COMPANIES</w:t>
      </w:r>
      <w:bookmarkEnd w:id="9"/>
    </w:p>
    <w:p w14:paraId="41AC8006" w14:textId="77777777" w:rsidR="00CB2BA9" w:rsidRDefault="00CB2BA9" w:rsidP="002D0281">
      <w:pPr>
        <w:snapToGrid w:val="0"/>
        <w:spacing w:line="360" w:lineRule="auto"/>
        <w:ind w:firstLine="709"/>
        <w:rPr>
          <w:rFonts w:ascii="Times New Roman" w:hAnsi="Times New Roman" w:cs="Times New Roman"/>
          <w:b/>
          <w:bCs/>
          <w:sz w:val="28"/>
          <w:szCs w:val="36"/>
        </w:rPr>
      </w:pPr>
    </w:p>
    <w:p w14:paraId="11B8462A" w14:textId="77777777" w:rsidR="00CB2BA9" w:rsidRDefault="00773039" w:rsidP="002D0281">
      <w:pPr>
        <w:snapToGrid w:val="0"/>
        <w:spacing w:line="360" w:lineRule="auto"/>
        <w:ind w:firstLine="709"/>
        <w:outlineLvl w:val="1"/>
        <w:rPr>
          <w:rFonts w:ascii="Times New Roman" w:hAnsi="Times New Roman" w:cs="Times New Roman"/>
          <w:b/>
          <w:bCs/>
          <w:sz w:val="28"/>
          <w:szCs w:val="28"/>
        </w:rPr>
      </w:pPr>
      <w:bookmarkStart w:id="10" w:name="_Toc22182"/>
      <w:r>
        <w:rPr>
          <w:rFonts w:ascii="Times New Roman" w:hAnsi="Times New Roman" w:cs="Times New Roman"/>
          <w:b/>
          <w:bCs/>
          <w:sz w:val="28"/>
          <w:szCs w:val="36"/>
        </w:rPr>
        <w:t>2.1. Characteristics and strategies of asset management in Chinese enterprises</w:t>
      </w:r>
      <w:bookmarkEnd w:id="10"/>
    </w:p>
    <w:p w14:paraId="656886E2" w14:textId="77777777" w:rsidR="00CB2BA9" w:rsidRDefault="00CB2BA9" w:rsidP="002D0281">
      <w:pPr>
        <w:snapToGrid w:val="0"/>
        <w:spacing w:line="360" w:lineRule="auto"/>
        <w:ind w:firstLine="709"/>
        <w:rPr>
          <w:rFonts w:ascii="Times New Roman" w:hAnsi="Times New Roman" w:cs="Times New Roman"/>
          <w:sz w:val="28"/>
          <w:szCs w:val="28"/>
        </w:rPr>
      </w:pPr>
    </w:p>
    <w:p w14:paraId="760B6CD5" w14:textId="77777777" w:rsidR="00CB2BA9" w:rsidRDefault="00773039" w:rsidP="002D0281">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From the evolution of asset management theory in Chapter </w:t>
      </w:r>
      <w:proofErr w:type="gramStart"/>
      <w:r>
        <w:rPr>
          <w:rFonts w:ascii="Times New Roman" w:hAnsi="Times New Roman" w:cs="Times New Roman"/>
          <w:sz w:val="28"/>
          <w:szCs w:val="28"/>
        </w:rPr>
        <w:t>1 ,</w:t>
      </w:r>
      <w:proofErr w:type="gramEnd"/>
      <w:r>
        <w:rPr>
          <w:rFonts w:ascii="Times New Roman" w:hAnsi="Times New Roman" w:cs="Times New Roman"/>
          <w:sz w:val="28"/>
          <w:szCs w:val="28"/>
        </w:rPr>
        <w:t xml:space="preserve"> </w:t>
      </w:r>
      <w:r>
        <w:rPr>
          <w:rFonts w:ascii="Times New Roman" w:hAnsi="Times New Roman" w:cs="Times New Roman"/>
          <w:sz w:val="28"/>
          <w:szCs w:val="28"/>
          <w:lang w:val="en-US"/>
        </w:rPr>
        <w:t xml:space="preserve">we can see </w:t>
      </w:r>
      <w:r>
        <w:rPr>
          <w:rFonts w:ascii="Times New Roman" w:hAnsi="Times New Roman" w:cs="Times New Roman"/>
          <w:sz w:val="28"/>
          <w:szCs w:val="28"/>
        </w:rPr>
        <w:t xml:space="preserve">that asset management has undergone a transformation from simple financial records to modern and systematic management. This theoretical development process has profoundly influenced the management practices of Chinese companies. Since the mid-1990s, with the establishment of a market economy and the deepening of state-owned enterprise reform, Chinese enterprises have begun to systematically introduce modern asset management theory. Modern asset management theory emphasizes the strategic value of assets, full life cycle management and risk control. These core </w:t>
      </w:r>
      <w:proofErr w:type="gramStart"/>
      <w:r>
        <w:rPr>
          <w:rFonts w:ascii="Times New Roman" w:hAnsi="Times New Roman" w:cs="Times New Roman"/>
          <w:sz w:val="28"/>
          <w:szCs w:val="28"/>
        </w:rPr>
        <w:t>The</w:t>
      </w:r>
      <w:proofErr w:type="gramEnd"/>
      <w:r>
        <w:rPr>
          <w:rFonts w:ascii="Times New Roman" w:hAnsi="Times New Roman" w:cs="Times New Roman"/>
          <w:sz w:val="28"/>
          <w:szCs w:val="28"/>
        </w:rPr>
        <w:t xml:space="preserve"> concept has gradually been put into practice and innovated in Chinese enterprises.</w:t>
      </w:r>
    </w:p>
    <w:p w14:paraId="2F5B145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Under the guidance of modern asset management theory, ISO 55000 provides a systematic asset management framework for enterprises, covering key elements such as organizational environment, leadership, planning, support, operation, performance evaluation and improvement</w:t>
      </w:r>
      <w:r>
        <w:rPr>
          <w:rFonts w:ascii="Times New Roman" w:hAnsi="Times New Roman" w:cs="Times New Roman" w:hint="eastAsia"/>
          <w:sz w:val="28"/>
          <w:szCs w:val="28"/>
          <w:lang w:val="en-US"/>
        </w:rPr>
        <w:t xml:space="preserve"> [49]</w:t>
      </w:r>
      <w:r>
        <w:rPr>
          <w:rFonts w:ascii="Times New Roman" w:hAnsi="Times New Roman" w:cs="Times New Roman"/>
          <w:sz w:val="28"/>
          <w:szCs w:val="28"/>
        </w:rPr>
        <w:t>. Compared with the specific requirements of this international standard, the standardization level of asset management in Chinese enterprises shows obvious hierarchical characteristics.</w:t>
      </w:r>
    </w:p>
    <w:p w14:paraId="5427923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first level is large enterprises represented by central enterprises. These enterprises have basically established an asset management system that meets international standards by virtue of their resource advantages and institutional foundation. Taking Sinopec as an example, the company has not only established a special asset management decision-making body in the organizational structure, but also established a management system covering the entire life cycle, forming a "horizontal to the edge, vertical to the bottom" management and control pattern. A relatively complete mechanism has also been established in terms of risk management </w:t>
      </w:r>
      <w:r>
        <w:rPr>
          <w:rFonts w:ascii="Times New Roman" w:hAnsi="Times New Roman" w:cs="Times New Roman"/>
          <w:sz w:val="28"/>
          <w:szCs w:val="28"/>
        </w:rPr>
        <w:lastRenderedPageBreak/>
        <w:t>and performance evaluation. The practices of these enterprises show that they have better transformed the core concepts of the ISO 55000 standard into specific management actions.</w:t>
      </w:r>
    </w:p>
    <w:p w14:paraId="0D2013B5"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second level is local state-owned enterprises and large private enterprises. These enterprises are at a critical stage of system construction. Although they have realized the importance of standardized management, there are still some shortcomings in specific practice. For example, although some enterprises have formulated asset management systems, the implementation is not in place; some enterprises have not yet perfected the mechanisms in risk management and performance evaluation; and some enterprises have breakpoints in the management of the entire life cycle of assets. This reflects that in the process of aligning with international standards, these enterprises need to further improve their management systems and strengthen their execution.</w:t>
      </w:r>
    </w:p>
    <w:p w14:paraId="22A0B92F"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third level is the majority of small and medium-sized enterprises. Due to resource constraints and cognitive limitations, the asset management system of these enterprises is relatively simple, and there is a large gap with the requirements of ISO 55000. Many enterprises are still in the traditional book management stage and lack a systematic asset management concept; some enterprises have not even established a basic asset management system. This situation is related to the development stage of the enterprise and also reflects the practical challenges faced by the promotion of international standards.</w:t>
      </w:r>
    </w:p>
    <w:p w14:paraId="0AECFCE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formation of this differentiated pattern is not accidental, but is deeply rooted in the institutional environment and development history of Chinese enterprises. From a theoretical perspective, it can be deeply analyzed from at least three dimensions:</w:t>
      </w:r>
    </w:p>
    <w:p w14:paraId="40AF89B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First, there is the path dependence effect from the perspective of institutional economics theory. Chinese enterprises, especially state-owned enterprises, have formed a strong path dependence in the process of transformation from a planned economy to a market economy. This dependence is manifested in: on the one hand, the management inertia of "focusing on scale and neglecting efficiency" formed during the planned economy period is still in effect, causing some enterprises to over-emphasize </w:t>
      </w:r>
      <w:r>
        <w:rPr>
          <w:rFonts w:ascii="Times New Roman" w:hAnsi="Times New Roman" w:cs="Times New Roman"/>
          <w:sz w:val="28"/>
          <w:szCs w:val="28"/>
        </w:rPr>
        <w:lastRenderedPageBreak/>
        <w:t>asset scale expansion and ignore efficiency; on the other hand, administrative management methods and bureaucratic organizational structures also restrict management innovation to a certain extent. It is this institutional inertia that makes some enterprises face great resistance in promoting modern asset management reforms.</w:t>
      </w:r>
    </w:p>
    <w:p w14:paraId="294393E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Secondly, there are governance mechanism constraints under the agency theory framework. Under the modern enterprise system where ownership and management rights are separated, the complexity of the agency relationship has a significant impact on asset management efficiency. For state-owned enterprises, this impact is more prominent: first, the absence of owners leads to an imperfect incentive and constraint mechanism, which affects the motivation of managers to optimize asset allocation; second, information asymmetry exacerbates moral hazard, resulting in "insider control" in asset management in some enterprises; third, multi-level agency relationships increase management costs and reduce decision-making efficiency. These problems together lead to the loss of asset management efficiency.</w:t>
      </w:r>
    </w:p>
    <w:p w14:paraId="208E4EB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third is the explanation of capital structure by the trade-off theory. The generally high debt-to-asset ratio of enterprises reflects the logic of financial decision-making under a specific institutional environment. On the one hand, in the indirect financing system dominated by banks, debt financing is often the main financing channel for enterprises; on the other hand, when the "soft budget constraint" has not been completely broken, some enterprises, especially state-owned enterprises, may have a tendency to over-indebtedness. The trade-off theory reminds us that when enterprises pursue the optimal capital structure, they need to balance the tax shield benefits of debt financing and the costs of financial distress, but China's special institutional environment often leads to the breakdown of this balance.</w:t>
      </w:r>
    </w:p>
    <w:p w14:paraId="0E6E08F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analysis of these theoretical foundations not only helps us to deeply understand the current situation and challenges of Chinese corporate asset management, but also provides important inspiration for exploring reform paths. It shows that to promote the overall improvement of Chinese corporate asset management, it is necessary not only to strengthen standardization and promote international standards, but also to deepen reforms and improve governance mechanisms at the institutional </w:t>
      </w:r>
      <w:r>
        <w:rPr>
          <w:rFonts w:ascii="Times New Roman" w:hAnsi="Times New Roman" w:cs="Times New Roman"/>
          <w:sz w:val="28"/>
          <w:szCs w:val="28"/>
        </w:rPr>
        <w:lastRenderedPageBreak/>
        <w:t>level. Only by addressing both the symptoms and the root causes can we achieve a qualitative leap in asset management.</w:t>
      </w:r>
    </w:p>
    <w:p w14:paraId="2E59A5D9"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As a benchmark enterprise in state-owned asset management, Sinopec's innovative practices have clear demonstration significance. Based on the ISO 55000 standard, the company has established a hierarchical and classified management model of "large asset classes + specialized companies" and formed a systematic asset management innovation system</w:t>
      </w:r>
      <w:r>
        <w:rPr>
          <w:rFonts w:ascii="Times New Roman" w:hAnsi="Times New Roman" w:cs="Times New Roman" w:hint="eastAsia"/>
          <w:sz w:val="28"/>
          <w:szCs w:val="28"/>
          <w:lang w:val="en-US"/>
        </w:rPr>
        <w:t xml:space="preserve"> [50]</w:t>
      </w:r>
      <w:r>
        <w:rPr>
          <w:rFonts w:ascii="Times New Roman" w:hAnsi="Times New Roman" w:cs="Times New Roman"/>
          <w:sz w:val="28"/>
          <w:szCs w:val="28"/>
          <w:lang w:val="en-US"/>
        </w:rPr>
        <w:t>.</w:t>
      </w:r>
    </w:p>
    <w:p w14:paraId="403C345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1. </w:t>
      </w:r>
      <w:r>
        <w:rPr>
          <w:rFonts w:ascii="Times New Roman" w:hAnsi="Times New Roman" w:cs="Times New Roman"/>
          <w:sz w:val="28"/>
          <w:szCs w:val="28"/>
        </w:rPr>
        <w:t>Sinopec: A benchmark practice in state-owned assets management</w:t>
      </w:r>
    </w:p>
    <w:p w14:paraId="60B01A5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Sinopec has established a systematic asset management organizational structure, as shown in Figure 1, which adopts a three-level management model. A strategy and investment committee is set up at the board level to coordinate major asset decisions; a professional asset management department is set up at the headquarters level to be responsible for policy formulation and process supervision; and a professional company is set up at the subsidiary level to implement specific operations management. This structural design ensures both scientific decision-making and efficient execution.</w:t>
      </w:r>
    </w:p>
    <w:p w14:paraId="5EF01CD4"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114300" distR="114300" wp14:anchorId="0CCB70A1" wp14:editId="73AC9B30">
            <wp:extent cx="5937250" cy="2553335"/>
            <wp:effectExtent l="0" t="0" r="6350" b="6985"/>
            <wp:docPr id="1" name="图片 1" descr="c3d7f19ffdaf4aa6084e6878ec58d4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3d7f19ffdaf4aa6084e6878ec58d4b"/>
                    <pic:cNvPicPr>
                      <a:picLocks noChangeAspect="1"/>
                    </pic:cNvPicPr>
                  </pic:nvPicPr>
                  <pic:blipFill>
                    <a:blip r:embed="rId7"/>
                    <a:stretch>
                      <a:fillRect/>
                    </a:stretch>
                  </pic:blipFill>
                  <pic:spPr>
                    <a:xfrm>
                      <a:off x="0" y="0"/>
                      <a:ext cx="5937250" cy="2553335"/>
                    </a:xfrm>
                    <a:prstGeom prst="rect">
                      <a:avLst/>
                    </a:prstGeom>
                  </pic:spPr>
                </pic:pic>
              </a:graphicData>
            </a:graphic>
          </wp:inline>
        </w:drawing>
      </w:r>
    </w:p>
    <w:p w14:paraId="3C8ECFF3" w14:textId="77777777" w:rsidR="00CB2BA9" w:rsidRDefault="00773039">
      <w:pPr>
        <w:pStyle w:val="a6"/>
        <w:widowControl/>
        <w:snapToGrid w:val="0"/>
        <w:spacing w:line="360" w:lineRule="auto"/>
        <w:ind w:firstLineChars="200" w:firstLine="562"/>
        <w:jc w:val="center"/>
        <w:rPr>
          <w:rFonts w:ascii="Times New Roman" w:hAnsi="Times New Roman" w:cs="Times New Roman"/>
          <w:b/>
          <w:bCs/>
          <w:sz w:val="28"/>
          <w:szCs w:val="28"/>
          <w:lang w:val="en-US"/>
        </w:rPr>
      </w:pPr>
      <w:r>
        <w:rPr>
          <w:rFonts w:ascii="Times New Roman" w:hAnsi="Times New Roman" w:cs="Times New Roman"/>
          <w:b/>
          <w:bCs/>
          <w:sz w:val="28"/>
          <w:szCs w:val="28"/>
        </w:rPr>
        <w:t>Fig</w:t>
      </w:r>
      <w:r>
        <w:rPr>
          <w:rFonts w:ascii="Times New Roman" w:hAnsi="Times New Roman" w:cs="Times New Roman" w:hint="eastAsia"/>
          <w:b/>
          <w:bCs/>
          <w:sz w:val="28"/>
          <w:szCs w:val="28"/>
          <w:lang w:val="en-US"/>
        </w:rPr>
        <w:t>.2.1.</w:t>
      </w:r>
      <w:r>
        <w:rPr>
          <w:rFonts w:ascii="Times New Roman" w:hAnsi="Times New Roman" w:cs="Times New Roman"/>
          <w:b/>
          <w:bCs/>
          <w:sz w:val="28"/>
          <w:szCs w:val="28"/>
        </w:rPr>
        <w:t xml:space="preserve"> Organizational structure of Sinopec Asset Management</w:t>
      </w:r>
      <w:r>
        <w:rPr>
          <w:rFonts w:ascii="Times New Roman" w:hAnsi="Times New Roman" w:cs="Times New Roman" w:hint="eastAsia"/>
          <w:b/>
          <w:bCs/>
          <w:sz w:val="28"/>
          <w:szCs w:val="28"/>
          <w:lang w:val="en-US"/>
        </w:rPr>
        <w:t xml:space="preserve"> (S</w:t>
      </w:r>
      <w:proofErr w:type="spellStart"/>
      <w:r>
        <w:rPr>
          <w:rFonts w:ascii="Times New Roman" w:hAnsi="Times New Roman" w:cs="Times New Roman"/>
          <w:b/>
          <w:bCs/>
          <w:sz w:val="28"/>
          <w:szCs w:val="28"/>
        </w:rPr>
        <w:t>ource</w:t>
      </w:r>
      <w:proofErr w:type="spellEnd"/>
      <w:r>
        <w:rPr>
          <w:rFonts w:ascii="Times New Roman" w:hAnsi="Times New Roman" w:cs="Times New Roman"/>
          <w:b/>
          <w:bCs/>
          <w:sz w:val="28"/>
          <w:szCs w:val="28"/>
        </w:rPr>
        <w:t xml:space="preserve">: Sinopec Annual Report </w:t>
      </w:r>
      <w:proofErr w:type="gramStart"/>
      <w:r>
        <w:rPr>
          <w:rFonts w:ascii="Times New Roman" w:hAnsi="Times New Roman" w:cs="Times New Roman"/>
          <w:b/>
          <w:bCs/>
          <w:sz w:val="28"/>
          <w:szCs w:val="28"/>
        </w:rPr>
        <w:t xml:space="preserve">( </w:t>
      </w:r>
      <w:r>
        <w:rPr>
          <w:rFonts w:ascii="Times New Roman" w:hAnsi="Times New Roman" w:cs="Times New Roman"/>
          <w:b/>
          <w:bCs/>
          <w:sz w:val="28"/>
          <w:szCs w:val="28"/>
          <w:lang w:val="en-US"/>
        </w:rPr>
        <w:t>2023</w:t>
      </w:r>
      <w:proofErr w:type="gramEnd"/>
      <w:r>
        <w:rPr>
          <w:rFonts w:ascii="Times New Roman" w:hAnsi="Times New Roman" w:cs="Times New Roman"/>
          <w:b/>
          <w:bCs/>
          <w:sz w:val="28"/>
          <w:szCs w:val="28"/>
          <w:lang w:val="en-US"/>
        </w:rPr>
        <w:t xml:space="preserve"> </w:t>
      </w:r>
      <w:r>
        <w:rPr>
          <w:rFonts w:ascii="Times New Roman" w:hAnsi="Times New Roman" w:cs="Times New Roman"/>
          <w:b/>
          <w:bCs/>
          <w:sz w:val="28"/>
          <w:szCs w:val="28"/>
        </w:rPr>
        <w:t>)</w:t>
      </w:r>
      <w:r>
        <w:rPr>
          <w:rFonts w:ascii="Times New Roman" w:hAnsi="Times New Roman" w:cs="Times New Roman" w:hint="eastAsia"/>
          <w:b/>
          <w:bCs/>
          <w:sz w:val="28"/>
          <w:szCs w:val="28"/>
          <w:lang w:val="en-US"/>
        </w:rPr>
        <w:t>)</w:t>
      </w:r>
    </w:p>
    <w:p w14:paraId="4DCC7C70" w14:textId="77777777" w:rsidR="00CB2BA9" w:rsidRDefault="00773039">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As can be seen from Figure 1, Sinopec has built a complete asset management organizational system with clear management levels and division of responsibilities. This organizational structure effectively ensures the implementation and execution of asset management decisions and promotes the improvement of management efficiency.</w:t>
      </w:r>
    </w:p>
    <w:p w14:paraId="38CEA264" w14:textId="77777777" w:rsidR="00CB2BA9" w:rsidRDefault="00773039">
      <w:pPr>
        <w:widowControl/>
        <w:snapToGrid w:val="0"/>
        <w:spacing w:line="360" w:lineRule="auto"/>
        <w:ind w:left="720" w:firstLineChars="200" w:firstLine="560"/>
        <w:rPr>
          <w:rFonts w:ascii="Times New Roman" w:hAnsi="Times New Roman" w:cs="Times New Roman"/>
          <w:sz w:val="28"/>
          <w:szCs w:val="28"/>
        </w:rPr>
      </w:pPr>
      <w:r>
        <w:rPr>
          <w:rFonts w:ascii="Times New Roman" w:hAnsi="Times New Roman" w:cs="Times New Roman"/>
          <w:sz w:val="28"/>
          <w:szCs w:val="28"/>
          <w:lang w:val="en-US"/>
        </w:rPr>
        <w:lastRenderedPageBreak/>
        <w:t xml:space="preserve">2. </w:t>
      </w:r>
      <w:r>
        <w:rPr>
          <w:rFonts w:ascii="Times New Roman" w:hAnsi="Times New Roman" w:cs="Times New Roman"/>
          <w:sz w:val="28"/>
          <w:szCs w:val="28"/>
        </w:rPr>
        <w:t xml:space="preserve">Management process </w:t>
      </w:r>
      <w:r>
        <w:rPr>
          <w:rFonts w:ascii="Times New Roman" w:hAnsi="Times New Roman" w:cs="Times New Roman"/>
          <w:sz w:val="28"/>
          <w:szCs w:val="28"/>
          <w:lang w:val="en-US"/>
        </w:rPr>
        <w:t>innovation</w:t>
      </w:r>
    </w:p>
    <w:p w14:paraId="6A3897AA"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company innovatively implemented a "penetrating" post-evaluation mechanism and built a comprehensive supervision and evaluation system. The specific evaluation index system is shown in Table </w:t>
      </w:r>
      <w:r>
        <w:rPr>
          <w:rFonts w:ascii="Times New Roman" w:hAnsi="Times New Roman" w:cs="Times New Roman" w:hint="eastAsia"/>
          <w:sz w:val="28"/>
          <w:szCs w:val="28"/>
          <w:lang w:val="en-US"/>
        </w:rPr>
        <w:t>2.</w:t>
      </w:r>
      <w:r>
        <w:rPr>
          <w:rFonts w:ascii="Times New Roman" w:hAnsi="Times New Roman" w:cs="Times New Roman"/>
          <w:sz w:val="28"/>
          <w:szCs w:val="28"/>
        </w:rPr>
        <w:t>1</w:t>
      </w:r>
      <w:r>
        <w:rPr>
          <w:rFonts w:ascii="Times New Roman" w:hAnsi="Times New Roman" w:cs="Times New Roman" w:hint="eastAsia"/>
          <w:sz w:val="28"/>
          <w:szCs w:val="28"/>
          <w:lang w:val="en-US"/>
        </w:rPr>
        <w:t xml:space="preserve"> [51]</w:t>
      </w:r>
      <w:r>
        <w:rPr>
          <w:rFonts w:ascii="Times New Roman" w:hAnsi="Times New Roman" w:cs="Times New Roman"/>
          <w:sz w:val="28"/>
          <w:szCs w:val="28"/>
        </w:rPr>
        <w:t>:</w:t>
      </w:r>
    </w:p>
    <w:p w14:paraId="181F3D96" w14:textId="77777777" w:rsidR="00CB2BA9" w:rsidRDefault="00773039" w:rsidP="00773039">
      <w:pPr>
        <w:pStyle w:val="a6"/>
        <w:widowControl/>
        <w:snapToGrid w:val="0"/>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Table </w:t>
      </w:r>
      <w:r>
        <w:rPr>
          <w:rFonts w:ascii="Times New Roman" w:hAnsi="Times New Roman" w:cs="Times New Roman" w:hint="eastAsia"/>
          <w:b/>
          <w:bCs/>
          <w:sz w:val="28"/>
          <w:szCs w:val="28"/>
          <w:lang w:val="en-US"/>
        </w:rPr>
        <w:t>2.</w:t>
      </w:r>
      <w:r>
        <w:rPr>
          <w:rFonts w:ascii="Times New Roman" w:hAnsi="Times New Roman" w:cs="Times New Roman"/>
          <w:b/>
          <w:bCs/>
          <w:sz w:val="28"/>
          <w:szCs w:val="28"/>
        </w:rPr>
        <w:t>1</w:t>
      </w:r>
    </w:p>
    <w:p w14:paraId="018A5B65" w14:textId="77777777" w:rsidR="00CB2BA9" w:rsidRDefault="00773039" w:rsidP="00773039">
      <w:pPr>
        <w:pStyle w:val="a6"/>
        <w:widowControl/>
        <w:snapToGrid w:val="0"/>
        <w:ind w:firstLine="709"/>
        <w:jc w:val="center"/>
        <w:rPr>
          <w:rFonts w:ascii="Times New Roman" w:hAnsi="Times New Roman" w:cs="Times New Roman"/>
          <w:b/>
          <w:bCs/>
          <w:sz w:val="28"/>
          <w:szCs w:val="28"/>
        </w:rPr>
      </w:pPr>
      <w:r>
        <w:rPr>
          <w:rFonts w:ascii="Times New Roman" w:hAnsi="Times New Roman" w:cs="Times New Roman"/>
          <w:b/>
          <w:bCs/>
          <w:sz w:val="28"/>
          <w:szCs w:val="28"/>
        </w:rPr>
        <w:t>Sinopec Asset Management Evaluation Index System</w:t>
      </w:r>
    </w:p>
    <w:tbl>
      <w:tblPr>
        <w:tblpPr w:leftFromText="180" w:rightFromText="180" w:vertAnchor="text" w:horzAnchor="page" w:tblpX="1423" w:tblpY="460"/>
        <w:tblOverlap w:val="never"/>
        <w:tblW w:w="50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8"/>
        <w:gridCol w:w="2543"/>
        <w:gridCol w:w="2786"/>
        <w:gridCol w:w="1789"/>
      </w:tblGrid>
      <w:tr w:rsidR="00CB2BA9" w14:paraId="45A7F23C" w14:textId="77777777">
        <w:trPr>
          <w:trHeight w:val="268"/>
        </w:trPr>
        <w:tc>
          <w:tcPr>
            <w:tcW w:w="1370" w:type="pct"/>
            <w:shd w:val="clear" w:color="auto" w:fill="auto"/>
            <w:vAlign w:val="center"/>
          </w:tcPr>
          <w:p w14:paraId="33E0D223" w14:textId="77777777" w:rsidR="00CB2BA9" w:rsidRDefault="00773039" w:rsidP="00E0617E">
            <w:pPr>
              <w:widowControl/>
              <w:snapToGrid w:val="0"/>
              <w:jc w:val="center"/>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Evaluation Dimension</w:t>
            </w:r>
          </w:p>
        </w:tc>
        <w:tc>
          <w:tcPr>
            <w:tcW w:w="1296" w:type="pct"/>
            <w:shd w:val="clear" w:color="auto" w:fill="auto"/>
            <w:vAlign w:val="center"/>
          </w:tcPr>
          <w:p w14:paraId="52EA5524" w14:textId="77777777" w:rsidR="00CB2BA9" w:rsidRDefault="00773039" w:rsidP="00E0617E">
            <w:pPr>
              <w:widowControl/>
              <w:snapToGrid w:val="0"/>
              <w:jc w:val="center"/>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Primary Indicator</w:t>
            </w:r>
          </w:p>
        </w:tc>
        <w:tc>
          <w:tcPr>
            <w:tcW w:w="1420" w:type="pct"/>
            <w:shd w:val="clear" w:color="auto" w:fill="auto"/>
            <w:vAlign w:val="center"/>
          </w:tcPr>
          <w:p w14:paraId="02D135EA" w14:textId="77777777" w:rsidR="00CB2BA9" w:rsidRDefault="00773039" w:rsidP="00E0617E">
            <w:pPr>
              <w:widowControl/>
              <w:snapToGrid w:val="0"/>
              <w:jc w:val="center"/>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Secondary Indicator</w:t>
            </w:r>
          </w:p>
        </w:tc>
        <w:tc>
          <w:tcPr>
            <w:tcW w:w="912" w:type="pct"/>
            <w:shd w:val="clear" w:color="auto" w:fill="auto"/>
            <w:vAlign w:val="center"/>
          </w:tcPr>
          <w:p w14:paraId="2F0DF620" w14:textId="77777777" w:rsidR="00CB2BA9" w:rsidRDefault="00773039" w:rsidP="00E0617E">
            <w:pPr>
              <w:widowControl/>
              <w:snapToGrid w:val="0"/>
              <w:jc w:val="center"/>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Weight</w:t>
            </w:r>
          </w:p>
        </w:tc>
      </w:tr>
      <w:tr w:rsidR="00CB2BA9" w14:paraId="3556B7F9" w14:textId="77777777">
        <w:trPr>
          <w:trHeight w:val="529"/>
        </w:trPr>
        <w:tc>
          <w:tcPr>
            <w:tcW w:w="1370" w:type="pct"/>
            <w:shd w:val="clear" w:color="auto" w:fill="auto"/>
            <w:vAlign w:val="center"/>
          </w:tcPr>
          <w:p w14:paraId="5704B2A6"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Decision Evaluation</w:t>
            </w:r>
          </w:p>
        </w:tc>
        <w:tc>
          <w:tcPr>
            <w:tcW w:w="1296" w:type="pct"/>
            <w:shd w:val="clear" w:color="auto" w:fill="auto"/>
            <w:vAlign w:val="center"/>
          </w:tcPr>
          <w:p w14:paraId="6A4675C0"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Strategic Alignment</w:t>
            </w:r>
          </w:p>
        </w:tc>
        <w:tc>
          <w:tcPr>
            <w:tcW w:w="1420" w:type="pct"/>
            <w:shd w:val="clear" w:color="auto" w:fill="auto"/>
            <w:vAlign w:val="center"/>
          </w:tcPr>
          <w:p w14:paraId="2C2032B9"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Alignment with Development Strategy</w:t>
            </w:r>
          </w:p>
        </w:tc>
        <w:tc>
          <w:tcPr>
            <w:tcW w:w="912" w:type="pct"/>
            <w:shd w:val="clear" w:color="auto" w:fill="auto"/>
            <w:vAlign w:val="center"/>
          </w:tcPr>
          <w:p w14:paraId="6A46B33A" w14:textId="77777777" w:rsidR="00CB2BA9" w:rsidRDefault="00773039" w:rsidP="00E0617E">
            <w:pPr>
              <w:widowControl/>
              <w:snapToGrid w:val="0"/>
              <w:jc w:val="righ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15%</w:t>
            </w:r>
          </w:p>
        </w:tc>
      </w:tr>
      <w:tr w:rsidR="00CB2BA9" w14:paraId="51F2EA2F" w14:textId="77777777">
        <w:trPr>
          <w:trHeight w:val="268"/>
        </w:trPr>
        <w:tc>
          <w:tcPr>
            <w:tcW w:w="1370" w:type="pct"/>
            <w:shd w:val="clear" w:color="auto" w:fill="auto"/>
            <w:vAlign w:val="center"/>
          </w:tcPr>
          <w:p w14:paraId="5ADCA79E" w14:textId="77777777" w:rsidR="00CB2BA9" w:rsidRDefault="00CB2BA9" w:rsidP="00E0617E">
            <w:pPr>
              <w:snapToGrid w:val="0"/>
              <w:rPr>
                <w:rFonts w:ascii="Times New Roman" w:eastAsia="SimSun" w:hAnsi="Times New Roman" w:cs="Times New Roman"/>
                <w:color w:val="000000"/>
                <w:sz w:val="22"/>
                <w:szCs w:val="22"/>
              </w:rPr>
            </w:pPr>
          </w:p>
        </w:tc>
        <w:tc>
          <w:tcPr>
            <w:tcW w:w="1296" w:type="pct"/>
            <w:shd w:val="clear" w:color="auto" w:fill="auto"/>
            <w:vAlign w:val="center"/>
          </w:tcPr>
          <w:p w14:paraId="5E174245"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Feasibility Study</w:t>
            </w:r>
          </w:p>
        </w:tc>
        <w:tc>
          <w:tcPr>
            <w:tcW w:w="1420" w:type="pct"/>
            <w:shd w:val="clear" w:color="auto" w:fill="auto"/>
            <w:vAlign w:val="center"/>
          </w:tcPr>
          <w:p w14:paraId="3D564428"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Technical Plan Rationality</w:t>
            </w:r>
          </w:p>
        </w:tc>
        <w:tc>
          <w:tcPr>
            <w:tcW w:w="912" w:type="pct"/>
            <w:shd w:val="clear" w:color="auto" w:fill="auto"/>
            <w:vAlign w:val="center"/>
          </w:tcPr>
          <w:p w14:paraId="31818C5F" w14:textId="77777777" w:rsidR="00CB2BA9" w:rsidRDefault="00773039" w:rsidP="00E0617E">
            <w:pPr>
              <w:widowControl/>
              <w:snapToGrid w:val="0"/>
              <w:jc w:val="righ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10%</w:t>
            </w:r>
          </w:p>
        </w:tc>
      </w:tr>
      <w:tr w:rsidR="00CB2BA9" w14:paraId="64E1ED85" w14:textId="77777777">
        <w:trPr>
          <w:trHeight w:val="268"/>
        </w:trPr>
        <w:tc>
          <w:tcPr>
            <w:tcW w:w="1370" w:type="pct"/>
            <w:shd w:val="clear" w:color="auto" w:fill="auto"/>
            <w:vAlign w:val="center"/>
          </w:tcPr>
          <w:p w14:paraId="6F0EE676" w14:textId="77777777" w:rsidR="00CB2BA9" w:rsidRDefault="00CB2BA9" w:rsidP="00E0617E">
            <w:pPr>
              <w:snapToGrid w:val="0"/>
              <w:rPr>
                <w:rFonts w:ascii="Times New Roman" w:eastAsia="SimSun" w:hAnsi="Times New Roman" w:cs="Times New Roman"/>
                <w:color w:val="000000"/>
                <w:sz w:val="22"/>
                <w:szCs w:val="22"/>
              </w:rPr>
            </w:pPr>
          </w:p>
        </w:tc>
        <w:tc>
          <w:tcPr>
            <w:tcW w:w="1296" w:type="pct"/>
            <w:shd w:val="clear" w:color="auto" w:fill="auto"/>
            <w:vAlign w:val="center"/>
          </w:tcPr>
          <w:p w14:paraId="29AC3175"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Financial Forecast</w:t>
            </w:r>
          </w:p>
        </w:tc>
        <w:tc>
          <w:tcPr>
            <w:tcW w:w="1420" w:type="pct"/>
            <w:shd w:val="clear" w:color="auto" w:fill="auto"/>
            <w:vAlign w:val="center"/>
          </w:tcPr>
          <w:p w14:paraId="4DF22142"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Forecast Accuracy</w:t>
            </w:r>
          </w:p>
        </w:tc>
        <w:tc>
          <w:tcPr>
            <w:tcW w:w="912" w:type="pct"/>
            <w:shd w:val="clear" w:color="auto" w:fill="auto"/>
            <w:vAlign w:val="center"/>
          </w:tcPr>
          <w:p w14:paraId="5CF2ACF4" w14:textId="77777777" w:rsidR="00CB2BA9" w:rsidRDefault="00773039" w:rsidP="00E0617E">
            <w:pPr>
              <w:widowControl/>
              <w:snapToGrid w:val="0"/>
              <w:jc w:val="righ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10%</w:t>
            </w:r>
          </w:p>
        </w:tc>
      </w:tr>
      <w:tr w:rsidR="00CB2BA9" w14:paraId="1FE73A15" w14:textId="77777777">
        <w:trPr>
          <w:trHeight w:val="268"/>
        </w:trPr>
        <w:tc>
          <w:tcPr>
            <w:tcW w:w="1370" w:type="pct"/>
            <w:shd w:val="clear" w:color="auto" w:fill="auto"/>
            <w:vAlign w:val="center"/>
          </w:tcPr>
          <w:p w14:paraId="4A620233"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Construction Evaluation</w:t>
            </w:r>
          </w:p>
        </w:tc>
        <w:tc>
          <w:tcPr>
            <w:tcW w:w="1296" w:type="pct"/>
            <w:shd w:val="clear" w:color="auto" w:fill="auto"/>
            <w:vAlign w:val="center"/>
          </w:tcPr>
          <w:p w14:paraId="2CFB342C"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Progress Control</w:t>
            </w:r>
          </w:p>
        </w:tc>
        <w:tc>
          <w:tcPr>
            <w:tcW w:w="1420" w:type="pct"/>
            <w:shd w:val="clear" w:color="auto" w:fill="auto"/>
            <w:vAlign w:val="center"/>
          </w:tcPr>
          <w:p w14:paraId="3C0D4710"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Plan Completion Rate</w:t>
            </w:r>
          </w:p>
        </w:tc>
        <w:tc>
          <w:tcPr>
            <w:tcW w:w="912" w:type="pct"/>
            <w:shd w:val="clear" w:color="auto" w:fill="auto"/>
            <w:vAlign w:val="center"/>
          </w:tcPr>
          <w:p w14:paraId="646C0ACD" w14:textId="77777777" w:rsidR="00CB2BA9" w:rsidRDefault="00773039" w:rsidP="00E0617E">
            <w:pPr>
              <w:widowControl/>
              <w:snapToGrid w:val="0"/>
              <w:jc w:val="righ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10%</w:t>
            </w:r>
          </w:p>
        </w:tc>
      </w:tr>
      <w:tr w:rsidR="00CB2BA9" w14:paraId="55F442DD" w14:textId="77777777">
        <w:trPr>
          <w:trHeight w:val="268"/>
        </w:trPr>
        <w:tc>
          <w:tcPr>
            <w:tcW w:w="1370" w:type="pct"/>
            <w:shd w:val="clear" w:color="auto" w:fill="auto"/>
            <w:vAlign w:val="center"/>
          </w:tcPr>
          <w:p w14:paraId="04AC08C8" w14:textId="77777777" w:rsidR="00CB2BA9" w:rsidRDefault="00CB2BA9" w:rsidP="00E0617E">
            <w:pPr>
              <w:snapToGrid w:val="0"/>
              <w:rPr>
                <w:rFonts w:ascii="Times New Roman" w:eastAsia="SimSun" w:hAnsi="Times New Roman" w:cs="Times New Roman"/>
                <w:color w:val="000000"/>
                <w:sz w:val="22"/>
                <w:szCs w:val="22"/>
              </w:rPr>
            </w:pPr>
          </w:p>
        </w:tc>
        <w:tc>
          <w:tcPr>
            <w:tcW w:w="1296" w:type="pct"/>
            <w:shd w:val="clear" w:color="auto" w:fill="auto"/>
            <w:vAlign w:val="center"/>
          </w:tcPr>
          <w:p w14:paraId="56D98944"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Investment Control</w:t>
            </w:r>
          </w:p>
        </w:tc>
        <w:tc>
          <w:tcPr>
            <w:tcW w:w="1420" w:type="pct"/>
            <w:shd w:val="clear" w:color="auto" w:fill="auto"/>
            <w:vAlign w:val="center"/>
          </w:tcPr>
          <w:p w14:paraId="7273E0C6"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Budget Execution Rate</w:t>
            </w:r>
          </w:p>
        </w:tc>
        <w:tc>
          <w:tcPr>
            <w:tcW w:w="912" w:type="pct"/>
            <w:shd w:val="clear" w:color="auto" w:fill="auto"/>
            <w:vAlign w:val="center"/>
          </w:tcPr>
          <w:p w14:paraId="6282FB6C" w14:textId="77777777" w:rsidR="00CB2BA9" w:rsidRDefault="00773039" w:rsidP="00E0617E">
            <w:pPr>
              <w:widowControl/>
              <w:snapToGrid w:val="0"/>
              <w:jc w:val="righ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10%</w:t>
            </w:r>
          </w:p>
        </w:tc>
      </w:tr>
      <w:tr w:rsidR="00CB2BA9" w14:paraId="7311751F" w14:textId="77777777">
        <w:trPr>
          <w:trHeight w:val="268"/>
        </w:trPr>
        <w:tc>
          <w:tcPr>
            <w:tcW w:w="1370" w:type="pct"/>
            <w:shd w:val="clear" w:color="auto" w:fill="auto"/>
            <w:vAlign w:val="center"/>
          </w:tcPr>
          <w:p w14:paraId="16B5EFF4"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Operation Evaluation</w:t>
            </w:r>
          </w:p>
        </w:tc>
        <w:tc>
          <w:tcPr>
            <w:tcW w:w="1296" w:type="pct"/>
            <w:shd w:val="clear" w:color="auto" w:fill="auto"/>
            <w:vAlign w:val="center"/>
          </w:tcPr>
          <w:p w14:paraId="5CC32B0C"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Operating Efficiency</w:t>
            </w:r>
          </w:p>
        </w:tc>
        <w:tc>
          <w:tcPr>
            <w:tcW w:w="1420" w:type="pct"/>
            <w:shd w:val="clear" w:color="auto" w:fill="auto"/>
            <w:vAlign w:val="center"/>
          </w:tcPr>
          <w:p w14:paraId="4657492B"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Return on Assets</w:t>
            </w:r>
          </w:p>
        </w:tc>
        <w:tc>
          <w:tcPr>
            <w:tcW w:w="912" w:type="pct"/>
            <w:shd w:val="clear" w:color="auto" w:fill="auto"/>
            <w:vAlign w:val="center"/>
          </w:tcPr>
          <w:p w14:paraId="1D9EE059" w14:textId="77777777" w:rsidR="00CB2BA9" w:rsidRDefault="00773039" w:rsidP="00E0617E">
            <w:pPr>
              <w:widowControl/>
              <w:snapToGrid w:val="0"/>
              <w:jc w:val="righ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15%</w:t>
            </w:r>
          </w:p>
        </w:tc>
      </w:tr>
      <w:tr w:rsidR="00CB2BA9" w14:paraId="4DC51E9B" w14:textId="77777777">
        <w:trPr>
          <w:trHeight w:val="268"/>
        </w:trPr>
        <w:tc>
          <w:tcPr>
            <w:tcW w:w="1370" w:type="pct"/>
            <w:shd w:val="clear" w:color="auto" w:fill="auto"/>
            <w:vAlign w:val="center"/>
          </w:tcPr>
          <w:p w14:paraId="7FC70857" w14:textId="77777777" w:rsidR="00CB2BA9" w:rsidRDefault="00CB2BA9" w:rsidP="00E0617E">
            <w:pPr>
              <w:snapToGrid w:val="0"/>
              <w:rPr>
                <w:rFonts w:ascii="Times New Roman" w:eastAsia="SimSun" w:hAnsi="Times New Roman" w:cs="Times New Roman"/>
                <w:color w:val="000000"/>
                <w:sz w:val="22"/>
                <w:szCs w:val="22"/>
              </w:rPr>
            </w:pPr>
          </w:p>
        </w:tc>
        <w:tc>
          <w:tcPr>
            <w:tcW w:w="1296" w:type="pct"/>
            <w:shd w:val="clear" w:color="auto" w:fill="auto"/>
            <w:vAlign w:val="center"/>
          </w:tcPr>
          <w:p w14:paraId="1197E8F8"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Operating Quality</w:t>
            </w:r>
          </w:p>
        </w:tc>
        <w:tc>
          <w:tcPr>
            <w:tcW w:w="1420" w:type="pct"/>
            <w:shd w:val="clear" w:color="auto" w:fill="auto"/>
            <w:vAlign w:val="center"/>
          </w:tcPr>
          <w:p w14:paraId="0BD13336"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Equipment Integrity Rate</w:t>
            </w:r>
          </w:p>
        </w:tc>
        <w:tc>
          <w:tcPr>
            <w:tcW w:w="912" w:type="pct"/>
            <w:shd w:val="clear" w:color="auto" w:fill="auto"/>
            <w:vAlign w:val="center"/>
          </w:tcPr>
          <w:p w14:paraId="73A64C2C" w14:textId="77777777" w:rsidR="00CB2BA9" w:rsidRDefault="00773039" w:rsidP="00E0617E">
            <w:pPr>
              <w:widowControl/>
              <w:snapToGrid w:val="0"/>
              <w:jc w:val="righ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10%</w:t>
            </w:r>
          </w:p>
        </w:tc>
      </w:tr>
      <w:tr w:rsidR="00CB2BA9" w14:paraId="6B7617C1" w14:textId="77777777">
        <w:trPr>
          <w:trHeight w:val="529"/>
        </w:trPr>
        <w:tc>
          <w:tcPr>
            <w:tcW w:w="1370" w:type="pct"/>
            <w:shd w:val="clear" w:color="auto" w:fill="auto"/>
            <w:vAlign w:val="center"/>
          </w:tcPr>
          <w:p w14:paraId="1E340C6F"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Exit Evaluation</w:t>
            </w:r>
          </w:p>
        </w:tc>
        <w:tc>
          <w:tcPr>
            <w:tcW w:w="1296" w:type="pct"/>
            <w:shd w:val="clear" w:color="auto" w:fill="auto"/>
            <w:vAlign w:val="center"/>
          </w:tcPr>
          <w:p w14:paraId="4DCDB5EC"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Disposal Efficiency</w:t>
            </w:r>
          </w:p>
        </w:tc>
        <w:tc>
          <w:tcPr>
            <w:tcW w:w="1420" w:type="pct"/>
            <w:shd w:val="clear" w:color="auto" w:fill="auto"/>
            <w:vAlign w:val="center"/>
          </w:tcPr>
          <w:p w14:paraId="67C8F008"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Asset Disposal Return Rate</w:t>
            </w:r>
          </w:p>
        </w:tc>
        <w:tc>
          <w:tcPr>
            <w:tcW w:w="912" w:type="pct"/>
            <w:shd w:val="clear" w:color="auto" w:fill="auto"/>
            <w:vAlign w:val="center"/>
          </w:tcPr>
          <w:p w14:paraId="22AD3FD2" w14:textId="77777777" w:rsidR="00CB2BA9" w:rsidRDefault="00773039" w:rsidP="00E0617E">
            <w:pPr>
              <w:widowControl/>
              <w:snapToGrid w:val="0"/>
              <w:jc w:val="righ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10%</w:t>
            </w:r>
          </w:p>
        </w:tc>
      </w:tr>
      <w:tr w:rsidR="00CB2BA9" w14:paraId="503F8DA3" w14:textId="77777777">
        <w:trPr>
          <w:trHeight w:val="535"/>
        </w:trPr>
        <w:tc>
          <w:tcPr>
            <w:tcW w:w="1370" w:type="pct"/>
            <w:shd w:val="clear" w:color="auto" w:fill="auto"/>
            <w:vAlign w:val="center"/>
          </w:tcPr>
          <w:p w14:paraId="2C7A375B" w14:textId="77777777" w:rsidR="00CB2BA9" w:rsidRDefault="00CB2BA9" w:rsidP="00E0617E">
            <w:pPr>
              <w:snapToGrid w:val="0"/>
              <w:rPr>
                <w:rFonts w:ascii="Times New Roman" w:eastAsia="SimSun" w:hAnsi="Times New Roman" w:cs="Times New Roman"/>
                <w:color w:val="000000"/>
                <w:sz w:val="22"/>
                <w:szCs w:val="22"/>
              </w:rPr>
            </w:pPr>
          </w:p>
        </w:tc>
        <w:tc>
          <w:tcPr>
            <w:tcW w:w="1296" w:type="pct"/>
            <w:shd w:val="clear" w:color="auto" w:fill="auto"/>
            <w:vAlign w:val="center"/>
          </w:tcPr>
          <w:p w14:paraId="67AA7BCB"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Process Compliance</w:t>
            </w:r>
          </w:p>
        </w:tc>
        <w:tc>
          <w:tcPr>
            <w:tcW w:w="1420" w:type="pct"/>
            <w:shd w:val="clear" w:color="auto" w:fill="auto"/>
            <w:vAlign w:val="center"/>
          </w:tcPr>
          <w:p w14:paraId="125BFD81"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Compliance of Disposal Procedures</w:t>
            </w:r>
          </w:p>
        </w:tc>
        <w:tc>
          <w:tcPr>
            <w:tcW w:w="912" w:type="pct"/>
            <w:shd w:val="clear" w:color="auto" w:fill="auto"/>
            <w:vAlign w:val="center"/>
          </w:tcPr>
          <w:p w14:paraId="6E1900C6" w14:textId="77777777" w:rsidR="00CB2BA9" w:rsidRDefault="00773039" w:rsidP="00E0617E">
            <w:pPr>
              <w:widowControl/>
              <w:snapToGrid w:val="0"/>
              <w:jc w:val="righ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10%</w:t>
            </w:r>
          </w:p>
        </w:tc>
      </w:tr>
    </w:tbl>
    <w:p w14:paraId="31297AA9" w14:textId="77777777" w:rsidR="00CB2BA9" w:rsidRDefault="00CB2BA9" w:rsidP="00773039">
      <w:pPr>
        <w:pStyle w:val="a6"/>
        <w:widowControl/>
        <w:snapToGrid w:val="0"/>
        <w:spacing w:line="360" w:lineRule="auto"/>
        <w:ind w:firstLine="709"/>
        <w:rPr>
          <w:rFonts w:ascii="Times New Roman" w:hAnsi="Times New Roman" w:cs="Times New Roman"/>
          <w:sz w:val="28"/>
          <w:szCs w:val="28"/>
        </w:rPr>
      </w:pPr>
    </w:p>
    <w:p w14:paraId="1F537412"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can be seen from Table 1, Sinopec has established an evaluation index system covering the entire process of decision-making, construction, operation and exit. The system particularly emphasizes two key indicators, namely, strategic compliance and operational efficiency, which account for 15% each, reflecting the company's high attention to strategic orientation and efficiency orientation.</w:t>
      </w:r>
    </w:p>
    <w:p w14:paraId="5F98A5BD" w14:textId="77777777" w:rsidR="00CB2BA9" w:rsidRDefault="00773039" w:rsidP="00773039">
      <w:pPr>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1. </w:t>
      </w:r>
      <w:r>
        <w:rPr>
          <w:rFonts w:ascii="Times New Roman" w:hAnsi="Times New Roman" w:cs="Times New Roman"/>
          <w:sz w:val="28"/>
          <w:szCs w:val="28"/>
        </w:rPr>
        <w:t>Specific results analysis</w:t>
      </w:r>
    </w:p>
    <w:p w14:paraId="7E1B1D45" w14:textId="77777777" w:rsidR="00CB2BA9" w:rsidRDefault="00773039" w:rsidP="00773039">
      <w:pPr>
        <w:pStyle w:val="a6"/>
        <w:widowControl/>
        <w:snapToGrid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rPr>
        <w:t>Sinopec's asset management reform has achieved remarkable results. The specific indicator changes are shown in Table 2</w:t>
      </w:r>
      <w:r>
        <w:rPr>
          <w:rFonts w:ascii="Times New Roman" w:hAnsi="Times New Roman" w:cs="Times New Roman" w:hint="eastAsia"/>
          <w:sz w:val="28"/>
          <w:szCs w:val="28"/>
          <w:lang w:val="en-US"/>
        </w:rPr>
        <w:t>.2 [52]</w:t>
      </w:r>
      <w:r>
        <w:rPr>
          <w:rFonts w:ascii="Times New Roman" w:hAnsi="Times New Roman" w:cs="Times New Roman"/>
          <w:sz w:val="28"/>
          <w:szCs w:val="28"/>
        </w:rPr>
        <w:t>:</w:t>
      </w:r>
    </w:p>
    <w:p w14:paraId="40F11FCF" w14:textId="77777777" w:rsidR="00633D08" w:rsidRDefault="00633D08" w:rsidP="00773039">
      <w:pPr>
        <w:pStyle w:val="a6"/>
        <w:widowControl/>
        <w:snapToGrid w:val="0"/>
        <w:spacing w:line="360" w:lineRule="auto"/>
        <w:ind w:firstLine="709"/>
        <w:rPr>
          <w:rFonts w:ascii="Times New Roman" w:hAnsi="Times New Roman" w:cs="Times New Roman"/>
          <w:sz w:val="28"/>
          <w:szCs w:val="28"/>
          <w:lang w:val="uk-UA"/>
        </w:rPr>
      </w:pPr>
    </w:p>
    <w:p w14:paraId="1C390EBE" w14:textId="77777777" w:rsidR="00633D08" w:rsidRDefault="00633D08" w:rsidP="00773039">
      <w:pPr>
        <w:pStyle w:val="a6"/>
        <w:widowControl/>
        <w:snapToGrid w:val="0"/>
        <w:spacing w:line="360" w:lineRule="auto"/>
        <w:ind w:firstLine="709"/>
        <w:rPr>
          <w:rFonts w:ascii="Times New Roman" w:hAnsi="Times New Roman" w:cs="Times New Roman"/>
          <w:sz w:val="28"/>
          <w:szCs w:val="28"/>
          <w:lang w:val="uk-UA"/>
        </w:rPr>
      </w:pPr>
    </w:p>
    <w:p w14:paraId="522BDE3D" w14:textId="77777777" w:rsidR="00633D08" w:rsidRDefault="00633D08" w:rsidP="00773039">
      <w:pPr>
        <w:pStyle w:val="a6"/>
        <w:widowControl/>
        <w:snapToGrid w:val="0"/>
        <w:spacing w:line="360" w:lineRule="auto"/>
        <w:ind w:firstLine="709"/>
        <w:rPr>
          <w:rFonts w:ascii="Times New Roman" w:hAnsi="Times New Roman" w:cs="Times New Roman"/>
          <w:sz w:val="28"/>
          <w:szCs w:val="28"/>
          <w:lang w:val="uk-UA"/>
        </w:rPr>
      </w:pPr>
    </w:p>
    <w:p w14:paraId="3DD933E6" w14:textId="77777777" w:rsidR="00633D08" w:rsidRDefault="00633D08" w:rsidP="00773039">
      <w:pPr>
        <w:pStyle w:val="a6"/>
        <w:widowControl/>
        <w:snapToGrid w:val="0"/>
        <w:spacing w:line="360" w:lineRule="auto"/>
        <w:ind w:firstLine="709"/>
        <w:rPr>
          <w:rFonts w:ascii="Times New Roman" w:hAnsi="Times New Roman" w:cs="Times New Roman"/>
          <w:sz w:val="28"/>
          <w:szCs w:val="28"/>
          <w:lang w:val="uk-UA"/>
        </w:rPr>
      </w:pPr>
    </w:p>
    <w:p w14:paraId="7762F94B" w14:textId="77777777" w:rsidR="00633D08" w:rsidRDefault="00633D08" w:rsidP="00773039">
      <w:pPr>
        <w:pStyle w:val="a6"/>
        <w:widowControl/>
        <w:snapToGrid w:val="0"/>
        <w:spacing w:line="360" w:lineRule="auto"/>
        <w:ind w:firstLine="709"/>
        <w:rPr>
          <w:rFonts w:ascii="Times New Roman" w:hAnsi="Times New Roman" w:cs="Times New Roman"/>
          <w:sz w:val="28"/>
          <w:szCs w:val="28"/>
          <w:lang w:val="uk-UA"/>
        </w:rPr>
      </w:pPr>
    </w:p>
    <w:p w14:paraId="1FF80960" w14:textId="77777777" w:rsidR="00633D08" w:rsidRDefault="00633D08" w:rsidP="00773039">
      <w:pPr>
        <w:pStyle w:val="a6"/>
        <w:widowControl/>
        <w:snapToGrid w:val="0"/>
        <w:spacing w:line="360" w:lineRule="auto"/>
        <w:ind w:firstLine="709"/>
        <w:rPr>
          <w:rFonts w:ascii="Times New Roman" w:hAnsi="Times New Roman" w:cs="Times New Roman"/>
          <w:sz w:val="28"/>
          <w:szCs w:val="28"/>
          <w:lang w:val="uk-UA"/>
        </w:rPr>
      </w:pPr>
    </w:p>
    <w:p w14:paraId="6890BDC1" w14:textId="77777777" w:rsidR="00633D08" w:rsidRDefault="00633D08" w:rsidP="00773039">
      <w:pPr>
        <w:pStyle w:val="a6"/>
        <w:widowControl/>
        <w:snapToGrid w:val="0"/>
        <w:spacing w:line="360" w:lineRule="auto"/>
        <w:ind w:firstLine="709"/>
        <w:rPr>
          <w:rFonts w:ascii="Times New Roman" w:hAnsi="Times New Roman" w:cs="Times New Roman"/>
          <w:sz w:val="28"/>
          <w:szCs w:val="28"/>
          <w:lang w:val="uk-UA"/>
        </w:rPr>
      </w:pPr>
    </w:p>
    <w:p w14:paraId="269263C0" w14:textId="77777777" w:rsidR="00633D08" w:rsidRPr="00E0617E" w:rsidRDefault="00633D08" w:rsidP="00773039">
      <w:pPr>
        <w:pStyle w:val="a6"/>
        <w:widowControl/>
        <w:snapToGrid w:val="0"/>
        <w:spacing w:line="360" w:lineRule="auto"/>
        <w:ind w:firstLine="709"/>
        <w:rPr>
          <w:rFonts w:ascii="Times New Roman" w:hAnsi="Times New Roman" w:cs="Times New Roman"/>
          <w:sz w:val="28"/>
          <w:szCs w:val="28"/>
          <w:lang w:val="uk-UA"/>
        </w:rPr>
      </w:pPr>
    </w:p>
    <w:p w14:paraId="425EBE70" w14:textId="77777777" w:rsidR="00CB2BA9" w:rsidRDefault="00773039" w:rsidP="00773039">
      <w:pPr>
        <w:pStyle w:val="a6"/>
        <w:widowControl/>
        <w:snapToGrid w:val="0"/>
        <w:spacing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lastRenderedPageBreak/>
        <w:t>Table 2.</w:t>
      </w:r>
      <w:r>
        <w:rPr>
          <w:rFonts w:ascii="Times New Roman" w:hAnsi="Times New Roman" w:cs="Times New Roman" w:hint="eastAsia"/>
          <w:b/>
          <w:bCs/>
          <w:sz w:val="28"/>
          <w:szCs w:val="28"/>
          <w:lang w:val="en-US"/>
        </w:rPr>
        <w:t>2</w:t>
      </w:r>
      <w:r>
        <w:rPr>
          <w:rFonts w:ascii="Times New Roman" w:hAnsi="Times New Roman" w:cs="Times New Roman"/>
          <w:b/>
          <w:bCs/>
          <w:sz w:val="28"/>
          <w:szCs w:val="28"/>
        </w:rPr>
        <w:t xml:space="preserve"> </w:t>
      </w:r>
    </w:p>
    <w:p w14:paraId="47BCA7DA" w14:textId="77777777" w:rsidR="00CB2BA9" w:rsidRDefault="00773039" w:rsidP="00773039">
      <w:pPr>
        <w:pStyle w:val="a6"/>
        <w:widowControl/>
        <w:snapToGrid w:val="0"/>
        <w:spacing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lang w:val="en-US"/>
        </w:rPr>
        <w:t xml:space="preserve">Changes </w:t>
      </w:r>
      <w:r>
        <w:rPr>
          <w:rFonts w:ascii="Times New Roman" w:hAnsi="Times New Roman" w:cs="Times New Roman"/>
          <w:b/>
          <w:bCs/>
          <w:sz w:val="28"/>
          <w:szCs w:val="28"/>
        </w:rPr>
        <w:t>in Sinopec's core asset management indicators</w:t>
      </w:r>
    </w:p>
    <w:p w14:paraId="2B8035E1" w14:textId="77777777" w:rsidR="00CB2BA9" w:rsidRDefault="00CB2BA9" w:rsidP="00773039">
      <w:pPr>
        <w:pStyle w:val="a6"/>
        <w:widowControl/>
        <w:snapToGrid w:val="0"/>
        <w:spacing w:line="360" w:lineRule="auto"/>
        <w:ind w:firstLine="709"/>
        <w:jc w:val="right"/>
        <w:rPr>
          <w:rFonts w:ascii="Times New Roman" w:hAnsi="Times New Roman" w:cs="Times New Roman"/>
          <w:b/>
          <w:bCs/>
          <w:sz w:val="28"/>
          <w:szCs w:val="28"/>
        </w:rPr>
      </w:pPr>
    </w:p>
    <w:tbl>
      <w:tblPr>
        <w:tblW w:w="4981" w:type="pct"/>
        <w:tblLook w:val="04A0" w:firstRow="1" w:lastRow="0" w:firstColumn="1" w:lastColumn="0" w:noHBand="0" w:noVBand="1"/>
      </w:tblPr>
      <w:tblGrid>
        <w:gridCol w:w="1370"/>
        <w:gridCol w:w="2498"/>
        <w:gridCol w:w="2913"/>
        <w:gridCol w:w="2848"/>
      </w:tblGrid>
      <w:tr w:rsidR="00CB2BA9" w14:paraId="32DBD5EE" w14:textId="77777777">
        <w:trPr>
          <w:trHeight w:val="559"/>
        </w:trPr>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9FD0DA" w14:textId="77777777" w:rsidR="00CB2BA9" w:rsidRDefault="00773039" w:rsidP="00773039">
            <w:pPr>
              <w:widowControl/>
              <w:snapToGrid w:val="0"/>
              <w:spacing w:line="360" w:lineRule="auto"/>
              <w:ind w:firstLine="709"/>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Year</w:t>
            </w:r>
          </w:p>
        </w:tc>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E1C2C6A" w14:textId="77777777" w:rsidR="00CB2BA9" w:rsidRDefault="00773039" w:rsidP="00773039">
            <w:pPr>
              <w:widowControl/>
              <w:snapToGrid w:val="0"/>
              <w:spacing w:line="360" w:lineRule="auto"/>
              <w:ind w:firstLine="709"/>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Return on Assets</w:t>
            </w:r>
          </w:p>
        </w:tc>
        <w:tc>
          <w:tcPr>
            <w:tcW w:w="131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9E0A3AA" w14:textId="77777777" w:rsidR="00CB2BA9" w:rsidRDefault="00773039" w:rsidP="00773039">
            <w:pPr>
              <w:widowControl/>
              <w:snapToGrid w:val="0"/>
              <w:spacing w:line="360" w:lineRule="auto"/>
              <w:ind w:firstLine="709"/>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Asset Turnover Ratio</w:t>
            </w:r>
          </w:p>
        </w:tc>
        <w:tc>
          <w:tcPr>
            <w:tcW w:w="123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F3A3B3" w14:textId="77777777" w:rsidR="00CB2BA9" w:rsidRDefault="00773039" w:rsidP="00773039">
            <w:pPr>
              <w:widowControl/>
              <w:snapToGrid w:val="0"/>
              <w:spacing w:line="360" w:lineRule="auto"/>
              <w:ind w:firstLine="709"/>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Asset Liability Ratio</w:t>
            </w:r>
          </w:p>
        </w:tc>
      </w:tr>
      <w:tr w:rsidR="00CB2BA9" w14:paraId="12DC5502" w14:textId="77777777">
        <w:trPr>
          <w:trHeight w:val="450"/>
        </w:trPr>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6AAE560"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lang w:val="en-US"/>
              </w:rPr>
            </w:pPr>
            <w:r>
              <w:rPr>
                <w:rFonts w:ascii="Times New Roman" w:eastAsia="SimSun" w:hAnsi="Times New Roman" w:cs="Times New Roman"/>
                <w:color w:val="000000"/>
                <w:kern w:val="0"/>
                <w:sz w:val="24"/>
                <w:lang w:val="en-US" w:bidi="ar"/>
              </w:rPr>
              <w:t>2020</w:t>
            </w:r>
          </w:p>
        </w:tc>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52E6C84"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5.40%</w:t>
            </w:r>
          </w:p>
        </w:tc>
        <w:tc>
          <w:tcPr>
            <w:tcW w:w="131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105D938"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w:t>
            </w:r>
          </w:p>
        </w:tc>
        <w:tc>
          <w:tcPr>
            <w:tcW w:w="123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86B2E4F"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46.20%</w:t>
            </w:r>
          </w:p>
        </w:tc>
      </w:tr>
      <w:tr w:rsidR="00CB2BA9" w14:paraId="3D0712A8" w14:textId="77777777">
        <w:trPr>
          <w:trHeight w:val="340"/>
        </w:trPr>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9B5EC12"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lang w:val="en-US"/>
              </w:rPr>
            </w:pPr>
            <w:r>
              <w:rPr>
                <w:rFonts w:ascii="Times New Roman" w:eastAsia="SimSun" w:hAnsi="Times New Roman" w:cs="Times New Roman"/>
                <w:color w:val="000000"/>
                <w:kern w:val="0"/>
                <w:sz w:val="24"/>
                <w:lang w:val="en-US" w:bidi="ar"/>
              </w:rPr>
              <w:t>2021</w:t>
            </w:r>
          </w:p>
        </w:tc>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32E26CF"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6.30%</w:t>
            </w:r>
          </w:p>
        </w:tc>
        <w:tc>
          <w:tcPr>
            <w:tcW w:w="131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93BCD9"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1.3</w:t>
            </w:r>
          </w:p>
        </w:tc>
        <w:tc>
          <w:tcPr>
            <w:tcW w:w="123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AC0AF05"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45.10%</w:t>
            </w:r>
          </w:p>
        </w:tc>
      </w:tr>
      <w:tr w:rsidR="00CB2BA9" w14:paraId="015EFC01" w14:textId="77777777">
        <w:trPr>
          <w:trHeight w:val="450"/>
        </w:trPr>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3638794"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2022</w:t>
            </w:r>
          </w:p>
        </w:tc>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C551CB9"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7.10%</w:t>
            </w:r>
          </w:p>
        </w:tc>
        <w:tc>
          <w:tcPr>
            <w:tcW w:w="131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83BA485"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w:t>
            </w:r>
          </w:p>
        </w:tc>
        <w:tc>
          <w:tcPr>
            <w:tcW w:w="123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3236ED1"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44.30%</w:t>
            </w:r>
          </w:p>
        </w:tc>
      </w:tr>
      <w:tr w:rsidR="00CB2BA9" w14:paraId="058825D1" w14:textId="77777777">
        <w:trPr>
          <w:trHeight w:val="350"/>
        </w:trPr>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3F66F0F"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2023</w:t>
            </w:r>
          </w:p>
        </w:tc>
        <w:tc>
          <w:tcPr>
            <w:tcW w:w="12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00F61DF"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8.20%</w:t>
            </w:r>
          </w:p>
        </w:tc>
        <w:tc>
          <w:tcPr>
            <w:tcW w:w="131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2A5D06"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w:t>
            </w:r>
          </w:p>
        </w:tc>
        <w:tc>
          <w:tcPr>
            <w:tcW w:w="123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93F896F"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43.50%</w:t>
            </w:r>
          </w:p>
        </w:tc>
      </w:tr>
    </w:tbl>
    <w:p w14:paraId="531F8922" w14:textId="77777777" w:rsidR="00CB2BA9" w:rsidRDefault="00CB2BA9" w:rsidP="00773039">
      <w:pPr>
        <w:snapToGrid w:val="0"/>
        <w:spacing w:line="360" w:lineRule="auto"/>
        <w:ind w:firstLine="709"/>
        <w:rPr>
          <w:rFonts w:ascii="Times New Roman" w:hAnsi="Times New Roman" w:cs="Times New Roman"/>
          <w:sz w:val="28"/>
          <w:szCs w:val="28"/>
        </w:rPr>
      </w:pPr>
    </w:p>
    <w:p w14:paraId="7BDCBEC1"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From the data in Table 2</w:t>
      </w:r>
      <w:r>
        <w:rPr>
          <w:rFonts w:ascii="Times New Roman" w:hAnsi="Times New Roman" w:cs="Times New Roman" w:hint="eastAsia"/>
          <w:sz w:val="28"/>
          <w:szCs w:val="28"/>
          <w:lang w:val="en-US"/>
        </w:rPr>
        <w:t>.2</w:t>
      </w:r>
      <w:r>
        <w:rPr>
          <w:rFonts w:ascii="Times New Roman" w:hAnsi="Times New Roman" w:cs="Times New Roman"/>
          <w:sz w:val="28"/>
          <w:szCs w:val="28"/>
        </w:rPr>
        <w:t xml:space="preserve">, we can see that </w:t>
      </w:r>
      <w:r>
        <w:rPr>
          <w:rFonts w:ascii="Times New Roman" w:hAnsi="Times New Roman" w:cs="Times New Roman"/>
          <w:sz w:val="28"/>
          <w:szCs w:val="28"/>
          <w:lang w:val="en-US"/>
        </w:rPr>
        <w:t xml:space="preserve">during </w:t>
      </w:r>
      <w:r>
        <w:rPr>
          <w:rFonts w:ascii="Times New Roman" w:hAnsi="Times New Roman" w:cs="Times New Roman"/>
          <w:sz w:val="28"/>
          <w:szCs w:val="28"/>
        </w:rPr>
        <w:t>2020-</w:t>
      </w:r>
      <w:proofErr w:type="gramStart"/>
      <w:r>
        <w:rPr>
          <w:rFonts w:ascii="Times New Roman" w:hAnsi="Times New Roman" w:cs="Times New Roman"/>
          <w:sz w:val="28"/>
          <w:szCs w:val="28"/>
        </w:rPr>
        <w:t xml:space="preserve">2023 </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t>
      </w:r>
      <w:r>
        <w:rPr>
          <w:rFonts w:ascii="Times New Roman" w:hAnsi="Times New Roman" w:cs="Times New Roman"/>
          <w:sz w:val="28"/>
          <w:szCs w:val="28"/>
        </w:rPr>
        <w:t>Sinopec's asset management level continued to improve: the return on assets increased from 5.4% to 8.2%, with an average annual growth of 0.93 percentage points; the asset turnover rate increased from 1.2 to 1.5, reflecting a significant improvement in asset operation efficiency; at the same time, the debt-to-asset ratio decreased from 46.2% to 43.5%, indicating that the company's capital structure is constantly being optimized. The continuous improvement of these indicators fully demonstrates the effectiveness of the company's asset management reform.</w:t>
      </w:r>
    </w:p>
    <w:p w14:paraId="5E8EF769" w14:textId="77777777" w:rsidR="00CB2BA9" w:rsidRDefault="00773039" w:rsidP="002D0281">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Midea Group: Digital-driven innovation in asset management</w:t>
      </w:r>
    </w:p>
    <w:p w14:paraId="2DB65661" w14:textId="77777777" w:rsidR="00CB2BA9" w:rsidRDefault="00773039" w:rsidP="002D0281">
      <w:pPr>
        <w:widowControl/>
        <w:numPr>
          <w:ilvl w:val="0"/>
          <w:numId w:val="4"/>
        </w:numPr>
        <w:snapToGrid w:val="0"/>
        <w:spacing w:line="360" w:lineRule="auto"/>
        <w:ind w:left="0" w:firstLine="709"/>
        <w:rPr>
          <w:rFonts w:ascii="Times New Roman" w:hAnsi="Times New Roman" w:cs="Times New Roman"/>
          <w:sz w:val="28"/>
          <w:szCs w:val="28"/>
        </w:rPr>
      </w:pPr>
      <w:r>
        <w:rPr>
          <w:rFonts w:ascii="Times New Roman" w:hAnsi="Times New Roman" w:cs="Times New Roman"/>
          <w:sz w:val="28"/>
          <w:szCs w:val="28"/>
        </w:rPr>
        <w:t>Intelligent management platform construction</w:t>
      </w:r>
    </w:p>
    <w:p w14:paraId="471C9BE8" w14:textId="77777777" w:rsidR="00CB2BA9" w:rsidRDefault="00773039" w:rsidP="002D0281">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Midea Group has taken the opportunity of digital transformation to build an intelligent asset management platform based on the Internet of Things and artificial intelligence. As shown in Figure 3, the platform realizes the digitization and intelligence of the entire asset management process.</w:t>
      </w:r>
    </w:p>
    <w:p w14:paraId="2F95F6DD" w14:textId="77777777" w:rsidR="00CB2BA9" w:rsidRDefault="00773039">
      <w:pPr>
        <w:pStyle w:val="a6"/>
        <w:widowControl/>
        <w:snapToGrid w:val="0"/>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114300" distR="114300" wp14:anchorId="3FCA8450" wp14:editId="5742BEE9">
            <wp:extent cx="4490720" cy="3119755"/>
            <wp:effectExtent l="0" t="0" r="5080" b="4445"/>
            <wp:docPr id="2" name="图片 2" descr="fc5639b06379ece6624b1b40e054c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fc5639b06379ece6624b1b40e054cd2"/>
                    <pic:cNvPicPr>
                      <a:picLocks noChangeAspect="1"/>
                    </pic:cNvPicPr>
                  </pic:nvPicPr>
                  <pic:blipFill>
                    <a:blip r:embed="rId8"/>
                    <a:stretch>
                      <a:fillRect/>
                    </a:stretch>
                  </pic:blipFill>
                  <pic:spPr>
                    <a:xfrm>
                      <a:off x="0" y="0"/>
                      <a:ext cx="4490720" cy="3119755"/>
                    </a:xfrm>
                    <a:prstGeom prst="rect">
                      <a:avLst/>
                    </a:prstGeom>
                  </pic:spPr>
                </pic:pic>
              </a:graphicData>
            </a:graphic>
          </wp:inline>
        </w:drawing>
      </w:r>
    </w:p>
    <w:p w14:paraId="272C3F1F" w14:textId="77777777" w:rsidR="00CB2BA9" w:rsidRDefault="00773039">
      <w:pPr>
        <w:pStyle w:val="a6"/>
        <w:widowControl/>
        <w:snapToGrid w:val="0"/>
        <w:jc w:val="center"/>
        <w:rPr>
          <w:rFonts w:ascii="Times New Roman" w:hAnsi="Times New Roman" w:cs="Times New Roman"/>
          <w:b/>
          <w:bCs/>
          <w:sz w:val="28"/>
          <w:szCs w:val="28"/>
          <w:lang w:val="en-US"/>
        </w:rPr>
      </w:pPr>
      <w:r>
        <w:rPr>
          <w:rFonts w:ascii="Times New Roman" w:hAnsi="Times New Roman" w:cs="Times New Roman"/>
          <w:b/>
          <w:bCs/>
          <w:sz w:val="28"/>
          <w:szCs w:val="28"/>
        </w:rPr>
        <w:t xml:space="preserve">Fig </w:t>
      </w:r>
      <w:r>
        <w:rPr>
          <w:rFonts w:ascii="Times New Roman" w:hAnsi="Times New Roman" w:cs="Times New Roman" w:hint="eastAsia"/>
          <w:b/>
          <w:bCs/>
          <w:sz w:val="28"/>
          <w:szCs w:val="28"/>
          <w:lang w:val="en-US"/>
        </w:rPr>
        <w:t>2.2.</w:t>
      </w:r>
      <w:r>
        <w:rPr>
          <w:rFonts w:ascii="Times New Roman" w:hAnsi="Times New Roman" w:cs="Times New Roman"/>
          <w:b/>
          <w:bCs/>
          <w:sz w:val="28"/>
          <w:szCs w:val="28"/>
        </w:rPr>
        <w:t xml:space="preserve"> Midea Group’s intelligent asset management platform </w:t>
      </w:r>
      <w:proofErr w:type="gramStart"/>
      <w:r>
        <w:rPr>
          <w:rFonts w:ascii="Times New Roman" w:hAnsi="Times New Roman" w:cs="Times New Roman"/>
          <w:b/>
          <w:bCs/>
          <w:sz w:val="28"/>
          <w:szCs w:val="28"/>
        </w:rPr>
        <w:t>architecture</w:t>
      </w:r>
      <w:r>
        <w:rPr>
          <w:rFonts w:ascii="Times New Roman" w:hAnsi="Times New Roman" w:cs="Times New Roman" w:hint="eastAsia"/>
          <w:b/>
          <w:bCs/>
          <w:sz w:val="28"/>
          <w:szCs w:val="28"/>
          <w:lang w:val="en-US"/>
        </w:rPr>
        <w:t>(</w:t>
      </w:r>
      <w:proofErr w:type="gramEnd"/>
      <w:r>
        <w:rPr>
          <w:rFonts w:ascii="Times New Roman" w:hAnsi="Times New Roman" w:cs="Times New Roman" w:hint="eastAsia"/>
          <w:b/>
          <w:bCs/>
          <w:sz w:val="28"/>
          <w:szCs w:val="28"/>
          <w:lang w:val="en-US"/>
        </w:rPr>
        <w:t>S</w:t>
      </w:r>
      <w:proofErr w:type="spellStart"/>
      <w:r>
        <w:rPr>
          <w:rFonts w:ascii="Times New Roman" w:hAnsi="Times New Roman" w:cs="Times New Roman"/>
          <w:b/>
          <w:bCs/>
          <w:sz w:val="28"/>
          <w:szCs w:val="28"/>
        </w:rPr>
        <w:t>ource</w:t>
      </w:r>
      <w:proofErr w:type="spellEnd"/>
      <w:r>
        <w:rPr>
          <w:rFonts w:ascii="Times New Roman" w:hAnsi="Times New Roman" w:cs="Times New Roman"/>
          <w:b/>
          <w:bCs/>
          <w:sz w:val="28"/>
          <w:szCs w:val="28"/>
        </w:rPr>
        <w:t>: Midea Group Technology White Paper</w:t>
      </w:r>
      <w:r>
        <w:rPr>
          <w:rFonts w:ascii="Times New Roman" w:hAnsi="Times New Roman" w:cs="Times New Roman" w:hint="eastAsia"/>
          <w:b/>
          <w:bCs/>
          <w:sz w:val="28"/>
          <w:szCs w:val="28"/>
          <w:lang w:val="en-US"/>
        </w:rPr>
        <w:t>) [53]</w:t>
      </w:r>
    </w:p>
    <w:p w14:paraId="677E62FF" w14:textId="77777777" w:rsidR="00CB2BA9" w:rsidRDefault="00CB2BA9">
      <w:pPr>
        <w:snapToGrid w:val="0"/>
        <w:spacing w:line="360" w:lineRule="auto"/>
        <w:rPr>
          <w:rFonts w:ascii="Times New Roman" w:hAnsi="Times New Roman" w:cs="Times New Roman"/>
          <w:sz w:val="28"/>
          <w:szCs w:val="28"/>
        </w:rPr>
      </w:pPr>
    </w:p>
    <w:p w14:paraId="76A8CF90" w14:textId="77777777" w:rsidR="00CB2BA9" w:rsidRDefault="00773039">
      <w:pPr>
        <w:widowControl/>
        <w:numPr>
          <w:ilvl w:val="0"/>
          <w:numId w:val="5"/>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Operational efficiency improvement analysis</w:t>
      </w:r>
    </w:p>
    <w:p w14:paraId="452FBBFA" w14:textId="77777777" w:rsidR="00CB2BA9" w:rsidRDefault="00773039">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The application of intelligent platforms has significantly improved asset operation efficiency. The specific results are shown in Table </w:t>
      </w:r>
      <w:r>
        <w:rPr>
          <w:rFonts w:ascii="Times New Roman" w:hAnsi="Times New Roman" w:cs="Times New Roman" w:hint="eastAsia"/>
          <w:sz w:val="28"/>
          <w:szCs w:val="28"/>
          <w:lang w:val="en-US"/>
        </w:rPr>
        <w:t>2.</w:t>
      </w:r>
      <w:r>
        <w:rPr>
          <w:rFonts w:ascii="Times New Roman" w:hAnsi="Times New Roman" w:cs="Times New Roman"/>
          <w:sz w:val="28"/>
          <w:szCs w:val="28"/>
        </w:rPr>
        <w:t>3:</w:t>
      </w:r>
    </w:p>
    <w:p w14:paraId="534B389D" w14:textId="77777777" w:rsidR="00CB2BA9" w:rsidRDefault="00773039">
      <w:pPr>
        <w:pStyle w:val="a6"/>
        <w:widowControl/>
        <w:snapToGrid w:val="0"/>
        <w:spacing w:line="360" w:lineRule="auto"/>
        <w:jc w:val="right"/>
        <w:rPr>
          <w:rFonts w:ascii="Times New Roman" w:hAnsi="Times New Roman" w:cs="Times New Roman"/>
          <w:b/>
          <w:bCs/>
          <w:sz w:val="28"/>
          <w:szCs w:val="28"/>
        </w:rPr>
      </w:pPr>
      <w:r>
        <w:rPr>
          <w:rFonts w:ascii="Times New Roman" w:hAnsi="Times New Roman" w:cs="Times New Roman"/>
          <w:b/>
          <w:bCs/>
          <w:sz w:val="28"/>
          <w:szCs w:val="28"/>
        </w:rPr>
        <w:t xml:space="preserve">Table </w:t>
      </w:r>
      <w:r>
        <w:rPr>
          <w:rFonts w:ascii="Times New Roman" w:hAnsi="Times New Roman" w:cs="Times New Roman" w:hint="eastAsia"/>
          <w:b/>
          <w:bCs/>
          <w:sz w:val="28"/>
          <w:szCs w:val="28"/>
          <w:lang w:val="en-US"/>
        </w:rPr>
        <w:t>2.</w:t>
      </w:r>
      <w:r>
        <w:rPr>
          <w:rFonts w:ascii="Times New Roman" w:hAnsi="Times New Roman" w:cs="Times New Roman"/>
          <w:b/>
          <w:bCs/>
          <w:sz w:val="28"/>
          <w:szCs w:val="28"/>
        </w:rPr>
        <w:t xml:space="preserve">3 </w:t>
      </w:r>
    </w:p>
    <w:tbl>
      <w:tblPr>
        <w:tblpPr w:leftFromText="180" w:rightFromText="180" w:vertAnchor="text" w:horzAnchor="page" w:tblpX="1687" w:tblpY="475"/>
        <w:tblOverlap w:val="never"/>
        <w:tblW w:w="46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1"/>
        <w:gridCol w:w="1757"/>
        <w:gridCol w:w="1757"/>
        <w:gridCol w:w="1757"/>
        <w:gridCol w:w="1992"/>
      </w:tblGrid>
      <w:tr w:rsidR="00CB2BA9" w14:paraId="7F16E119" w14:textId="77777777">
        <w:trPr>
          <w:trHeight w:val="311"/>
        </w:trPr>
        <w:tc>
          <w:tcPr>
            <w:tcW w:w="984" w:type="pct"/>
            <w:shd w:val="clear" w:color="auto" w:fill="auto"/>
            <w:vAlign w:val="center"/>
          </w:tcPr>
          <w:p w14:paraId="07C7D43A" w14:textId="77777777" w:rsidR="00CB2BA9" w:rsidRDefault="00773039">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hint="eastAsia"/>
                <w:b/>
                <w:bCs/>
                <w:color w:val="000000"/>
                <w:kern w:val="0"/>
                <w:sz w:val="24"/>
                <w:lang w:val="en-US" w:bidi="ar"/>
              </w:rPr>
              <w:t>I</w:t>
            </w:r>
            <w:r>
              <w:rPr>
                <w:rFonts w:ascii="Times New Roman" w:eastAsia="SimSun" w:hAnsi="Times New Roman" w:cs="Times New Roman"/>
                <w:b/>
                <w:bCs/>
                <w:color w:val="000000"/>
                <w:kern w:val="0"/>
                <w:sz w:val="24"/>
                <w:lang w:val="en-US" w:bidi="ar"/>
              </w:rPr>
              <w:t>ndex</w:t>
            </w:r>
          </w:p>
        </w:tc>
        <w:tc>
          <w:tcPr>
            <w:tcW w:w="971" w:type="pct"/>
            <w:shd w:val="clear" w:color="auto" w:fill="auto"/>
            <w:vAlign w:val="center"/>
          </w:tcPr>
          <w:p w14:paraId="18256BD8" w14:textId="77777777" w:rsidR="00CB2BA9" w:rsidRDefault="00773039">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2019</w:t>
            </w:r>
          </w:p>
        </w:tc>
        <w:tc>
          <w:tcPr>
            <w:tcW w:w="971" w:type="pct"/>
            <w:shd w:val="clear" w:color="auto" w:fill="auto"/>
            <w:vAlign w:val="center"/>
          </w:tcPr>
          <w:p w14:paraId="6EA70ED7" w14:textId="77777777" w:rsidR="00CB2BA9" w:rsidRDefault="00773039">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2020</w:t>
            </w:r>
          </w:p>
        </w:tc>
        <w:tc>
          <w:tcPr>
            <w:tcW w:w="971" w:type="pct"/>
            <w:shd w:val="clear" w:color="auto" w:fill="auto"/>
            <w:vAlign w:val="center"/>
          </w:tcPr>
          <w:p w14:paraId="19F131FD" w14:textId="77777777" w:rsidR="00CB2BA9" w:rsidRDefault="00773039">
            <w:pPr>
              <w:widowControl/>
              <w:snapToGrid w:val="0"/>
              <w:spacing w:line="360" w:lineRule="auto"/>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2021</w:t>
            </w:r>
          </w:p>
        </w:tc>
        <w:tc>
          <w:tcPr>
            <w:tcW w:w="1101" w:type="pct"/>
            <w:shd w:val="clear" w:color="auto" w:fill="auto"/>
            <w:vAlign w:val="center"/>
          </w:tcPr>
          <w:p w14:paraId="55176F55" w14:textId="77777777" w:rsidR="00CB2BA9" w:rsidRDefault="00773039">
            <w:pPr>
              <w:widowControl/>
              <w:snapToGrid w:val="0"/>
              <w:spacing w:line="360" w:lineRule="auto"/>
              <w:jc w:val="center"/>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Improvement</w:t>
            </w:r>
          </w:p>
        </w:tc>
      </w:tr>
      <w:tr w:rsidR="00CB2BA9" w14:paraId="586B9479" w14:textId="77777777">
        <w:trPr>
          <w:trHeight w:val="614"/>
        </w:trPr>
        <w:tc>
          <w:tcPr>
            <w:tcW w:w="984" w:type="pct"/>
            <w:shd w:val="clear" w:color="auto" w:fill="auto"/>
            <w:vAlign w:val="center"/>
          </w:tcPr>
          <w:p w14:paraId="2BC67864"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Equipment utilization</w:t>
            </w:r>
          </w:p>
        </w:tc>
        <w:tc>
          <w:tcPr>
            <w:tcW w:w="971" w:type="pct"/>
            <w:shd w:val="clear" w:color="auto" w:fill="auto"/>
            <w:vAlign w:val="center"/>
          </w:tcPr>
          <w:p w14:paraId="780554FD"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75%</w:t>
            </w:r>
          </w:p>
        </w:tc>
        <w:tc>
          <w:tcPr>
            <w:tcW w:w="971" w:type="pct"/>
            <w:shd w:val="clear" w:color="auto" w:fill="auto"/>
            <w:vAlign w:val="center"/>
          </w:tcPr>
          <w:p w14:paraId="7F9A64BE"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82%</w:t>
            </w:r>
          </w:p>
        </w:tc>
        <w:tc>
          <w:tcPr>
            <w:tcW w:w="971" w:type="pct"/>
            <w:shd w:val="clear" w:color="auto" w:fill="auto"/>
            <w:vAlign w:val="center"/>
          </w:tcPr>
          <w:p w14:paraId="6117D085"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89%</w:t>
            </w:r>
          </w:p>
        </w:tc>
        <w:tc>
          <w:tcPr>
            <w:tcW w:w="1101" w:type="pct"/>
            <w:shd w:val="clear" w:color="auto" w:fill="auto"/>
            <w:vAlign w:val="center"/>
          </w:tcPr>
          <w:p w14:paraId="69A77620"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18.70%</w:t>
            </w:r>
          </w:p>
        </w:tc>
      </w:tr>
      <w:tr w:rsidR="00CB2BA9" w14:paraId="6D5CF1ED" w14:textId="77777777">
        <w:trPr>
          <w:trHeight w:val="614"/>
        </w:trPr>
        <w:tc>
          <w:tcPr>
            <w:tcW w:w="984" w:type="pct"/>
            <w:shd w:val="clear" w:color="auto" w:fill="auto"/>
            <w:vAlign w:val="center"/>
          </w:tcPr>
          <w:p w14:paraId="322BC08C"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Downtime (hours/year)</w:t>
            </w:r>
          </w:p>
        </w:tc>
        <w:tc>
          <w:tcPr>
            <w:tcW w:w="971" w:type="pct"/>
            <w:shd w:val="clear" w:color="auto" w:fill="auto"/>
            <w:vAlign w:val="center"/>
          </w:tcPr>
          <w:p w14:paraId="5386857D"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120</w:t>
            </w:r>
          </w:p>
        </w:tc>
        <w:tc>
          <w:tcPr>
            <w:tcW w:w="971" w:type="pct"/>
            <w:shd w:val="clear" w:color="auto" w:fill="auto"/>
            <w:vAlign w:val="center"/>
          </w:tcPr>
          <w:p w14:paraId="6ABBE2F3"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80</w:t>
            </w:r>
          </w:p>
        </w:tc>
        <w:tc>
          <w:tcPr>
            <w:tcW w:w="971" w:type="pct"/>
            <w:shd w:val="clear" w:color="auto" w:fill="auto"/>
            <w:vAlign w:val="center"/>
          </w:tcPr>
          <w:p w14:paraId="44FE7C9D"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45</w:t>
            </w:r>
          </w:p>
        </w:tc>
        <w:tc>
          <w:tcPr>
            <w:tcW w:w="1101" w:type="pct"/>
            <w:shd w:val="clear" w:color="auto" w:fill="auto"/>
            <w:vAlign w:val="center"/>
          </w:tcPr>
          <w:p w14:paraId="71FF61EF"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-62.50%</w:t>
            </w:r>
          </w:p>
        </w:tc>
      </w:tr>
      <w:tr w:rsidR="00CB2BA9" w14:paraId="6ABA484E" w14:textId="77777777">
        <w:trPr>
          <w:trHeight w:val="917"/>
        </w:trPr>
        <w:tc>
          <w:tcPr>
            <w:tcW w:w="984" w:type="pct"/>
            <w:shd w:val="clear" w:color="auto" w:fill="auto"/>
            <w:vAlign w:val="center"/>
          </w:tcPr>
          <w:p w14:paraId="21BA04B7"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Maintenance cost (base period = 100)</w:t>
            </w:r>
          </w:p>
        </w:tc>
        <w:tc>
          <w:tcPr>
            <w:tcW w:w="971" w:type="pct"/>
            <w:shd w:val="clear" w:color="auto" w:fill="auto"/>
            <w:vAlign w:val="center"/>
          </w:tcPr>
          <w:p w14:paraId="78539E71"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100</w:t>
            </w:r>
          </w:p>
        </w:tc>
        <w:tc>
          <w:tcPr>
            <w:tcW w:w="971" w:type="pct"/>
            <w:shd w:val="clear" w:color="auto" w:fill="auto"/>
            <w:vAlign w:val="center"/>
          </w:tcPr>
          <w:p w14:paraId="3AF25D92"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85</w:t>
            </w:r>
          </w:p>
        </w:tc>
        <w:tc>
          <w:tcPr>
            <w:tcW w:w="971" w:type="pct"/>
            <w:shd w:val="clear" w:color="auto" w:fill="auto"/>
            <w:vAlign w:val="center"/>
          </w:tcPr>
          <w:p w14:paraId="7EFC8214"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70</w:t>
            </w:r>
          </w:p>
        </w:tc>
        <w:tc>
          <w:tcPr>
            <w:tcW w:w="1101" w:type="pct"/>
            <w:shd w:val="clear" w:color="auto" w:fill="auto"/>
            <w:vAlign w:val="center"/>
          </w:tcPr>
          <w:p w14:paraId="38172384"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-30%</w:t>
            </w:r>
          </w:p>
        </w:tc>
      </w:tr>
      <w:tr w:rsidR="00CB2BA9" w14:paraId="1FCC8217" w14:textId="77777777">
        <w:trPr>
          <w:trHeight w:val="925"/>
        </w:trPr>
        <w:tc>
          <w:tcPr>
            <w:tcW w:w="984" w:type="pct"/>
            <w:shd w:val="clear" w:color="auto" w:fill="auto"/>
            <w:vAlign w:val="center"/>
          </w:tcPr>
          <w:p w14:paraId="0774D1E0"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Production efficiency (pieces/hour)</w:t>
            </w:r>
          </w:p>
        </w:tc>
        <w:tc>
          <w:tcPr>
            <w:tcW w:w="971" w:type="pct"/>
            <w:shd w:val="clear" w:color="auto" w:fill="auto"/>
            <w:vAlign w:val="center"/>
          </w:tcPr>
          <w:p w14:paraId="27A42351"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100</w:t>
            </w:r>
          </w:p>
        </w:tc>
        <w:tc>
          <w:tcPr>
            <w:tcW w:w="971" w:type="pct"/>
            <w:shd w:val="clear" w:color="auto" w:fill="auto"/>
            <w:vAlign w:val="center"/>
          </w:tcPr>
          <w:p w14:paraId="5EEBA2F4"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125</w:t>
            </w:r>
          </w:p>
        </w:tc>
        <w:tc>
          <w:tcPr>
            <w:tcW w:w="971" w:type="pct"/>
            <w:shd w:val="clear" w:color="auto" w:fill="auto"/>
            <w:vAlign w:val="center"/>
          </w:tcPr>
          <w:p w14:paraId="10D76441"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150</w:t>
            </w:r>
          </w:p>
        </w:tc>
        <w:tc>
          <w:tcPr>
            <w:tcW w:w="1101" w:type="pct"/>
            <w:shd w:val="clear" w:color="auto" w:fill="auto"/>
            <w:vAlign w:val="center"/>
          </w:tcPr>
          <w:p w14:paraId="322DBD86" w14:textId="77777777" w:rsidR="00CB2BA9" w:rsidRDefault="00773039">
            <w:pPr>
              <w:widowControl/>
              <w:snapToGrid w:val="0"/>
              <w:spacing w:line="360" w:lineRule="auto"/>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50%</w:t>
            </w:r>
          </w:p>
        </w:tc>
      </w:tr>
    </w:tbl>
    <w:p w14:paraId="03A77FFB" w14:textId="77777777" w:rsidR="00CB2BA9" w:rsidRDefault="00773039" w:rsidP="00773039">
      <w:pPr>
        <w:widowControl/>
        <w:snapToGrid w:val="0"/>
        <w:spacing w:line="360" w:lineRule="auto"/>
        <w:ind w:left="720" w:firstLineChars="200" w:firstLine="482"/>
        <w:jc w:val="center"/>
        <w:rPr>
          <w:rFonts w:ascii="Times New Roman" w:hAnsi="Times New Roman" w:cs="Times New Roman"/>
          <w:b/>
          <w:bCs/>
          <w:sz w:val="24"/>
        </w:rPr>
      </w:pPr>
      <w:r>
        <w:rPr>
          <w:rFonts w:ascii="Times New Roman" w:hAnsi="Times New Roman" w:cs="Times New Roman"/>
          <w:b/>
          <w:bCs/>
          <w:sz w:val="24"/>
        </w:rPr>
        <w:t>Midea Group’s asset operation efficiency improvement (2019-2021)</w:t>
      </w:r>
    </w:p>
    <w:p w14:paraId="4BE56892" w14:textId="77777777" w:rsidR="00CB2BA9" w:rsidRDefault="00CB2BA9">
      <w:pPr>
        <w:widowControl/>
        <w:snapToGrid w:val="0"/>
        <w:spacing w:line="360" w:lineRule="auto"/>
        <w:ind w:left="720" w:firstLineChars="200" w:firstLine="480"/>
        <w:rPr>
          <w:rFonts w:ascii="Times New Roman" w:hAnsi="Times New Roman" w:cs="Times New Roman"/>
          <w:sz w:val="24"/>
        </w:rPr>
      </w:pPr>
    </w:p>
    <w:p w14:paraId="3AE97F35" w14:textId="77777777" w:rsidR="00CB2BA9" w:rsidRDefault="00773039">
      <w:pPr>
        <w:widowControl/>
        <w:snapToGrid w:val="0"/>
        <w:spacing w:line="360" w:lineRule="auto"/>
        <w:ind w:left="720" w:firstLineChars="200" w:firstLine="480"/>
        <w:rPr>
          <w:rFonts w:ascii="Times New Roman" w:hAnsi="Times New Roman" w:cs="Times New Roman"/>
          <w:sz w:val="28"/>
          <w:szCs w:val="28"/>
        </w:rPr>
      </w:pPr>
      <w:r>
        <w:rPr>
          <w:rFonts w:ascii="Times New Roman" w:hAnsi="Times New Roman" w:cs="Times New Roman"/>
          <w:sz w:val="24"/>
        </w:rPr>
        <w:t>1.</w:t>
      </w:r>
      <w:r>
        <w:rPr>
          <w:rFonts w:ascii="Times New Roman" w:hAnsi="Times New Roman" w:cs="Times New Roman"/>
          <w:sz w:val="28"/>
          <w:szCs w:val="28"/>
        </w:rPr>
        <w:t>Analysis of Innovation Management Model</w:t>
      </w:r>
    </w:p>
    <w:p w14:paraId="2AC1E9C0" w14:textId="77777777" w:rsidR="00CB2BA9" w:rsidRDefault="00773039">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 xml:space="preserve">Midea Group has innovatively established an asset management model that integrates research, production, supply and marketing, as shown in Figure </w:t>
      </w:r>
      <w:r>
        <w:rPr>
          <w:rFonts w:ascii="Times New Roman" w:hAnsi="Times New Roman" w:cs="Times New Roman" w:hint="eastAsia"/>
          <w:sz w:val="28"/>
          <w:szCs w:val="28"/>
          <w:lang w:val="en-US"/>
        </w:rPr>
        <w:t>2.3</w:t>
      </w:r>
      <w:r>
        <w:rPr>
          <w:rFonts w:ascii="Times New Roman" w:hAnsi="Times New Roman" w:cs="Times New Roman"/>
          <w:sz w:val="28"/>
          <w:szCs w:val="28"/>
        </w:rPr>
        <w:t>:</w:t>
      </w:r>
    </w:p>
    <w:p w14:paraId="6C3127E4" w14:textId="77777777" w:rsidR="00CB2BA9" w:rsidRDefault="00773039">
      <w:pPr>
        <w:pStyle w:val="a6"/>
        <w:widowControl/>
        <w:snapToGrid w:val="0"/>
        <w:spacing w:line="360" w:lineRule="auto"/>
        <w:ind w:firstLineChars="200" w:firstLine="560"/>
        <w:jc w:val="center"/>
        <w:rPr>
          <w:rFonts w:ascii="Times New Roman" w:hAnsi="Times New Roman" w:cs="Times New Roman"/>
          <w:b/>
          <w:bCs/>
          <w:sz w:val="28"/>
          <w:szCs w:val="28"/>
          <w:lang w:val="en-US"/>
        </w:rPr>
      </w:pPr>
      <w:r>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36A2E648" wp14:editId="226938BE">
            <wp:simplePos x="0" y="0"/>
            <wp:positionH relativeFrom="column">
              <wp:posOffset>1717040</wp:posOffset>
            </wp:positionH>
            <wp:positionV relativeFrom="page">
              <wp:posOffset>1549400</wp:posOffset>
            </wp:positionV>
            <wp:extent cx="3282950" cy="2501265"/>
            <wp:effectExtent l="0" t="0" r="8890" b="13335"/>
            <wp:wrapTopAndBottom/>
            <wp:docPr id="3" name="图片 3" descr="1730588576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730588576618"/>
                    <pic:cNvPicPr>
                      <a:picLocks noChangeAspect="1"/>
                    </pic:cNvPicPr>
                  </pic:nvPicPr>
                  <pic:blipFill>
                    <a:blip r:embed="rId9"/>
                    <a:stretch>
                      <a:fillRect/>
                    </a:stretch>
                  </pic:blipFill>
                  <pic:spPr>
                    <a:xfrm>
                      <a:off x="0" y="0"/>
                      <a:ext cx="3282950" cy="2501265"/>
                    </a:xfrm>
                    <a:prstGeom prst="rect">
                      <a:avLst/>
                    </a:prstGeom>
                  </pic:spPr>
                </pic:pic>
              </a:graphicData>
            </a:graphic>
          </wp:anchor>
        </w:drawing>
      </w:r>
      <w:r>
        <w:rPr>
          <w:rFonts w:ascii="Times New Roman" w:hAnsi="Times New Roman" w:cs="Times New Roman"/>
          <w:b/>
          <w:bCs/>
          <w:sz w:val="28"/>
          <w:szCs w:val="28"/>
        </w:rPr>
        <w:t xml:space="preserve">Fig </w:t>
      </w:r>
      <w:r>
        <w:rPr>
          <w:rFonts w:ascii="Times New Roman" w:hAnsi="Times New Roman" w:cs="Times New Roman" w:hint="eastAsia"/>
          <w:b/>
          <w:bCs/>
          <w:sz w:val="28"/>
          <w:szCs w:val="28"/>
          <w:lang w:val="en-US"/>
        </w:rPr>
        <w:t>2.3</w:t>
      </w:r>
      <w:r>
        <w:rPr>
          <w:rFonts w:ascii="Times New Roman" w:hAnsi="Times New Roman" w:cs="Times New Roman"/>
          <w:b/>
          <w:bCs/>
          <w:sz w:val="28"/>
          <w:szCs w:val="28"/>
        </w:rPr>
        <w:t xml:space="preserve"> Midea Group's integrated asset management model </w:t>
      </w:r>
      <w:r>
        <w:rPr>
          <w:rFonts w:ascii="Times New Roman" w:hAnsi="Times New Roman" w:cs="Times New Roman" w:hint="eastAsia"/>
          <w:b/>
          <w:bCs/>
          <w:sz w:val="28"/>
          <w:szCs w:val="28"/>
          <w:lang w:val="en-US"/>
        </w:rPr>
        <w:t>(S</w:t>
      </w:r>
      <w:proofErr w:type="spellStart"/>
      <w:r>
        <w:rPr>
          <w:rFonts w:ascii="Times New Roman" w:hAnsi="Times New Roman" w:cs="Times New Roman"/>
          <w:b/>
          <w:bCs/>
          <w:sz w:val="28"/>
          <w:szCs w:val="28"/>
        </w:rPr>
        <w:t>ource</w:t>
      </w:r>
      <w:proofErr w:type="spellEnd"/>
      <w:r>
        <w:rPr>
          <w:rFonts w:ascii="Times New Roman" w:hAnsi="Times New Roman" w:cs="Times New Roman"/>
          <w:b/>
          <w:bCs/>
          <w:sz w:val="28"/>
          <w:szCs w:val="28"/>
        </w:rPr>
        <w:t>: Midea Group Management Innovation Report</w:t>
      </w:r>
      <w:r>
        <w:rPr>
          <w:rFonts w:ascii="Times New Roman" w:hAnsi="Times New Roman" w:cs="Times New Roman" w:hint="eastAsia"/>
          <w:b/>
          <w:bCs/>
          <w:sz w:val="28"/>
          <w:szCs w:val="28"/>
          <w:lang w:val="en-US"/>
        </w:rPr>
        <w:t>) [54]</w:t>
      </w:r>
    </w:p>
    <w:p w14:paraId="34D4380F" w14:textId="77777777" w:rsidR="00CB2BA9" w:rsidRDefault="00773039">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 Huawei: Innovative Practices in Technology Asset Management</w:t>
      </w:r>
    </w:p>
    <w:p w14:paraId="4C777662" w14:textId="77777777" w:rsidR="00CB2BA9" w:rsidRDefault="00773039">
      <w:pPr>
        <w:widowControl/>
        <w:numPr>
          <w:ilvl w:val="0"/>
          <w:numId w:val="6"/>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Global Innovation Resource Layout</w:t>
      </w:r>
    </w:p>
    <w:p w14:paraId="1E056CC3" w14:textId="77777777" w:rsidR="00CB2BA9" w:rsidRDefault="00773039">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Huawei has established a global R&amp;D innovation network, as shown in Figure 5:</w:t>
      </w:r>
    </w:p>
    <w:p w14:paraId="512A428A" w14:textId="77777777" w:rsidR="00CB2BA9" w:rsidRDefault="00773039">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[Insert Figure 5 here: Global layout map] Figure 5 Huawei's global R&amp;D center distribution map Data source: Huawei Annual Report (2021)</w:t>
      </w:r>
    </w:p>
    <w:p w14:paraId="5D478FD5" w14:textId="77777777" w:rsidR="00CB2BA9" w:rsidRDefault="00773039">
      <w:pPr>
        <w:widowControl/>
        <w:numPr>
          <w:ilvl w:val="0"/>
          <w:numId w:val="7"/>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R&amp;D investment and output analysis</w:t>
      </w:r>
    </w:p>
    <w:p w14:paraId="1D65C735" w14:textId="77777777" w:rsidR="00CB2BA9" w:rsidRDefault="00773039">
      <w:pPr>
        <w:pStyle w:val="a6"/>
        <w:widowControl/>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 xml:space="preserve">Huawei continues to increase its R&amp;D investment and has achieved remarkable results, as shown in Table </w:t>
      </w:r>
      <w:r>
        <w:rPr>
          <w:rFonts w:ascii="Times New Roman" w:hAnsi="Times New Roman" w:cs="Times New Roman" w:hint="eastAsia"/>
          <w:sz w:val="28"/>
          <w:szCs w:val="28"/>
          <w:lang w:val="en-US"/>
        </w:rPr>
        <w:t>2.</w:t>
      </w:r>
      <w:r>
        <w:rPr>
          <w:rFonts w:ascii="Times New Roman" w:hAnsi="Times New Roman" w:cs="Times New Roman"/>
          <w:sz w:val="28"/>
          <w:szCs w:val="28"/>
        </w:rPr>
        <w:t>4</w:t>
      </w:r>
      <w:r>
        <w:rPr>
          <w:rFonts w:ascii="Times New Roman" w:hAnsi="Times New Roman" w:cs="Times New Roman" w:hint="eastAsia"/>
          <w:sz w:val="28"/>
          <w:szCs w:val="28"/>
          <w:lang w:val="en-US"/>
        </w:rPr>
        <w:t xml:space="preserve"> [55]</w:t>
      </w:r>
      <w:r>
        <w:rPr>
          <w:rFonts w:ascii="Times New Roman" w:hAnsi="Times New Roman" w:cs="Times New Roman"/>
          <w:sz w:val="28"/>
          <w:szCs w:val="28"/>
        </w:rPr>
        <w:t>:</w:t>
      </w:r>
    </w:p>
    <w:p w14:paraId="6497F426" w14:textId="77777777" w:rsidR="00CB2BA9" w:rsidRDefault="00773039">
      <w:pPr>
        <w:pStyle w:val="a6"/>
        <w:widowControl/>
        <w:snapToGrid w:val="0"/>
        <w:spacing w:line="360" w:lineRule="auto"/>
        <w:jc w:val="right"/>
        <w:rPr>
          <w:rFonts w:ascii="Times New Roman" w:hAnsi="Times New Roman" w:cs="Times New Roman"/>
          <w:b/>
          <w:bCs/>
          <w:sz w:val="28"/>
          <w:szCs w:val="28"/>
        </w:rPr>
      </w:pPr>
      <w:r>
        <w:rPr>
          <w:rFonts w:ascii="Times New Roman" w:hAnsi="Times New Roman" w:cs="Times New Roman"/>
          <w:b/>
          <w:bCs/>
          <w:sz w:val="28"/>
          <w:szCs w:val="28"/>
        </w:rPr>
        <w:t xml:space="preserve">Table </w:t>
      </w:r>
      <w:r>
        <w:rPr>
          <w:rFonts w:ascii="Times New Roman" w:hAnsi="Times New Roman" w:cs="Times New Roman" w:hint="eastAsia"/>
          <w:b/>
          <w:bCs/>
          <w:sz w:val="28"/>
          <w:szCs w:val="28"/>
          <w:lang w:val="en-US"/>
        </w:rPr>
        <w:t>2.</w:t>
      </w:r>
      <w:r>
        <w:rPr>
          <w:rFonts w:ascii="Times New Roman" w:hAnsi="Times New Roman" w:cs="Times New Roman"/>
          <w:b/>
          <w:bCs/>
          <w:sz w:val="28"/>
          <w:szCs w:val="28"/>
        </w:rPr>
        <w:t xml:space="preserve">4 </w:t>
      </w:r>
    </w:p>
    <w:p w14:paraId="347E42FA" w14:textId="77777777" w:rsidR="00CB2BA9" w:rsidRDefault="00773039" w:rsidP="00773039">
      <w:pPr>
        <w:pStyle w:val="a6"/>
        <w:widowControl/>
        <w:snapToGrid w:val="0"/>
        <w:spacing w:line="360" w:lineRule="auto"/>
        <w:jc w:val="center"/>
        <w:rPr>
          <w:rFonts w:ascii="Times New Roman" w:hAnsi="Times New Roman" w:cs="Times New Roman"/>
          <w:b/>
          <w:bCs/>
          <w:sz w:val="28"/>
          <w:szCs w:val="28"/>
        </w:rPr>
      </w:pPr>
      <w:r>
        <w:rPr>
          <w:rFonts w:ascii="Times New Roman" w:hAnsi="Times New Roman" w:cs="Times New Roman"/>
          <w:b/>
          <w:bCs/>
          <w:sz w:val="28"/>
          <w:szCs w:val="28"/>
        </w:rPr>
        <w:t>Huawei’s R&amp;D investment and patent output (201</w:t>
      </w:r>
      <w:r>
        <w:rPr>
          <w:rFonts w:ascii="Times New Roman" w:hAnsi="Times New Roman" w:cs="Times New Roman" w:hint="eastAsia"/>
          <w:b/>
          <w:bCs/>
          <w:sz w:val="28"/>
          <w:szCs w:val="28"/>
          <w:lang w:val="en-US"/>
        </w:rPr>
        <w:t>9</w:t>
      </w:r>
      <w:r>
        <w:rPr>
          <w:rFonts w:ascii="Times New Roman" w:hAnsi="Times New Roman" w:cs="Times New Roman"/>
          <w:b/>
          <w:bCs/>
          <w:sz w:val="28"/>
          <w:szCs w:val="28"/>
        </w:rPr>
        <w:t>-202</w:t>
      </w:r>
      <w:r>
        <w:rPr>
          <w:rFonts w:ascii="Times New Roman" w:hAnsi="Times New Roman" w:cs="Times New Roman" w:hint="eastAsia"/>
          <w:b/>
          <w:bCs/>
          <w:sz w:val="28"/>
          <w:szCs w:val="28"/>
          <w:lang w:val="en-US"/>
        </w:rPr>
        <w:t>3</w:t>
      </w:r>
      <w:r>
        <w:rPr>
          <w:rFonts w:ascii="Times New Roman" w:hAnsi="Times New Roman" w:cs="Times New Roman"/>
          <w:b/>
          <w:bCs/>
          <w:sz w:val="28"/>
          <w:szCs w:val="28"/>
        </w:rPr>
        <w:t>)</w:t>
      </w:r>
    </w:p>
    <w:tbl>
      <w:tblPr>
        <w:tblW w:w="49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7"/>
        <w:gridCol w:w="2162"/>
        <w:gridCol w:w="2138"/>
        <w:gridCol w:w="2391"/>
        <w:gridCol w:w="1723"/>
      </w:tblGrid>
      <w:tr w:rsidR="00CB2BA9" w14:paraId="1DCAB76A" w14:textId="77777777">
        <w:trPr>
          <w:trHeight w:val="157"/>
        </w:trPr>
        <w:tc>
          <w:tcPr>
            <w:tcW w:w="605" w:type="pct"/>
            <w:shd w:val="clear" w:color="auto" w:fill="auto"/>
            <w:vAlign w:val="center"/>
          </w:tcPr>
          <w:p w14:paraId="6ADC3D3F" w14:textId="77777777" w:rsidR="00CB2BA9" w:rsidRDefault="00773039" w:rsidP="002D0281">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Year</w:t>
            </w:r>
          </w:p>
        </w:tc>
        <w:tc>
          <w:tcPr>
            <w:tcW w:w="1129" w:type="pct"/>
            <w:shd w:val="clear" w:color="auto" w:fill="auto"/>
            <w:vAlign w:val="center"/>
          </w:tcPr>
          <w:p w14:paraId="1E267E38" w14:textId="77777777" w:rsidR="00CB2BA9" w:rsidRDefault="00773039" w:rsidP="002D0281">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R&amp;D Investment (Billion RMB)</w:t>
            </w:r>
          </w:p>
        </w:tc>
        <w:tc>
          <w:tcPr>
            <w:tcW w:w="1116" w:type="pct"/>
            <w:shd w:val="clear" w:color="auto" w:fill="auto"/>
            <w:vAlign w:val="center"/>
          </w:tcPr>
          <w:p w14:paraId="45C4E636" w14:textId="77777777" w:rsidR="00CB2BA9" w:rsidRDefault="00773039" w:rsidP="002D0281">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Proportion of Revenue</w:t>
            </w:r>
          </w:p>
        </w:tc>
        <w:tc>
          <w:tcPr>
            <w:tcW w:w="1248" w:type="pct"/>
            <w:shd w:val="clear" w:color="auto" w:fill="auto"/>
            <w:vAlign w:val="center"/>
          </w:tcPr>
          <w:p w14:paraId="2DC0847A" w14:textId="77777777" w:rsidR="00CB2BA9" w:rsidRDefault="00773039" w:rsidP="002D0281">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Patent Applications</w:t>
            </w:r>
          </w:p>
        </w:tc>
        <w:tc>
          <w:tcPr>
            <w:tcW w:w="899" w:type="pct"/>
            <w:shd w:val="clear" w:color="auto" w:fill="auto"/>
            <w:vAlign w:val="center"/>
          </w:tcPr>
          <w:p w14:paraId="4DA71483" w14:textId="77777777" w:rsidR="00CB2BA9" w:rsidRDefault="00773039" w:rsidP="002D0281">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Patents Granted</w:t>
            </w:r>
          </w:p>
        </w:tc>
      </w:tr>
      <w:tr w:rsidR="00CB2BA9" w14:paraId="7AA2C975" w14:textId="77777777">
        <w:trPr>
          <w:trHeight w:val="90"/>
        </w:trPr>
        <w:tc>
          <w:tcPr>
            <w:tcW w:w="605" w:type="pct"/>
            <w:shd w:val="clear" w:color="auto" w:fill="auto"/>
            <w:vAlign w:val="center"/>
          </w:tcPr>
          <w:p w14:paraId="04EB1E79"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2019</w:t>
            </w:r>
          </w:p>
        </w:tc>
        <w:tc>
          <w:tcPr>
            <w:tcW w:w="1129" w:type="pct"/>
            <w:shd w:val="clear" w:color="auto" w:fill="auto"/>
            <w:vAlign w:val="center"/>
          </w:tcPr>
          <w:p w14:paraId="4AFCCDF1"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1,015</w:t>
            </w:r>
          </w:p>
        </w:tc>
        <w:tc>
          <w:tcPr>
            <w:tcW w:w="1116" w:type="pct"/>
            <w:shd w:val="clear" w:color="auto" w:fill="auto"/>
            <w:vAlign w:val="center"/>
          </w:tcPr>
          <w:p w14:paraId="5F75630D"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14.10%</w:t>
            </w:r>
          </w:p>
        </w:tc>
        <w:tc>
          <w:tcPr>
            <w:tcW w:w="1248" w:type="pct"/>
            <w:shd w:val="clear" w:color="auto" w:fill="auto"/>
            <w:vAlign w:val="center"/>
          </w:tcPr>
          <w:p w14:paraId="3565D505"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5,405</w:t>
            </w:r>
          </w:p>
        </w:tc>
        <w:tc>
          <w:tcPr>
            <w:tcW w:w="899" w:type="pct"/>
            <w:shd w:val="clear" w:color="auto" w:fill="auto"/>
            <w:vAlign w:val="center"/>
          </w:tcPr>
          <w:p w14:paraId="1EA9FEDB"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87,805</w:t>
            </w:r>
          </w:p>
        </w:tc>
      </w:tr>
      <w:tr w:rsidR="00CB2BA9" w14:paraId="004A4041" w14:textId="77777777">
        <w:trPr>
          <w:trHeight w:val="90"/>
        </w:trPr>
        <w:tc>
          <w:tcPr>
            <w:tcW w:w="605" w:type="pct"/>
            <w:shd w:val="clear" w:color="auto" w:fill="auto"/>
            <w:vAlign w:val="center"/>
          </w:tcPr>
          <w:p w14:paraId="52178CA8"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2020</w:t>
            </w:r>
          </w:p>
        </w:tc>
        <w:tc>
          <w:tcPr>
            <w:tcW w:w="1129" w:type="pct"/>
            <w:shd w:val="clear" w:color="auto" w:fill="auto"/>
            <w:vAlign w:val="center"/>
          </w:tcPr>
          <w:p w14:paraId="6C7BEC4F"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1,317</w:t>
            </w:r>
          </w:p>
        </w:tc>
        <w:tc>
          <w:tcPr>
            <w:tcW w:w="1116" w:type="pct"/>
            <w:shd w:val="clear" w:color="auto" w:fill="auto"/>
            <w:vAlign w:val="center"/>
          </w:tcPr>
          <w:p w14:paraId="69258663"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15.30%</w:t>
            </w:r>
          </w:p>
        </w:tc>
        <w:tc>
          <w:tcPr>
            <w:tcW w:w="1248" w:type="pct"/>
            <w:shd w:val="clear" w:color="auto" w:fill="auto"/>
            <w:vAlign w:val="center"/>
          </w:tcPr>
          <w:p w14:paraId="5FA16F30"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5,928</w:t>
            </w:r>
          </w:p>
        </w:tc>
        <w:tc>
          <w:tcPr>
            <w:tcW w:w="899" w:type="pct"/>
            <w:shd w:val="clear" w:color="auto" w:fill="auto"/>
            <w:vAlign w:val="center"/>
          </w:tcPr>
          <w:p w14:paraId="4F335B81"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95,000</w:t>
            </w:r>
          </w:p>
        </w:tc>
      </w:tr>
      <w:tr w:rsidR="00CB2BA9" w14:paraId="55B6FB01" w14:textId="77777777">
        <w:trPr>
          <w:trHeight w:val="90"/>
        </w:trPr>
        <w:tc>
          <w:tcPr>
            <w:tcW w:w="605" w:type="pct"/>
            <w:shd w:val="clear" w:color="auto" w:fill="auto"/>
            <w:vAlign w:val="center"/>
          </w:tcPr>
          <w:p w14:paraId="3B8FAFAA"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2021</w:t>
            </w:r>
          </w:p>
        </w:tc>
        <w:tc>
          <w:tcPr>
            <w:tcW w:w="1129" w:type="pct"/>
            <w:shd w:val="clear" w:color="auto" w:fill="auto"/>
            <w:vAlign w:val="center"/>
          </w:tcPr>
          <w:p w14:paraId="1252F37D"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1,419</w:t>
            </w:r>
          </w:p>
        </w:tc>
        <w:tc>
          <w:tcPr>
            <w:tcW w:w="1116" w:type="pct"/>
            <w:shd w:val="clear" w:color="auto" w:fill="auto"/>
            <w:vAlign w:val="center"/>
          </w:tcPr>
          <w:p w14:paraId="1353C566"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15.90%</w:t>
            </w:r>
          </w:p>
        </w:tc>
        <w:tc>
          <w:tcPr>
            <w:tcW w:w="1248" w:type="pct"/>
            <w:shd w:val="clear" w:color="auto" w:fill="auto"/>
            <w:vAlign w:val="center"/>
          </w:tcPr>
          <w:p w14:paraId="0FC89C5F"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6,452</w:t>
            </w:r>
          </w:p>
        </w:tc>
        <w:tc>
          <w:tcPr>
            <w:tcW w:w="899" w:type="pct"/>
            <w:shd w:val="clear" w:color="auto" w:fill="auto"/>
            <w:vAlign w:val="center"/>
          </w:tcPr>
          <w:p w14:paraId="1E239279"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100,000</w:t>
            </w:r>
          </w:p>
        </w:tc>
      </w:tr>
      <w:tr w:rsidR="00CB2BA9" w14:paraId="16BB22CD" w14:textId="77777777">
        <w:trPr>
          <w:trHeight w:val="90"/>
        </w:trPr>
        <w:tc>
          <w:tcPr>
            <w:tcW w:w="605" w:type="pct"/>
            <w:shd w:val="clear" w:color="auto" w:fill="auto"/>
            <w:vAlign w:val="center"/>
          </w:tcPr>
          <w:p w14:paraId="67C84767"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2022</w:t>
            </w:r>
          </w:p>
        </w:tc>
        <w:tc>
          <w:tcPr>
            <w:tcW w:w="1129" w:type="pct"/>
            <w:shd w:val="clear" w:color="auto" w:fill="auto"/>
            <w:vAlign w:val="center"/>
          </w:tcPr>
          <w:p w14:paraId="096825CB"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1,427</w:t>
            </w:r>
          </w:p>
        </w:tc>
        <w:tc>
          <w:tcPr>
            <w:tcW w:w="1116" w:type="pct"/>
            <w:shd w:val="clear" w:color="auto" w:fill="auto"/>
            <w:vAlign w:val="center"/>
          </w:tcPr>
          <w:p w14:paraId="7B7E9B62"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16.20%</w:t>
            </w:r>
          </w:p>
        </w:tc>
        <w:tc>
          <w:tcPr>
            <w:tcW w:w="1248" w:type="pct"/>
            <w:shd w:val="clear" w:color="auto" w:fill="auto"/>
            <w:vAlign w:val="center"/>
          </w:tcPr>
          <w:p w14:paraId="431BF91C"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6,952</w:t>
            </w:r>
          </w:p>
        </w:tc>
        <w:tc>
          <w:tcPr>
            <w:tcW w:w="899" w:type="pct"/>
            <w:shd w:val="clear" w:color="auto" w:fill="auto"/>
            <w:vAlign w:val="center"/>
          </w:tcPr>
          <w:p w14:paraId="2330806A"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110,000</w:t>
            </w:r>
          </w:p>
        </w:tc>
      </w:tr>
      <w:tr w:rsidR="00CB2BA9" w14:paraId="58BD4844" w14:textId="77777777">
        <w:trPr>
          <w:trHeight w:val="90"/>
        </w:trPr>
        <w:tc>
          <w:tcPr>
            <w:tcW w:w="605" w:type="pct"/>
            <w:shd w:val="clear" w:color="auto" w:fill="auto"/>
            <w:vAlign w:val="center"/>
          </w:tcPr>
          <w:p w14:paraId="2432C01B"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2023</w:t>
            </w:r>
          </w:p>
        </w:tc>
        <w:tc>
          <w:tcPr>
            <w:tcW w:w="1129" w:type="pct"/>
            <w:shd w:val="clear" w:color="auto" w:fill="auto"/>
            <w:vAlign w:val="center"/>
          </w:tcPr>
          <w:p w14:paraId="4A009709"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1,500</w:t>
            </w:r>
          </w:p>
        </w:tc>
        <w:tc>
          <w:tcPr>
            <w:tcW w:w="1116" w:type="pct"/>
            <w:shd w:val="clear" w:color="auto" w:fill="auto"/>
            <w:vAlign w:val="center"/>
          </w:tcPr>
          <w:p w14:paraId="13AF1C33"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16.50%</w:t>
            </w:r>
          </w:p>
        </w:tc>
        <w:tc>
          <w:tcPr>
            <w:tcW w:w="1248" w:type="pct"/>
            <w:shd w:val="clear" w:color="auto" w:fill="auto"/>
            <w:vAlign w:val="center"/>
          </w:tcPr>
          <w:p w14:paraId="3FD98188"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7,500</w:t>
            </w:r>
          </w:p>
        </w:tc>
        <w:tc>
          <w:tcPr>
            <w:tcW w:w="899" w:type="pct"/>
            <w:shd w:val="clear" w:color="auto" w:fill="auto"/>
            <w:vAlign w:val="center"/>
          </w:tcPr>
          <w:p w14:paraId="164B104E" w14:textId="77777777" w:rsidR="00CB2BA9" w:rsidRDefault="00773039">
            <w:pPr>
              <w:widowControl/>
              <w:snapToGrid w:val="0"/>
              <w:spacing w:line="360" w:lineRule="auto"/>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120,000</w:t>
            </w:r>
          </w:p>
        </w:tc>
      </w:tr>
    </w:tbl>
    <w:p w14:paraId="708A40ED" w14:textId="77777777" w:rsidR="00CB2BA9" w:rsidRDefault="00773039">
      <w:pPr>
        <w:widowControl/>
        <w:numPr>
          <w:ilvl w:val="0"/>
          <w:numId w:val="8"/>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Innovative asset operation model</w:t>
      </w:r>
    </w:p>
    <w:p w14:paraId="02E9B757"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Huawei has innovatively built a closed loop of technology asset operations: "investment-R&amp;D-transformation-revenue", as shown in Figure </w:t>
      </w:r>
      <w:r>
        <w:rPr>
          <w:rFonts w:ascii="Times New Roman" w:hAnsi="Times New Roman" w:cs="Times New Roman" w:hint="eastAsia"/>
          <w:sz w:val="28"/>
          <w:szCs w:val="28"/>
          <w:lang w:val="en-US"/>
        </w:rPr>
        <w:t>2.4</w:t>
      </w:r>
      <w:r>
        <w:rPr>
          <w:rFonts w:ascii="Times New Roman" w:hAnsi="Times New Roman" w:cs="Times New Roman"/>
          <w:sz w:val="28"/>
          <w:szCs w:val="28"/>
        </w:rPr>
        <w:t>:</w:t>
      </w:r>
    </w:p>
    <w:p w14:paraId="5B2B462B"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114300" distR="114300" wp14:anchorId="39B289AC" wp14:editId="11584B40">
            <wp:extent cx="5554980" cy="3703320"/>
            <wp:effectExtent l="0" t="0" r="7620" b="0"/>
            <wp:docPr id="5" name="图片 5" descr="1730589271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730589271674"/>
                    <pic:cNvPicPr>
                      <a:picLocks noChangeAspect="1"/>
                    </pic:cNvPicPr>
                  </pic:nvPicPr>
                  <pic:blipFill>
                    <a:blip r:embed="rId10"/>
                    <a:stretch>
                      <a:fillRect/>
                    </a:stretch>
                  </pic:blipFill>
                  <pic:spPr>
                    <a:xfrm>
                      <a:off x="0" y="0"/>
                      <a:ext cx="5554980" cy="3703320"/>
                    </a:xfrm>
                    <a:prstGeom prst="rect">
                      <a:avLst/>
                    </a:prstGeom>
                  </pic:spPr>
                </pic:pic>
              </a:graphicData>
            </a:graphic>
          </wp:inline>
        </w:drawing>
      </w:r>
    </w:p>
    <w:p w14:paraId="262FB6FE" w14:textId="77777777" w:rsidR="00CB2BA9" w:rsidRDefault="00773039" w:rsidP="00773039">
      <w:pPr>
        <w:pStyle w:val="a6"/>
        <w:widowControl/>
        <w:snapToGrid w:val="0"/>
        <w:spacing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rPr>
        <w:t>Figure</w:t>
      </w:r>
      <w:r>
        <w:rPr>
          <w:rFonts w:ascii="Times New Roman" w:hAnsi="Times New Roman" w:cs="Times New Roman" w:hint="eastAsia"/>
          <w:b/>
          <w:bCs/>
          <w:sz w:val="28"/>
          <w:szCs w:val="28"/>
          <w:lang w:val="en-US"/>
        </w:rPr>
        <w:t>2.4</w:t>
      </w:r>
      <w:r>
        <w:rPr>
          <w:rFonts w:ascii="Times New Roman" w:hAnsi="Times New Roman" w:cs="Times New Roman"/>
          <w:b/>
          <w:bCs/>
          <w:sz w:val="28"/>
          <w:szCs w:val="28"/>
        </w:rPr>
        <w:t xml:space="preserve"> Huawei’s technology asset operation model </w:t>
      </w:r>
      <w:r>
        <w:rPr>
          <w:rFonts w:ascii="Times New Roman" w:hAnsi="Times New Roman" w:cs="Times New Roman" w:hint="eastAsia"/>
          <w:b/>
          <w:bCs/>
          <w:sz w:val="28"/>
          <w:szCs w:val="28"/>
          <w:lang w:val="en-US"/>
        </w:rPr>
        <w:t>(S</w:t>
      </w:r>
      <w:proofErr w:type="spellStart"/>
      <w:r>
        <w:rPr>
          <w:rFonts w:ascii="Times New Roman" w:hAnsi="Times New Roman" w:cs="Times New Roman"/>
          <w:b/>
          <w:bCs/>
          <w:sz w:val="28"/>
          <w:szCs w:val="28"/>
        </w:rPr>
        <w:t>ource</w:t>
      </w:r>
      <w:proofErr w:type="spellEnd"/>
      <w:r>
        <w:rPr>
          <w:rFonts w:ascii="Times New Roman" w:hAnsi="Times New Roman" w:cs="Times New Roman"/>
          <w:b/>
          <w:bCs/>
          <w:sz w:val="28"/>
          <w:szCs w:val="28"/>
        </w:rPr>
        <w:t>: Huawei Innovation Management White Paper (2021)</w:t>
      </w:r>
      <w:r>
        <w:rPr>
          <w:rFonts w:ascii="Times New Roman" w:hAnsi="Times New Roman" w:cs="Times New Roman" w:hint="eastAsia"/>
          <w:b/>
          <w:bCs/>
          <w:sz w:val="28"/>
          <w:szCs w:val="28"/>
          <w:lang w:val="en-US"/>
        </w:rPr>
        <w:t>) [56]</w:t>
      </w:r>
    </w:p>
    <w:p w14:paraId="0F8BF0D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Through in-depth analysis of the cases of three typical companies, namely Sinopec, Midea Group and Huawei, we can find that although they have their own characteristics in the practice of asset management innovation, they all reflect some common successful experiences. First, systematization is the key foundation for asset management innovation. These companies have established a complete organizational structure, formed a standardized management process, and built a scientific evaluation system, promoting the overall improvement of asset management through systematic thinking. Among them, Sinopec's "major asset + specialized company" management model, Midea Group's integrated asset management system, and Huawei's closed loop of technology asset operations all reflect this feature.</w:t>
      </w:r>
    </w:p>
    <w:p w14:paraId="06A21A6E"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Secondly, digital transformation has become an important trend to improve asset management. All three companies attach great importance to the application of digital </w:t>
      </w:r>
      <w:r>
        <w:rPr>
          <w:rFonts w:ascii="Times New Roman" w:hAnsi="Times New Roman" w:cs="Times New Roman"/>
          <w:sz w:val="28"/>
          <w:szCs w:val="28"/>
        </w:rPr>
        <w:lastRenderedPageBreak/>
        <w:t xml:space="preserve">technology, actively promote the construction of intelligent platforms, realize full-process digital management, and continuously improve operational efficiency. The </w:t>
      </w:r>
      <w:proofErr w:type="spellStart"/>
      <w:r>
        <w:rPr>
          <w:rFonts w:ascii="Times New Roman" w:hAnsi="Times New Roman" w:cs="Times New Roman"/>
          <w:sz w:val="28"/>
          <w:szCs w:val="28"/>
        </w:rPr>
        <w:t>IoT+AI</w:t>
      </w:r>
      <w:proofErr w:type="spellEnd"/>
      <w:r>
        <w:rPr>
          <w:rFonts w:ascii="Times New Roman" w:hAnsi="Times New Roman" w:cs="Times New Roman"/>
          <w:sz w:val="28"/>
          <w:szCs w:val="28"/>
        </w:rPr>
        <w:t xml:space="preserve"> asset management platform built by Midea Group, the "penetrating" post-evaluation mechanism implemented by Sinopec, and the innovative asset management system created by Huawei have fully utilized new technologies such as big data and artificial intelligence to achieve digital upgrades in asset management.</w:t>
      </w:r>
    </w:p>
    <w:p w14:paraId="13DCB0A6"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Third, innovation-driven development is the core driving force for the sustainable development of asset management. Both state-owned enterprises and private enterprises are constantly increasing their R&amp;D investment, focusing on technology accumulation and strengthening their innovation capabilities. Huawei has maintained its R&amp;D investment at 15-20% of its revenue, forming a huge patent asset portfolio; Midea Group has reshaped the traditional manufacturing model through digital innovation; Sinopec has also achieved remarkable results in management mechanism innovation.</w:t>
      </w:r>
    </w:p>
    <w:p w14:paraId="14719D1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These experiences are of great reference significance to other enterprises. Enterprises should establish an asset management system suitable for their own characteristics based on their own reality; actively embrace digital transformation and improve the intelligent level of asset management; continue to promote management innovation and continuously improve asset operation efficiency. Only by organically combining systematic construction, digital transformation and innovation-driven development can we achieve an overall improvement in asset management level in the new era and provide strong support for the high-quality development of enterprises.</w:t>
      </w:r>
    </w:p>
    <w:p w14:paraId="65A4F59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Based on </w:t>
      </w:r>
      <w:r>
        <w:rPr>
          <w:rFonts w:ascii="Times New Roman" w:hAnsi="Times New Roman" w:cs="Times New Roman"/>
          <w:sz w:val="28"/>
          <w:szCs w:val="28"/>
          <w:lang w:val="en-US"/>
        </w:rPr>
        <w:t xml:space="preserve">the above </w:t>
      </w:r>
      <w:r>
        <w:rPr>
          <w:rFonts w:ascii="Times New Roman" w:hAnsi="Times New Roman" w:cs="Times New Roman"/>
          <w:sz w:val="28"/>
          <w:szCs w:val="28"/>
        </w:rPr>
        <w:t xml:space="preserve">theoretical analysis and case studies, </w:t>
      </w:r>
      <w:r>
        <w:rPr>
          <w:rFonts w:ascii="Times New Roman" w:hAnsi="Times New Roman" w:cs="Times New Roman"/>
          <w:sz w:val="28"/>
          <w:szCs w:val="28"/>
          <w:lang w:val="en-US"/>
        </w:rPr>
        <w:t xml:space="preserve">we can see that </w:t>
      </w:r>
      <w:r>
        <w:rPr>
          <w:rFonts w:ascii="Times New Roman" w:hAnsi="Times New Roman" w:cs="Times New Roman"/>
          <w:sz w:val="28"/>
          <w:szCs w:val="28"/>
        </w:rPr>
        <w:t>the innovative development of Chinese corporate asset management shows three main trends: first, the management system is becoming increasingly standardized, and more and more companies are beginning to benchmark against international standards; second, the application of digital technology is constantly deepening, promoting the upgrading and innovation of management models; third, the concept of green development is deeply rooted in the hearts of the people, promoting the optimization and adjustment of asset structure.</w:t>
      </w:r>
    </w:p>
    <w:p w14:paraId="046F7BF4" w14:textId="77777777" w:rsidR="00CB2BA9" w:rsidRDefault="00CB2BA9" w:rsidP="00773039">
      <w:pPr>
        <w:snapToGrid w:val="0"/>
        <w:spacing w:line="360" w:lineRule="auto"/>
        <w:ind w:firstLine="709"/>
        <w:rPr>
          <w:rFonts w:ascii="Times New Roman" w:hAnsi="Times New Roman" w:cs="Times New Roman"/>
          <w:sz w:val="28"/>
          <w:szCs w:val="28"/>
        </w:rPr>
      </w:pPr>
    </w:p>
    <w:p w14:paraId="43F2F30B" w14:textId="77777777" w:rsidR="00CB2BA9" w:rsidRDefault="00773039" w:rsidP="00773039">
      <w:pPr>
        <w:snapToGrid w:val="0"/>
        <w:spacing w:line="360" w:lineRule="auto"/>
        <w:ind w:firstLine="709"/>
        <w:outlineLvl w:val="1"/>
        <w:rPr>
          <w:rFonts w:ascii="Times New Roman" w:hAnsi="Times New Roman" w:cs="Times New Roman"/>
          <w:b/>
          <w:bCs/>
          <w:sz w:val="28"/>
          <w:szCs w:val="28"/>
        </w:rPr>
      </w:pPr>
      <w:bookmarkStart w:id="11" w:name="_Toc512"/>
      <w:r>
        <w:rPr>
          <w:rFonts w:ascii="Times New Roman" w:hAnsi="Times New Roman" w:cs="Times New Roman"/>
          <w:b/>
          <w:bCs/>
          <w:sz w:val="28"/>
          <w:szCs w:val="28"/>
        </w:rPr>
        <w:t>2.2. Organizational structure and processes of asset management in Chinese companies</w:t>
      </w:r>
      <w:bookmarkEnd w:id="11"/>
    </w:p>
    <w:p w14:paraId="5A62B7B3" w14:textId="77777777" w:rsidR="00CB2BA9" w:rsidRDefault="00CB2BA9" w:rsidP="00773039">
      <w:pPr>
        <w:snapToGrid w:val="0"/>
        <w:spacing w:line="360" w:lineRule="auto"/>
        <w:ind w:firstLine="709"/>
      </w:pPr>
    </w:p>
    <w:p w14:paraId="182E2B8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modern enterprise management practice, the effectiveness of asset management depends largely on the rationality of organizational structure design and the degree of optimization of business processes. With the advent of the digital economy era, the organizational structure and business processes of Chinese enterprises are undergoing Compared with the global best practices described in Chapter 1, Chinese enterprises of different ownership structures present unique development characteristics and innovation paths in this field.</w:t>
      </w:r>
    </w:p>
    <w:p w14:paraId="3E491AFC"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Organizational Structure Analysis</w:t>
      </w:r>
    </w:p>
    <w:p w14:paraId="159D04D3"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Based on their own characteristics and development needs, enterprises of different ownership structures show significant differences in the design of asset management organizational structures. Through in-depth analysis of state-owned enterprises, private enterprises and foreign-funded enterprises, we can clearly see the unique practices of various types of enterprises in the construction of asset management systems. As shown in Figure 1, the three types of enterprises have distinct characteristics in terms of organizational hierarchy, management focus and operating mechanism. This differentiated feature reflects both the development history and management tradition of the enterprise and its unique advantages formed in market competition.</w:t>
      </w:r>
    </w:p>
    <w:p w14:paraId="43CECCDF"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State-owned enterprises generally adopt a multi-level bureaucratic structure, which is deeply rooted in their historical traditions and management culture. Taking Sinopec as an example, the company has built a complete three-level asset management system, as shown in Figure 2. In this system, each level has a clear definition of responsibilities and authority, forming a systematic asset management framework. Table 1 shows in detail the specific responsibilities and authorities of each level of Sinopec:</w:t>
      </w:r>
    </w:p>
    <w:p w14:paraId="6F966605" w14:textId="77777777" w:rsidR="00CB2BA9" w:rsidRDefault="00773039" w:rsidP="00773039">
      <w:pPr>
        <w:pStyle w:val="a6"/>
        <w:widowControl/>
        <w:snapToGrid w:val="0"/>
        <w:spacing w:line="360" w:lineRule="auto"/>
        <w:ind w:firstLine="709"/>
        <w:rPr>
          <w:rFonts w:ascii="Times New Roman" w:hAnsi="Times New Roman" w:cs="Times New Roman"/>
          <w:b/>
          <w:bCs/>
          <w:sz w:val="28"/>
          <w:szCs w:val="28"/>
          <w:lang w:val="en-US"/>
        </w:rPr>
      </w:pPr>
      <w:r>
        <w:rPr>
          <w:rFonts w:ascii="Times New Roman" w:hAnsi="Times New Roman" w:cs="Times New Roman"/>
          <w:b/>
          <w:bCs/>
          <w:sz w:val="28"/>
          <w:szCs w:val="28"/>
        </w:rPr>
        <w:lastRenderedPageBreak/>
        <w:t xml:space="preserve">Table </w:t>
      </w:r>
      <w:r>
        <w:rPr>
          <w:rFonts w:ascii="Times New Roman" w:hAnsi="Times New Roman" w:cs="Times New Roman" w:hint="eastAsia"/>
          <w:b/>
          <w:bCs/>
          <w:sz w:val="28"/>
          <w:szCs w:val="28"/>
          <w:lang w:val="en-US"/>
        </w:rPr>
        <w:t>2.5</w:t>
      </w:r>
      <w:r>
        <w:rPr>
          <w:rFonts w:ascii="Times New Roman" w:hAnsi="Times New Roman" w:cs="Times New Roman"/>
          <w:b/>
          <w:bCs/>
          <w:sz w:val="28"/>
          <w:szCs w:val="28"/>
        </w:rPr>
        <w:t xml:space="preserve"> Analysis of Sinopec's asset management organizational structure</w:t>
      </w:r>
      <w:r w:rsidR="00E0617E">
        <w:rPr>
          <w:rFonts w:ascii="Times New Roman" w:hAnsi="Times New Roman" w:cs="Times New Roman"/>
          <w:b/>
          <w:bCs/>
          <w:sz w:val="28"/>
          <w:szCs w:val="28"/>
          <w:lang w:val="uk-UA"/>
        </w:rPr>
        <w:t xml:space="preserve"> </w:t>
      </w:r>
      <w:r>
        <w:rPr>
          <w:rFonts w:ascii="Times New Roman" w:hAnsi="Times New Roman" w:cs="Times New Roman" w:hint="eastAsia"/>
          <w:b/>
          <w:bCs/>
          <w:sz w:val="28"/>
          <w:szCs w:val="28"/>
          <w:lang w:val="en-US"/>
        </w:rPr>
        <w:t>(S</w:t>
      </w:r>
      <w:proofErr w:type="spellStart"/>
      <w:r>
        <w:rPr>
          <w:rFonts w:ascii="Times New Roman" w:hAnsi="Times New Roman" w:cs="Times New Roman"/>
          <w:b/>
          <w:bCs/>
          <w:sz w:val="28"/>
          <w:szCs w:val="28"/>
        </w:rPr>
        <w:t>ource</w:t>
      </w:r>
      <w:proofErr w:type="spellEnd"/>
      <w:r>
        <w:rPr>
          <w:rFonts w:ascii="Times New Roman" w:hAnsi="Times New Roman" w:cs="Times New Roman"/>
          <w:b/>
          <w:bCs/>
          <w:sz w:val="28"/>
          <w:szCs w:val="28"/>
        </w:rPr>
        <w:t>: Sinopec internal data compilation</w:t>
      </w:r>
      <w:r>
        <w:rPr>
          <w:rFonts w:ascii="Times New Roman" w:hAnsi="Times New Roman" w:cs="Times New Roman" w:hint="eastAsia"/>
          <w:b/>
          <w:bCs/>
          <w:sz w:val="28"/>
          <w:szCs w:val="28"/>
          <w:lang w:val="en-US"/>
        </w:rPr>
        <w:t>) [57]</w:t>
      </w:r>
    </w:p>
    <w:tbl>
      <w:tblPr>
        <w:tblpPr w:leftFromText="180" w:rightFromText="180" w:vertAnchor="text" w:horzAnchor="page" w:tblpX="1647" w:tblpY="130"/>
        <w:tblOverlap w:val="never"/>
        <w:tblW w:w="9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9"/>
        <w:gridCol w:w="1728"/>
        <w:gridCol w:w="1856"/>
        <w:gridCol w:w="1619"/>
        <w:gridCol w:w="1450"/>
        <w:gridCol w:w="1527"/>
      </w:tblGrid>
      <w:tr w:rsidR="00CB2BA9" w14:paraId="26F9CEE9" w14:textId="77777777">
        <w:trPr>
          <w:trHeight w:val="973"/>
        </w:trPr>
        <w:tc>
          <w:tcPr>
            <w:tcW w:w="1441" w:type="dxa"/>
            <w:shd w:val="clear" w:color="auto" w:fill="auto"/>
            <w:noWrap/>
            <w:vAlign w:val="center"/>
          </w:tcPr>
          <w:p w14:paraId="77D4B3F1" w14:textId="77777777" w:rsidR="00CB2BA9" w:rsidRDefault="00773039" w:rsidP="00E0617E">
            <w:pPr>
              <w:widowControl/>
              <w:snapToGrid w:val="0"/>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Management Level</w:t>
            </w:r>
          </w:p>
        </w:tc>
        <w:tc>
          <w:tcPr>
            <w:tcW w:w="1729" w:type="dxa"/>
            <w:shd w:val="clear" w:color="auto" w:fill="auto"/>
            <w:noWrap/>
            <w:vAlign w:val="center"/>
          </w:tcPr>
          <w:p w14:paraId="36081492" w14:textId="77777777" w:rsidR="00CB2BA9" w:rsidRDefault="00773039" w:rsidP="00E0617E">
            <w:pPr>
              <w:widowControl/>
              <w:snapToGrid w:val="0"/>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Main Responsibilities</w:t>
            </w:r>
          </w:p>
        </w:tc>
        <w:tc>
          <w:tcPr>
            <w:tcW w:w="1858" w:type="dxa"/>
            <w:shd w:val="clear" w:color="auto" w:fill="auto"/>
            <w:noWrap/>
            <w:vAlign w:val="center"/>
          </w:tcPr>
          <w:p w14:paraId="6F09EDCB" w14:textId="77777777" w:rsidR="00CB2BA9" w:rsidRDefault="00773039" w:rsidP="00E0617E">
            <w:pPr>
              <w:widowControl/>
              <w:snapToGrid w:val="0"/>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Specific Departments</w:t>
            </w:r>
          </w:p>
        </w:tc>
        <w:tc>
          <w:tcPr>
            <w:tcW w:w="1620" w:type="dxa"/>
            <w:shd w:val="clear" w:color="auto" w:fill="auto"/>
            <w:noWrap/>
            <w:vAlign w:val="center"/>
          </w:tcPr>
          <w:p w14:paraId="6AF46CE5" w14:textId="77777777" w:rsidR="00CB2BA9" w:rsidRDefault="00773039" w:rsidP="00E0617E">
            <w:pPr>
              <w:widowControl/>
              <w:snapToGrid w:val="0"/>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Decision Authority</w:t>
            </w:r>
          </w:p>
        </w:tc>
        <w:tc>
          <w:tcPr>
            <w:tcW w:w="1442" w:type="dxa"/>
            <w:shd w:val="clear" w:color="auto" w:fill="auto"/>
            <w:noWrap/>
            <w:vAlign w:val="center"/>
          </w:tcPr>
          <w:p w14:paraId="3E02799D" w14:textId="77777777" w:rsidR="00CB2BA9" w:rsidRDefault="00773039" w:rsidP="00E0617E">
            <w:pPr>
              <w:widowControl/>
              <w:snapToGrid w:val="0"/>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Key Management Focus</w:t>
            </w:r>
          </w:p>
        </w:tc>
        <w:tc>
          <w:tcPr>
            <w:tcW w:w="1528" w:type="dxa"/>
            <w:shd w:val="clear" w:color="auto" w:fill="auto"/>
            <w:noWrap/>
            <w:vAlign w:val="center"/>
          </w:tcPr>
          <w:p w14:paraId="00004F96" w14:textId="77777777" w:rsidR="00CB2BA9" w:rsidRDefault="00773039" w:rsidP="00E0617E">
            <w:pPr>
              <w:widowControl/>
              <w:snapToGrid w:val="0"/>
              <w:jc w:val="left"/>
              <w:textAlignment w:val="center"/>
              <w:rPr>
                <w:rFonts w:ascii="Times New Roman" w:eastAsia="SimSun" w:hAnsi="Times New Roman" w:cs="Times New Roman"/>
                <w:b/>
                <w:bCs/>
                <w:color w:val="000000"/>
                <w:sz w:val="22"/>
                <w:szCs w:val="22"/>
              </w:rPr>
            </w:pPr>
            <w:r>
              <w:rPr>
                <w:rFonts w:ascii="Times New Roman" w:eastAsia="SimSun" w:hAnsi="Times New Roman" w:cs="Times New Roman"/>
                <w:b/>
                <w:bCs/>
                <w:color w:val="000000"/>
                <w:kern w:val="0"/>
                <w:sz w:val="22"/>
                <w:szCs w:val="22"/>
                <w:lang w:val="en-US" w:bidi="ar"/>
              </w:rPr>
              <w:t>Key Performance Indicators</w:t>
            </w:r>
          </w:p>
        </w:tc>
      </w:tr>
      <w:tr w:rsidR="00CB2BA9" w14:paraId="3C9A7611" w14:textId="77777777">
        <w:trPr>
          <w:trHeight w:val="1209"/>
        </w:trPr>
        <w:tc>
          <w:tcPr>
            <w:tcW w:w="1441" w:type="dxa"/>
            <w:shd w:val="clear" w:color="auto" w:fill="auto"/>
            <w:noWrap/>
            <w:vAlign w:val="center"/>
          </w:tcPr>
          <w:p w14:paraId="58839AEF"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Group Level</w:t>
            </w:r>
          </w:p>
        </w:tc>
        <w:tc>
          <w:tcPr>
            <w:tcW w:w="1729" w:type="dxa"/>
            <w:shd w:val="clear" w:color="auto" w:fill="auto"/>
            <w:noWrap/>
            <w:vAlign w:val="center"/>
          </w:tcPr>
          <w:p w14:paraId="4BDBA5BB"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Strategic decision-making, resource allocation</w:t>
            </w:r>
          </w:p>
        </w:tc>
        <w:tc>
          <w:tcPr>
            <w:tcW w:w="1858" w:type="dxa"/>
            <w:shd w:val="clear" w:color="auto" w:fill="auto"/>
            <w:noWrap/>
            <w:vAlign w:val="center"/>
          </w:tcPr>
          <w:p w14:paraId="4471C7C8"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Strategic Planning Department, Asset Management Department</w:t>
            </w:r>
          </w:p>
        </w:tc>
        <w:tc>
          <w:tcPr>
            <w:tcW w:w="1620" w:type="dxa"/>
            <w:shd w:val="clear" w:color="auto" w:fill="auto"/>
            <w:noWrap/>
            <w:vAlign w:val="center"/>
          </w:tcPr>
          <w:p w14:paraId="5C0A1D1F"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Major investment decisions, strategic asset allocation</w:t>
            </w:r>
          </w:p>
        </w:tc>
        <w:tc>
          <w:tcPr>
            <w:tcW w:w="1442" w:type="dxa"/>
            <w:shd w:val="clear" w:color="auto" w:fill="auto"/>
            <w:noWrap/>
            <w:vAlign w:val="center"/>
          </w:tcPr>
          <w:p w14:paraId="0B0C0375"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Strategic planning, investment decisions</w:t>
            </w:r>
          </w:p>
        </w:tc>
        <w:tc>
          <w:tcPr>
            <w:tcW w:w="1528" w:type="dxa"/>
            <w:shd w:val="clear" w:color="auto" w:fill="auto"/>
            <w:noWrap/>
            <w:vAlign w:val="center"/>
          </w:tcPr>
          <w:p w14:paraId="66ED6722"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ROE, Asset-Liability Ratio</w:t>
            </w:r>
          </w:p>
        </w:tc>
      </w:tr>
      <w:tr w:rsidR="00CB2BA9" w14:paraId="41581B11" w14:textId="77777777">
        <w:trPr>
          <w:trHeight w:val="1209"/>
        </w:trPr>
        <w:tc>
          <w:tcPr>
            <w:tcW w:w="1441" w:type="dxa"/>
            <w:shd w:val="clear" w:color="auto" w:fill="auto"/>
            <w:noWrap/>
            <w:vAlign w:val="center"/>
          </w:tcPr>
          <w:p w14:paraId="0CB0478A"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Specialized Company Level</w:t>
            </w:r>
          </w:p>
        </w:tc>
        <w:tc>
          <w:tcPr>
            <w:tcW w:w="1729" w:type="dxa"/>
            <w:shd w:val="clear" w:color="auto" w:fill="auto"/>
            <w:noWrap/>
            <w:vAlign w:val="center"/>
          </w:tcPr>
          <w:p w14:paraId="61B5390B"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Implementation, process control</w:t>
            </w:r>
          </w:p>
        </w:tc>
        <w:tc>
          <w:tcPr>
            <w:tcW w:w="1858" w:type="dxa"/>
            <w:shd w:val="clear" w:color="auto" w:fill="auto"/>
            <w:noWrap/>
            <w:vAlign w:val="center"/>
          </w:tcPr>
          <w:p w14:paraId="005A58E1"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Specialized Asset Management Company</w:t>
            </w:r>
          </w:p>
        </w:tc>
        <w:tc>
          <w:tcPr>
            <w:tcW w:w="1620" w:type="dxa"/>
            <w:shd w:val="clear" w:color="auto" w:fill="auto"/>
            <w:noWrap/>
            <w:vAlign w:val="center"/>
          </w:tcPr>
          <w:p w14:paraId="25106936"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Daily operations management, specialized supervision</w:t>
            </w:r>
          </w:p>
        </w:tc>
        <w:tc>
          <w:tcPr>
            <w:tcW w:w="1442" w:type="dxa"/>
            <w:shd w:val="clear" w:color="auto" w:fill="auto"/>
            <w:noWrap/>
            <w:vAlign w:val="center"/>
          </w:tcPr>
          <w:p w14:paraId="01A0FC50"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Operational efficiency, risk control</w:t>
            </w:r>
          </w:p>
        </w:tc>
        <w:tc>
          <w:tcPr>
            <w:tcW w:w="1528" w:type="dxa"/>
            <w:shd w:val="clear" w:color="auto" w:fill="auto"/>
            <w:noWrap/>
            <w:vAlign w:val="center"/>
          </w:tcPr>
          <w:p w14:paraId="17FC33B3"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Revenue, Cost Control</w:t>
            </w:r>
          </w:p>
        </w:tc>
      </w:tr>
      <w:tr w:rsidR="00CB2BA9" w14:paraId="5C4F62F8" w14:textId="77777777">
        <w:trPr>
          <w:trHeight w:val="986"/>
        </w:trPr>
        <w:tc>
          <w:tcPr>
            <w:tcW w:w="1441" w:type="dxa"/>
            <w:shd w:val="clear" w:color="auto" w:fill="auto"/>
            <w:noWrap/>
            <w:vAlign w:val="center"/>
          </w:tcPr>
          <w:p w14:paraId="6C1333A0"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Basic Unit Level</w:t>
            </w:r>
          </w:p>
        </w:tc>
        <w:tc>
          <w:tcPr>
            <w:tcW w:w="1729" w:type="dxa"/>
            <w:shd w:val="clear" w:color="auto" w:fill="auto"/>
            <w:noWrap/>
            <w:vAlign w:val="center"/>
          </w:tcPr>
          <w:p w14:paraId="37B07E8E"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Execution, maintenance</w:t>
            </w:r>
          </w:p>
        </w:tc>
        <w:tc>
          <w:tcPr>
            <w:tcW w:w="1858" w:type="dxa"/>
            <w:shd w:val="clear" w:color="auto" w:fill="auto"/>
            <w:noWrap/>
            <w:vAlign w:val="center"/>
          </w:tcPr>
          <w:p w14:paraId="08F3EA20"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Production Units, Business Departments</w:t>
            </w:r>
          </w:p>
        </w:tc>
        <w:tc>
          <w:tcPr>
            <w:tcW w:w="1620" w:type="dxa"/>
            <w:shd w:val="clear" w:color="auto" w:fill="auto"/>
            <w:noWrap/>
            <w:vAlign w:val="center"/>
          </w:tcPr>
          <w:p w14:paraId="10698D9E"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Daily maintenance, operation management</w:t>
            </w:r>
          </w:p>
        </w:tc>
        <w:tc>
          <w:tcPr>
            <w:tcW w:w="1442" w:type="dxa"/>
            <w:shd w:val="clear" w:color="auto" w:fill="auto"/>
            <w:noWrap/>
            <w:vAlign w:val="center"/>
          </w:tcPr>
          <w:p w14:paraId="3C6A9E85"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Production operation, equipment maintenance</w:t>
            </w:r>
          </w:p>
        </w:tc>
        <w:tc>
          <w:tcPr>
            <w:tcW w:w="1528" w:type="dxa"/>
            <w:shd w:val="clear" w:color="auto" w:fill="auto"/>
            <w:noWrap/>
            <w:vAlign w:val="center"/>
          </w:tcPr>
          <w:p w14:paraId="61503007" w14:textId="77777777" w:rsidR="00CB2BA9" w:rsidRDefault="00773039" w:rsidP="00E0617E">
            <w:pPr>
              <w:widowControl/>
              <w:snapToGrid w:val="0"/>
              <w:jc w:val="left"/>
              <w:textAlignment w:val="center"/>
              <w:rPr>
                <w:rFonts w:ascii="Times New Roman" w:eastAsia="SimSun" w:hAnsi="Times New Roman" w:cs="Times New Roman"/>
                <w:color w:val="000000"/>
                <w:sz w:val="22"/>
                <w:szCs w:val="22"/>
              </w:rPr>
            </w:pPr>
            <w:r>
              <w:rPr>
                <w:rFonts w:ascii="Times New Roman" w:eastAsia="SimSun" w:hAnsi="Times New Roman" w:cs="Times New Roman"/>
                <w:color w:val="000000"/>
                <w:kern w:val="0"/>
                <w:sz w:val="22"/>
                <w:szCs w:val="22"/>
                <w:lang w:val="en-US" w:bidi="ar"/>
              </w:rPr>
              <w:t>Output, Quality, Safety</w:t>
            </w:r>
          </w:p>
        </w:tc>
      </w:tr>
    </w:tbl>
    <w:p w14:paraId="6C94A98B" w14:textId="77777777" w:rsidR="00CB2BA9" w:rsidRDefault="00CB2BA9" w:rsidP="00773039">
      <w:pPr>
        <w:pStyle w:val="a6"/>
        <w:widowControl/>
        <w:snapToGrid w:val="0"/>
        <w:spacing w:line="360" w:lineRule="auto"/>
        <w:ind w:firstLine="709"/>
        <w:rPr>
          <w:rFonts w:ascii="Times New Roman" w:hAnsi="Times New Roman" w:cs="Times New Roman"/>
          <w:b/>
          <w:bCs/>
          <w:sz w:val="28"/>
          <w:szCs w:val="28"/>
          <w:lang w:val="en-US"/>
        </w:rPr>
      </w:pPr>
    </w:p>
    <w:p w14:paraId="1E393774"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Although this multi-level management model has played an important role in ensuring the standardization of management, its flexibility and efficiency face severe challenges in the increasingly competitive market environment. Long decision-making processes lead to slow market response, insufficient innovation motivation affects competitiveness, high management costs affect operating efficiency, and insufficient internal coordination restricts resource integration. In response to these challenges, some state-owned enterprises have begun to actively explore the path of organizational change and innovation through measures such as establishing professional asset management companies, promoting mixed ownership reform, implementing flat management, and promoting digital transformation. Through these measures, state-owned enterprises strive to improve organizational operating efficiency and market response speed while maintaining the effectiveness of management and control.</w:t>
      </w:r>
    </w:p>
    <w:p w14:paraId="14111DA8"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contrast, private enterprises have shown stronger organizational flexibility. Huawei Technologies Co., Ltd., for example, has adopted an efficient matrix management structure, as shown in Figure 2. This structure breaks through the constraints of the traditional bureaucracy and achieves efficient allocation and flexible scheduling of resources. Under this structure, Huawei has established a three-level </w:t>
      </w:r>
      <w:r>
        <w:rPr>
          <w:rFonts w:ascii="Times New Roman" w:hAnsi="Times New Roman" w:cs="Times New Roman"/>
          <w:sz w:val="28"/>
          <w:szCs w:val="28"/>
        </w:rPr>
        <w:lastRenderedPageBreak/>
        <w:t>linkage mechanism of "Investment Decision Committee-Asset Management Department-Business Unit", which effectively improves the efficiency of asset management through scientific decision-making and rapid response. Its specific operating mechanism is shown in Table 2</w:t>
      </w:r>
      <w:r>
        <w:rPr>
          <w:rFonts w:ascii="Times New Roman" w:hAnsi="Times New Roman" w:cs="Times New Roman" w:hint="eastAsia"/>
          <w:sz w:val="28"/>
          <w:szCs w:val="28"/>
          <w:lang w:val="en-US"/>
        </w:rPr>
        <w:t>.6</w:t>
      </w:r>
      <w:r>
        <w:rPr>
          <w:rFonts w:ascii="Times New Roman" w:hAnsi="Times New Roman" w:cs="Times New Roman"/>
          <w:sz w:val="28"/>
          <w:szCs w:val="28"/>
        </w:rPr>
        <w:t>:</w:t>
      </w:r>
    </w:p>
    <w:p w14:paraId="6FAB7891" w14:textId="77777777" w:rsidR="00CB2BA9" w:rsidRDefault="00773039" w:rsidP="00773039">
      <w:pPr>
        <w:pStyle w:val="a6"/>
        <w:widowControl/>
        <w:snapToGrid w:val="0"/>
        <w:spacing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Table 2.6 </w:t>
      </w:r>
    </w:p>
    <w:p w14:paraId="203D37E8" w14:textId="77777777" w:rsidR="00CB2BA9" w:rsidRDefault="00773039" w:rsidP="00773039">
      <w:pPr>
        <w:pStyle w:val="a6"/>
        <w:widowControl/>
        <w:snapToGrid w:val="0"/>
        <w:spacing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Analysis of Huawei’s three-level linkage mechanism for asset management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1604"/>
        <w:gridCol w:w="1814"/>
        <w:gridCol w:w="1893"/>
        <w:gridCol w:w="1904"/>
        <w:gridCol w:w="1448"/>
      </w:tblGrid>
      <w:tr w:rsidR="00CB2BA9" w14:paraId="5214FCD9" w14:textId="77777777" w:rsidTr="00E0617E">
        <w:trPr>
          <w:trHeight w:val="460"/>
        </w:trPr>
        <w:tc>
          <w:tcPr>
            <w:tcW w:w="501" w:type="pct"/>
            <w:shd w:val="clear" w:color="auto" w:fill="auto"/>
            <w:noWrap/>
            <w:vAlign w:val="center"/>
          </w:tcPr>
          <w:p w14:paraId="6796820A" w14:textId="77777777" w:rsidR="00CB2BA9" w:rsidRDefault="00773039" w:rsidP="00E0617E">
            <w:pPr>
              <w:widowControl/>
              <w:snapToGrid w:val="0"/>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Mechanism Level</w:t>
            </w:r>
          </w:p>
        </w:tc>
        <w:tc>
          <w:tcPr>
            <w:tcW w:w="833" w:type="pct"/>
            <w:shd w:val="clear" w:color="auto" w:fill="auto"/>
            <w:noWrap/>
            <w:vAlign w:val="center"/>
          </w:tcPr>
          <w:p w14:paraId="1407B3C5" w14:textId="77777777" w:rsidR="00CB2BA9" w:rsidRDefault="00773039" w:rsidP="00E0617E">
            <w:pPr>
              <w:widowControl/>
              <w:snapToGrid w:val="0"/>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Main Functions</w:t>
            </w:r>
          </w:p>
        </w:tc>
        <w:tc>
          <w:tcPr>
            <w:tcW w:w="942" w:type="pct"/>
            <w:shd w:val="clear" w:color="auto" w:fill="auto"/>
            <w:noWrap/>
            <w:vAlign w:val="center"/>
          </w:tcPr>
          <w:p w14:paraId="068842E5" w14:textId="77777777" w:rsidR="00CB2BA9" w:rsidRDefault="00773039" w:rsidP="00E0617E">
            <w:pPr>
              <w:widowControl/>
              <w:snapToGrid w:val="0"/>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Operating Characteristics</w:t>
            </w:r>
          </w:p>
        </w:tc>
        <w:tc>
          <w:tcPr>
            <w:tcW w:w="983" w:type="pct"/>
            <w:shd w:val="clear" w:color="auto" w:fill="auto"/>
            <w:noWrap/>
            <w:vAlign w:val="center"/>
          </w:tcPr>
          <w:p w14:paraId="347AF2C1" w14:textId="77777777" w:rsidR="00CB2BA9" w:rsidRDefault="00773039" w:rsidP="00E0617E">
            <w:pPr>
              <w:widowControl/>
              <w:snapToGrid w:val="0"/>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Innovation Highlights</w:t>
            </w:r>
          </w:p>
        </w:tc>
        <w:tc>
          <w:tcPr>
            <w:tcW w:w="989" w:type="pct"/>
            <w:shd w:val="clear" w:color="auto" w:fill="auto"/>
            <w:noWrap/>
            <w:vAlign w:val="center"/>
          </w:tcPr>
          <w:p w14:paraId="6BBFAC5A" w14:textId="77777777" w:rsidR="00CB2BA9" w:rsidRDefault="00773039" w:rsidP="00E0617E">
            <w:pPr>
              <w:widowControl/>
              <w:snapToGrid w:val="0"/>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Management Tools</w:t>
            </w:r>
          </w:p>
        </w:tc>
        <w:tc>
          <w:tcPr>
            <w:tcW w:w="752" w:type="pct"/>
            <w:shd w:val="clear" w:color="auto" w:fill="auto"/>
            <w:noWrap/>
            <w:vAlign w:val="center"/>
          </w:tcPr>
          <w:p w14:paraId="3343FB85" w14:textId="77777777" w:rsidR="00CB2BA9" w:rsidRDefault="00773039" w:rsidP="00E0617E">
            <w:pPr>
              <w:widowControl/>
              <w:snapToGrid w:val="0"/>
              <w:jc w:val="left"/>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Evaluation Method</w:t>
            </w:r>
          </w:p>
        </w:tc>
      </w:tr>
      <w:tr w:rsidR="00CB2BA9" w14:paraId="529521D8" w14:textId="77777777" w:rsidTr="00E0617E">
        <w:trPr>
          <w:trHeight w:val="612"/>
        </w:trPr>
        <w:tc>
          <w:tcPr>
            <w:tcW w:w="501" w:type="pct"/>
            <w:shd w:val="clear" w:color="auto" w:fill="auto"/>
            <w:noWrap/>
            <w:vAlign w:val="center"/>
          </w:tcPr>
          <w:p w14:paraId="0A350161"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Decision-Making Level</w:t>
            </w:r>
          </w:p>
        </w:tc>
        <w:tc>
          <w:tcPr>
            <w:tcW w:w="833" w:type="pct"/>
            <w:shd w:val="clear" w:color="auto" w:fill="auto"/>
            <w:noWrap/>
            <w:vAlign w:val="center"/>
          </w:tcPr>
          <w:p w14:paraId="2E8292F9"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Strategic planning and investment decisions</w:t>
            </w:r>
          </w:p>
        </w:tc>
        <w:tc>
          <w:tcPr>
            <w:tcW w:w="942" w:type="pct"/>
            <w:shd w:val="clear" w:color="auto" w:fill="auto"/>
            <w:noWrap/>
            <w:vAlign w:val="center"/>
          </w:tcPr>
          <w:p w14:paraId="624D1ECA"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Scientific decision-making, quick response</w:t>
            </w:r>
          </w:p>
        </w:tc>
        <w:tc>
          <w:tcPr>
            <w:tcW w:w="983" w:type="pct"/>
            <w:shd w:val="clear" w:color="auto" w:fill="auto"/>
            <w:noWrap/>
            <w:vAlign w:val="center"/>
          </w:tcPr>
          <w:p w14:paraId="43A31E66"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Establishment of investment decision expert pool</w:t>
            </w:r>
          </w:p>
        </w:tc>
        <w:tc>
          <w:tcPr>
            <w:tcW w:w="989" w:type="pct"/>
            <w:shd w:val="clear" w:color="auto" w:fill="auto"/>
            <w:noWrap/>
            <w:vAlign w:val="center"/>
          </w:tcPr>
          <w:p w14:paraId="63D201EC"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Strategic map, investment quantification model</w:t>
            </w:r>
          </w:p>
        </w:tc>
        <w:tc>
          <w:tcPr>
            <w:tcW w:w="752" w:type="pct"/>
            <w:shd w:val="clear" w:color="auto" w:fill="auto"/>
            <w:noWrap/>
            <w:vAlign w:val="center"/>
          </w:tcPr>
          <w:p w14:paraId="0AA0B6E5"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Achievement of strategic goals</w:t>
            </w:r>
          </w:p>
        </w:tc>
      </w:tr>
      <w:tr w:rsidR="00CB2BA9" w14:paraId="24B53C27" w14:textId="77777777" w:rsidTr="00E0617E">
        <w:trPr>
          <w:trHeight w:val="612"/>
        </w:trPr>
        <w:tc>
          <w:tcPr>
            <w:tcW w:w="501" w:type="pct"/>
            <w:shd w:val="clear" w:color="auto" w:fill="auto"/>
            <w:noWrap/>
            <w:vAlign w:val="center"/>
          </w:tcPr>
          <w:p w14:paraId="3E402D37"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Management Level</w:t>
            </w:r>
          </w:p>
        </w:tc>
        <w:tc>
          <w:tcPr>
            <w:tcW w:w="833" w:type="pct"/>
            <w:shd w:val="clear" w:color="auto" w:fill="auto"/>
            <w:noWrap/>
            <w:vAlign w:val="center"/>
          </w:tcPr>
          <w:p w14:paraId="3F137757"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Policy formulation and process control</w:t>
            </w:r>
          </w:p>
        </w:tc>
        <w:tc>
          <w:tcPr>
            <w:tcW w:w="942" w:type="pct"/>
            <w:shd w:val="clear" w:color="auto" w:fill="auto"/>
            <w:noWrap/>
            <w:vAlign w:val="center"/>
          </w:tcPr>
          <w:p w14:paraId="68D60EB5"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Standardization, high efficiency and collaboration</w:t>
            </w:r>
          </w:p>
        </w:tc>
        <w:tc>
          <w:tcPr>
            <w:tcW w:w="983" w:type="pct"/>
            <w:shd w:val="clear" w:color="auto" w:fill="auto"/>
            <w:noWrap/>
            <w:vAlign w:val="center"/>
          </w:tcPr>
          <w:p w14:paraId="76FF283E"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Implementation of dynamic management mechanism</w:t>
            </w:r>
          </w:p>
        </w:tc>
        <w:tc>
          <w:tcPr>
            <w:tcW w:w="989" w:type="pct"/>
            <w:shd w:val="clear" w:color="auto" w:fill="auto"/>
            <w:noWrap/>
            <w:vAlign w:val="center"/>
          </w:tcPr>
          <w:p w14:paraId="35B7C158"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Process management platform, KPI system</w:t>
            </w:r>
          </w:p>
        </w:tc>
        <w:tc>
          <w:tcPr>
            <w:tcW w:w="752" w:type="pct"/>
            <w:shd w:val="clear" w:color="auto" w:fill="auto"/>
            <w:noWrap/>
            <w:vAlign w:val="center"/>
          </w:tcPr>
          <w:p w14:paraId="65811952"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Process management performance</w:t>
            </w:r>
          </w:p>
        </w:tc>
      </w:tr>
      <w:tr w:rsidR="00CB2BA9" w14:paraId="073514C9" w14:textId="77777777" w:rsidTr="00E0617E">
        <w:trPr>
          <w:trHeight w:val="617"/>
        </w:trPr>
        <w:tc>
          <w:tcPr>
            <w:tcW w:w="501" w:type="pct"/>
            <w:shd w:val="clear" w:color="auto" w:fill="auto"/>
            <w:noWrap/>
            <w:vAlign w:val="center"/>
          </w:tcPr>
          <w:p w14:paraId="57D16415"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Execution Level</w:t>
            </w:r>
          </w:p>
        </w:tc>
        <w:tc>
          <w:tcPr>
            <w:tcW w:w="833" w:type="pct"/>
            <w:shd w:val="clear" w:color="auto" w:fill="auto"/>
            <w:noWrap/>
            <w:vAlign w:val="center"/>
          </w:tcPr>
          <w:p w14:paraId="16F95126"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Implementation and process optimization</w:t>
            </w:r>
          </w:p>
        </w:tc>
        <w:tc>
          <w:tcPr>
            <w:tcW w:w="942" w:type="pct"/>
            <w:shd w:val="clear" w:color="auto" w:fill="auto"/>
            <w:noWrap/>
            <w:vAlign w:val="center"/>
          </w:tcPr>
          <w:p w14:paraId="75AAD846"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Flexible implementation, continuous improvement</w:t>
            </w:r>
          </w:p>
        </w:tc>
        <w:tc>
          <w:tcPr>
            <w:tcW w:w="983" w:type="pct"/>
            <w:shd w:val="clear" w:color="auto" w:fill="auto"/>
            <w:noWrap/>
            <w:vAlign w:val="center"/>
          </w:tcPr>
          <w:p w14:paraId="3637DB7C"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Promotion of end-user self-management</w:t>
            </w:r>
          </w:p>
        </w:tc>
        <w:tc>
          <w:tcPr>
            <w:tcW w:w="989" w:type="pct"/>
            <w:shd w:val="clear" w:color="auto" w:fill="auto"/>
            <w:noWrap/>
            <w:vAlign w:val="center"/>
          </w:tcPr>
          <w:p w14:paraId="17EBE6D0"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Operational analysis tools, improvement mechanisms</w:t>
            </w:r>
          </w:p>
        </w:tc>
        <w:tc>
          <w:tcPr>
            <w:tcW w:w="752" w:type="pct"/>
            <w:shd w:val="clear" w:color="auto" w:fill="auto"/>
            <w:noWrap/>
            <w:vAlign w:val="center"/>
          </w:tcPr>
          <w:p w14:paraId="500266F8" w14:textId="77777777" w:rsidR="00CB2BA9" w:rsidRDefault="00773039" w:rsidP="00E0617E">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Evaluation of operational effectiveness</w:t>
            </w:r>
          </w:p>
        </w:tc>
      </w:tr>
    </w:tbl>
    <w:p w14:paraId="1A6B0A96" w14:textId="77777777" w:rsidR="00CB2BA9" w:rsidRDefault="00CB2BA9" w:rsidP="00773039">
      <w:pPr>
        <w:pStyle w:val="a6"/>
        <w:widowControl/>
        <w:snapToGrid w:val="0"/>
        <w:spacing w:line="360" w:lineRule="auto"/>
        <w:ind w:firstLine="709"/>
        <w:rPr>
          <w:rFonts w:ascii="Times New Roman" w:hAnsi="Times New Roman" w:cs="Times New Roman"/>
          <w:sz w:val="28"/>
          <w:szCs w:val="28"/>
        </w:rPr>
      </w:pPr>
    </w:p>
    <w:p w14:paraId="1781CC60"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Huawei's practice shows that the matrix management model has significant advantages in improving decision-making efficiency, promoting resource integration, stimulating innovation and reducing operating costs. This model not only ensures the standardization of management, but also realizes the flexibility of operation, providing a useful reference for asset management innovation of private enterprises.</w:t>
      </w:r>
    </w:p>
    <w:p w14:paraId="698A34F9"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anchor distT="0" distB="0" distL="114300" distR="114300" simplePos="0" relativeHeight="251660288" behindDoc="0" locked="0" layoutInCell="1" allowOverlap="1" wp14:anchorId="034B9FD5" wp14:editId="073F7018">
            <wp:simplePos x="0" y="0"/>
            <wp:positionH relativeFrom="column">
              <wp:posOffset>335280</wp:posOffset>
            </wp:positionH>
            <wp:positionV relativeFrom="paragraph">
              <wp:posOffset>3208655</wp:posOffset>
            </wp:positionV>
            <wp:extent cx="5768340" cy="2979420"/>
            <wp:effectExtent l="0" t="0" r="7620" b="7620"/>
            <wp:wrapTopAndBottom/>
            <wp:docPr id="9" name="图片 9" descr="1730592336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730592336712"/>
                    <pic:cNvPicPr>
                      <a:picLocks noChangeAspect="1"/>
                    </pic:cNvPicPr>
                  </pic:nvPicPr>
                  <pic:blipFill>
                    <a:blip r:embed="rId11"/>
                    <a:stretch>
                      <a:fillRect/>
                    </a:stretch>
                  </pic:blipFill>
                  <pic:spPr>
                    <a:xfrm>
                      <a:off x="0" y="0"/>
                      <a:ext cx="5768340" cy="2979420"/>
                    </a:xfrm>
                    <a:prstGeom prst="rect">
                      <a:avLst/>
                    </a:prstGeom>
                  </pic:spPr>
                </pic:pic>
              </a:graphicData>
            </a:graphic>
          </wp:anchor>
        </w:drawing>
      </w:r>
      <w:r>
        <w:rPr>
          <w:rFonts w:ascii="Times New Roman" w:hAnsi="Times New Roman" w:cs="Times New Roman"/>
          <w:sz w:val="28"/>
          <w:szCs w:val="28"/>
        </w:rPr>
        <w:t>Foreign-invested enterprises generally adopt a global asset management framework and incorporate China's asset management into a global unified framework. Taking General Electric (GE) China as an example, it has established a complete asset management system, as shown in Figure</w:t>
      </w:r>
      <w:r>
        <w:rPr>
          <w:rFonts w:ascii="Times New Roman" w:hAnsi="Times New Roman" w:cs="Times New Roman" w:hint="eastAsia"/>
          <w:sz w:val="28"/>
          <w:szCs w:val="28"/>
          <w:lang w:val="en-US"/>
        </w:rPr>
        <w:t>2.5</w:t>
      </w:r>
      <w:r>
        <w:rPr>
          <w:rFonts w:ascii="Times New Roman" w:hAnsi="Times New Roman" w:cs="Times New Roman"/>
          <w:sz w:val="28"/>
          <w:szCs w:val="28"/>
        </w:rPr>
        <w:t>. This model achieves a balance between global management consistency and local needs through the characteristics of global unified management standards, moderate degree of localization, highly standardized processes and perfect system support. GE's experience shows that a standardized global management model not only helps to improve management efficiency, but also provides an important reference for Chinese companies to integrate into the global value chain.</w:t>
      </w:r>
    </w:p>
    <w:p w14:paraId="761F13D6" w14:textId="77777777" w:rsidR="00CB2BA9" w:rsidRDefault="00773039" w:rsidP="00773039">
      <w:pPr>
        <w:pStyle w:val="a6"/>
        <w:widowControl/>
        <w:snapToGrid w:val="0"/>
        <w:spacing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rPr>
        <w:t>Fig</w:t>
      </w:r>
      <w:r>
        <w:rPr>
          <w:rFonts w:ascii="Times New Roman" w:hAnsi="Times New Roman" w:cs="Times New Roman" w:hint="eastAsia"/>
          <w:b/>
          <w:bCs/>
          <w:sz w:val="28"/>
          <w:szCs w:val="28"/>
          <w:lang w:val="en-US"/>
        </w:rPr>
        <w:t>2.</w:t>
      </w:r>
      <w:proofErr w:type="gramStart"/>
      <w:r>
        <w:rPr>
          <w:rFonts w:ascii="Times New Roman" w:hAnsi="Times New Roman" w:cs="Times New Roman" w:hint="eastAsia"/>
          <w:b/>
          <w:bCs/>
          <w:sz w:val="28"/>
          <w:szCs w:val="28"/>
          <w:lang w:val="en-US"/>
        </w:rPr>
        <w:t>5.</w:t>
      </w:r>
      <w:r>
        <w:rPr>
          <w:rFonts w:ascii="Times New Roman" w:hAnsi="Times New Roman" w:cs="Times New Roman"/>
          <w:b/>
          <w:bCs/>
          <w:sz w:val="28"/>
          <w:szCs w:val="28"/>
        </w:rPr>
        <w:t>Comparison</w:t>
      </w:r>
      <w:proofErr w:type="gramEnd"/>
      <w:r>
        <w:rPr>
          <w:rFonts w:ascii="Times New Roman" w:hAnsi="Times New Roman" w:cs="Times New Roman"/>
          <w:b/>
          <w:bCs/>
          <w:sz w:val="28"/>
          <w:szCs w:val="28"/>
        </w:rPr>
        <w:t xml:space="preserve"> of asset management organizational structures of different types of enterprises</w:t>
      </w:r>
      <w:r w:rsidR="00E0617E">
        <w:rPr>
          <w:rFonts w:ascii="Times New Roman" w:hAnsi="Times New Roman" w:cs="Times New Roman"/>
          <w:b/>
          <w:bCs/>
          <w:sz w:val="28"/>
          <w:szCs w:val="28"/>
          <w:lang w:val="uk-UA"/>
        </w:rPr>
        <w:t xml:space="preserve"> </w:t>
      </w:r>
      <w:r>
        <w:rPr>
          <w:rFonts w:ascii="Times New Roman" w:hAnsi="Times New Roman" w:cs="Times New Roman" w:hint="eastAsia"/>
          <w:b/>
          <w:bCs/>
          <w:sz w:val="28"/>
          <w:szCs w:val="28"/>
          <w:lang w:val="en-US"/>
        </w:rPr>
        <w:t>(S</w:t>
      </w:r>
      <w:proofErr w:type="spellStart"/>
      <w:r>
        <w:rPr>
          <w:rFonts w:ascii="Times New Roman" w:hAnsi="Times New Roman" w:cs="Times New Roman"/>
          <w:b/>
          <w:bCs/>
          <w:sz w:val="28"/>
          <w:szCs w:val="28"/>
        </w:rPr>
        <w:t>ource</w:t>
      </w:r>
      <w:proofErr w:type="spellEnd"/>
      <w:r>
        <w:rPr>
          <w:rFonts w:ascii="Times New Roman" w:hAnsi="Times New Roman" w:cs="Times New Roman"/>
          <w:b/>
          <w:bCs/>
          <w:sz w:val="28"/>
          <w:szCs w:val="28"/>
        </w:rPr>
        <w:t>: compiled by the author</w:t>
      </w:r>
      <w:r>
        <w:rPr>
          <w:rFonts w:ascii="Times New Roman" w:hAnsi="Times New Roman" w:cs="Times New Roman" w:hint="eastAsia"/>
          <w:b/>
          <w:bCs/>
          <w:sz w:val="28"/>
          <w:szCs w:val="28"/>
          <w:lang w:val="en-US"/>
        </w:rPr>
        <w:t>)[57]</w:t>
      </w:r>
    </w:p>
    <w:p w14:paraId="214901B7"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114300" distR="114300" wp14:anchorId="27BC07AA" wp14:editId="737EBF0A">
            <wp:extent cx="5798820" cy="2659380"/>
            <wp:effectExtent l="0" t="0" r="7620" b="7620"/>
            <wp:docPr id="8" name="图片 8" descr="da8e24898d666aabc9c984ab4b27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da8e24898d666aabc9c984ab4b27661"/>
                    <pic:cNvPicPr>
                      <a:picLocks noChangeAspect="1"/>
                    </pic:cNvPicPr>
                  </pic:nvPicPr>
                  <pic:blipFill>
                    <a:blip r:embed="rId12"/>
                    <a:stretch>
                      <a:fillRect/>
                    </a:stretch>
                  </pic:blipFill>
                  <pic:spPr>
                    <a:xfrm>
                      <a:off x="0" y="0"/>
                      <a:ext cx="5798820" cy="2659380"/>
                    </a:xfrm>
                    <a:prstGeom prst="rect">
                      <a:avLst/>
                    </a:prstGeom>
                  </pic:spPr>
                </pic:pic>
              </a:graphicData>
            </a:graphic>
          </wp:inline>
        </w:drawing>
      </w:r>
    </w:p>
    <w:p w14:paraId="08D37E75" w14:textId="77777777" w:rsidR="00CB2BA9" w:rsidRDefault="00773039" w:rsidP="00773039">
      <w:pPr>
        <w:pStyle w:val="a6"/>
        <w:widowControl/>
        <w:snapToGrid w:val="0"/>
        <w:spacing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rPr>
        <w:t>Fig2</w:t>
      </w:r>
      <w:r>
        <w:rPr>
          <w:rFonts w:ascii="Times New Roman" w:hAnsi="Times New Roman" w:cs="Times New Roman" w:hint="eastAsia"/>
          <w:b/>
          <w:bCs/>
          <w:sz w:val="28"/>
          <w:szCs w:val="28"/>
          <w:lang w:val="en-US"/>
        </w:rPr>
        <w:t>.6</w:t>
      </w:r>
      <w:r>
        <w:rPr>
          <w:rFonts w:ascii="Times New Roman" w:hAnsi="Times New Roman" w:cs="Times New Roman"/>
          <w:b/>
          <w:bCs/>
          <w:sz w:val="28"/>
          <w:szCs w:val="28"/>
        </w:rPr>
        <w:t xml:space="preserve"> </w:t>
      </w:r>
      <w:r>
        <w:rPr>
          <w:rFonts w:ascii="Times New Roman" w:hAnsi="Times New Roman" w:cs="Times New Roman" w:hint="eastAsia"/>
          <w:b/>
          <w:bCs/>
          <w:sz w:val="28"/>
          <w:szCs w:val="28"/>
          <w:lang w:val="en-US"/>
        </w:rPr>
        <w:t>.</w:t>
      </w:r>
      <w:r>
        <w:rPr>
          <w:rFonts w:ascii="Times New Roman" w:hAnsi="Times New Roman" w:cs="Times New Roman"/>
          <w:b/>
          <w:bCs/>
          <w:sz w:val="28"/>
          <w:szCs w:val="28"/>
        </w:rPr>
        <w:t>Huawei's asset management matrix organizational structure</w:t>
      </w:r>
      <w:r w:rsidR="00E0617E">
        <w:rPr>
          <w:rFonts w:ascii="Times New Roman" w:hAnsi="Times New Roman" w:cs="Times New Roman"/>
          <w:b/>
          <w:bCs/>
          <w:sz w:val="28"/>
          <w:szCs w:val="28"/>
          <w:lang w:val="uk-UA"/>
        </w:rPr>
        <w:t xml:space="preserve"> </w:t>
      </w:r>
      <w:r>
        <w:rPr>
          <w:rFonts w:ascii="Times New Roman" w:hAnsi="Times New Roman" w:cs="Times New Roman" w:hint="eastAsia"/>
          <w:b/>
          <w:bCs/>
          <w:sz w:val="28"/>
          <w:szCs w:val="28"/>
          <w:lang w:val="en-US"/>
        </w:rPr>
        <w:t>(S</w:t>
      </w:r>
      <w:proofErr w:type="spellStart"/>
      <w:r>
        <w:rPr>
          <w:rFonts w:ascii="Times New Roman" w:hAnsi="Times New Roman" w:cs="Times New Roman"/>
          <w:b/>
          <w:bCs/>
          <w:sz w:val="28"/>
          <w:szCs w:val="28"/>
        </w:rPr>
        <w:t>ource</w:t>
      </w:r>
      <w:proofErr w:type="spellEnd"/>
      <w:r>
        <w:rPr>
          <w:rFonts w:ascii="Times New Roman" w:hAnsi="Times New Roman" w:cs="Times New Roman"/>
          <w:b/>
          <w:bCs/>
          <w:sz w:val="28"/>
          <w:szCs w:val="28"/>
        </w:rPr>
        <w:t>: Huawei annual report</w:t>
      </w:r>
      <w:r>
        <w:rPr>
          <w:rFonts w:ascii="Times New Roman" w:hAnsi="Times New Roman" w:cs="Times New Roman" w:hint="eastAsia"/>
          <w:b/>
          <w:bCs/>
          <w:sz w:val="28"/>
          <w:szCs w:val="28"/>
          <w:lang w:val="en-US"/>
        </w:rPr>
        <w:t>)</w:t>
      </w:r>
    </w:p>
    <w:p w14:paraId="34A71217"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114300" distR="114300" wp14:anchorId="6073DFB9" wp14:editId="585AB2D1">
            <wp:extent cx="5935345" cy="3368040"/>
            <wp:effectExtent l="0" t="0" r="0" b="0"/>
            <wp:docPr id="10" name="图片 10" descr="ef2a0ac1a00498b72f5c9f6172d0d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ef2a0ac1a00498b72f5c9f6172d0d2d"/>
                    <pic:cNvPicPr>
                      <a:picLocks noChangeAspect="1"/>
                    </pic:cNvPicPr>
                  </pic:nvPicPr>
                  <pic:blipFill>
                    <a:blip r:embed="rId13"/>
                    <a:srcRect t="16367"/>
                    <a:stretch>
                      <a:fillRect/>
                    </a:stretch>
                  </pic:blipFill>
                  <pic:spPr>
                    <a:xfrm>
                      <a:off x="0" y="0"/>
                      <a:ext cx="5935345" cy="3368040"/>
                    </a:xfrm>
                    <a:prstGeom prst="rect">
                      <a:avLst/>
                    </a:prstGeom>
                  </pic:spPr>
                </pic:pic>
              </a:graphicData>
            </a:graphic>
          </wp:inline>
        </w:drawing>
      </w:r>
    </w:p>
    <w:p w14:paraId="086DD00E" w14:textId="77777777" w:rsidR="00CB2BA9" w:rsidRDefault="00773039" w:rsidP="00773039">
      <w:pPr>
        <w:pStyle w:val="a6"/>
        <w:widowControl/>
        <w:snapToGrid w:val="0"/>
        <w:spacing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rPr>
        <w:t>Fig</w:t>
      </w:r>
      <w:r>
        <w:rPr>
          <w:rFonts w:ascii="Times New Roman" w:hAnsi="Times New Roman" w:cs="Times New Roman" w:hint="eastAsia"/>
          <w:b/>
          <w:bCs/>
          <w:sz w:val="28"/>
          <w:szCs w:val="28"/>
          <w:lang w:val="en-US"/>
        </w:rPr>
        <w:t>2.7.</w:t>
      </w:r>
      <w:r>
        <w:rPr>
          <w:rFonts w:ascii="Times New Roman" w:hAnsi="Times New Roman" w:cs="Times New Roman"/>
          <w:b/>
          <w:bCs/>
          <w:sz w:val="28"/>
          <w:szCs w:val="28"/>
        </w:rPr>
        <w:t xml:space="preserve">GE China Asset Management Organizational </w:t>
      </w:r>
      <w:proofErr w:type="gramStart"/>
      <w:r>
        <w:rPr>
          <w:rFonts w:ascii="Times New Roman" w:hAnsi="Times New Roman" w:cs="Times New Roman"/>
          <w:b/>
          <w:bCs/>
          <w:sz w:val="28"/>
          <w:szCs w:val="28"/>
        </w:rPr>
        <w:t>Structure</w:t>
      </w:r>
      <w:r>
        <w:rPr>
          <w:rFonts w:ascii="Times New Roman" w:hAnsi="Times New Roman" w:cs="Times New Roman" w:hint="eastAsia"/>
          <w:b/>
          <w:bCs/>
          <w:sz w:val="28"/>
          <w:szCs w:val="28"/>
          <w:lang w:val="en-US"/>
        </w:rPr>
        <w:t>(</w:t>
      </w:r>
      <w:proofErr w:type="gramEnd"/>
      <w:r>
        <w:rPr>
          <w:rFonts w:ascii="Times New Roman" w:hAnsi="Times New Roman" w:cs="Times New Roman" w:hint="eastAsia"/>
          <w:b/>
          <w:bCs/>
          <w:sz w:val="28"/>
          <w:szCs w:val="28"/>
          <w:lang w:val="en-US"/>
        </w:rPr>
        <w:t>S</w:t>
      </w:r>
      <w:proofErr w:type="spellStart"/>
      <w:r>
        <w:rPr>
          <w:rFonts w:ascii="Times New Roman" w:hAnsi="Times New Roman" w:cs="Times New Roman"/>
          <w:b/>
          <w:bCs/>
          <w:sz w:val="28"/>
          <w:szCs w:val="28"/>
        </w:rPr>
        <w:t>ource</w:t>
      </w:r>
      <w:proofErr w:type="spellEnd"/>
      <w:r>
        <w:rPr>
          <w:rFonts w:ascii="Times New Roman" w:hAnsi="Times New Roman" w:cs="Times New Roman"/>
          <w:b/>
          <w:bCs/>
          <w:sz w:val="28"/>
          <w:szCs w:val="28"/>
        </w:rPr>
        <w:t>: GE China Annual Report</w:t>
      </w:r>
      <w:r>
        <w:rPr>
          <w:rFonts w:ascii="Times New Roman" w:hAnsi="Times New Roman" w:cs="Times New Roman" w:hint="eastAsia"/>
          <w:b/>
          <w:bCs/>
          <w:sz w:val="28"/>
          <w:szCs w:val="28"/>
          <w:lang w:val="en-US"/>
        </w:rPr>
        <w:t>)</w:t>
      </w:r>
    </w:p>
    <w:p w14:paraId="77D3587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Judging from GE China's practice, its global asset management framework has distinct characteristics. The first is the global unification of management standards. GE has replicated its mature asset management concepts and methods in the Chinese market, and ensured the consistency and efficiency of asset management worldwide through unified management standards, risk control systems and evaluation indicator </w:t>
      </w:r>
      <w:r>
        <w:rPr>
          <w:rFonts w:ascii="Times New Roman" w:hAnsi="Times New Roman" w:cs="Times New Roman"/>
          <w:sz w:val="28"/>
          <w:szCs w:val="28"/>
        </w:rPr>
        <w:lastRenderedPageBreak/>
        <w:t>systems. For example, GE adopts an asset lifecycle management method synchronized with the world in China, and has established a complete asset planning, procurement, use, maintenance and disposal process, which effectively improves the standardization and scientific nature of asset management.</w:t>
      </w:r>
    </w:p>
    <w:p w14:paraId="01F4B91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second is moderate localization adjustments. GE fully recognizes the particularity of the Chinese market and grants the Chinese management team a certain degree of autonomy while maintaining global unified standards. For example, in terms of asset allocation, it appropriately adjusts the asset structure and investment focus according to the characteristics of Chinese market demand and competition situation; in terms of operation management, it optimizes the management process in combination with local realities and improves operation efficiency; in terms of market response mechanism, it establishes a more flexible decision-making mechanism to enhance the ability to adapt to market changes.</w:t>
      </w:r>
    </w:p>
    <w:p w14:paraId="246DCA0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third is the perfection of system support. GE has achieved information sharing and collaborative operation of global asset management by establishing a unified information system platform. In its practice in China, it pays special attention to the application of digital tools, manages the entire life cycle of equipment assets through the industrial Internet platform, and realizes real-time monitoring, predictive maintenance and intelligent decision support of asset operations. This digital management model not only improves the efficiency of asset management, but also provides a useful reference for the digital transformation of Chinese enterprises.</w:t>
      </w:r>
    </w:p>
    <w:p w14:paraId="22EC2F2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By comparing and analyzing the organizational structure characteristics of these three types of companies, we can find some important trends. First, regardless of the type of enterprise, they are actively promoting the optimization and innovation of the organizational structure. State-owned enterprises are breaking through the limitations of the traditional bureaucracy and exploring a more market-oriented operating mechanism; private enterprises are focusing on standardization and systematization of management while maintaining flexibility; foreign-funded enterprises are paying more attention to localized innovation while adhering to global standards. These changes all point to a common goal: to establish a more efficient, flexible and adaptable asset </w:t>
      </w:r>
      <w:r>
        <w:rPr>
          <w:rFonts w:ascii="Times New Roman" w:hAnsi="Times New Roman" w:cs="Times New Roman"/>
          <w:sz w:val="28"/>
          <w:szCs w:val="28"/>
        </w:rPr>
        <w:lastRenderedPageBreak/>
        <w:t>management organizational system.</w:t>
      </w:r>
    </w:p>
    <w:p w14:paraId="59D90BD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Secondly, digital transformation is reshaping traditional organizational structures. Through the application of information technology and digital platforms, enterprises have broken through the limitations of physical space and organizational levels and achieved efficient resource allocation and collaborative operation. Especially in cross-regional and cross-departmental asset management, the application of digital tools has significantly improved management efficiency and decision-making quality. This transformation has not only changed the traditional way of working, but also promoted innovation in organizational culture and management concepts.</w:t>
      </w:r>
    </w:p>
    <w:p w14:paraId="76A8CEF6"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Finally, the coordinated promotion of organizational change and business innovation has become a new trend. Enterprises are increasingly focusing on combining the optimization of organizational structure with the innovation of business models, supporting business innovation through the improvement of organizational capabilities, and feeding back organizational development through business innovation. This positive interaction not only enhances the competitiveness of enterprises, but also provides impetus for the continuous optimization of asset management organizational structure. For example, Huawei supports the implementation of technology innovation strategy through a matrix organizational structure, and the success of technological innovation promotes the improvement of organizational management level.</w:t>
      </w:r>
    </w:p>
    <w:p w14:paraId="45189D9E"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These development trends indicate that the asset management organizational structure of Chinese companies is undergoing profound changes. Looking to the future, companies need to actively learn from the excellent experience of different models while maintaining their own characteristics, and build an asset management organizational system that is both in line with industry characteristics and has competitive advantages. At the same time, we must make full use of the opportunities brought by digital technology, promote the continuous optimization and innovation of the organizational structure, and provide organizational guarantees for the high-quality development of enterprises.</w:t>
      </w:r>
    </w:p>
    <w:p w14:paraId="5C637FC0" w14:textId="77777777" w:rsidR="00CB2BA9" w:rsidRDefault="00CB2BA9" w:rsidP="00773039">
      <w:pPr>
        <w:snapToGrid w:val="0"/>
        <w:spacing w:line="360" w:lineRule="auto"/>
        <w:ind w:firstLine="709"/>
        <w:rPr>
          <w:rFonts w:ascii="Times New Roman" w:hAnsi="Times New Roman" w:cs="Times New Roman"/>
          <w:sz w:val="28"/>
          <w:szCs w:val="28"/>
          <w:lang w:val="uk-UA"/>
        </w:rPr>
      </w:pPr>
    </w:p>
    <w:p w14:paraId="5F5BD69B" w14:textId="77777777" w:rsidR="00633D08" w:rsidRPr="00633D08" w:rsidRDefault="00633D08" w:rsidP="00773039">
      <w:pPr>
        <w:snapToGrid w:val="0"/>
        <w:spacing w:line="360" w:lineRule="auto"/>
        <w:ind w:firstLine="709"/>
        <w:rPr>
          <w:rFonts w:ascii="Times New Roman" w:hAnsi="Times New Roman" w:cs="Times New Roman"/>
          <w:sz w:val="28"/>
          <w:szCs w:val="28"/>
          <w:lang w:val="uk-UA"/>
        </w:rPr>
      </w:pPr>
    </w:p>
    <w:p w14:paraId="7028E248" w14:textId="77777777" w:rsidR="00CB2BA9" w:rsidRDefault="00773039" w:rsidP="00773039">
      <w:pPr>
        <w:snapToGrid w:val="0"/>
        <w:spacing w:line="360" w:lineRule="auto"/>
        <w:ind w:firstLine="709"/>
        <w:outlineLvl w:val="1"/>
        <w:rPr>
          <w:rFonts w:ascii="Times New Roman" w:hAnsi="Times New Roman" w:cs="Times New Roman"/>
          <w:b/>
          <w:bCs/>
          <w:sz w:val="28"/>
          <w:szCs w:val="36"/>
        </w:rPr>
      </w:pPr>
      <w:bookmarkStart w:id="12" w:name="_Toc20192"/>
      <w:r>
        <w:rPr>
          <w:rFonts w:ascii="Times New Roman" w:hAnsi="Times New Roman" w:cs="Times New Roman"/>
          <w:b/>
          <w:bCs/>
          <w:sz w:val="28"/>
          <w:szCs w:val="36"/>
        </w:rPr>
        <w:lastRenderedPageBreak/>
        <w:t>2.3. Comparison of asset management practices between Chinese and international companies</w:t>
      </w:r>
      <w:bookmarkEnd w:id="12"/>
    </w:p>
    <w:p w14:paraId="6B7DD5D2" w14:textId="77777777" w:rsidR="00CB2BA9" w:rsidRDefault="00CB2BA9" w:rsidP="00773039">
      <w:pPr>
        <w:spacing w:line="360" w:lineRule="auto"/>
        <w:ind w:firstLine="709"/>
      </w:pPr>
    </w:p>
    <w:p w14:paraId="5580C842"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the process of globalization continues to deepen, Chinese companies are becoming more active on the international stage, and the scale of overseas assets continues to rise. At present, there is still a certain gap between Chinese and foreign companies in terms of asset management quality, efficiency, and digitalization level.</w:t>
      </w:r>
    </w:p>
    <w:p w14:paraId="488F6644" w14:textId="77777777" w:rsidR="00CB2BA9" w:rsidRDefault="00773039" w:rsidP="00773039">
      <w:pPr>
        <w:widowControl/>
        <w:snapToGrid w:val="0"/>
        <w:spacing w:line="360" w:lineRule="auto"/>
        <w:ind w:left="720" w:firstLine="709"/>
        <w:rPr>
          <w:rFonts w:ascii="Times New Roman" w:hAnsi="Times New Roman" w:cs="Times New Roman"/>
          <w:sz w:val="28"/>
          <w:szCs w:val="28"/>
        </w:rPr>
      </w:pPr>
      <w:r>
        <w:rPr>
          <w:rFonts w:ascii="Times New Roman" w:hAnsi="Times New Roman" w:cs="Times New Roman"/>
          <w:sz w:val="28"/>
          <w:szCs w:val="28"/>
          <w:lang w:val="en-US"/>
        </w:rPr>
        <w:t xml:space="preserve">1. </w:t>
      </w:r>
      <w:r>
        <w:rPr>
          <w:rFonts w:ascii="Times New Roman" w:hAnsi="Times New Roman" w:cs="Times New Roman"/>
          <w:sz w:val="28"/>
          <w:szCs w:val="28"/>
        </w:rPr>
        <w:t>Comparison of key indicators</w:t>
      </w:r>
    </w:p>
    <w:p w14:paraId="405313D2"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According to Wind database statistics, the total assets of Chinese enterprises (excluding financial enterprises) in 2023 </w:t>
      </w:r>
      <w:r>
        <w:rPr>
          <w:rFonts w:ascii="Times New Roman" w:hAnsi="Times New Roman" w:cs="Times New Roman"/>
          <w:sz w:val="28"/>
          <w:szCs w:val="28"/>
          <w:lang w:val="en-US"/>
        </w:rPr>
        <w:t xml:space="preserve">were </w:t>
      </w:r>
      <w:r>
        <w:rPr>
          <w:rFonts w:ascii="Times New Roman" w:hAnsi="Times New Roman" w:cs="Times New Roman"/>
          <w:sz w:val="28"/>
          <w:szCs w:val="28"/>
        </w:rPr>
        <w:t>approximately 31.5 trillion yuan, a year-on-year increase of 10.8%. By economic type, state-owned holding enterprises accounted for the highest proportion of total assets, reaching 53.2%; private enterprises and Foreign-invested enterprises and Hong Kong, Macao and Taiwan-invested enterprises accounted for 24.1% and 16.3% of total assets respectively.</w:t>
      </w:r>
    </w:p>
    <w:p w14:paraId="4E2C4651"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Asset quality needs to be improved</w:t>
      </w:r>
    </w:p>
    <w:p w14:paraId="139261E7" w14:textId="77777777" w:rsidR="00CB2BA9" w:rsidRDefault="00773039" w:rsidP="00773039">
      <w:pPr>
        <w:pStyle w:val="a6"/>
        <w:widowControl/>
        <w:snapToGrid w:val="0"/>
        <w:spacing w:line="360" w:lineRule="auto"/>
        <w:ind w:firstLine="709"/>
        <w:jc w:val="right"/>
        <w:rPr>
          <w:rFonts w:ascii="Times New Roman" w:hAnsi="Times New Roman" w:cs="Times New Roman"/>
          <w:b/>
          <w:bCs/>
          <w:sz w:val="28"/>
          <w:szCs w:val="28"/>
          <w:lang w:val="en-US"/>
        </w:rPr>
      </w:pPr>
      <w:r>
        <w:rPr>
          <w:rFonts w:ascii="Times New Roman" w:hAnsi="Times New Roman" w:cs="Times New Roman"/>
          <w:b/>
          <w:bCs/>
          <w:sz w:val="28"/>
          <w:szCs w:val="28"/>
        </w:rPr>
        <w:t>Table</w:t>
      </w:r>
      <w:r>
        <w:rPr>
          <w:rFonts w:ascii="Times New Roman" w:hAnsi="Times New Roman" w:cs="Times New Roman" w:hint="eastAsia"/>
          <w:b/>
          <w:bCs/>
          <w:sz w:val="28"/>
          <w:szCs w:val="28"/>
          <w:lang w:val="en-US"/>
        </w:rPr>
        <w:t>2.7</w:t>
      </w:r>
    </w:p>
    <w:p w14:paraId="71C2918A" w14:textId="77777777" w:rsidR="00CB2BA9" w:rsidRDefault="00773039" w:rsidP="00773039">
      <w:pPr>
        <w:pStyle w:val="a6"/>
        <w:widowControl/>
        <w:snapToGrid w:val="0"/>
        <w:spacing w:line="360" w:lineRule="auto"/>
        <w:ind w:firstLine="709"/>
        <w:jc w:val="right"/>
        <w:rPr>
          <w:rFonts w:ascii="Times New Roman" w:hAnsi="Times New Roman" w:cs="Times New Roman"/>
          <w:b/>
          <w:bCs/>
          <w:sz w:val="28"/>
          <w:szCs w:val="28"/>
          <w:lang w:val="en-US"/>
        </w:rPr>
      </w:pPr>
      <w:r>
        <w:rPr>
          <w:rFonts w:ascii="Times New Roman" w:hAnsi="Times New Roman" w:cs="Times New Roman"/>
          <w:b/>
          <w:bCs/>
          <w:sz w:val="28"/>
          <w:szCs w:val="28"/>
        </w:rPr>
        <w:t xml:space="preserve">Comparison of asset operation efficiency between China’s industrial enterprises above designated size and international benchmark enterprises </w:t>
      </w:r>
      <w:proofErr w:type="gramStart"/>
      <w:r>
        <w:rPr>
          <w:rFonts w:ascii="Times New Roman" w:hAnsi="Times New Roman" w:cs="Times New Roman"/>
          <w:b/>
          <w:bCs/>
          <w:sz w:val="28"/>
          <w:szCs w:val="28"/>
        </w:rPr>
        <w:t xml:space="preserve">( </w:t>
      </w:r>
      <w:r>
        <w:rPr>
          <w:rFonts w:ascii="Times New Roman" w:hAnsi="Times New Roman" w:cs="Times New Roman"/>
          <w:b/>
          <w:bCs/>
          <w:sz w:val="28"/>
          <w:szCs w:val="28"/>
          <w:lang w:val="en-US"/>
        </w:rPr>
        <w:t>2022</w:t>
      </w:r>
      <w:proofErr w:type="gramEnd"/>
      <w:r>
        <w:rPr>
          <w:rFonts w:ascii="Times New Roman" w:hAnsi="Times New Roman" w:cs="Times New Roman"/>
          <w:b/>
          <w:bCs/>
          <w:sz w:val="28"/>
          <w:szCs w:val="28"/>
          <w:lang w:val="en-US"/>
        </w:rPr>
        <w:t xml:space="preserve"> </w:t>
      </w:r>
      <w:r>
        <w:rPr>
          <w:rFonts w:ascii="Times New Roman" w:hAnsi="Times New Roman" w:cs="Times New Roman"/>
          <w:b/>
          <w:bCs/>
          <w:sz w:val="28"/>
          <w:szCs w:val="28"/>
        </w:rPr>
        <w:t>)</w:t>
      </w:r>
      <w:r>
        <w:rPr>
          <w:rFonts w:ascii="Times New Roman" w:hAnsi="Times New Roman" w:cs="Times New Roman" w:hint="eastAsia"/>
          <w:b/>
          <w:bCs/>
          <w:sz w:val="28"/>
          <w:szCs w:val="28"/>
          <w:lang w:val="en-US"/>
        </w:rPr>
        <w:t xml:space="preserve"> [58]</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6"/>
        <w:gridCol w:w="2097"/>
        <w:gridCol w:w="1665"/>
        <w:gridCol w:w="1765"/>
        <w:gridCol w:w="1752"/>
      </w:tblGrid>
      <w:tr w:rsidR="00CB2BA9" w14:paraId="0365869A" w14:textId="77777777">
        <w:trPr>
          <w:trHeight w:val="309"/>
        </w:trPr>
        <w:tc>
          <w:tcPr>
            <w:tcW w:w="1292" w:type="pct"/>
            <w:shd w:val="clear" w:color="auto" w:fill="auto"/>
            <w:vAlign w:val="center"/>
          </w:tcPr>
          <w:p w14:paraId="505644EE" w14:textId="77777777" w:rsidR="00CB2BA9" w:rsidRDefault="00773039" w:rsidP="00773039">
            <w:pPr>
              <w:widowControl/>
              <w:snapToGrid w:val="0"/>
              <w:ind w:firstLine="709"/>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Indicator</w:t>
            </w:r>
          </w:p>
        </w:tc>
        <w:tc>
          <w:tcPr>
            <w:tcW w:w="1162" w:type="pct"/>
            <w:shd w:val="clear" w:color="auto" w:fill="auto"/>
            <w:vAlign w:val="center"/>
          </w:tcPr>
          <w:p w14:paraId="189F4A96" w14:textId="77777777" w:rsidR="00CB2BA9" w:rsidRDefault="00773039" w:rsidP="00773039">
            <w:pPr>
              <w:widowControl/>
              <w:snapToGrid w:val="0"/>
              <w:spacing w:line="360" w:lineRule="auto"/>
              <w:ind w:firstLine="709"/>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Chinese Enterprises</w:t>
            </w:r>
          </w:p>
        </w:tc>
        <w:tc>
          <w:tcPr>
            <w:tcW w:w="797" w:type="pct"/>
            <w:shd w:val="clear" w:color="auto" w:fill="auto"/>
            <w:vAlign w:val="center"/>
          </w:tcPr>
          <w:p w14:paraId="31FD1417" w14:textId="77777777" w:rsidR="00CB2BA9" w:rsidRDefault="00773039" w:rsidP="00773039">
            <w:pPr>
              <w:widowControl/>
              <w:snapToGrid w:val="0"/>
              <w:spacing w:line="360" w:lineRule="auto"/>
              <w:ind w:firstLine="709"/>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GE</w:t>
            </w:r>
          </w:p>
        </w:tc>
        <w:tc>
          <w:tcPr>
            <w:tcW w:w="878" w:type="pct"/>
            <w:shd w:val="clear" w:color="auto" w:fill="auto"/>
            <w:vAlign w:val="center"/>
          </w:tcPr>
          <w:p w14:paraId="54F887A7" w14:textId="77777777" w:rsidR="00CB2BA9" w:rsidRDefault="00773039" w:rsidP="00773039">
            <w:pPr>
              <w:widowControl/>
              <w:snapToGrid w:val="0"/>
              <w:spacing w:line="360" w:lineRule="auto"/>
              <w:ind w:firstLine="709"/>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Siemens</w:t>
            </w:r>
          </w:p>
        </w:tc>
        <w:tc>
          <w:tcPr>
            <w:tcW w:w="868" w:type="pct"/>
            <w:shd w:val="clear" w:color="auto" w:fill="auto"/>
            <w:vAlign w:val="center"/>
          </w:tcPr>
          <w:p w14:paraId="5D78EE94" w14:textId="77777777" w:rsidR="00CB2BA9" w:rsidRDefault="00773039" w:rsidP="00773039">
            <w:pPr>
              <w:widowControl/>
              <w:snapToGrid w:val="0"/>
              <w:spacing w:line="360" w:lineRule="auto"/>
              <w:ind w:firstLine="709"/>
              <w:textAlignment w:val="center"/>
              <w:rPr>
                <w:rFonts w:ascii="Times New Roman" w:eastAsia="SimSun" w:hAnsi="Times New Roman" w:cs="Times New Roman"/>
                <w:b/>
                <w:bCs/>
                <w:color w:val="000000"/>
                <w:sz w:val="24"/>
              </w:rPr>
            </w:pPr>
            <w:r>
              <w:rPr>
                <w:rFonts w:ascii="Times New Roman" w:eastAsia="SimSun" w:hAnsi="Times New Roman" w:cs="Times New Roman"/>
                <w:b/>
                <w:bCs/>
                <w:color w:val="000000"/>
                <w:kern w:val="0"/>
                <w:sz w:val="24"/>
                <w:lang w:val="en-US" w:bidi="ar"/>
              </w:rPr>
              <w:t>General Motors</w:t>
            </w:r>
          </w:p>
        </w:tc>
      </w:tr>
      <w:tr w:rsidR="00CB2BA9" w14:paraId="6E0B4EEA" w14:textId="77777777">
        <w:trPr>
          <w:trHeight w:val="410"/>
        </w:trPr>
        <w:tc>
          <w:tcPr>
            <w:tcW w:w="1292" w:type="pct"/>
            <w:shd w:val="clear" w:color="auto" w:fill="auto"/>
            <w:vAlign w:val="center"/>
          </w:tcPr>
          <w:p w14:paraId="68E96576" w14:textId="77777777" w:rsidR="00CB2BA9" w:rsidRDefault="00773039" w:rsidP="00773039">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Debt-to-Asset Ratio (%)</w:t>
            </w:r>
          </w:p>
        </w:tc>
        <w:tc>
          <w:tcPr>
            <w:tcW w:w="1162" w:type="pct"/>
            <w:shd w:val="clear" w:color="auto" w:fill="auto"/>
            <w:vAlign w:val="center"/>
          </w:tcPr>
          <w:p w14:paraId="5CE63D74"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56.50%</w:t>
            </w:r>
          </w:p>
        </w:tc>
        <w:tc>
          <w:tcPr>
            <w:tcW w:w="797" w:type="pct"/>
            <w:shd w:val="clear" w:color="auto" w:fill="auto"/>
            <w:vAlign w:val="center"/>
          </w:tcPr>
          <w:p w14:paraId="07D05FF7"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45.20%</w:t>
            </w:r>
          </w:p>
        </w:tc>
        <w:tc>
          <w:tcPr>
            <w:tcW w:w="878" w:type="pct"/>
            <w:shd w:val="clear" w:color="auto" w:fill="auto"/>
            <w:vAlign w:val="center"/>
          </w:tcPr>
          <w:p w14:paraId="5FFE2B85"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45.80%</w:t>
            </w:r>
          </w:p>
        </w:tc>
        <w:tc>
          <w:tcPr>
            <w:tcW w:w="868" w:type="pct"/>
            <w:shd w:val="clear" w:color="auto" w:fill="auto"/>
            <w:vAlign w:val="center"/>
          </w:tcPr>
          <w:p w14:paraId="34D86E46"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48.30%</w:t>
            </w:r>
          </w:p>
        </w:tc>
      </w:tr>
      <w:tr w:rsidR="00CB2BA9" w14:paraId="4E572762" w14:textId="77777777">
        <w:trPr>
          <w:trHeight w:val="512"/>
        </w:trPr>
        <w:tc>
          <w:tcPr>
            <w:tcW w:w="1292" w:type="pct"/>
            <w:shd w:val="clear" w:color="auto" w:fill="auto"/>
            <w:vAlign w:val="center"/>
          </w:tcPr>
          <w:p w14:paraId="42DF5EE5" w14:textId="77777777" w:rsidR="00CB2BA9" w:rsidRDefault="00773039" w:rsidP="00773039">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Total Asset Turnover (times/year)</w:t>
            </w:r>
          </w:p>
        </w:tc>
        <w:tc>
          <w:tcPr>
            <w:tcW w:w="1162" w:type="pct"/>
            <w:shd w:val="clear" w:color="auto" w:fill="auto"/>
            <w:vAlign w:val="center"/>
          </w:tcPr>
          <w:p w14:paraId="0E4842A6"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0.91</w:t>
            </w:r>
          </w:p>
        </w:tc>
        <w:tc>
          <w:tcPr>
            <w:tcW w:w="797" w:type="pct"/>
            <w:shd w:val="clear" w:color="auto" w:fill="auto"/>
            <w:vAlign w:val="center"/>
          </w:tcPr>
          <w:p w14:paraId="05318A6A"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1.38</w:t>
            </w:r>
          </w:p>
        </w:tc>
        <w:tc>
          <w:tcPr>
            <w:tcW w:w="878" w:type="pct"/>
            <w:shd w:val="clear" w:color="auto" w:fill="auto"/>
            <w:vAlign w:val="center"/>
          </w:tcPr>
          <w:p w14:paraId="5897A926"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1.25</w:t>
            </w:r>
          </w:p>
        </w:tc>
        <w:tc>
          <w:tcPr>
            <w:tcW w:w="868" w:type="pct"/>
            <w:shd w:val="clear" w:color="auto" w:fill="auto"/>
            <w:vAlign w:val="center"/>
          </w:tcPr>
          <w:p w14:paraId="4D40E9D3"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1.42</w:t>
            </w:r>
          </w:p>
        </w:tc>
      </w:tr>
      <w:tr w:rsidR="00CB2BA9" w14:paraId="21D0111A" w14:textId="77777777">
        <w:trPr>
          <w:trHeight w:val="613"/>
        </w:trPr>
        <w:tc>
          <w:tcPr>
            <w:tcW w:w="1292" w:type="pct"/>
            <w:shd w:val="clear" w:color="auto" w:fill="auto"/>
            <w:vAlign w:val="center"/>
          </w:tcPr>
          <w:p w14:paraId="008EAB61" w14:textId="77777777" w:rsidR="00CB2BA9" w:rsidRDefault="00773039" w:rsidP="00773039">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Accounts Receivable Turnover (times/year)</w:t>
            </w:r>
          </w:p>
        </w:tc>
        <w:tc>
          <w:tcPr>
            <w:tcW w:w="1162" w:type="pct"/>
            <w:shd w:val="clear" w:color="auto" w:fill="auto"/>
            <w:vAlign w:val="center"/>
          </w:tcPr>
          <w:p w14:paraId="7C51545E"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5.8</w:t>
            </w:r>
          </w:p>
        </w:tc>
        <w:tc>
          <w:tcPr>
            <w:tcW w:w="797" w:type="pct"/>
            <w:shd w:val="clear" w:color="auto" w:fill="auto"/>
            <w:vAlign w:val="center"/>
          </w:tcPr>
          <w:p w14:paraId="571E99D4"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7.2</w:t>
            </w:r>
          </w:p>
        </w:tc>
        <w:tc>
          <w:tcPr>
            <w:tcW w:w="878" w:type="pct"/>
            <w:shd w:val="clear" w:color="auto" w:fill="auto"/>
            <w:vAlign w:val="center"/>
          </w:tcPr>
          <w:p w14:paraId="4C002CD0"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6.8</w:t>
            </w:r>
          </w:p>
        </w:tc>
        <w:tc>
          <w:tcPr>
            <w:tcW w:w="868" w:type="pct"/>
            <w:shd w:val="clear" w:color="auto" w:fill="auto"/>
            <w:vAlign w:val="center"/>
          </w:tcPr>
          <w:p w14:paraId="3DC3F663"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7.5</w:t>
            </w:r>
          </w:p>
        </w:tc>
      </w:tr>
      <w:tr w:rsidR="00CB2BA9" w14:paraId="7FF2C828" w14:textId="77777777">
        <w:trPr>
          <w:trHeight w:val="515"/>
        </w:trPr>
        <w:tc>
          <w:tcPr>
            <w:tcW w:w="1292" w:type="pct"/>
            <w:shd w:val="clear" w:color="auto" w:fill="auto"/>
            <w:vAlign w:val="center"/>
          </w:tcPr>
          <w:p w14:paraId="462CE3D1" w14:textId="77777777" w:rsidR="00CB2BA9" w:rsidRDefault="00773039" w:rsidP="00773039">
            <w:pPr>
              <w:widowControl/>
              <w:snapToGrid w:val="0"/>
              <w:jc w:val="lef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Inventory Turnover (times/year)</w:t>
            </w:r>
          </w:p>
        </w:tc>
        <w:tc>
          <w:tcPr>
            <w:tcW w:w="1162" w:type="pct"/>
            <w:shd w:val="clear" w:color="auto" w:fill="auto"/>
            <w:vAlign w:val="center"/>
          </w:tcPr>
          <w:p w14:paraId="432CACCE"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4.2</w:t>
            </w:r>
          </w:p>
        </w:tc>
        <w:tc>
          <w:tcPr>
            <w:tcW w:w="797" w:type="pct"/>
            <w:shd w:val="clear" w:color="auto" w:fill="auto"/>
            <w:vAlign w:val="center"/>
          </w:tcPr>
          <w:p w14:paraId="23EE398C"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5.8</w:t>
            </w:r>
          </w:p>
        </w:tc>
        <w:tc>
          <w:tcPr>
            <w:tcW w:w="878" w:type="pct"/>
            <w:shd w:val="clear" w:color="auto" w:fill="auto"/>
            <w:vAlign w:val="center"/>
          </w:tcPr>
          <w:p w14:paraId="05227A1E"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5.5</w:t>
            </w:r>
          </w:p>
        </w:tc>
        <w:tc>
          <w:tcPr>
            <w:tcW w:w="868" w:type="pct"/>
            <w:shd w:val="clear" w:color="auto" w:fill="auto"/>
            <w:vAlign w:val="center"/>
          </w:tcPr>
          <w:p w14:paraId="16B3849A" w14:textId="77777777" w:rsidR="00CB2BA9" w:rsidRDefault="00773039" w:rsidP="00773039">
            <w:pPr>
              <w:widowControl/>
              <w:snapToGrid w:val="0"/>
              <w:spacing w:line="360" w:lineRule="auto"/>
              <w:ind w:firstLine="709"/>
              <w:jc w:val="right"/>
              <w:textAlignment w:val="center"/>
              <w:rPr>
                <w:rFonts w:ascii="Times New Roman" w:eastAsia="SimSun" w:hAnsi="Times New Roman" w:cs="Times New Roman"/>
                <w:color w:val="000000"/>
                <w:sz w:val="24"/>
              </w:rPr>
            </w:pPr>
            <w:r>
              <w:rPr>
                <w:rFonts w:ascii="Times New Roman" w:eastAsia="SimSun" w:hAnsi="Times New Roman" w:cs="Times New Roman"/>
                <w:color w:val="000000"/>
                <w:kern w:val="0"/>
                <w:sz w:val="24"/>
                <w:lang w:val="en-US" w:bidi="ar"/>
              </w:rPr>
              <w:t>6.2</w:t>
            </w:r>
          </w:p>
        </w:tc>
      </w:tr>
    </w:tbl>
    <w:p w14:paraId="1FF599EC"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There is still a gap between the asset quality management of Chinese enterprises and that of international benchmark enterprises. Take General Electric (GE) as an example. It has significantly improved asset liquidity and efficiency by selling non-core businesses and improving working capital. Its total asset turnover rate reached </w:t>
      </w:r>
      <w:r>
        <w:rPr>
          <w:rFonts w:ascii="Times New Roman" w:hAnsi="Times New Roman" w:cs="Times New Roman"/>
          <w:sz w:val="28"/>
          <w:szCs w:val="28"/>
        </w:rPr>
        <w:lastRenderedPageBreak/>
        <w:t xml:space="preserve">1.38 times per year in fiscal year </w:t>
      </w:r>
      <w:proofErr w:type="gramStart"/>
      <w:r>
        <w:rPr>
          <w:rFonts w:ascii="Times New Roman" w:hAnsi="Times New Roman" w:cs="Times New Roman"/>
          <w:sz w:val="28"/>
          <w:szCs w:val="28"/>
          <w:lang w:val="en-US"/>
        </w:rPr>
        <w:t xml:space="preserve">2022 </w:t>
      </w:r>
      <w:r>
        <w:rPr>
          <w:rFonts w:ascii="Times New Roman" w:hAnsi="Times New Roman" w:cs="Times New Roman"/>
          <w:sz w:val="28"/>
          <w:szCs w:val="28"/>
        </w:rPr>
        <w:t>,</w:t>
      </w:r>
      <w:proofErr w:type="gramEnd"/>
      <w:r>
        <w:rPr>
          <w:rFonts w:ascii="Times New Roman" w:hAnsi="Times New Roman" w:cs="Times New Roman"/>
          <w:sz w:val="28"/>
          <w:szCs w:val="28"/>
        </w:rPr>
        <w:t xml:space="preserve"> which is much higher than the average level of Chinese enterprises. Siemens has controlled its debt-to-asset ratio at a healthy level of around 45% by establishing a global unified asset management standard.</w:t>
      </w:r>
    </w:p>
    <w:p w14:paraId="2C1EC216"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Comparison of asset allocation efficiency</w:t>
      </w:r>
    </w:p>
    <w:p w14:paraId="3308872E" w14:textId="77777777" w:rsidR="002D0281" w:rsidRDefault="002D0281" w:rsidP="00773039">
      <w:pPr>
        <w:pStyle w:val="a6"/>
        <w:widowControl/>
        <w:snapToGrid w:val="0"/>
        <w:spacing w:line="360" w:lineRule="auto"/>
        <w:ind w:firstLine="709"/>
        <w:jc w:val="right"/>
        <w:rPr>
          <w:rFonts w:ascii="Times New Roman" w:hAnsi="Times New Roman" w:cs="Times New Roman"/>
          <w:b/>
          <w:bCs/>
          <w:sz w:val="28"/>
          <w:szCs w:val="28"/>
          <w:lang w:val="uk-UA"/>
        </w:rPr>
      </w:pPr>
    </w:p>
    <w:p w14:paraId="1E153CDA" w14:textId="77777777" w:rsidR="00CB2BA9" w:rsidRDefault="00773039" w:rsidP="00773039">
      <w:pPr>
        <w:pStyle w:val="a6"/>
        <w:widowControl/>
        <w:snapToGrid w:val="0"/>
        <w:spacing w:line="360" w:lineRule="auto"/>
        <w:ind w:firstLine="709"/>
        <w:jc w:val="right"/>
        <w:rPr>
          <w:rFonts w:ascii="Times New Roman" w:hAnsi="Times New Roman" w:cs="Times New Roman"/>
          <w:b/>
          <w:bCs/>
          <w:sz w:val="28"/>
          <w:szCs w:val="28"/>
          <w:lang w:val="en-US"/>
        </w:rPr>
      </w:pPr>
      <w:r>
        <w:rPr>
          <w:rFonts w:ascii="Times New Roman" w:hAnsi="Times New Roman" w:cs="Times New Roman"/>
          <w:b/>
          <w:bCs/>
          <w:sz w:val="28"/>
          <w:szCs w:val="28"/>
        </w:rPr>
        <w:t>Table</w:t>
      </w:r>
      <w:r>
        <w:rPr>
          <w:rFonts w:ascii="Times New Roman" w:hAnsi="Times New Roman" w:cs="Times New Roman" w:hint="eastAsia"/>
          <w:b/>
          <w:bCs/>
          <w:sz w:val="28"/>
          <w:szCs w:val="28"/>
          <w:lang w:val="en-US"/>
        </w:rPr>
        <w:t>2.8</w:t>
      </w:r>
    </w:p>
    <w:p w14:paraId="2FCC2B1F" w14:textId="77777777" w:rsidR="00CB2BA9" w:rsidRDefault="00773039" w:rsidP="00773039">
      <w:pPr>
        <w:pStyle w:val="a6"/>
        <w:widowControl/>
        <w:snapToGrid w:val="0"/>
        <w:spacing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rPr>
        <w:t xml:space="preserve">Comparison of capital return and operating efficiency indicators of Chinese and foreign companies </w:t>
      </w:r>
      <w:proofErr w:type="gramStart"/>
      <w:r>
        <w:rPr>
          <w:rFonts w:ascii="Times New Roman" w:hAnsi="Times New Roman" w:cs="Times New Roman"/>
          <w:b/>
          <w:bCs/>
          <w:sz w:val="28"/>
          <w:szCs w:val="28"/>
        </w:rPr>
        <w:t xml:space="preserve">( </w:t>
      </w:r>
      <w:r>
        <w:rPr>
          <w:rFonts w:ascii="Times New Roman" w:hAnsi="Times New Roman" w:cs="Times New Roman"/>
          <w:b/>
          <w:bCs/>
          <w:sz w:val="28"/>
          <w:szCs w:val="28"/>
          <w:lang w:val="en-US"/>
        </w:rPr>
        <w:t>2022</w:t>
      </w:r>
      <w:proofErr w:type="gramEnd"/>
      <w:r>
        <w:rPr>
          <w:rFonts w:ascii="Times New Roman" w:hAnsi="Times New Roman" w:cs="Times New Roman"/>
          <w:b/>
          <w:bCs/>
          <w:sz w:val="28"/>
          <w:szCs w:val="28"/>
          <w:lang w:val="en-US"/>
        </w:rPr>
        <w:t xml:space="preserve"> </w:t>
      </w:r>
      <w:r>
        <w:rPr>
          <w:rFonts w:ascii="Times New Roman" w:hAnsi="Times New Roman" w:cs="Times New Roman"/>
          <w:b/>
          <w:bCs/>
          <w:sz w:val="28"/>
          <w:szCs w:val="28"/>
        </w:rPr>
        <w:t>)</w:t>
      </w:r>
      <w:r>
        <w:rPr>
          <w:rFonts w:ascii="Times New Roman" w:hAnsi="Times New Roman" w:cs="Times New Roman" w:hint="eastAsia"/>
          <w:b/>
          <w:bCs/>
          <w:sz w:val="28"/>
          <w:szCs w:val="28"/>
          <w:lang w:val="en-US"/>
        </w:rPr>
        <w:t>[59]</w:t>
      </w:r>
    </w:p>
    <w:tbl>
      <w:tblPr>
        <w:tblW w:w="51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2"/>
        <w:gridCol w:w="1555"/>
        <w:gridCol w:w="1992"/>
        <w:gridCol w:w="2604"/>
      </w:tblGrid>
      <w:tr w:rsidR="00CB2BA9" w14:paraId="6C0357AD" w14:textId="77777777">
        <w:trPr>
          <w:trHeight w:val="715"/>
        </w:trPr>
        <w:tc>
          <w:tcPr>
            <w:tcW w:w="1910" w:type="pct"/>
            <w:shd w:val="clear" w:color="auto" w:fill="auto"/>
            <w:vAlign w:val="center"/>
          </w:tcPr>
          <w:p w14:paraId="469F1961" w14:textId="77777777" w:rsidR="00CB2BA9" w:rsidRDefault="00773039" w:rsidP="00E0617E">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Enterprise Type/Enterprise Name</w:t>
            </w:r>
          </w:p>
        </w:tc>
        <w:tc>
          <w:tcPr>
            <w:tcW w:w="771" w:type="pct"/>
            <w:shd w:val="clear" w:color="auto" w:fill="auto"/>
            <w:vAlign w:val="center"/>
          </w:tcPr>
          <w:p w14:paraId="609D8543" w14:textId="77777777" w:rsidR="00CB2BA9" w:rsidRDefault="00773039" w:rsidP="00E0617E">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ROE (%)</w:t>
            </w:r>
          </w:p>
        </w:tc>
        <w:tc>
          <w:tcPr>
            <w:tcW w:w="1005" w:type="pct"/>
            <w:shd w:val="clear" w:color="auto" w:fill="auto"/>
            <w:vAlign w:val="center"/>
          </w:tcPr>
          <w:p w14:paraId="160E522E" w14:textId="77777777" w:rsidR="00CB2BA9" w:rsidRDefault="00773039" w:rsidP="00E0617E">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Net Profit Margin (%)</w:t>
            </w:r>
          </w:p>
        </w:tc>
        <w:tc>
          <w:tcPr>
            <w:tcW w:w="1312" w:type="pct"/>
            <w:shd w:val="clear" w:color="auto" w:fill="auto"/>
            <w:vAlign w:val="center"/>
          </w:tcPr>
          <w:p w14:paraId="3E736556" w14:textId="77777777" w:rsidR="00CB2BA9" w:rsidRDefault="00773039" w:rsidP="00E0617E">
            <w:pPr>
              <w:widowControl/>
              <w:snapToGrid w:val="0"/>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bidi="ar"/>
              </w:rPr>
              <w:t>Capacity Utilization Rate (%)</w:t>
            </w:r>
          </w:p>
        </w:tc>
      </w:tr>
      <w:tr w:rsidR="00CB2BA9" w14:paraId="7C883570" w14:textId="77777777">
        <w:trPr>
          <w:trHeight w:val="715"/>
        </w:trPr>
        <w:tc>
          <w:tcPr>
            <w:tcW w:w="1910" w:type="pct"/>
            <w:shd w:val="clear" w:color="auto" w:fill="auto"/>
            <w:vAlign w:val="center"/>
          </w:tcPr>
          <w:p w14:paraId="574773F8" w14:textId="77777777" w:rsidR="00CB2BA9" w:rsidRDefault="00773039" w:rsidP="00E0617E">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Large-Scale Industrial Enterprises in China</w:t>
            </w:r>
          </w:p>
        </w:tc>
        <w:tc>
          <w:tcPr>
            <w:tcW w:w="771" w:type="pct"/>
            <w:shd w:val="clear" w:color="auto" w:fill="auto"/>
            <w:vAlign w:val="center"/>
          </w:tcPr>
          <w:p w14:paraId="6B38CF20"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9.5</w:t>
            </w:r>
          </w:p>
        </w:tc>
        <w:tc>
          <w:tcPr>
            <w:tcW w:w="1005" w:type="pct"/>
            <w:shd w:val="clear" w:color="auto" w:fill="auto"/>
            <w:vAlign w:val="center"/>
          </w:tcPr>
          <w:p w14:paraId="7D6EFD40"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5.1</w:t>
            </w:r>
          </w:p>
        </w:tc>
        <w:tc>
          <w:tcPr>
            <w:tcW w:w="1312" w:type="pct"/>
            <w:shd w:val="clear" w:color="auto" w:fill="auto"/>
            <w:vAlign w:val="center"/>
          </w:tcPr>
          <w:p w14:paraId="25F67F8E"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77.5</w:t>
            </w:r>
          </w:p>
        </w:tc>
      </w:tr>
      <w:tr w:rsidR="00CB2BA9" w14:paraId="5F8DB508" w14:textId="77777777">
        <w:trPr>
          <w:trHeight w:val="715"/>
        </w:trPr>
        <w:tc>
          <w:tcPr>
            <w:tcW w:w="1910" w:type="pct"/>
            <w:shd w:val="clear" w:color="auto" w:fill="auto"/>
            <w:vAlign w:val="center"/>
          </w:tcPr>
          <w:p w14:paraId="1076F523" w14:textId="77777777" w:rsidR="00CB2BA9" w:rsidRDefault="00773039" w:rsidP="00E0617E">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Among Them: State-Owned Enterprises</w:t>
            </w:r>
          </w:p>
        </w:tc>
        <w:tc>
          <w:tcPr>
            <w:tcW w:w="771" w:type="pct"/>
            <w:shd w:val="clear" w:color="auto" w:fill="auto"/>
            <w:vAlign w:val="center"/>
          </w:tcPr>
          <w:p w14:paraId="3EA70579"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8.2</w:t>
            </w:r>
          </w:p>
        </w:tc>
        <w:tc>
          <w:tcPr>
            <w:tcW w:w="1005" w:type="pct"/>
            <w:shd w:val="clear" w:color="auto" w:fill="auto"/>
            <w:vAlign w:val="center"/>
          </w:tcPr>
          <w:p w14:paraId="2889D0EB"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4.8</w:t>
            </w:r>
          </w:p>
        </w:tc>
        <w:tc>
          <w:tcPr>
            <w:tcW w:w="1312" w:type="pct"/>
            <w:shd w:val="clear" w:color="auto" w:fill="auto"/>
            <w:vAlign w:val="center"/>
          </w:tcPr>
          <w:p w14:paraId="4A2098AB"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75.3</w:t>
            </w:r>
          </w:p>
        </w:tc>
      </w:tr>
      <w:tr w:rsidR="00CB2BA9" w14:paraId="65CF14E9" w14:textId="77777777">
        <w:trPr>
          <w:trHeight w:val="715"/>
        </w:trPr>
        <w:tc>
          <w:tcPr>
            <w:tcW w:w="1910" w:type="pct"/>
            <w:shd w:val="clear" w:color="auto" w:fill="auto"/>
            <w:vAlign w:val="center"/>
          </w:tcPr>
          <w:p w14:paraId="5A66D6BC" w14:textId="77777777" w:rsidR="00CB2BA9" w:rsidRDefault="00773039" w:rsidP="00E0617E">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Among Them: Private Enterprises</w:t>
            </w:r>
          </w:p>
        </w:tc>
        <w:tc>
          <w:tcPr>
            <w:tcW w:w="771" w:type="pct"/>
            <w:shd w:val="clear" w:color="auto" w:fill="auto"/>
            <w:vAlign w:val="center"/>
          </w:tcPr>
          <w:p w14:paraId="3648DA8A"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11.3</w:t>
            </w:r>
          </w:p>
        </w:tc>
        <w:tc>
          <w:tcPr>
            <w:tcW w:w="1005" w:type="pct"/>
            <w:shd w:val="clear" w:color="auto" w:fill="auto"/>
            <w:vAlign w:val="center"/>
          </w:tcPr>
          <w:p w14:paraId="23F4BDB8"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5.5</w:t>
            </w:r>
          </w:p>
        </w:tc>
        <w:tc>
          <w:tcPr>
            <w:tcW w:w="1312" w:type="pct"/>
            <w:shd w:val="clear" w:color="auto" w:fill="auto"/>
            <w:vAlign w:val="center"/>
          </w:tcPr>
          <w:p w14:paraId="7F1F10A9"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79.8</w:t>
            </w:r>
          </w:p>
        </w:tc>
      </w:tr>
      <w:tr w:rsidR="00CB2BA9" w14:paraId="5F97E35B" w14:textId="77777777">
        <w:trPr>
          <w:trHeight w:val="361"/>
        </w:trPr>
        <w:tc>
          <w:tcPr>
            <w:tcW w:w="1910" w:type="pct"/>
            <w:shd w:val="clear" w:color="auto" w:fill="auto"/>
            <w:vAlign w:val="center"/>
          </w:tcPr>
          <w:p w14:paraId="54620FAD" w14:textId="77777777" w:rsidR="00CB2BA9" w:rsidRDefault="00773039" w:rsidP="00E0617E">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Samsung Electronics</w:t>
            </w:r>
          </w:p>
        </w:tc>
        <w:tc>
          <w:tcPr>
            <w:tcW w:w="771" w:type="pct"/>
            <w:shd w:val="clear" w:color="auto" w:fill="auto"/>
            <w:vAlign w:val="center"/>
          </w:tcPr>
          <w:p w14:paraId="5100424D"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17.2</w:t>
            </w:r>
          </w:p>
        </w:tc>
        <w:tc>
          <w:tcPr>
            <w:tcW w:w="1005" w:type="pct"/>
            <w:shd w:val="clear" w:color="auto" w:fill="auto"/>
            <w:vAlign w:val="center"/>
          </w:tcPr>
          <w:p w14:paraId="11FC77BD"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12.8</w:t>
            </w:r>
          </w:p>
        </w:tc>
        <w:tc>
          <w:tcPr>
            <w:tcW w:w="1312" w:type="pct"/>
            <w:shd w:val="clear" w:color="auto" w:fill="auto"/>
            <w:vAlign w:val="center"/>
          </w:tcPr>
          <w:p w14:paraId="1D8A597D"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88.5</w:t>
            </w:r>
          </w:p>
        </w:tc>
      </w:tr>
      <w:tr w:rsidR="00CB2BA9" w14:paraId="5FC6C6DC" w14:textId="77777777">
        <w:trPr>
          <w:trHeight w:val="361"/>
        </w:trPr>
        <w:tc>
          <w:tcPr>
            <w:tcW w:w="1910" w:type="pct"/>
            <w:shd w:val="clear" w:color="auto" w:fill="auto"/>
            <w:vAlign w:val="center"/>
          </w:tcPr>
          <w:p w14:paraId="60F9F6D1" w14:textId="77777777" w:rsidR="00CB2BA9" w:rsidRDefault="00773039" w:rsidP="00E0617E">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Intel</w:t>
            </w:r>
          </w:p>
        </w:tc>
        <w:tc>
          <w:tcPr>
            <w:tcW w:w="771" w:type="pct"/>
            <w:shd w:val="clear" w:color="auto" w:fill="auto"/>
            <w:vAlign w:val="center"/>
          </w:tcPr>
          <w:p w14:paraId="707EAB2E"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22.5</w:t>
            </w:r>
          </w:p>
        </w:tc>
        <w:tc>
          <w:tcPr>
            <w:tcW w:w="1005" w:type="pct"/>
            <w:shd w:val="clear" w:color="auto" w:fill="auto"/>
            <w:vAlign w:val="center"/>
          </w:tcPr>
          <w:p w14:paraId="4679FC32"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25.3</w:t>
            </w:r>
          </w:p>
        </w:tc>
        <w:tc>
          <w:tcPr>
            <w:tcW w:w="1312" w:type="pct"/>
            <w:shd w:val="clear" w:color="auto" w:fill="auto"/>
            <w:vAlign w:val="center"/>
          </w:tcPr>
          <w:p w14:paraId="50CCE700"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85.2</w:t>
            </w:r>
          </w:p>
        </w:tc>
      </w:tr>
      <w:tr w:rsidR="00CB2BA9" w14:paraId="04DC0265" w14:textId="77777777">
        <w:trPr>
          <w:trHeight w:val="368"/>
        </w:trPr>
        <w:tc>
          <w:tcPr>
            <w:tcW w:w="1910" w:type="pct"/>
            <w:shd w:val="clear" w:color="auto" w:fill="auto"/>
            <w:vAlign w:val="center"/>
          </w:tcPr>
          <w:p w14:paraId="67C7DA49" w14:textId="77777777" w:rsidR="00CB2BA9" w:rsidRDefault="00773039" w:rsidP="00E0617E">
            <w:pPr>
              <w:widowControl/>
              <w:snapToGrid w:val="0"/>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Apple Inc.</w:t>
            </w:r>
          </w:p>
        </w:tc>
        <w:tc>
          <w:tcPr>
            <w:tcW w:w="771" w:type="pct"/>
            <w:shd w:val="clear" w:color="auto" w:fill="auto"/>
            <w:vAlign w:val="center"/>
          </w:tcPr>
          <w:p w14:paraId="790DFFBA"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150.2</w:t>
            </w:r>
          </w:p>
        </w:tc>
        <w:tc>
          <w:tcPr>
            <w:tcW w:w="1005" w:type="pct"/>
            <w:shd w:val="clear" w:color="auto" w:fill="auto"/>
            <w:vAlign w:val="center"/>
          </w:tcPr>
          <w:p w14:paraId="29188147"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25.9</w:t>
            </w:r>
          </w:p>
        </w:tc>
        <w:tc>
          <w:tcPr>
            <w:tcW w:w="1312" w:type="pct"/>
            <w:shd w:val="clear" w:color="auto" w:fill="auto"/>
            <w:vAlign w:val="center"/>
          </w:tcPr>
          <w:p w14:paraId="2C243A44" w14:textId="77777777" w:rsidR="00CB2BA9" w:rsidRDefault="00773039" w:rsidP="00E0617E">
            <w:pPr>
              <w:widowControl/>
              <w:snapToGrid w:val="0"/>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bidi="ar"/>
              </w:rPr>
              <w:t>92.3</w:t>
            </w:r>
          </w:p>
        </w:tc>
      </w:tr>
    </w:tbl>
    <w:p w14:paraId="07549F4E" w14:textId="77777777" w:rsidR="00CB2BA9" w:rsidRDefault="00CB2BA9" w:rsidP="00773039">
      <w:pPr>
        <w:pStyle w:val="a6"/>
        <w:widowControl/>
        <w:snapToGrid w:val="0"/>
        <w:spacing w:line="360" w:lineRule="auto"/>
        <w:ind w:firstLine="709"/>
        <w:rPr>
          <w:rFonts w:ascii="Times New Roman" w:hAnsi="Times New Roman" w:cs="Times New Roman"/>
          <w:sz w:val="28"/>
          <w:szCs w:val="28"/>
        </w:rPr>
      </w:pPr>
    </w:p>
    <w:p w14:paraId="5470392B"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Chinese companies, especially state-owned enterprises, are constrained by factors such as the "dominant shareholder" governance structure and administrative intervention, and the </w:t>
      </w:r>
      <w:proofErr w:type="spellStart"/>
      <w:r>
        <w:rPr>
          <w:rFonts w:ascii="Times New Roman" w:hAnsi="Times New Roman" w:cs="Times New Roman"/>
          <w:sz w:val="28"/>
          <w:szCs w:val="28"/>
        </w:rPr>
        <w:t>scientificity</w:t>
      </w:r>
      <w:proofErr w:type="spellEnd"/>
      <w:r>
        <w:rPr>
          <w:rFonts w:ascii="Times New Roman" w:hAnsi="Times New Roman" w:cs="Times New Roman"/>
          <w:sz w:val="28"/>
          <w:szCs w:val="28"/>
        </w:rPr>
        <w:t xml:space="preserve"> and accuracy of capital allocation need to be improved. In </w:t>
      </w:r>
      <w:proofErr w:type="gramStart"/>
      <w:r>
        <w:rPr>
          <w:rFonts w:ascii="Times New Roman" w:hAnsi="Times New Roman" w:cs="Times New Roman"/>
          <w:sz w:val="28"/>
          <w:szCs w:val="28"/>
          <w:lang w:val="en-US"/>
        </w:rPr>
        <w:t xml:space="preserve">2022 </w:t>
      </w:r>
      <w:r>
        <w:rPr>
          <w:rFonts w:ascii="Times New Roman" w:hAnsi="Times New Roman" w:cs="Times New Roman"/>
          <w:sz w:val="28"/>
          <w:szCs w:val="28"/>
        </w:rPr>
        <w:t>,</w:t>
      </w:r>
      <w:proofErr w:type="gramEnd"/>
      <w:r>
        <w:rPr>
          <w:rFonts w:ascii="Times New Roman" w:hAnsi="Times New Roman" w:cs="Times New Roman"/>
          <w:sz w:val="28"/>
          <w:szCs w:val="28"/>
        </w:rPr>
        <w:t xml:space="preserve"> the average net profit margin of Chinese companies was only 5.1%, and the capacity utilization rate was 77.5%, reflecting that the pressure of structural overcapacity has not been fundamentally alleviated. In contrast, international giants such as Samsung Electronics have maintained a high level of capital return through precise capital allocation strategies.</w:t>
      </w:r>
    </w:p>
    <w:p w14:paraId="704E0B8C"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Comparison of digital asset management levels</w:t>
      </w:r>
    </w:p>
    <w:p w14:paraId="7D1DED65"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terms of the overall process of digital transformation, China still has a gap of 3-5 years with developed countries. According to data from the German Federal Ministry of Education and Research, in </w:t>
      </w:r>
      <w:proofErr w:type="gramStart"/>
      <w:r>
        <w:rPr>
          <w:rFonts w:ascii="Times New Roman" w:hAnsi="Times New Roman" w:cs="Times New Roman"/>
          <w:sz w:val="28"/>
          <w:szCs w:val="28"/>
          <w:lang w:val="en-US"/>
        </w:rPr>
        <w:t xml:space="preserve">2023 </w:t>
      </w:r>
      <w:r>
        <w:rPr>
          <w:rFonts w:ascii="Times New Roman" w:hAnsi="Times New Roman" w:cs="Times New Roman"/>
          <w:sz w:val="28"/>
          <w:szCs w:val="28"/>
        </w:rPr>
        <w:t>,</w:t>
      </w:r>
      <w:proofErr w:type="gramEnd"/>
      <w:r>
        <w:rPr>
          <w:rFonts w:ascii="Times New Roman" w:hAnsi="Times New Roman" w:cs="Times New Roman"/>
          <w:sz w:val="28"/>
          <w:szCs w:val="28"/>
        </w:rPr>
        <w:t xml:space="preserve"> the proportion of German companies </w:t>
      </w:r>
      <w:r>
        <w:rPr>
          <w:rFonts w:ascii="Times New Roman" w:hAnsi="Times New Roman" w:cs="Times New Roman"/>
          <w:sz w:val="28"/>
          <w:szCs w:val="28"/>
        </w:rPr>
        <w:lastRenderedPageBreak/>
        <w:t>applying Industry 4.0 solutions was 71%, while that of China was about 22%. International leading companies have formed mature digital asset management practices: General Electric has established a full-chain intelligent management system covering equipment, workshops, and supply chains based on the Predix industrial Internet platform; Siemens has widely used digital twins in transportation, power grids, construction and other fields, reducing equipment downtime by 70% and maintenance costs by 30%; Microsoft has built a Dynamics 365 product matrix including ERP, CRM, etc. to help customers achieve end-to-end data connectivity.</w:t>
      </w:r>
    </w:p>
    <w:p w14:paraId="00293F7F" w14:textId="77777777" w:rsidR="00CB2BA9" w:rsidRDefault="00773039" w:rsidP="00773039">
      <w:pPr>
        <w:pStyle w:val="a6"/>
        <w:widowControl/>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contrast, Chinese companies face obvious shortcomings in digital transformation. According to a </w:t>
      </w:r>
      <w:r>
        <w:rPr>
          <w:rFonts w:ascii="Times New Roman" w:hAnsi="Times New Roman" w:cs="Times New Roman"/>
          <w:sz w:val="28"/>
          <w:szCs w:val="28"/>
          <w:lang w:val="en-US"/>
        </w:rPr>
        <w:t xml:space="preserve">2023 </w:t>
      </w:r>
      <w:r>
        <w:rPr>
          <w:rFonts w:ascii="Times New Roman" w:hAnsi="Times New Roman" w:cs="Times New Roman"/>
          <w:sz w:val="28"/>
          <w:szCs w:val="28"/>
        </w:rPr>
        <w:t xml:space="preserve">survey by </w:t>
      </w:r>
      <w:proofErr w:type="spellStart"/>
      <w:r>
        <w:rPr>
          <w:rFonts w:ascii="Times New Roman" w:hAnsi="Times New Roman" w:cs="Times New Roman"/>
          <w:sz w:val="28"/>
          <w:szCs w:val="28"/>
        </w:rPr>
        <w:t>iResearch</w:t>
      </w:r>
      <w:proofErr w:type="spellEnd"/>
      <w:r>
        <w:rPr>
          <w:rFonts w:ascii="Times New Roman" w:hAnsi="Times New Roman" w:cs="Times New Roman"/>
          <w:sz w:val="28"/>
          <w:szCs w:val="28"/>
        </w:rPr>
        <w:t xml:space="preserve"> Consulting, 45% of the companies surveyed said they lacked top-level design and unified planning, and 74% of the companies had data silos. Taking a central power company as an example, its wind power projects are distributed in more than 20 provinces, with different data standards in different regions, and different maintenance records and fault reporting formats, making it difficult to support centralized asset health diagnosis. Although Haier Group's </w:t>
      </w:r>
      <w:proofErr w:type="spellStart"/>
      <w:r>
        <w:rPr>
          <w:rFonts w:ascii="Times New Roman" w:hAnsi="Times New Roman" w:cs="Times New Roman"/>
          <w:sz w:val="28"/>
          <w:szCs w:val="28"/>
        </w:rPr>
        <w:t>COSMOPlat</w:t>
      </w:r>
      <w:proofErr w:type="spellEnd"/>
      <w:r>
        <w:rPr>
          <w:rFonts w:ascii="Times New Roman" w:hAnsi="Times New Roman" w:cs="Times New Roman"/>
          <w:sz w:val="28"/>
          <w:szCs w:val="28"/>
        </w:rPr>
        <w:t xml:space="preserve"> industrial Internet platform has achieved initial results in supplier collaboration, R&amp;D and design, its IoT data collection and edge computing capabilities in the production and manufacturing links still need to be improved.</w:t>
      </w:r>
    </w:p>
    <w:p w14:paraId="49758BB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Analysis of causes of differences</w:t>
      </w:r>
    </w:p>
    <w:p w14:paraId="3D7E5F4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(1) Differences in property rights systems</w:t>
      </w:r>
    </w:p>
    <w:p w14:paraId="341AD115"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China's unique socialist market economic system determines that state-owned enterprises have a distinct administrative color in their property rights structure. Although the reform of state-owned enterprises has been comprehensively promoted, the situation of "no distinction between government and enterprises, no distinction between government and capital" has not been fundamentally reversed. In China, state-owned enterprises account for as high as 53.2% of assets, while private enterprises account for only 24.1%. In contrast, in developed market economies such as the United States, the private economy is dominant, with private enterprise assets accounting for 68% in 2021, and the market plays a decisive role in resource allocation. At the same time, the United States has established a complete property rights protection system </w:t>
      </w:r>
      <w:r>
        <w:rPr>
          <w:rFonts w:ascii="Times New Roman" w:hAnsi="Times New Roman" w:cs="Times New Roman"/>
          <w:sz w:val="28"/>
          <w:szCs w:val="28"/>
        </w:rPr>
        <w:lastRenderedPageBreak/>
        <w:t>and market exit mechanism, and corporate mergers and acquisitions and restructuring are more market-oriented and rule-of-law-based.</w:t>
      </w:r>
    </w:p>
    <w:p w14:paraId="03D3F0BE"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(2) Differences in macroeconomic policies</w:t>
      </w:r>
    </w:p>
    <w:p w14:paraId="74C761E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As the main body of strategic resource allocation, state-owned enterprises must obey national macroeconomic regulation. Taking 2021 as an example, state-owned enterprises undertook more than 70% of the country's major infrastructure construction tasks and 80% of the </w:t>
      </w:r>
      <w:proofErr w:type="spellStart"/>
      <w:r>
        <w:rPr>
          <w:rFonts w:ascii="Times New Roman" w:hAnsi="Times New Roman" w:cs="Times New Roman"/>
          <w:sz w:val="28"/>
          <w:szCs w:val="28"/>
        </w:rPr>
        <w:t>decapacity</w:t>
      </w:r>
      <w:proofErr w:type="spellEnd"/>
      <w:r>
        <w:rPr>
          <w:rFonts w:ascii="Times New Roman" w:hAnsi="Times New Roman" w:cs="Times New Roman"/>
          <w:sz w:val="28"/>
          <w:szCs w:val="28"/>
        </w:rPr>
        <w:t xml:space="preserve"> tasks in the supply-side structural reform. In regional coordinated development, 90% of central enterprises need to set up branches in the western region to cooperate with the implementation of national strategies.</w:t>
      </w:r>
    </w:p>
    <w:p w14:paraId="200362D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contrast, the resource allocation of multinational companies is more market-oriented. General Electric has concentrated 80% of its assets in high-return fields such as aviation and energy; Siemens' digital business has increased from 5% in 1990 to 35% in 2021; Samsung Electronics has concentrated 65% of its R&amp;D investment in the semiconductor field. This market-oriented resource allocation mechanism enables multinational companies to respond to market changes more quickly and optimize their asset structure.</w:t>
      </w:r>
    </w:p>
    <w:p w14:paraId="3CF475A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(3) Management culture differences</w:t>
      </w:r>
    </w:p>
    <w:p w14:paraId="09525872"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Based on the Confucian cultural background, Chinese enterprises generally attach importance to collectivist values in organizational management, emphasizing obedience to leadership and organizational arrangements. This concept is particularly evident in state-owned enterprises: asset management decisions are often promoted from top to bottom, with insufficient grassroots participation; departmental walls are common, and cross-departmental collaboration is inefficient; the innovation incentive mechanism is not sound, and employee creativity is not fully stimulated; the accountability mechanism is vague, and asset management responsibilities are difficult to implement.</w:t>
      </w:r>
    </w:p>
    <w:p w14:paraId="3717B98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contrast, Western management culture advocates individual values, focuses on stimulating employee creativity, and forms a flat organizational structure. Siemens implements the "innovator responsibility system", and R&amp;D personnel enjoy project autonomy; General Electric implements Lean Six Sigma, and all employees participate </w:t>
      </w:r>
      <w:r>
        <w:rPr>
          <w:rFonts w:ascii="Times New Roman" w:hAnsi="Times New Roman" w:cs="Times New Roman"/>
          <w:sz w:val="28"/>
          <w:szCs w:val="28"/>
        </w:rPr>
        <w:lastRenderedPageBreak/>
        <w:t>in continuous improvement; Apple adopts flat management, and product managers have full decision-making power. In terms of asset procurement, use and disposal, foreign-funded enterprises generally establish strict internal control systems, strengthen cost control through internal transfer pricing, financial sharing and other means, and prevent moral risks.</w:t>
      </w:r>
    </w:p>
    <w:p w14:paraId="2436092D"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(4) Differences in technology empowerment paths</w:t>
      </w:r>
    </w:p>
    <w:p w14:paraId="480ACA9B"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Digital transformation has become a winning formula for international leading companies to become better and stronger. Take Siemens as an example. Its digital transformation began in the 1990s and was directly led by the board of directors, with a systematic layout of technology, management and business models. The company has formed a complete industrial Internet ecosystem with </w:t>
      </w:r>
      <w:proofErr w:type="spellStart"/>
      <w:r>
        <w:rPr>
          <w:rFonts w:ascii="Times New Roman" w:hAnsi="Times New Roman" w:cs="Times New Roman"/>
          <w:sz w:val="28"/>
          <w:szCs w:val="28"/>
        </w:rPr>
        <w:t>MindSphere</w:t>
      </w:r>
      <w:proofErr w:type="spellEnd"/>
      <w:r>
        <w:rPr>
          <w:rFonts w:ascii="Times New Roman" w:hAnsi="Times New Roman" w:cs="Times New Roman"/>
          <w:sz w:val="28"/>
          <w:szCs w:val="28"/>
        </w:rPr>
        <w:t xml:space="preserve"> as the core, and digital twin technology has been applied on a large scale in 16 industries. General Electric invests more than US$8 billion in research and development each year, and Microsoft has established digital cooperation with 5,000 companies around the world.</w:t>
      </w:r>
    </w:p>
    <w:p w14:paraId="610B6C2E" w14:textId="77777777" w:rsidR="00CB2BA9" w:rsidRDefault="00773039" w:rsidP="00773039">
      <w:pPr>
        <w:snapToGrid w:val="0"/>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rPr>
        <w:t>In contrast, Chinese enterprises started informatization relatively late, and the adjustment of enterprise architecture lagged behind the progress of digital technology. According to data from the Ministry of Industry and Information Technology, by the end of 2021, the digitalization, networking, and intelligent development index of my country's high-end manufacturing industry was only 53.4. The main constraints include: only 25% of enterprises have formulated top-level plans for digital transformation; the external dependence of core industrial software exceeds 70%; the gap in digital talents exceeds 5 million; and 74% of enterprises have inconsistent data standards. These shortcomings have seriously restricted the digital transformation process of Chinese enterprises.</w:t>
      </w:r>
    </w:p>
    <w:p w14:paraId="0E4212AE" w14:textId="77777777" w:rsidR="002D0281" w:rsidRDefault="002D0281" w:rsidP="00773039">
      <w:pPr>
        <w:snapToGrid w:val="0"/>
        <w:spacing w:line="360" w:lineRule="auto"/>
        <w:ind w:firstLine="709"/>
        <w:rPr>
          <w:rFonts w:ascii="Times New Roman" w:hAnsi="Times New Roman" w:cs="Times New Roman"/>
          <w:sz w:val="28"/>
          <w:szCs w:val="28"/>
          <w:lang w:val="uk-UA"/>
        </w:rPr>
      </w:pPr>
    </w:p>
    <w:p w14:paraId="17D35B41" w14:textId="77777777" w:rsidR="002D0281" w:rsidRDefault="002D0281" w:rsidP="00773039">
      <w:pPr>
        <w:snapToGrid w:val="0"/>
        <w:spacing w:line="360" w:lineRule="auto"/>
        <w:ind w:firstLine="709"/>
        <w:rPr>
          <w:rFonts w:ascii="Times New Roman" w:hAnsi="Times New Roman" w:cs="Times New Roman"/>
          <w:sz w:val="28"/>
          <w:szCs w:val="28"/>
          <w:lang w:val="uk-UA"/>
        </w:rPr>
      </w:pPr>
    </w:p>
    <w:p w14:paraId="6EB72989" w14:textId="77777777" w:rsidR="00633D08" w:rsidRDefault="00633D08" w:rsidP="00773039">
      <w:pPr>
        <w:snapToGrid w:val="0"/>
        <w:spacing w:line="360" w:lineRule="auto"/>
        <w:ind w:firstLine="709"/>
        <w:rPr>
          <w:rFonts w:ascii="Times New Roman" w:hAnsi="Times New Roman" w:cs="Times New Roman"/>
          <w:sz w:val="28"/>
          <w:szCs w:val="28"/>
          <w:lang w:val="uk-UA"/>
        </w:rPr>
      </w:pPr>
    </w:p>
    <w:p w14:paraId="2EA0DCA7" w14:textId="77777777" w:rsidR="00633D08" w:rsidRDefault="00633D08" w:rsidP="00773039">
      <w:pPr>
        <w:snapToGrid w:val="0"/>
        <w:spacing w:line="360" w:lineRule="auto"/>
        <w:ind w:firstLine="709"/>
        <w:rPr>
          <w:rFonts w:ascii="Times New Roman" w:hAnsi="Times New Roman" w:cs="Times New Roman"/>
          <w:sz w:val="28"/>
          <w:szCs w:val="28"/>
          <w:lang w:val="uk-UA"/>
        </w:rPr>
      </w:pPr>
    </w:p>
    <w:p w14:paraId="192C10CA" w14:textId="77777777" w:rsidR="00633D08" w:rsidRDefault="00633D08" w:rsidP="00773039">
      <w:pPr>
        <w:snapToGrid w:val="0"/>
        <w:spacing w:line="360" w:lineRule="auto"/>
        <w:ind w:firstLine="709"/>
        <w:rPr>
          <w:rFonts w:ascii="Times New Roman" w:hAnsi="Times New Roman" w:cs="Times New Roman"/>
          <w:sz w:val="28"/>
          <w:szCs w:val="28"/>
          <w:lang w:val="uk-UA"/>
        </w:rPr>
      </w:pPr>
    </w:p>
    <w:p w14:paraId="22608F60" w14:textId="77777777" w:rsidR="002D0281" w:rsidRDefault="002D0281" w:rsidP="00773039">
      <w:pPr>
        <w:snapToGrid w:val="0"/>
        <w:spacing w:line="360" w:lineRule="auto"/>
        <w:ind w:firstLine="709"/>
        <w:rPr>
          <w:rFonts w:ascii="Times New Roman" w:hAnsi="Times New Roman" w:cs="Times New Roman"/>
          <w:sz w:val="28"/>
          <w:szCs w:val="28"/>
          <w:lang w:val="uk-UA"/>
        </w:rPr>
      </w:pPr>
    </w:p>
    <w:p w14:paraId="064E6C39" w14:textId="77777777" w:rsidR="00CB2BA9" w:rsidRDefault="00773039" w:rsidP="003F1D15">
      <w:pPr>
        <w:snapToGrid w:val="0"/>
        <w:spacing w:line="360" w:lineRule="auto"/>
        <w:ind w:firstLine="709"/>
        <w:jc w:val="center"/>
        <w:outlineLvl w:val="0"/>
        <w:rPr>
          <w:rFonts w:ascii="Times New Roman" w:hAnsi="Times New Roman" w:cs="Times New Roman"/>
          <w:b/>
          <w:bCs/>
          <w:sz w:val="28"/>
          <w:szCs w:val="28"/>
        </w:rPr>
      </w:pPr>
      <w:bookmarkStart w:id="13" w:name="_Toc1770"/>
      <w:r>
        <w:rPr>
          <w:rFonts w:ascii="Times New Roman" w:hAnsi="Times New Roman" w:cs="Times New Roman"/>
          <w:b/>
          <w:bCs/>
          <w:sz w:val="28"/>
          <w:szCs w:val="28"/>
        </w:rPr>
        <w:lastRenderedPageBreak/>
        <w:t>CHAPTER 3</w:t>
      </w:r>
      <w:bookmarkEnd w:id="13"/>
    </w:p>
    <w:p w14:paraId="099A7863" w14:textId="77777777" w:rsidR="00CB2BA9" w:rsidRDefault="00773039" w:rsidP="003F1D15">
      <w:pPr>
        <w:snapToGrid w:val="0"/>
        <w:spacing w:line="360" w:lineRule="auto"/>
        <w:ind w:firstLine="709"/>
        <w:jc w:val="center"/>
        <w:outlineLvl w:val="0"/>
        <w:rPr>
          <w:rFonts w:ascii="Times New Roman" w:hAnsi="Times New Roman" w:cs="Times New Roman"/>
          <w:b/>
          <w:bCs/>
          <w:sz w:val="28"/>
          <w:szCs w:val="28"/>
        </w:rPr>
      </w:pPr>
      <w:bookmarkStart w:id="14" w:name="_Toc8313"/>
      <w:r>
        <w:rPr>
          <w:rFonts w:ascii="Times New Roman" w:hAnsi="Times New Roman" w:cs="Times New Roman"/>
          <w:b/>
          <w:bCs/>
          <w:sz w:val="28"/>
          <w:szCs w:val="28"/>
        </w:rPr>
        <w:t>IMPROVING THE ASSET MANAGEMENT SYSTEM IN CHINESE COMPANIES</w:t>
      </w:r>
      <w:bookmarkEnd w:id="14"/>
    </w:p>
    <w:p w14:paraId="060931DB" w14:textId="77777777" w:rsidR="00CB2BA9" w:rsidRDefault="00CB2BA9" w:rsidP="003F1D15">
      <w:pPr>
        <w:snapToGrid w:val="0"/>
        <w:spacing w:line="360" w:lineRule="auto"/>
        <w:ind w:firstLine="709"/>
        <w:jc w:val="center"/>
        <w:outlineLvl w:val="0"/>
        <w:rPr>
          <w:rFonts w:ascii="Times New Roman" w:hAnsi="Times New Roman" w:cs="Times New Roman"/>
          <w:b/>
          <w:bCs/>
          <w:sz w:val="28"/>
          <w:szCs w:val="28"/>
        </w:rPr>
      </w:pPr>
    </w:p>
    <w:p w14:paraId="29CA4167" w14:textId="77777777" w:rsidR="00CB2BA9" w:rsidRDefault="00773039" w:rsidP="003F1D15">
      <w:pPr>
        <w:snapToGrid w:val="0"/>
        <w:spacing w:line="360" w:lineRule="auto"/>
        <w:ind w:firstLine="709"/>
        <w:outlineLvl w:val="1"/>
        <w:rPr>
          <w:rFonts w:ascii="Times New Roman" w:hAnsi="Times New Roman" w:cs="Times New Roman"/>
          <w:b/>
          <w:bCs/>
          <w:sz w:val="28"/>
          <w:szCs w:val="28"/>
        </w:rPr>
      </w:pPr>
      <w:bookmarkStart w:id="15" w:name="_Toc30134"/>
      <w:r>
        <w:rPr>
          <w:rFonts w:ascii="Times New Roman" w:hAnsi="Times New Roman" w:cs="Times New Roman"/>
          <w:b/>
          <w:bCs/>
          <w:sz w:val="28"/>
          <w:szCs w:val="28"/>
        </w:rPr>
        <w:t>3.1. Development of asset management strategies for high-efficiency Chinese enterprises</w:t>
      </w:r>
      <w:bookmarkEnd w:id="15"/>
    </w:p>
    <w:p w14:paraId="4F3BD1A7" w14:textId="77777777" w:rsidR="00CB2BA9" w:rsidRDefault="00CB2BA9" w:rsidP="00773039">
      <w:pPr>
        <w:snapToGrid w:val="0"/>
        <w:spacing w:line="360" w:lineRule="auto"/>
        <w:ind w:firstLine="709"/>
        <w:outlineLvl w:val="1"/>
        <w:rPr>
          <w:rFonts w:ascii="Times New Roman" w:hAnsi="Times New Roman" w:cs="Times New Roman"/>
          <w:b/>
          <w:bCs/>
          <w:sz w:val="28"/>
          <w:szCs w:val="28"/>
        </w:rPr>
      </w:pPr>
    </w:p>
    <w:p w14:paraId="44E6C737"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In the new era, asset management has become a key focus for Chinese enterprises to participate in global competition and achieve high-quality development. Research shows that advanced asset management strategies can help enterprises reduce operating costs by 15%-30% and increase asset utilization by 20%-40%</w:t>
      </w:r>
      <w:r>
        <w:rPr>
          <w:rFonts w:ascii="Times New Roman" w:hAnsi="Times New Roman" w:cs="Times New Roman" w:hint="eastAsia"/>
          <w:sz w:val="28"/>
          <w:szCs w:val="28"/>
          <w:lang w:val="en-US"/>
        </w:rPr>
        <w:t xml:space="preserve"> [60]</w:t>
      </w:r>
      <w:r>
        <w:rPr>
          <w:rFonts w:ascii="Times New Roman" w:hAnsi="Times New Roman" w:cs="Times New Roman"/>
          <w:sz w:val="28"/>
          <w:szCs w:val="28"/>
          <w:lang w:val="en-US"/>
        </w:rPr>
        <w:t>. With the deepening of economic globalization and digital transformation, Chinese enterprises have shown new characteristics and trends in asset management practices. To achieve efficient asset management, enterprises need to conduct in-depth research on the theoretical basis of asset management and apply it to actual operations.</w:t>
      </w:r>
    </w:p>
    <w:p w14:paraId="647550C3"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Asset management is an important part of enterprise management, involving the acquisition, use, maintenance and disposal of assets, aiming to maximize asset value and optimize overall corporate performance. The development of asset management theory has gone through multiple stages, from traditional resource management to modern comprehensive management strategies, gradually shifting towards a comprehensive system that emphasizes efficiency and effectiveness. An important theoretical foundation of modern asset management is lifecycle management (LCM), which effectively manages assets throughout their entire lifecycle from acquisition, use, maintenance to disposal to maximize asset value</w:t>
      </w:r>
      <w:r>
        <w:rPr>
          <w:rFonts w:ascii="Times New Roman" w:hAnsi="Times New Roman" w:cs="Times New Roman" w:hint="eastAsia"/>
          <w:sz w:val="28"/>
          <w:szCs w:val="28"/>
          <w:lang w:val="en-US"/>
        </w:rPr>
        <w:t xml:space="preserve"> [61]</w:t>
      </w:r>
      <w:r>
        <w:rPr>
          <w:rFonts w:ascii="Times New Roman" w:hAnsi="Times New Roman" w:cs="Times New Roman"/>
          <w:sz w:val="28"/>
          <w:szCs w:val="28"/>
          <w:lang w:val="en-US"/>
        </w:rPr>
        <w:t xml:space="preserve">. This management approach can help enterprises reduce asset maintenance costs, extend asset service life, and improve asset utilization efficiency. </w:t>
      </w:r>
    </w:p>
    <w:p w14:paraId="03A82322"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Data shows that in 2023, the asset-liability ratio of China's industrial enterprises above designated size reached 56.5%, and the total asset turnover was only 0.91 times per year, showing a significant gap compared with international leading enterprises. For example, General Electric's total asset turnover is 1.38 times per year, and Siemens' </w:t>
      </w:r>
      <w:r>
        <w:rPr>
          <w:rFonts w:ascii="Times New Roman" w:hAnsi="Times New Roman" w:cs="Times New Roman"/>
          <w:sz w:val="28"/>
          <w:szCs w:val="28"/>
          <w:lang w:val="en-US"/>
        </w:rPr>
        <w:lastRenderedPageBreak/>
        <w:t>is 1.25 times per year. To more clearly demonstrate this gap, we compared key indicators of Chinese enterprises and international benchmarks, as shown in Table 3.1.</w:t>
      </w:r>
    </w:p>
    <w:p w14:paraId="64587E1B" w14:textId="77777777" w:rsidR="00CB2BA9" w:rsidRDefault="00773039">
      <w:pPr>
        <w:snapToGrid w:val="0"/>
        <w:spacing w:line="360" w:lineRule="auto"/>
        <w:ind w:firstLineChars="200" w:firstLine="562"/>
        <w:jc w:val="right"/>
        <w:rPr>
          <w:rFonts w:ascii="Times New Roman" w:hAnsi="Times New Roman" w:cs="Times New Roman"/>
          <w:b/>
          <w:bCs/>
          <w:sz w:val="28"/>
          <w:szCs w:val="28"/>
          <w:lang w:val="en-US"/>
        </w:rPr>
      </w:pPr>
      <w:r>
        <w:rPr>
          <w:rFonts w:ascii="Times New Roman" w:hAnsi="Times New Roman" w:cs="Times New Roman"/>
          <w:b/>
          <w:bCs/>
          <w:sz w:val="28"/>
          <w:szCs w:val="28"/>
          <w:lang w:val="en-US"/>
        </w:rPr>
        <w:t>Table 3.1</w:t>
      </w:r>
    </w:p>
    <w:p w14:paraId="31EAB8D6" w14:textId="77777777" w:rsidR="00CB2BA9" w:rsidRDefault="00773039">
      <w:pPr>
        <w:snapToGrid w:val="0"/>
        <w:spacing w:line="360" w:lineRule="auto"/>
        <w:ind w:firstLineChars="200" w:firstLine="562"/>
        <w:jc w:val="right"/>
        <w:rPr>
          <w:rFonts w:ascii="Times New Roman" w:hAnsi="Times New Roman" w:cs="Times New Roman"/>
          <w:b/>
          <w:bCs/>
          <w:sz w:val="28"/>
          <w:szCs w:val="28"/>
          <w:lang w:val="en-US"/>
        </w:rPr>
      </w:pPr>
      <w:r>
        <w:rPr>
          <w:rFonts w:ascii="Times New Roman" w:hAnsi="Times New Roman" w:cs="Times New Roman"/>
          <w:b/>
          <w:bCs/>
          <w:sz w:val="28"/>
          <w:szCs w:val="28"/>
          <w:lang w:val="en-US"/>
        </w:rPr>
        <w:t>Comparison of Asset Management Efficiency between Chinese Enterprises and International Benchmarks (2023)</w:t>
      </w:r>
    </w:p>
    <w:tbl>
      <w:tblPr>
        <w:tblW w:w="47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8"/>
        <w:gridCol w:w="2305"/>
        <w:gridCol w:w="2661"/>
        <w:gridCol w:w="1230"/>
      </w:tblGrid>
      <w:tr w:rsidR="00CB2BA9" w14:paraId="00CCC539" w14:textId="77777777">
        <w:trPr>
          <w:trHeight w:val="975"/>
        </w:trPr>
        <w:tc>
          <w:tcPr>
            <w:tcW w:w="1630" w:type="pct"/>
            <w:shd w:val="clear" w:color="auto" w:fill="auto"/>
            <w:vAlign w:val="center"/>
          </w:tcPr>
          <w:p w14:paraId="14C1BA38" w14:textId="77777777" w:rsidR="00CB2BA9" w:rsidRDefault="00773039" w:rsidP="00773039">
            <w:pPr>
              <w:widowControl/>
              <w:snapToGrid w:val="0"/>
              <w:jc w:val="center"/>
              <w:textAlignment w:val="center"/>
              <w:rPr>
                <w:rFonts w:ascii="Times New Roman" w:eastAsia="SimSun" w:hAnsi="Times New Roman" w:cs="Times New Roman"/>
                <w:b/>
                <w:bCs/>
                <w:color w:val="000000"/>
                <w:sz w:val="28"/>
                <w:szCs w:val="28"/>
                <w:lang w:val="en-US"/>
              </w:rPr>
            </w:pPr>
            <w:r>
              <w:rPr>
                <w:rFonts w:ascii="Times New Roman" w:eastAsia="SimSun" w:hAnsi="Times New Roman" w:cs="Times New Roman"/>
                <w:b/>
                <w:bCs/>
                <w:color w:val="000000"/>
                <w:kern w:val="0"/>
                <w:sz w:val="28"/>
                <w:szCs w:val="28"/>
                <w:lang w:val="en-US" w:bidi="ar"/>
              </w:rPr>
              <w:t>Asset Management Indicator</w:t>
            </w:r>
          </w:p>
        </w:tc>
        <w:tc>
          <w:tcPr>
            <w:tcW w:w="1253" w:type="pct"/>
            <w:shd w:val="clear" w:color="auto" w:fill="auto"/>
            <w:vAlign w:val="center"/>
          </w:tcPr>
          <w:p w14:paraId="6711ACF7" w14:textId="77777777" w:rsidR="00CB2BA9" w:rsidRDefault="00773039" w:rsidP="00773039">
            <w:pPr>
              <w:widowControl/>
              <w:snapToGrid w:val="0"/>
              <w:jc w:val="center"/>
              <w:textAlignment w:val="center"/>
              <w:rPr>
                <w:rFonts w:ascii="Times New Roman" w:eastAsia="SimSun" w:hAnsi="Times New Roman" w:cs="Times New Roman"/>
                <w:b/>
                <w:bCs/>
                <w:color w:val="000000"/>
                <w:sz w:val="28"/>
                <w:szCs w:val="28"/>
                <w:lang w:val="en-US"/>
              </w:rPr>
            </w:pPr>
            <w:r>
              <w:rPr>
                <w:rFonts w:ascii="Times New Roman" w:eastAsia="SimSun" w:hAnsi="Times New Roman" w:cs="Times New Roman"/>
                <w:b/>
                <w:bCs/>
                <w:color w:val="000000"/>
                <w:kern w:val="0"/>
                <w:sz w:val="28"/>
                <w:szCs w:val="28"/>
                <w:lang w:val="en-US" w:bidi="ar"/>
              </w:rPr>
              <w:t>Average Level of Chinese Enterprises</w:t>
            </w:r>
          </w:p>
        </w:tc>
        <w:tc>
          <w:tcPr>
            <w:tcW w:w="1447" w:type="pct"/>
            <w:shd w:val="clear" w:color="auto" w:fill="auto"/>
            <w:vAlign w:val="center"/>
          </w:tcPr>
          <w:p w14:paraId="2C256988" w14:textId="77777777" w:rsidR="00CB2BA9" w:rsidRDefault="00773039" w:rsidP="00773039">
            <w:pPr>
              <w:widowControl/>
              <w:snapToGrid w:val="0"/>
              <w:jc w:val="center"/>
              <w:textAlignment w:val="center"/>
              <w:rPr>
                <w:rFonts w:ascii="Times New Roman" w:eastAsia="SimSun" w:hAnsi="Times New Roman" w:cs="Times New Roman"/>
                <w:b/>
                <w:bCs/>
                <w:color w:val="000000"/>
                <w:sz w:val="28"/>
                <w:szCs w:val="28"/>
                <w:lang w:val="en-US"/>
              </w:rPr>
            </w:pPr>
            <w:r>
              <w:rPr>
                <w:rFonts w:ascii="Times New Roman" w:eastAsia="SimSun" w:hAnsi="Times New Roman" w:cs="Times New Roman"/>
                <w:b/>
                <w:bCs/>
                <w:color w:val="000000"/>
                <w:kern w:val="0"/>
                <w:sz w:val="28"/>
                <w:szCs w:val="28"/>
                <w:lang w:val="en-US" w:bidi="ar"/>
              </w:rPr>
              <w:t>Average Level of International Benchmark Enterprises</w:t>
            </w:r>
          </w:p>
        </w:tc>
        <w:tc>
          <w:tcPr>
            <w:tcW w:w="669" w:type="pct"/>
            <w:shd w:val="clear" w:color="auto" w:fill="auto"/>
            <w:vAlign w:val="center"/>
          </w:tcPr>
          <w:p w14:paraId="324E4C2A" w14:textId="77777777" w:rsidR="00CB2BA9" w:rsidRDefault="00773039" w:rsidP="00773039">
            <w:pPr>
              <w:widowControl/>
              <w:snapToGrid w:val="0"/>
              <w:jc w:val="center"/>
              <w:textAlignment w:val="center"/>
              <w:rPr>
                <w:rFonts w:ascii="Times New Roman" w:eastAsia="SimSun" w:hAnsi="Times New Roman" w:cs="Times New Roman"/>
                <w:b/>
                <w:bCs/>
                <w:color w:val="000000"/>
                <w:sz w:val="28"/>
                <w:szCs w:val="28"/>
                <w:lang w:val="en-US"/>
              </w:rPr>
            </w:pPr>
            <w:r>
              <w:rPr>
                <w:rFonts w:ascii="Times New Roman" w:eastAsia="SimSun" w:hAnsi="Times New Roman" w:cs="Times New Roman"/>
                <w:b/>
                <w:bCs/>
                <w:color w:val="000000"/>
                <w:kern w:val="0"/>
                <w:sz w:val="28"/>
                <w:szCs w:val="28"/>
                <w:lang w:val="en-US" w:bidi="ar"/>
              </w:rPr>
              <w:t>Gap</w:t>
            </w:r>
          </w:p>
        </w:tc>
      </w:tr>
      <w:tr w:rsidR="00CB2BA9" w14:paraId="06C4BE47" w14:textId="77777777">
        <w:trPr>
          <w:trHeight w:val="436"/>
        </w:trPr>
        <w:tc>
          <w:tcPr>
            <w:tcW w:w="1630" w:type="pct"/>
            <w:shd w:val="clear" w:color="auto" w:fill="auto"/>
            <w:vAlign w:val="center"/>
          </w:tcPr>
          <w:p w14:paraId="4AB6C6A4" w14:textId="77777777" w:rsidR="00CB2BA9" w:rsidRDefault="00773039" w:rsidP="00773039">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Asset-Liability Ratio (%)</w:t>
            </w:r>
          </w:p>
        </w:tc>
        <w:tc>
          <w:tcPr>
            <w:tcW w:w="1253" w:type="pct"/>
            <w:shd w:val="clear" w:color="auto" w:fill="auto"/>
            <w:vAlign w:val="center"/>
          </w:tcPr>
          <w:p w14:paraId="60EF5E7D"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56.5</w:t>
            </w:r>
          </w:p>
        </w:tc>
        <w:tc>
          <w:tcPr>
            <w:tcW w:w="1447" w:type="pct"/>
            <w:shd w:val="clear" w:color="auto" w:fill="auto"/>
            <w:vAlign w:val="center"/>
          </w:tcPr>
          <w:p w14:paraId="5A08CFB4"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46.3</w:t>
            </w:r>
          </w:p>
        </w:tc>
        <w:tc>
          <w:tcPr>
            <w:tcW w:w="669" w:type="pct"/>
            <w:shd w:val="clear" w:color="auto" w:fill="auto"/>
            <w:vAlign w:val="center"/>
          </w:tcPr>
          <w:p w14:paraId="1F15149E"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10.2</w:t>
            </w:r>
          </w:p>
        </w:tc>
      </w:tr>
      <w:tr w:rsidR="00CB2BA9" w14:paraId="5A27B1A9" w14:textId="77777777">
        <w:trPr>
          <w:trHeight w:val="544"/>
        </w:trPr>
        <w:tc>
          <w:tcPr>
            <w:tcW w:w="1630" w:type="pct"/>
            <w:shd w:val="clear" w:color="auto" w:fill="auto"/>
            <w:vAlign w:val="center"/>
          </w:tcPr>
          <w:p w14:paraId="44C46B35" w14:textId="77777777" w:rsidR="00CB2BA9" w:rsidRDefault="00773039" w:rsidP="00773039">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Total Asset Turnover (times/year)</w:t>
            </w:r>
          </w:p>
        </w:tc>
        <w:tc>
          <w:tcPr>
            <w:tcW w:w="1253" w:type="pct"/>
            <w:shd w:val="clear" w:color="auto" w:fill="auto"/>
            <w:vAlign w:val="center"/>
          </w:tcPr>
          <w:p w14:paraId="3E5199AF"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0.91</w:t>
            </w:r>
          </w:p>
        </w:tc>
        <w:tc>
          <w:tcPr>
            <w:tcW w:w="1447" w:type="pct"/>
            <w:shd w:val="clear" w:color="auto" w:fill="auto"/>
            <w:vAlign w:val="center"/>
          </w:tcPr>
          <w:p w14:paraId="5B81A8B6"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1.34</w:t>
            </w:r>
          </w:p>
        </w:tc>
        <w:tc>
          <w:tcPr>
            <w:tcW w:w="669" w:type="pct"/>
            <w:shd w:val="clear" w:color="auto" w:fill="auto"/>
            <w:vAlign w:val="center"/>
          </w:tcPr>
          <w:p w14:paraId="18323BAA"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-0.43</w:t>
            </w:r>
          </w:p>
        </w:tc>
      </w:tr>
      <w:tr w:rsidR="00CB2BA9" w14:paraId="39CA67CB" w14:textId="77777777">
        <w:trPr>
          <w:trHeight w:val="544"/>
        </w:trPr>
        <w:tc>
          <w:tcPr>
            <w:tcW w:w="1630" w:type="pct"/>
            <w:shd w:val="clear" w:color="auto" w:fill="auto"/>
            <w:vAlign w:val="center"/>
          </w:tcPr>
          <w:p w14:paraId="3FD7967B" w14:textId="77777777" w:rsidR="00CB2BA9" w:rsidRDefault="00773039" w:rsidP="00773039">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Inventory Turnover (times/year)</w:t>
            </w:r>
          </w:p>
        </w:tc>
        <w:tc>
          <w:tcPr>
            <w:tcW w:w="1253" w:type="pct"/>
            <w:shd w:val="clear" w:color="auto" w:fill="auto"/>
            <w:vAlign w:val="center"/>
          </w:tcPr>
          <w:p w14:paraId="4CB4D0B6"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4.2</w:t>
            </w:r>
          </w:p>
        </w:tc>
        <w:tc>
          <w:tcPr>
            <w:tcW w:w="1447" w:type="pct"/>
            <w:shd w:val="clear" w:color="auto" w:fill="auto"/>
            <w:vAlign w:val="center"/>
          </w:tcPr>
          <w:p w14:paraId="4FB7C2C3"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5.8</w:t>
            </w:r>
          </w:p>
        </w:tc>
        <w:tc>
          <w:tcPr>
            <w:tcW w:w="669" w:type="pct"/>
            <w:shd w:val="clear" w:color="auto" w:fill="auto"/>
            <w:vAlign w:val="center"/>
          </w:tcPr>
          <w:p w14:paraId="57B79B37"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-1.6</w:t>
            </w:r>
          </w:p>
        </w:tc>
      </w:tr>
      <w:tr w:rsidR="00CB2BA9" w14:paraId="632CC333" w14:textId="77777777">
        <w:trPr>
          <w:trHeight w:val="652"/>
        </w:trPr>
        <w:tc>
          <w:tcPr>
            <w:tcW w:w="1630" w:type="pct"/>
            <w:shd w:val="clear" w:color="auto" w:fill="auto"/>
            <w:vAlign w:val="center"/>
          </w:tcPr>
          <w:p w14:paraId="24FCB648" w14:textId="77777777" w:rsidR="00CB2BA9" w:rsidRDefault="00773039" w:rsidP="00773039">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Accounts Receivable Turnover (times/year)</w:t>
            </w:r>
          </w:p>
        </w:tc>
        <w:tc>
          <w:tcPr>
            <w:tcW w:w="1253" w:type="pct"/>
            <w:shd w:val="clear" w:color="auto" w:fill="auto"/>
            <w:vAlign w:val="center"/>
          </w:tcPr>
          <w:p w14:paraId="0DE9B257"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5.8</w:t>
            </w:r>
          </w:p>
        </w:tc>
        <w:tc>
          <w:tcPr>
            <w:tcW w:w="1447" w:type="pct"/>
            <w:shd w:val="clear" w:color="auto" w:fill="auto"/>
            <w:vAlign w:val="center"/>
          </w:tcPr>
          <w:p w14:paraId="596B6056"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7.2</w:t>
            </w:r>
          </w:p>
        </w:tc>
        <w:tc>
          <w:tcPr>
            <w:tcW w:w="669" w:type="pct"/>
            <w:shd w:val="clear" w:color="auto" w:fill="auto"/>
            <w:vAlign w:val="center"/>
          </w:tcPr>
          <w:p w14:paraId="075BADF2"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-1.4</w:t>
            </w:r>
          </w:p>
        </w:tc>
      </w:tr>
      <w:tr w:rsidR="00CB2BA9" w14:paraId="588C521F" w14:textId="77777777">
        <w:trPr>
          <w:trHeight w:val="547"/>
        </w:trPr>
        <w:tc>
          <w:tcPr>
            <w:tcW w:w="1630" w:type="pct"/>
            <w:shd w:val="clear" w:color="auto" w:fill="auto"/>
            <w:vAlign w:val="center"/>
          </w:tcPr>
          <w:p w14:paraId="474974C3" w14:textId="77777777" w:rsidR="00CB2BA9" w:rsidRDefault="00773039" w:rsidP="00773039">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Return on Assets (ROA) (%)</w:t>
            </w:r>
          </w:p>
        </w:tc>
        <w:tc>
          <w:tcPr>
            <w:tcW w:w="1253" w:type="pct"/>
            <w:shd w:val="clear" w:color="auto" w:fill="auto"/>
            <w:vAlign w:val="center"/>
          </w:tcPr>
          <w:p w14:paraId="681132A1"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6.5</w:t>
            </w:r>
          </w:p>
        </w:tc>
        <w:tc>
          <w:tcPr>
            <w:tcW w:w="1447" w:type="pct"/>
            <w:shd w:val="clear" w:color="auto" w:fill="auto"/>
            <w:vAlign w:val="center"/>
          </w:tcPr>
          <w:p w14:paraId="76D049DD"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9.8</w:t>
            </w:r>
          </w:p>
        </w:tc>
        <w:tc>
          <w:tcPr>
            <w:tcW w:w="669" w:type="pct"/>
            <w:shd w:val="clear" w:color="auto" w:fill="auto"/>
            <w:vAlign w:val="center"/>
          </w:tcPr>
          <w:p w14:paraId="2FAE9B66" w14:textId="77777777" w:rsidR="00CB2BA9" w:rsidRDefault="00773039" w:rsidP="00773039">
            <w:pPr>
              <w:widowControl/>
              <w:snapToGrid w:val="0"/>
              <w:jc w:val="righ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bidi="ar"/>
              </w:rPr>
              <w:t>-3.3</w:t>
            </w:r>
          </w:p>
        </w:tc>
      </w:tr>
    </w:tbl>
    <w:p w14:paraId="1A3766B3"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As shown in Table 3.1, Chinese enterprises lag behind international benchmarks in all asset management efficiency indicators. Especially in terms of total asset turnover, the gap reaches 0.43 times per year, reflecting that there is still much room for improvement in the operational efficiency of Chinese enterprises' assets. The formation of this gap is related to multiple factors, including property rights system, management philosophy, and technical level.</w:t>
      </w:r>
    </w:p>
    <w:p w14:paraId="5A6BA908"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In-depth research has found that the integration of industry and finance, as an efficient resource allocation method, plays a crucial role in optimizing the allocation of enterprise assets. Through industry-finance coordination, enterprises can effectively reduce financing costs by 25%-35% and increase capital allocation efficiency by more than 40%. This conclusion has been widely recognized in academia.</w:t>
      </w:r>
    </w:p>
    <w:p w14:paraId="6F408719"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The practical case of China National Nuclear Corporation provides strong empirical support for this theory. Against the backdrop of energy transformation, the group put forward the "2035 First-class Strategy" and skillfully used the industry-finance integration strategy to promote industrial upgrading. In terms of industrial </w:t>
      </w:r>
      <w:r>
        <w:rPr>
          <w:rFonts w:ascii="Times New Roman" w:hAnsi="Times New Roman" w:cs="Times New Roman"/>
          <w:sz w:val="28"/>
          <w:szCs w:val="28"/>
          <w:lang w:val="en-US"/>
        </w:rPr>
        <w:lastRenderedPageBreak/>
        <w:t>structure, the group successfully built a diversified pattern with new energy as the main and traditional energy as the supplement. By the end of 2023, the proportion of new energy installed capacity exceeded 50%, and the proportion of clean energy power generation reached 56.84%. At the same time, the group's finance company actively innovated financial products, providing credit support of up to 150 billion yuan for clean energy projects. This series of industry-finance coordination measures not only reduced financing costs by about 2 percentage points, but also greatly accelerated the pace of industrial transformation.</w:t>
      </w:r>
    </w:p>
    <w:p w14:paraId="198BB934"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In the manufacturing sector, innovation-driven development has become the core driving force for improving asset efficiency. Research data clearly shows that the R&amp;D investment intensity of high-tech enterprises is 3.5 times that of traditional manufacturing, and this continuous innovation investment has also brought handsome returns: their return on net assets is on average 45% higher than traditional manufacturing.</w:t>
      </w:r>
    </w:p>
    <w:p w14:paraId="204CC1C1"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Take </w:t>
      </w:r>
      <w:proofErr w:type="spellStart"/>
      <w:r>
        <w:rPr>
          <w:rFonts w:ascii="Times New Roman" w:hAnsi="Times New Roman" w:cs="Times New Roman"/>
          <w:sz w:val="28"/>
          <w:szCs w:val="28"/>
          <w:lang w:val="en-US"/>
        </w:rPr>
        <w:t>Gree</w:t>
      </w:r>
      <w:proofErr w:type="spellEnd"/>
      <w:r>
        <w:rPr>
          <w:rFonts w:ascii="Times New Roman" w:hAnsi="Times New Roman" w:cs="Times New Roman"/>
          <w:sz w:val="28"/>
          <w:szCs w:val="28"/>
          <w:lang w:val="en-US"/>
        </w:rPr>
        <w:t xml:space="preserve"> Electric for example. In 2022, the company's R&amp;D investment reached 8.2 billion yuan, a year-on-year increase of 15%, and it obtained more than 2,000 patents in multiple fields such as variable frequency technology, refrigerant substitution, and fresh air purification. It is precisely because of this spirit of continuous innovation that </w:t>
      </w:r>
      <w:proofErr w:type="spellStart"/>
      <w:r>
        <w:rPr>
          <w:rFonts w:ascii="Times New Roman" w:hAnsi="Times New Roman" w:cs="Times New Roman"/>
          <w:sz w:val="28"/>
          <w:szCs w:val="28"/>
          <w:lang w:val="en-US"/>
        </w:rPr>
        <w:t>Gree</w:t>
      </w:r>
      <w:proofErr w:type="spellEnd"/>
      <w:r>
        <w:rPr>
          <w:rFonts w:ascii="Times New Roman" w:hAnsi="Times New Roman" w:cs="Times New Roman"/>
          <w:sz w:val="28"/>
          <w:szCs w:val="28"/>
          <w:lang w:val="en-US"/>
        </w:rPr>
        <w:t xml:space="preserve"> Electric's revenue profit margin has been maintained at more than 15%, which is 3 times the industry average. Its market share of high-end variable frequency air conditioners has exceeded 40%, successfully breaking the monopoly of foreign brands.</w:t>
      </w:r>
    </w:p>
    <w:p w14:paraId="3BB1D5FE"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Innovation-driven development is not only reflected in technological breakthroughs, but also in management and business model innovations. In recent years, more Chinese enterprises have begun exploring new management models like lean production and Six Sigma to improve asset operational efficiency. Digital transformation is also a key means to enhance asset management efficiency. Through digital technologies, enterprises can achieve real-time monitoring and management of assets, optimize asset utilization and maintenance, and reduce idle rates and loss rates.</w:t>
      </w:r>
    </w:p>
    <w:p w14:paraId="306B32B0"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For example, Alibaba Group has realized efficient management of warehousing, </w:t>
      </w:r>
      <w:r>
        <w:rPr>
          <w:rFonts w:ascii="Times New Roman" w:hAnsi="Times New Roman" w:cs="Times New Roman"/>
          <w:sz w:val="28"/>
          <w:szCs w:val="28"/>
          <w:lang w:val="en-US"/>
        </w:rPr>
        <w:lastRenderedPageBreak/>
        <w:t>logistics, equipment and other assets through its advanced data analytics and intelligent management systems. Using IoT technology, Alibaba can monitor asset status in real-time and conduct predictive maintenance, greatly reducing maintenance costs and failure rates. This innovation-driven asset management model has improved asset utilization and overall competitiveness.</w:t>
      </w:r>
    </w:p>
    <w:p w14:paraId="1B84535F"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With continuous upgrades in the consumer market, service extension has become an inevitable trend for manufacturing enterprises. McKinsey research indicates that service transformation can increase gross margins by 8-12 percentage points and effectively enhance customer stickiness, thereby boosting brand value. Haier Group's service transformation practice is undoubtedly a successful example. Leveraging the </w:t>
      </w:r>
      <w:proofErr w:type="spellStart"/>
      <w:r>
        <w:rPr>
          <w:rFonts w:ascii="Times New Roman" w:hAnsi="Times New Roman" w:cs="Times New Roman"/>
          <w:sz w:val="28"/>
          <w:szCs w:val="28"/>
          <w:lang w:val="en-US"/>
        </w:rPr>
        <w:t>COSMOPlat</w:t>
      </w:r>
      <w:proofErr w:type="spellEnd"/>
      <w:r>
        <w:rPr>
          <w:rFonts w:ascii="Times New Roman" w:hAnsi="Times New Roman" w:cs="Times New Roman"/>
          <w:sz w:val="28"/>
          <w:szCs w:val="28"/>
          <w:lang w:val="en-US"/>
        </w:rPr>
        <w:t xml:space="preserve"> industrial internet platform, the group has connected R&amp;D, procurement, production, marketing and other links, establishing 12,000 service sites covering over 400 cities. This has significantly reduced average service response times from 24 hours to within 4 hours, with customer satisfaction reaching 94%. In 2022, Haier's smart home ecosystem revenue exceeded 71 billion yuan, accounting for over 50% of total revenue. These achievements not only showcase the huge potential of service transformation but also provide valuable reference for other manufacturing enterprises.</w:t>
      </w:r>
    </w:p>
    <w:p w14:paraId="3E7F174A"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The core of service transformation lies in extending product lifecycles and improving customer experience and satisfaction by providing value-added services. Traditional manufacturing enterprises focus on product production and sales while neglecting after-sales service and maintenance. However, with changing consumer demands, more enterprises are realizing that providing comprehensive services including installation, repair, and maintenance can significantly improve customer loyalty and create new revenue sources.</w:t>
      </w:r>
    </w:p>
    <w:p w14:paraId="2CAD3911"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For instance, XCMG has introduced a "full lifecycle equipment service" strategy to provide lifecycle management from equipment sales to scrapping. Through this service, customers can enjoy repair and maintenance at lower costs, while XCMG can obtain continuous revenue through value-added services. This model improves asset management efficiency and customer satisfaction.</w:t>
      </w:r>
    </w:p>
    <w:p w14:paraId="0C730A16"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Although Chinese enterprises have made some progress in asset management </w:t>
      </w:r>
      <w:r>
        <w:rPr>
          <w:rFonts w:ascii="Times New Roman" w:hAnsi="Times New Roman" w:cs="Times New Roman"/>
          <w:sz w:val="28"/>
          <w:szCs w:val="28"/>
          <w:lang w:val="en-US"/>
        </w:rPr>
        <w:lastRenderedPageBreak/>
        <w:t>strategy innovation, especially in industry-finance integration, innovation-driven development, and service transformation, there are still large gaps compared to international benchmarks, with challenges in:</w:t>
      </w:r>
    </w:p>
    <w:p w14:paraId="3456975B"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1. Low asset operation efficiency: As shown in Table 3.1, Chinese enterprises' total asset turnover and other efficiency indicators are generally lower than leading international firms, reflecting room for improvement in asset utilization and allocation.</w:t>
      </w:r>
    </w:p>
    <w:p w14:paraId="78F93BB9"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2. Insufficient technological innovation: Despite breakthroughs by some enterprises, overall R&amp;D intensity and innovation capabilities still lag international leaders. Many enterprises are lacking in R&amp;D and technological innovation, limiting further improvements in asset management efficiency.  </w:t>
      </w:r>
    </w:p>
    <w:p w14:paraId="0C7514DB"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3. Insufficient depth of service transformation: Although some enterprises have begun service transformation, most manufacturing firms' investments and explorations in services are not deep enough. Compared to developed countries, Chinese enterprises have much room for improvement in building customer service systems and providing value-added services.</w:t>
      </w:r>
    </w:p>
    <w:p w14:paraId="02ADD7B9"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4. Lagging management philosophy changes: Some enterprises still adhere to traditional static management models, lacking awareness of dynamic management and preventive maintenance, resulting in low asset utilization and efficiency.</w:t>
      </w:r>
    </w:p>
    <w:p w14:paraId="62399697"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To solve these problems, Chinese enterprises can take the following improvement measures:</w:t>
      </w:r>
    </w:p>
    <w:p w14:paraId="56531C83"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1. Enhance asset operation efficiency: Introduce advanced information management systems like ERP and IoT to achieve refined management of assets and improve utilization and turnover. Optimize asset allocation and reduce idling to further boost operational efficiency. </w:t>
      </w:r>
    </w:p>
    <w:p w14:paraId="4D79AF85"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2. Increase R&amp;D investment and technological innovation capabilities: Enterprises should increase investments in R&amp;D and innovation, especially in key technologies and emerging industries, to improve technological levels and competitiveness. The government can encourage enterprise technological innovation through tax reductions, funding support and other measures to strengthen core competitiveness.</w:t>
      </w:r>
    </w:p>
    <w:p w14:paraId="504F6AAA"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lastRenderedPageBreak/>
        <w:t>3. Deepen service transformation: Manufacturing enterprises should further deepen service transformation by providing more value-added services to improve customer experience and satisfaction. Learn from Haier Group's experience in establishing comprehensive service networks and introducing industrial internet platforms to enhance service quality and efficiency.</w:t>
      </w:r>
    </w:p>
    <w:p w14:paraId="11BBE470"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4. Update management philosophy and introduce dynamic management models: Enterprises should abandon traditional static management concepts and gradually introduce dynamic management and preventive maintenance philosophies. Conduct full lifecycle management of assets to predict and prevent potential problems, reducing failure rates and maintenance costs.</w:t>
      </w:r>
    </w:p>
    <w:p w14:paraId="703746A5"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Analysis of cases like CNNC, </w:t>
      </w:r>
      <w:proofErr w:type="spellStart"/>
      <w:r>
        <w:rPr>
          <w:rFonts w:ascii="Times New Roman" w:hAnsi="Times New Roman" w:cs="Times New Roman"/>
          <w:sz w:val="28"/>
          <w:szCs w:val="28"/>
          <w:lang w:val="en-US"/>
        </w:rPr>
        <w:t>Gree</w:t>
      </w:r>
      <w:proofErr w:type="spellEnd"/>
      <w:r>
        <w:rPr>
          <w:rFonts w:ascii="Times New Roman" w:hAnsi="Times New Roman" w:cs="Times New Roman"/>
          <w:sz w:val="28"/>
          <w:szCs w:val="28"/>
          <w:lang w:val="en-US"/>
        </w:rPr>
        <w:t xml:space="preserve"> Electric, Alibaba, Haier, and XCMG clearly shows the significant progress Chinese enterprises have made in asset management strategy innovation.</w:t>
      </w:r>
    </w:p>
    <w:p w14:paraId="139E1D5B"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Firstly, in industry-finance integration, CNNC's practice provides strong support for this theory. The group proposed the "2035 First-class Strategy", skillfully using industry-finance integration to promote industrial upgrading. It built a diversified energy structure with new energy exceeding 50% of installed capacity and clean energy generation reaching 56.84%. The group's finance company innovated financial products, providing 150 billion yuan in credit support for clean energy projects. These measures reduced financing costs by about 2 percentage points and greatly accelerated industrial transformation, providing a successful example of industry-finance integration in promoting enterprise asset management efficiency.</w:t>
      </w:r>
    </w:p>
    <w:p w14:paraId="33D8F7D0"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Secondly, innovation-driven development is another important means for Chinese enterprises to improve asset management efficiency. </w:t>
      </w:r>
      <w:proofErr w:type="spellStart"/>
      <w:r>
        <w:rPr>
          <w:rFonts w:ascii="Times New Roman" w:hAnsi="Times New Roman" w:cs="Times New Roman"/>
          <w:sz w:val="28"/>
          <w:szCs w:val="28"/>
          <w:lang w:val="en-US"/>
        </w:rPr>
        <w:t>Gree</w:t>
      </w:r>
      <w:proofErr w:type="spellEnd"/>
      <w:r>
        <w:rPr>
          <w:rFonts w:ascii="Times New Roman" w:hAnsi="Times New Roman" w:cs="Times New Roman"/>
          <w:sz w:val="28"/>
          <w:szCs w:val="28"/>
          <w:lang w:val="en-US"/>
        </w:rPr>
        <w:t xml:space="preserve"> Electric's R&amp;D investment reached 8.2 billion yuan in 2022, obtaining over 2,000 patents in variable frequency, refrigerant substitution, fresh air purification and other fields. Relying on this continuous innovation, </w:t>
      </w:r>
      <w:proofErr w:type="spellStart"/>
      <w:r>
        <w:rPr>
          <w:rFonts w:ascii="Times New Roman" w:hAnsi="Times New Roman" w:cs="Times New Roman"/>
          <w:sz w:val="28"/>
          <w:szCs w:val="28"/>
          <w:lang w:val="en-US"/>
        </w:rPr>
        <w:t>Gree's</w:t>
      </w:r>
      <w:proofErr w:type="spellEnd"/>
      <w:r>
        <w:rPr>
          <w:rFonts w:ascii="Times New Roman" w:hAnsi="Times New Roman" w:cs="Times New Roman"/>
          <w:sz w:val="28"/>
          <w:szCs w:val="28"/>
          <w:lang w:val="en-US"/>
        </w:rPr>
        <w:t xml:space="preserve"> revenue profit margin has remained above 15%, 3 times the industry average, with its high-end variable frequency air conditioner market share exceeding 40% and breaking the monopoly of foreign brands. Adhering to innovation-driven development can improve technological levels, product </w:t>
      </w:r>
      <w:r>
        <w:rPr>
          <w:rFonts w:ascii="Times New Roman" w:hAnsi="Times New Roman" w:cs="Times New Roman"/>
          <w:sz w:val="28"/>
          <w:szCs w:val="28"/>
          <w:lang w:val="en-US"/>
        </w:rPr>
        <w:lastRenderedPageBreak/>
        <w:t>competitiveness, and asset operational efficiency.</w:t>
      </w:r>
    </w:p>
    <w:p w14:paraId="25A7B28B"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Again, digital transformation is another path worthy of attention. Alibaba Group is a good example. Through advanced big data analysis capabilities and intelligent management systems, Alibaba has achieved efficient management of assets such as warehousing, logistics, and equipment. Using IoT technology to monitor various assets in real time and carry out preventive maintenance has greatly reduced the maintenance cost and failure rate of assets. It can be said that digitalization is not only a technical means, but also represents an innovation in management concepts. Examining and optimizing the asset allocation of enterprises from a digital perspective will surely become the general trend of enterprise asset management in the future.</w:t>
      </w:r>
    </w:p>
    <w:p w14:paraId="2D793904"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In addition, with the continuous upgrading of the consumer market, service transformation has become an inevitable choice for manufacturing companies. Haier Group's </w:t>
      </w:r>
      <w:proofErr w:type="spellStart"/>
      <w:r>
        <w:rPr>
          <w:rFonts w:ascii="Times New Roman" w:hAnsi="Times New Roman" w:cs="Times New Roman"/>
          <w:sz w:val="28"/>
          <w:szCs w:val="28"/>
          <w:lang w:val="en-US"/>
        </w:rPr>
        <w:t>COSMOPlat</w:t>
      </w:r>
      <w:proofErr w:type="spellEnd"/>
      <w:r>
        <w:rPr>
          <w:rFonts w:ascii="Times New Roman" w:hAnsi="Times New Roman" w:cs="Times New Roman"/>
          <w:sz w:val="28"/>
          <w:szCs w:val="28"/>
          <w:lang w:val="en-US"/>
        </w:rPr>
        <w:t xml:space="preserve"> industrial Internet platform not only opens up the entire chain of R&amp;D, procurement, production, marketing, etc., but also establishes a huge service network covering more than 400 cities. The average service response time has been shortened from 24 hours to less than 4 hours, and customer satisfaction is as high as 94%. What is even more remarkable is that Haier's smart home ecosystem revenue has exceeded 71 billion yuan in 2022, accounting for more than 50% of total revenue. It can be seen that service-oriented transformation can not only improve customer experience and enhance brand loyalty, but also open up new profit growth points and achieve the transition from selling products to selling services.</w:t>
      </w:r>
    </w:p>
    <w:p w14:paraId="1E8D22F9"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Finally, it should be pointed out that another major significance of service-oriented transformation is that it can effectively extend the product life cycle and improve asset utilization. XCMG Group's "equipment full life cycle service" strategy is a prominent representative. By providing customers with a full range of management services from equipment sales to scrapping, customers can enjoy high-quality maintenance at a lower cost, while enterprises can obtain continuous and stable service income. This not only improves the management efficiency of assets, but also creates a new model for the service-oriented transformation of the manufacturing industry.</w:t>
      </w:r>
    </w:p>
    <w:p w14:paraId="2783801A"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In summary, from the industrial and financial integration of China National </w:t>
      </w:r>
      <w:r>
        <w:rPr>
          <w:rFonts w:ascii="Times New Roman" w:hAnsi="Times New Roman" w:cs="Times New Roman"/>
          <w:sz w:val="28"/>
          <w:szCs w:val="28"/>
          <w:lang w:val="en-US"/>
        </w:rPr>
        <w:lastRenderedPageBreak/>
        <w:t xml:space="preserve">Nuclear Corporation, to the innovation-driven development of </w:t>
      </w:r>
      <w:proofErr w:type="spellStart"/>
      <w:r>
        <w:rPr>
          <w:rFonts w:ascii="Times New Roman" w:hAnsi="Times New Roman" w:cs="Times New Roman"/>
          <w:sz w:val="28"/>
          <w:szCs w:val="28"/>
          <w:lang w:val="en-US"/>
        </w:rPr>
        <w:t>Gree</w:t>
      </w:r>
      <w:proofErr w:type="spellEnd"/>
      <w:r>
        <w:rPr>
          <w:rFonts w:ascii="Times New Roman" w:hAnsi="Times New Roman" w:cs="Times New Roman"/>
          <w:sz w:val="28"/>
          <w:szCs w:val="28"/>
          <w:lang w:val="en-US"/>
        </w:rPr>
        <w:t xml:space="preserve"> Electric Appliances, to the digital transformation of Alibaba, and the service-oriented exploration of Haier, XCMG and other companies, we can clearly see that Chinese companies are constantly breaking through and surpassing on the road of asset management strategy with an open mind and the courage to innovate. These vivid practices undoubtedly provide rich case support for theoretical research and set benchmarks and directions for more companies.</w:t>
      </w:r>
    </w:p>
    <w:p w14:paraId="7AD63085" w14:textId="77777777" w:rsidR="00CB2BA9" w:rsidRDefault="00CB2BA9">
      <w:pPr>
        <w:snapToGrid w:val="0"/>
        <w:ind w:firstLineChars="200" w:firstLine="562"/>
        <w:outlineLvl w:val="1"/>
        <w:rPr>
          <w:rFonts w:ascii="Times New Roman" w:hAnsi="Times New Roman" w:cs="Times New Roman"/>
          <w:b/>
          <w:bCs/>
          <w:sz w:val="28"/>
          <w:szCs w:val="28"/>
        </w:rPr>
      </w:pPr>
    </w:p>
    <w:p w14:paraId="06105EAC" w14:textId="77777777" w:rsidR="00CB2BA9" w:rsidRDefault="00CB2BA9">
      <w:pPr>
        <w:snapToGrid w:val="0"/>
        <w:spacing w:line="360" w:lineRule="auto"/>
        <w:outlineLvl w:val="1"/>
        <w:rPr>
          <w:rFonts w:ascii="Times New Roman" w:hAnsi="Times New Roman" w:cs="Times New Roman"/>
          <w:b/>
          <w:bCs/>
          <w:sz w:val="28"/>
          <w:szCs w:val="28"/>
        </w:rPr>
      </w:pPr>
    </w:p>
    <w:p w14:paraId="3D0CA5CE" w14:textId="77777777" w:rsidR="00CB2BA9" w:rsidRDefault="00773039" w:rsidP="00773039">
      <w:pPr>
        <w:snapToGrid w:val="0"/>
        <w:spacing w:line="360" w:lineRule="auto"/>
        <w:ind w:firstLine="709"/>
        <w:outlineLvl w:val="1"/>
        <w:rPr>
          <w:rFonts w:ascii="Times New Roman" w:hAnsi="Times New Roman" w:cs="Times New Roman"/>
          <w:b/>
          <w:bCs/>
          <w:sz w:val="28"/>
          <w:szCs w:val="28"/>
        </w:rPr>
      </w:pPr>
      <w:bookmarkStart w:id="16" w:name="_Toc7026"/>
      <w:r>
        <w:rPr>
          <w:rFonts w:ascii="Times New Roman" w:hAnsi="Times New Roman" w:cs="Times New Roman"/>
          <w:b/>
          <w:bCs/>
          <w:sz w:val="28"/>
          <w:szCs w:val="28"/>
        </w:rPr>
        <w:t>3.2. Technologies and methodologies for optimizing asset management in the Chinese context</w:t>
      </w:r>
      <w:bookmarkEnd w:id="16"/>
    </w:p>
    <w:p w14:paraId="2941A7F4" w14:textId="77777777" w:rsidR="00CB2BA9" w:rsidRDefault="00CB2BA9" w:rsidP="00773039">
      <w:pPr>
        <w:snapToGrid w:val="0"/>
        <w:spacing w:line="360" w:lineRule="auto"/>
        <w:ind w:firstLine="709"/>
        <w:rPr>
          <w:rFonts w:ascii="Times New Roman" w:hAnsi="Times New Roman" w:cs="Times New Roman"/>
          <w:sz w:val="28"/>
          <w:szCs w:val="28"/>
        </w:rPr>
      </w:pPr>
    </w:p>
    <w:p w14:paraId="56D5067E"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 above analysis shows that Chinese companies still have a gap with international leading companies in terms of asset management quality, efficiency and digital level. With the deepening of the new round of scientific and technological revolution and industrial transformation, emerging technologies are accelerating their penetration, providing important support for the transformation and upgrading of corporate asset management. Chinese companies should seize this historical opportunity to promote digital and intelligent transformation.</w:t>
      </w:r>
    </w:p>
    <w:p w14:paraId="4566FB3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1. </w:t>
      </w:r>
      <w:r>
        <w:rPr>
          <w:rFonts w:ascii="Times New Roman" w:hAnsi="Times New Roman" w:cs="Times New Roman"/>
          <w:sz w:val="28"/>
          <w:szCs w:val="28"/>
        </w:rPr>
        <w:t>Digital transformation drives innovation in asset management</w:t>
      </w:r>
    </w:p>
    <w:p w14:paraId="1AC07F51"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The deep integration of digital technology and the real economy is rapidly becoming the core driving force for reshaping industrial </w:t>
      </w:r>
      <w:proofErr w:type="gramStart"/>
      <w:r>
        <w:rPr>
          <w:rFonts w:ascii="Times New Roman" w:hAnsi="Times New Roman" w:cs="Times New Roman"/>
          <w:sz w:val="28"/>
          <w:szCs w:val="28"/>
          <w:lang w:val="en-US"/>
        </w:rPr>
        <w:t>competitiveness[</w:t>
      </w:r>
      <w:proofErr w:type="gramEnd"/>
      <w:r>
        <w:rPr>
          <w:rFonts w:ascii="Times New Roman" w:hAnsi="Times New Roman" w:cs="Times New Roman"/>
          <w:sz w:val="28"/>
          <w:szCs w:val="28"/>
          <w:lang w:val="en-US"/>
        </w:rPr>
        <w:t>80]. According to research, successful digital transformation can bring a 30% to 50% efficiency leap to enterprises, which is of immeasurable value in improving asset management. In this context, the industrial Internet, as a new generation of information infrastructure, is accelerating the profound transformation of production methods and enterprise forms with its ability to fully connect people, machines and things. Some experts predict that by 2025, the market size of China's industrial Internet is expected to exceed 1 trillion yuan, and the average annual compound growth rate will remain above 25</w:t>
      </w:r>
      <w:proofErr w:type="gramStart"/>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81].</w:t>
      </w:r>
    </w:p>
    <w:p w14:paraId="65E11672"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Sany Group's "Genyun" platform is a vivid example of the remarkable results achieved by digital transformation in the field of asset management. The platform ingeniously implants new sensors on core equipment such as excavators and cranes, realizing real-time collection and monitoring of hundreds of key operating parameters such as equipment oil volume, working hours, hydraulic system status, engine speed, etc. Relying on the self-developed deep learning algorithm, the "Genyun" platform has established an equipment health prediction model that can accurately warn of potential failures 7 to 15 days in advance and accurately predict the remaining service life of key components. This series of digital transformation measures has enabled Sany Group to achieve remarkable results: the equipment failure rate has been reduced by 32% compared with the traditional model, the maintenance response time has been greatly shortened from an average of 48 hours to 22 hours, and the average annual maintenance cost has been saved by more than 250 million </w:t>
      </w:r>
      <w:proofErr w:type="gramStart"/>
      <w:r>
        <w:rPr>
          <w:rFonts w:ascii="Times New Roman" w:hAnsi="Times New Roman" w:cs="Times New Roman"/>
          <w:sz w:val="28"/>
          <w:szCs w:val="28"/>
          <w:lang w:val="en-US"/>
        </w:rPr>
        <w:t>yuan[</w:t>
      </w:r>
      <w:proofErr w:type="gramEnd"/>
      <w:r>
        <w:rPr>
          <w:rFonts w:ascii="Times New Roman" w:hAnsi="Times New Roman" w:cs="Times New Roman"/>
          <w:sz w:val="28"/>
          <w:szCs w:val="28"/>
          <w:lang w:val="en-US"/>
        </w:rPr>
        <w:t xml:space="preserve">82]. This case, in line with the Haier </w:t>
      </w:r>
      <w:proofErr w:type="spellStart"/>
      <w:r>
        <w:rPr>
          <w:rFonts w:ascii="Times New Roman" w:hAnsi="Times New Roman" w:cs="Times New Roman"/>
          <w:sz w:val="28"/>
          <w:szCs w:val="28"/>
          <w:lang w:val="en-US"/>
        </w:rPr>
        <w:t>COSMOPlat</w:t>
      </w:r>
      <w:proofErr w:type="spellEnd"/>
      <w:r>
        <w:rPr>
          <w:rFonts w:ascii="Times New Roman" w:hAnsi="Times New Roman" w:cs="Times New Roman"/>
          <w:sz w:val="28"/>
          <w:szCs w:val="28"/>
          <w:lang w:val="en-US"/>
        </w:rPr>
        <w:t xml:space="preserve"> platform mentioned above, together demonstrates the huge potential of digital transformation in improving asset operation efficiency.</w:t>
      </w:r>
    </w:p>
    <w:p w14:paraId="07271352"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Sinopec's intelligent manufacturing transformation shows us the innovative exploration of process industries on the road to digital transformation. Take Shanghai Petrochemical as an example. The company has invested more than 1 billion yuan to fully promote the digital transformation project. The focus of the transformation is on high-risk and high-value core equipment such as refining and ethylene. By deploying smart sensors on </w:t>
      </w:r>
      <w:proofErr w:type="gramStart"/>
      <w:r>
        <w:rPr>
          <w:rFonts w:ascii="Times New Roman" w:hAnsi="Times New Roman" w:cs="Times New Roman"/>
          <w:sz w:val="28"/>
          <w:szCs w:val="28"/>
          <w:lang w:val="en-US"/>
        </w:rPr>
        <w:t>these key equipment</w:t>
      </w:r>
      <w:proofErr w:type="gramEnd"/>
      <w:r>
        <w:rPr>
          <w:rFonts w:ascii="Times New Roman" w:hAnsi="Times New Roman" w:cs="Times New Roman"/>
          <w:sz w:val="28"/>
          <w:szCs w:val="28"/>
          <w:lang w:val="en-US"/>
        </w:rPr>
        <w:t>, a "digital passport" is established for each equipment, realizing 24-hour uninterrupted online monitoring of equipment status. At the same time, the company has also built an industrial Internet platform to break through the data barriers between production equipment and build a digital management and control system covering the entire process of production, warehousing and logistics. In addition, Shanghai Petrochemical has also been innovative and introduced cutting-edge technologies such as VR/AR and digital twins. It has successfully developed a three-dimensional visualization system for hazardous chemical processes and realized virtual simulation and remote monitoring of high-risk processes.</w:t>
      </w:r>
    </w:p>
    <w:p w14:paraId="011CE697" w14:textId="77777777" w:rsidR="00CB2BA9" w:rsidRDefault="00773039">
      <w:pPr>
        <w:snapToGrid w:val="0"/>
        <w:spacing w:line="360" w:lineRule="auto"/>
        <w:ind w:firstLineChars="200" w:firstLine="562"/>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Figure</w:t>
      </w:r>
      <w:r>
        <w:rPr>
          <w:rFonts w:ascii="Times New Roman" w:hAnsi="Times New Roman" w:cs="Times New Roman" w:hint="eastAsia"/>
          <w:b/>
          <w:bCs/>
          <w:sz w:val="28"/>
          <w:szCs w:val="28"/>
          <w:lang w:val="en-US"/>
        </w:rPr>
        <w:t>3.</w:t>
      </w:r>
      <w:r>
        <w:rPr>
          <w:rFonts w:ascii="Times New Roman" w:hAnsi="Times New Roman" w:cs="Times New Roman"/>
          <w:b/>
          <w:bCs/>
          <w:sz w:val="28"/>
          <w:szCs w:val="28"/>
          <w:lang w:val="en-US"/>
        </w:rPr>
        <w:t>1</w:t>
      </w:r>
      <w:r>
        <w:rPr>
          <w:rFonts w:ascii="Times New Roman" w:hAnsi="Times New Roman" w:cs="Times New Roman" w:hint="eastAsia"/>
          <w:b/>
          <w:bCs/>
          <w:sz w:val="28"/>
          <w:szCs w:val="28"/>
          <w:lang w:val="en-US"/>
        </w:rPr>
        <w:t>.</w:t>
      </w:r>
      <w:r>
        <w:rPr>
          <w:rFonts w:ascii="Times New Roman" w:hAnsi="Times New Roman" w:cs="Times New Roman"/>
          <w:b/>
          <w:bCs/>
          <w:sz w:val="28"/>
          <w:szCs w:val="28"/>
          <w:lang w:val="en-US"/>
        </w:rPr>
        <w:t>Key Performance Indicators Before and After Digital Transformation</w:t>
      </w:r>
    </w:p>
    <w:p w14:paraId="4CC6F25E" w14:textId="77777777" w:rsidR="00CB2BA9" w:rsidRDefault="00773039">
      <w:p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114300" distR="114300" wp14:anchorId="2A8AEA5F" wp14:editId="2E4E0E50">
            <wp:extent cx="5303520" cy="3169920"/>
            <wp:effectExtent l="0" t="0" r="0" b="0"/>
            <wp:docPr id="4" name="图片 4" descr="1731952265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731952265568"/>
                    <pic:cNvPicPr>
                      <a:picLocks noChangeAspect="1"/>
                    </pic:cNvPicPr>
                  </pic:nvPicPr>
                  <pic:blipFill>
                    <a:blip r:embed="rId14"/>
                    <a:stretch>
                      <a:fillRect/>
                    </a:stretch>
                  </pic:blipFill>
                  <pic:spPr>
                    <a:xfrm>
                      <a:off x="0" y="0"/>
                      <a:ext cx="5303520" cy="3169920"/>
                    </a:xfrm>
                    <a:prstGeom prst="rect">
                      <a:avLst/>
                    </a:prstGeom>
                  </pic:spPr>
                </pic:pic>
              </a:graphicData>
            </a:graphic>
          </wp:inline>
        </w:drawing>
      </w:r>
    </w:p>
    <w:p w14:paraId="074CCCE1" w14:textId="77777777" w:rsidR="00CB2BA9" w:rsidRDefault="00CB2BA9">
      <w:pPr>
        <w:snapToGrid w:val="0"/>
        <w:spacing w:line="360" w:lineRule="auto"/>
        <w:ind w:firstLineChars="200" w:firstLine="560"/>
        <w:rPr>
          <w:rFonts w:ascii="Times New Roman" w:hAnsi="Times New Roman" w:cs="Times New Roman"/>
          <w:sz w:val="28"/>
          <w:szCs w:val="28"/>
          <w:lang w:val="en-US"/>
        </w:rPr>
      </w:pPr>
    </w:p>
    <w:p w14:paraId="285C92AE" w14:textId="77777777" w:rsidR="00CB2BA9" w:rsidRDefault="00773039" w:rsidP="00773039">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sz w:val="28"/>
          <w:szCs w:val="28"/>
          <w:lang w:val="en-US"/>
        </w:rPr>
        <w:t xml:space="preserve">As shown in Figure </w:t>
      </w:r>
      <w:r>
        <w:rPr>
          <w:rFonts w:ascii="Times New Roman" w:hAnsi="Times New Roman" w:cs="Times New Roman" w:hint="eastAsia"/>
          <w:sz w:val="28"/>
          <w:szCs w:val="28"/>
          <w:lang w:val="en-US"/>
        </w:rPr>
        <w:t>3.</w:t>
      </w:r>
      <w:r>
        <w:rPr>
          <w:rFonts w:ascii="Times New Roman" w:hAnsi="Times New Roman" w:cs="Times New Roman"/>
          <w:sz w:val="28"/>
          <w:szCs w:val="28"/>
          <w:lang w:val="en-US"/>
        </w:rPr>
        <w:t>1, both Sany Group and Shanghai Petrochemical have achieved significant improvements in equipment management efficiency through digital transformation. The data shows that Sany Group reduced its equipment failure rate by 32% and shortened maintenance response time from 48 hours to 22 hours, while Shanghai Petrochemical achieved an 8% reduction in energy consumption and over 20% decrease in core equipment failure rate. These metrics clearly demonstrate that digital transformation not only enhances operational efficiency but also significantly reduces operational costs, creating substantial economic benefits for enterprises. The implementation of these measures has enabled Shanghai Petrochemical to achieve breakthrough progress in many aspects: the energy consumption of the equipment has been reduced by 8% compared with before the transformation, the failure rate of core equipment has been reduced by more than 20%, and major safety accidents have been achieved [83]. These impressive achievements undoubtedly provide strong support for the views expressed in Chapter 2 - digital transformation has become a key path to improving asset management levels.</w:t>
      </w:r>
    </w:p>
    <w:p w14:paraId="0273E6DF"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2. </w:t>
      </w:r>
      <w:r>
        <w:rPr>
          <w:rFonts w:ascii="Times New Roman" w:hAnsi="Times New Roman" w:cs="Times New Roman"/>
          <w:sz w:val="28"/>
          <w:szCs w:val="28"/>
        </w:rPr>
        <w:t>Big data enables precise resource allocation</w:t>
      </w:r>
    </w:p>
    <w:p w14:paraId="336C9B5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As the core driving force of the new round of industrial revolution, big data is profoundly reshaping the enterprise resource allocation model. Studies have shown that the effective use of big data analysis can increase the accuracy of enterprise decision-making by 35%-45% and improve resource allocation efficiency by more than 30%. Against the backdrop of the booming global digital economy, Chinese companies are accelerating the layout of big data applications and exploring new data-driven precision management models.</w:t>
      </w:r>
    </w:p>
    <w:p w14:paraId="688FC6B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innovative practice of Haier's </w:t>
      </w:r>
      <w:proofErr w:type="spellStart"/>
      <w:r>
        <w:rPr>
          <w:rFonts w:ascii="Times New Roman" w:hAnsi="Times New Roman" w:cs="Times New Roman"/>
          <w:sz w:val="28"/>
          <w:szCs w:val="28"/>
        </w:rPr>
        <w:t>COSMOPlat</w:t>
      </w:r>
      <w:proofErr w:type="spellEnd"/>
      <w:r>
        <w:rPr>
          <w:rFonts w:ascii="Times New Roman" w:hAnsi="Times New Roman" w:cs="Times New Roman"/>
          <w:sz w:val="28"/>
          <w:szCs w:val="28"/>
        </w:rPr>
        <w:t xml:space="preserve"> platform is particularly eye-catching. The platform has successfully connected thousands of industrial enterprises in 15 key industries, processing an average of more than 100TB of data per day, and building a data ecosystem covering the entire value chain including design, production, management, and services. The platform uses the self-developed COSMO IoT operating system to create a digital twin system to capture and analyze user personalized needs in real time. On this basis, a data closed loop from user to production is established: first, AI algorithms are used to accurately profile user needs, then demand data is transmitted to the R&amp;D team in real time for product customization design, and finally on-demand production is achieved through a flexible manufacturing system. This model has achieved remarkable results: the high-end brand </w:t>
      </w:r>
      <w:proofErr w:type="spellStart"/>
      <w:r>
        <w:rPr>
          <w:rFonts w:ascii="Times New Roman" w:hAnsi="Times New Roman" w:cs="Times New Roman"/>
          <w:sz w:val="28"/>
          <w:szCs w:val="28"/>
        </w:rPr>
        <w:t>Casarte</w:t>
      </w:r>
      <w:proofErr w:type="spellEnd"/>
      <w:r>
        <w:rPr>
          <w:rFonts w:ascii="Times New Roman" w:hAnsi="Times New Roman" w:cs="Times New Roman"/>
          <w:sz w:val="28"/>
          <w:szCs w:val="28"/>
        </w:rPr>
        <w:t xml:space="preserve"> has achieved 100% C2M model transformation by 2023, the small batch customization production cycle has been shortened from the traditional 45 days to 15 days, the product first-time delivery qualification rate has increased to 98%, and user satisfaction has reached 94.5% [84].</w:t>
      </w:r>
    </w:p>
    <w:p w14:paraId="6EC6A20F"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SAIC Motor’s big data application in the automotive industry is also remarkable. The group’s self-developed Internet of Vehicles big data platform adopts an advanced “cloud data + edge computing” two-layer architecture and deploys more than 1,000 edge computing nodes, which can collect and analyze driving data of more than 10 million vehicles in real time. The platform innovatively establishes a multi-dimensional data analysis model: in the product development stage, through deep learning of driving conditions, user habits, vehicle performance and other data, it forms an accurate digital portrait of the vehicle model, effectively guides the optimization of </w:t>
      </w:r>
      <w:r>
        <w:rPr>
          <w:rFonts w:ascii="Times New Roman" w:hAnsi="Times New Roman" w:cs="Times New Roman"/>
          <w:sz w:val="28"/>
          <w:szCs w:val="28"/>
        </w:rPr>
        <w:lastRenderedPageBreak/>
        <w:t>vehicle design, and shortens the development cycle of new models by 30%; in the production and manufacturing stage, based on real-time data analysis, it optimizes production scheduling and improves production line efficiency by 25%; in the marketing and service stage, it relies on user portraits for precision marketing, and the customer acquisition rate of new cars within three months of listing is 20% higher than the traditional model, and the response speed of after-sales service is increased by 45%[85].</w:t>
      </w:r>
    </w:p>
    <w:p w14:paraId="5543FBE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These innovative practices show that big data is becoming a key tool to improve the efficiency of corporate asset allocation. Through data-driven intelligent decision-making, enterprises can more accurately match supply and demand, optimize resource allocation, and improve operational efficiency, effectively solving the problem of low asset allocation efficiency of Chinese enterprises mentioned above. In the future, with the continuous advancement of data technology and the continuous expansion of application scenarios, big data will inject stronger impetus into the transformation and upgrading of Chinese corporate asset management.</w:t>
      </w:r>
    </w:p>
    <w:p w14:paraId="2C23C0D5"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3. </w:t>
      </w:r>
      <w:r>
        <w:rPr>
          <w:rFonts w:ascii="Times New Roman" w:hAnsi="Times New Roman" w:cs="Times New Roman"/>
          <w:sz w:val="28"/>
          <w:szCs w:val="28"/>
        </w:rPr>
        <w:t>Artificial intelligence helps improve quality and efficiency across the board</w:t>
      </w:r>
    </w:p>
    <w:p w14:paraId="72A9852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response to the asset quality improvement challenges mentioned above, artificial intelligence technology is gradually showing its strong potential as a systematic solution. Relevant research shows that in the field of asset management, the application of artificial intelligence can significantly improve the accuracy of equipment failure prediction by as much as 40% to 60%, and effectively reduce operation and maintenance costs by 25% to 35%. At present, many Chinese companies are actively embracing AI technology and deeply integrating it into the management of the entire life cycle of equipment, achieving remarkable results.</w:t>
      </w:r>
    </w:p>
    <w:p w14:paraId="6C65A72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 State Grid Corporation of China is undoubtedly a typical case worth learning from in terms of intelligent management of power transmission and transformation equipment. The company invested more than 500 million yuan to independently develop a state intelligent diagnosis system, thus building a complete intelligent asset management solution. This system pioneered the application of deep learning algorithms to the health assessment of power transmission and transformation </w:t>
      </w:r>
      <w:r>
        <w:rPr>
          <w:rFonts w:ascii="Times New Roman" w:hAnsi="Times New Roman" w:cs="Times New Roman"/>
          <w:sz w:val="28"/>
          <w:szCs w:val="28"/>
        </w:rPr>
        <w:lastRenderedPageBreak/>
        <w:t xml:space="preserve">equipment. By comprehensively analyzing multi-dimensional data such as gas components dissolved in transformer oil, partial discharge characteristics, and core vibration, it established an assessment model for the health status of equipment. At the same time, the system also uses image recognition technology to realize automatic analysis of infrared temperature measurement data and meter readings. Based on rich historical operation data, the system further trained a prediction model that can accurately assess the remaining life of key equipment, and its prediction accuracy has reached more than 90%. At present, the system has been fully promoted in 27 provincial power companies, successfully covering 100,000 core equipment including transformers and circuit breakers, and has achieved remarkable results: the planned maintenance time of equipment has been reduced by 40%, the maintenance efficiency has been improved by 30%, and the annual maintenance cost has been saved by more than 300 million </w:t>
      </w:r>
      <w:proofErr w:type="gramStart"/>
      <w:r>
        <w:rPr>
          <w:rFonts w:ascii="Times New Roman" w:hAnsi="Times New Roman" w:cs="Times New Roman"/>
          <w:sz w:val="28"/>
          <w:szCs w:val="28"/>
        </w:rPr>
        <w:t>yuan[</w:t>
      </w:r>
      <w:proofErr w:type="gramEnd"/>
      <w:r>
        <w:rPr>
          <w:rFonts w:ascii="Times New Roman" w:hAnsi="Times New Roman" w:cs="Times New Roman"/>
          <w:sz w:val="28"/>
          <w:szCs w:val="28"/>
        </w:rPr>
        <w:t>86].</w:t>
      </w:r>
    </w:p>
    <w:p w14:paraId="12CA140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On the other hand, XCMG's AMIX intelligent IoT platform demonstrates another innovative application of AI technology in the field of equipment manufacturing. Relying on advanced IoT architecture, the platform deploys tens of thousands of intelligent sensors, thereby realizing comprehensive monitoring of the real-time status of equipment such as excavators and cranes. On this basis, the platform innovatively uses machine learning algorithms for intelligent diagnosis. By analyzing multi-dimensional data such as engine speed, hydraulic system pressure, and operating conditions, it can accurately identify abnormal conditions of equipment. At the same time, the platform has also established a component life prediction model based on deep learning, which can warn of potential failures 7 to 15 days in advance. As of 2023, the platform has covered hundreds of main products in seven categories of XCMG Group, with a total number of connected devices exceeding 300,000. The application effect is also remarkable: the equipment availability rate has increased by 10 percentage points compared with the traditional management model, unexpected downtime has been reduced by 45%, and customer satisfaction has also increased by 15</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87].</w:t>
      </w:r>
    </w:p>
    <w:p w14:paraId="6D6F256F"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These successful practices fully demonstrate that artificial intelligence is </w:t>
      </w:r>
      <w:r>
        <w:rPr>
          <w:rFonts w:ascii="Times New Roman" w:hAnsi="Times New Roman" w:cs="Times New Roman"/>
          <w:sz w:val="28"/>
          <w:szCs w:val="28"/>
        </w:rPr>
        <w:lastRenderedPageBreak/>
        <w:t>gradually becoming an important supporting force for improving the level of enterprise asset management. Through the empowerment of AI technology, enterprises can achieve a gorgeous transformation from passive maintenance to active predictive maintenance, thereby significantly improving the operating efficiency and reliability of equipment.</w:t>
      </w:r>
    </w:p>
    <w:p w14:paraId="5BFC0BCF"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4. </w:t>
      </w:r>
      <w:r>
        <w:rPr>
          <w:rFonts w:ascii="Times New Roman" w:hAnsi="Times New Roman" w:cs="Times New Roman"/>
          <w:sz w:val="28"/>
          <w:szCs w:val="28"/>
        </w:rPr>
        <w:t>Financial technology innovation activates existing assets</w:t>
      </w:r>
    </w:p>
    <w:p w14:paraId="6F5DE108"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 the capital market system continues to improve, innovations such as asset securitization and supply chain finance are booming. In 2023, the scale of asset securitization issuance in my country reached 5.2 trillion yuan, a year-on-year increase of 15.6</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 xml:space="preserve">88]. The Beijing-Shanghai High-Speed Railway adopted the REITS model to revitalize high-speed railway assets, with a cumulative issuance scale exceeding 80 billion yuan. As a pioneer in real estate securitization, Vanke has revitalized more than 40 billion yuan of existing assets through the issuance of REITS </w:t>
      </w:r>
      <w:proofErr w:type="gramStart"/>
      <w:r>
        <w:rPr>
          <w:rFonts w:ascii="Times New Roman" w:hAnsi="Times New Roman" w:cs="Times New Roman"/>
          <w:sz w:val="28"/>
          <w:szCs w:val="28"/>
        </w:rPr>
        <w:t>products[</w:t>
      </w:r>
      <w:proofErr w:type="gramEnd"/>
      <w:r>
        <w:rPr>
          <w:rFonts w:ascii="Times New Roman" w:hAnsi="Times New Roman" w:cs="Times New Roman"/>
          <w:sz w:val="28"/>
          <w:szCs w:val="28"/>
        </w:rPr>
        <w:t>89].</w:t>
      </w:r>
    </w:p>
    <w:p w14:paraId="7F8EF221"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the field of supply chain finance, SAIC-GM has built a digital financial service platform for the automotive industry chain. By 2023, it will provide more than 35 billion yuan in financing support to more than 1,000 upstream suppliers, reducing financing costs by 25% compared with traditional </w:t>
      </w:r>
      <w:proofErr w:type="gramStart"/>
      <w:r>
        <w:rPr>
          <w:rFonts w:ascii="Times New Roman" w:hAnsi="Times New Roman" w:cs="Times New Roman"/>
          <w:sz w:val="28"/>
          <w:szCs w:val="28"/>
        </w:rPr>
        <w:t>models[</w:t>
      </w:r>
      <w:proofErr w:type="gramEnd"/>
      <w:r>
        <w:rPr>
          <w:rFonts w:ascii="Times New Roman" w:hAnsi="Times New Roman" w:cs="Times New Roman"/>
          <w:sz w:val="28"/>
          <w:szCs w:val="28"/>
        </w:rPr>
        <w:t>90]. These innovative practices provide new ideas for solving the problems of financing difficulties and high financing costs for Chinese companies.</w:t>
      </w:r>
    </w:p>
    <w:p w14:paraId="29EBD081"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In short, facing the new era, Chinese companies must grasp the trend of digitalization, intelligence, and financialization, make good use of emerging technologies and financial innovation tools, and promote changes in asset management models and improve </w:t>
      </w:r>
      <w:proofErr w:type="spellStart"/>
      <w:r>
        <w:rPr>
          <w:rFonts w:ascii="Times New Roman" w:hAnsi="Times New Roman" w:cs="Times New Roman"/>
          <w:sz w:val="28"/>
          <w:szCs w:val="28"/>
        </w:rPr>
        <w:t>efficiency.This</w:t>
      </w:r>
      <w:proofErr w:type="spellEnd"/>
      <w:r>
        <w:rPr>
          <w:rFonts w:ascii="Times New Roman" w:hAnsi="Times New Roman" w:cs="Times New Roman"/>
          <w:sz w:val="28"/>
          <w:szCs w:val="28"/>
        </w:rPr>
        <w:t xml:space="preserve"> will not only help to bridge the gap with international benchmark companies, but will also provide strong support for achieving high-quality development.</w:t>
      </w:r>
    </w:p>
    <w:p w14:paraId="56AAA9B9" w14:textId="77777777" w:rsidR="00CB2BA9" w:rsidRDefault="00CB2BA9" w:rsidP="00773039">
      <w:pPr>
        <w:snapToGrid w:val="0"/>
        <w:spacing w:line="360" w:lineRule="auto"/>
        <w:ind w:firstLine="709"/>
        <w:rPr>
          <w:rFonts w:ascii="Times New Roman" w:hAnsi="Times New Roman" w:cs="Times New Roman"/>
          <w:sz w:val="28"/>
          <w:szCs w:val="28"/>
        </w:rPr>
      </w:pPr>
    </w:p>
    <w:p w14:paraId="6C3DF545" w14:textId="77777777" w:rsidR="00CB2BA9" w:rsidRDefault="00773039" w:rsidP="00773039">
      <w:pPr>
        <w:snapToGrid w:val="0"/>
        <w:spacing w:line="360" w:lineRule="auto"/>
        <w:ind w:firstLine="709"/>
        <w:outlineLvl w:val="1"/>
        <w:rPr>
          <w:rFonts w:ascii="Times New Roman" w:hAnsi="Times New Roman" w:cs="Times New Roman"/>
          <w:b/>
          <w:bCs/>
          <w:sz w:val="28"/>
          <w:szCs w:val="28"/>
        </w:rPr>
      </w:pPr>
      <w:bookmarkStart w:id="17" w:name="_Toc22609"/>
      <w:r>
        <w:rPr>
          <w:rFonts w:ascii="Times New Roman" w:hAnsi="Times New Roman" w:cs="Times New Roman"/>
          <w:b/>
          <w:bCs/>
          <w:sz w:val="28"/>
          <w:szCs w:val="28"/>
        </w:rPr>
        <w:t>3.3. Risk management and recommendations for enhancing asset management in Chinese companies</w:t>
      </w:r>
      <w:bookmarkEnd w:id="17"/>
    </w:p>
    <w:p w14:paraId="1FF75AD2" w14:textId="77777777" w:rsidR="00CB2BA9" w:rsidRDefault="00CB2BA9" w:rsidP="00773039">
      <w:pPr>
        <w:snapToGrid w:val="0"/>
        <w:spacing w:line="360" w:lineRule="auto"/>
        <w:ind w:firstLine="709"/>
        <w:rPr>
          <w:rFonts w:ascii="Times New Roman" w:hAnsi="Times New Roman" w:cs="Times New Roman"/>
          <w:sz w:val="28"/>
          <w:szCs w:val="28"/>
        </w:rPr>
      </w:pPr>
    </w:p>
    <w:p w14:paraId="6F63DC6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Through the analysis of the previous </w:t>
      </w:r>
      <w:proofErr w:type="gramStart"/>
      <w:r>
        <w:rPr>
          <w:rFonts w:ascii="Times New Roman" w:hAnsi="Times New Roman" w:cs="Times New Roman"/>
          <w:sz w:val="28"/>
          <w:szCs w:val="28"/>
          <w:lang w:val="en-US"/>
        </w:rPr>
        <w:t xml:space="preserve">research </w:t>
      </w:r>
      <w:r>
        <w:rPr>
          <w:rFonts w:ascii="Times New Roman" w:hAnsi="Times New Roman" w:cs="Times New Roman"/>
          <w:sz w:val="28"/>
          <w:szCs w:val="28"/>
        </w:rPr>
        <w:t>,</w:t>
      </w:r>
      <w:proofErr w:type="gramEnd"/>
      <w:r>
        <w:rPr>
          <w:rFonts w:ascii="Times New Roman" w:hAnsi="Times New Roman" w:cs="Times New Roman"/>
          <w:sz w:val="28"/>
          <w:szCs w:val="28"/>
        </w:rPr>
        <w:t xml:space="preserve"> </w:t>
      </w:r>
      <w:r>
        <w:rPr>
          <w:rFonts w:ascii="Times New Roman" w:hAnsi="Times New Roman" w:cs="Times New Roman"/>
          <w:sz w:val="28"/>
          <w:szCs w:val="28"/>
          <w:lang w:val="en-US"/>
        </w:rPr>
        <w:t xml:space="preserve">we found that </w:t>
      </w:r>
      <w:r>
        <w:rPr>
          <w:rFonts w:ascii="Times New Roman" w:hAnsi="Times New Roman" w:cs="Times New Roman"/>
          <w:sz w:val="28"/>
          <w:szCs w:val="28"/>
        </w:rPr>
        <w:t xml:space="preserve">the main problems </w:t>
      </w:r>
      <w:r>
        <w:rPr>
          <w:rFonts w:ascii="Times New Roman" w:hAnsi="Times New Roman" w:cs="Times New Roman"/>
          <w:sz w:val="28"/>
          <w:szCs w:val="28"/>
        </w:rPr>
        <w:lastRenderedPageBreak/>
        <w:t xml:space="preserve">faced by Chinese corporate asset management include the need to improve asset quality, low asset allocation efficiency, and insufficient digital management level. In response to these problems, </w:t>
      </w:r>
      <w:r>
        <w:rPr>
          <w:rFonts w:ascii="Times New Roman" w:hAnsi="Times New Roman" w:cs="Times New Roman"/>
          <w:sz w:val="28"/>
          <w:szCs w:val="28"/>
          <w:lang w:val="en-US"/>
        </w:rPr>
        <w:t xml:space="preserve">we </w:t>
      </w:r>
      <w:r>
        <w:rPr>
          <w:rFonts w:ascii="Times New Roman" w:hAnsi="Times New Roman" w:cs="Times New Roman"/>
          <w:sz w:val="28"/>
          <w:szCs w:val="28"/>
        </w:rPr>
        <w:t>put forward the following suggestions:</w:t>
      </w:r>
    </w:p>
    <w:p w14:paraId="650BBC33"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 Strengthen asset impairment risk management</w:t>
      </w:r>
    </w:p>
    <w:p w14:paraId="0E3FEDBC"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Asset impairment risk has become a key factor affecting the quality of corporate assets. Enterprises should establish and improve asset impairment risk management systems, formulate comprehensive management systems such as impairment testing, provisioning, and write-offs, clarify the responsibilities of relevant departments, and standardize operating procedures. We should strengthen the investigation of asset impairment risks in key areas, focus on asset categories such as projects under construction, inventory, and fixed assets, conduct impairment tests regularly, and take timely disposal measures. We should summarize the experience and practices of excellent companies such as Sinopec, incorporate asset impairment risk management into the comprehensive risk management system, improve the assessment and evaluation mechanism, strengthen accountability, and truly implement impairment risk control.</w:t>
      </w:r>
    </w:p>
    <w:p w14:paraId="45900CC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II. Promoting the establishment of asset-liability constraint mechanisms</w:t>
      </w:r>
    </w:p>
    <w:p w14:paraId="42471312"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Asset-liability constraints have become an important tool for preventing and defusing major risks. Enterprises should firmly establish the concept of "taking the path of steady operation" and take the initiative to reduce leverage and optimize debt structure from a strategic and overall perspective. On the one hand, we should strengthen the hard constraints on asset-liability ratios, refer to the practices of China Shenhua, strictly control the scale of debt, reduce corporate leverage, and control debt risks within a controllable range; at the same time, establish a long-term mechanism for debt constraints, strengthen financing management, and innovate investment and financing methods to provide solid support for high-quality development. On the other hand, the China Banking and Insurance Regulatory Commission and other regulatory authorities should increase supervision, standardize the order of the capital market, strengthen bond issuance management, enhance market constraints, and force enterprises to transform and upgrade.</w:t>
      </w:r>
    </w:p>
    <w:p w14:paraId="3BB37F24"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III. Strengthening the construction of a comprehensive risk management system</w:t>
      </w:r>
    </w:p>
    <w:p w14:paraId="70216D9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Comprehensive risk management has become a common practice among world-class companies. </w:t>
      </w:r>
      <w:r>
        <w:rPr>
          <w:rFonts w:ascii="Times New Roman" w:hAnsi="Times New Roman" w:cs="Times New Roman"/>
          <w:sz w:val="28"/>
          <w:szCs w:val="28"/>
          <w:lang w:val="en-US"/>
        </w:rPr>
        <w:t xml:space="preserve">As </w:t>
      </w:r>
      <w:r>
        <w:rPr>
          <w:rFonts w:ascii="Times New Roman" w:hAnsi="Times New Roman" w:cs="Times New Roman"/>
          <w:sz w:val="28"/>
          <w:szCs w:val="28"/>
        </w:rPr>
        <w:t>Bromiley et al. pointed out, effective ERM can significantly improve corporate risk management capabilities and value creation levels.</w:t>
      </w:r>
      <w:r>
        <w:rPr>
          <w:rFonts w:ascii="Times New Roman" w:hAnsi="Times New Roman" w:cs="Times New Roman"/>
          <w:sz w:val="28"/>
          <w:szCs w:val="28"/>
          <w:lang w:val="en-US"/>
        </w:rPr>
        <w:t xml:space="preserve"> </w:t>
      </w:r>
      <w:r>
        <w:rPr>
          <w:rFonts w:ascii="Times New Roman" w:hAnsi="Times New Roman" w:cs="Times New Roman" w:hint="eastAsia"/>
          <w:sz w:val="28"/>
          <w:szCs w:val="28"/>
        </w:rPr>
        <w:t>[</w:t>
      </w:r>
      <w:r>
        <w:rPr>
          <w:rFonts w:ascii="Times New Roman" w:hAnsi="Times New Roman" w:cs="Times New Roman"/>
          <w:sz w:val="28"/>
          <w:szCs w:val="28"/>
          <w:lang w:val="en-US"/>
        </w:rPr>
        <w:t>91</w:t>
      </w:r>
      <w:r>
        <w:rPr>
          <w:rFonts w:ascii="Times New Roman" w:hAnsi="Times New Roman" w:cs="Times New Roman" w:hint="eastAsia"/>
          <w:sz w:val="28"/>
          <w:szCs w:val="28"/>
          <w:lang w:val="en-US"/>
        </w:rPr>
        <w:t>]</w:t>
      </w:r>
      <w:r>
        <w:rPr>
          <w:rFonts w:ascii="Times New Roman" w:hAnsi="Times New Roman" w:cs="Times New Roman"/>
          <w:sz w:val="28"/>
          <w:szCs w:val="28"/>
        </w:rPr>
        <w:t xml:space="preserve"> Chinese enterprises should start with the system and mechanism, improve the risk management organizational structure, establish specialized institutions such as chief risk officers and risk control specialists, and clarify the responsibilities of the "three lines of defense" of the board of directors, management, and business departments. It is necessary to comprehensively sort out the risk management process, start from the risk identification, assessment, response, monitoring, and reporting links, and improve the management system. It is necessary to vigorously promote the informatization of risk management, integrate internal and external data, use new technologies such as big data and artificial intelligence, and establish a risk intelligent early warning and real-time monitoring mechanism. It is necessary to strengthen audit supervision, organically combine internal and external audits, continuously improve the independence and professionalism of audit supervision, and truly play the role of the "immune system".</w:t>
      </w:r>
    </w:p>
    <w:p w14:paraId="4D76B1DE"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IV. Deepen reform and innovation in asset management</w:t>
      </w:r>
    </w:p>
    <w:p w14:paraId="5D92747A"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Reform and innovation are key measures to improve the efficiency of asset management. State-owned enterprises should focus on capital management to accelerate the transformation of state-owned asset supervision methods, deepen mixed-ownership reform, actively introduce various investors to participate in the governance of state-owned enterprises, and improve the modern enterprise system with Chinese characteristics; they should innovate incentive and constraint mechanisms, study and promote medium- and long-term incentives such as employee shareholding and project follow-up investment in state-owned enterprises, and fully mobilize the enthusiasm and creativity of cadres and employees. Private enterprises should improve the corporate governance structure, establish a corporate governance mechanism with clear property rights, clear rights and responsibilities, separation of government and enterprises, and scientific management; increase R&amp;D investment, concentrate on solving the "stuck </w:t>
      </w:r>
      <w:r>
        <w:rPr>
          <w:rFonts w:ascii="Times New Roman" w:hAnsi="Times New Roman" w:cs="Times New Roman"/>
          <w:sz w:val="28"/>
          <w:szCs w:val="28"/>
        </w:rPr>
        <w:lastRenderedPageBreak/>
        <w:t>neck" problem, and enhance the new momentum of innovation-driven development. At the same time, enterprises should play the role of "key nodes" in the new development pattern, coordinate development and security, and enhance the stability and competitiveness of the industrial chain and supply chain.</w:t>
      </w:r>
    </w:p>
    <w:p w14:paraId="568B5C9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5. Promote digital transformation of asset management</w:t>
      </w:r>
    </w:p>
    <w:p w14:paraId="3B6ADDE6"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Digital transformation is the only way to strengthen asset management. Enterprises should formulate digital transformation plans for asset management, increase investment in digital technology, intelligent equipment, information systems, etc., systematically plan the construction of industrial Internet platforms, and create a "new engine" for digital asset management. We should focus on core assets such as equipment, factories, and inventory, use new technologies such as 5G, the Internet of Things, and blockchain, explore and develop new models and new formats such as intelligent equipment operation and maintenance, intelligent inventory management, and asset traceability, and realize the integration of online and offline asset management. We should strengthen data asset management, formulate data standards and specifications, improve data asset management systems, promote data collection, transmission, storage, development and utilization, and security protection, and enable high-quality development of enterprises.</w:t>
      </w:r>
    </w:p>
    <w:p w14:paraId="0DCF956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VI. Strengthen the construction of asset management talent team</w:t>
      </w:r>
    </w:p>
    <w:p w14:paraId="6FA24F07"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As </w:t>
      </w:r>
      <w:r>
        <w:rPr>
          <w:rFonts w:ascii="Times New Roman" w:hAnsi="Times New Roman" w:cs="Times New Roman"/>
          <w:sz w:val="28"/>
          <w:szCs w:val="28"/>
        </w:rPr>
        <w:t xml:space="preserve">Cappelli pointed out, whether or not a company can have a team of talented people that meets strategic needs has become the key to </w:t>
      </w:r>
      <w:proofErr w:type="gramStart"/>
      <w:r>
        <w:rPr>
          <w:rFonts w:ascii="Times New Roman" w:hAnsi="Times New Roman" w:cs="Times New Roman"/>
          <w:sz w:val="28"/>
          <w:szCs w:val="28"/>
        </w:rPr>
        <w:t>success</w:t>
      </w:r>
      <w:r>
        <w:rPr>
          <w:rFonts w:ascii="Times New Roman" w:hAnsi="Times New Roman" w:cs="Times New Roman" w:hint="eastAsia"/>
          <w:sz w:val="28"/>
          <w:szCs w:val="28"/>
        </w:rPr>
        <w:t>[</w:t>
      </w:r>
      <w:proofErr w:type="gramEnd"/>
      <w:r>
        <w:rPr>
          <w:rFonts w:ascii="Times New Roman" w:hAnsi="Times New Roman" w:cs="Times New Roman"/>
          <w:sz w:val="28"/>
          <w:szCs w:val="28"/>
          <w:lang w:val="en-US"/>
        </w:rPr>
        <w:t>92</w:t>
      </w:r>
      <w:r>
        <w:rPr>
          <w:rFonts w:ascii="Times New Roman" w:hAnsi="Times New Roman" w:cs="Times New Roman" w:hint="eastAsia"/>
          <w:sz w:val="28"/>
          <w:szCs w:val="28"/>
          <w:lang w:val="en-US"/>
        </w:rPr>
        <w:t>]</w:t>
      </w:r>
      <w:r>
        <w:rPr>
          <w:rFonts w:ascii="Times New Roman" w:hAnsi="Times New Roman" w:cs="Times New Roman"/>
          <w:sz w:val="28"/>
          <w:szCs w:val="28"/>
        </w:rPr>
        <w:t xml:space="preserve">.Enterprises should establish the concept that talent is the first resource, optimize the allocation of human resources, and accelerate the construction of a team of asset management talents with a moderate scale, optimized structure, and excellent quality. They should innovate the talent introduction and training model, improve the school-enterprise cooperation and the institute-enterprise cooperation mechanism, and vigorously cultivate compound and innovative talents. They should improve the talent evaluation and incentive mechanism, improve job management and performance appraisal, and smooth the talent growth channel so that outstanding talents can stand out and make the best use of their talents. They should broaden the channels for talent exchange, support </w:t>
      </w:r>
      <w:r>
        <w:rPr>
          <w:rFonts w:ascii="Times New Roman" w:hAnsi="Times New Roman" w:cs="Times New Roman"/>
          <w:sz w:val="28"/>
          <w:szCs w:val="28"/>
        </w:rPr>
        <w:lastRenderedPageBreak/>
        <w:t>enterprises to carry out talent exchange with universities and research institutes, encourage two-way flow of talents, and promote the deep integration of industry, academia, and research.</w:t>
      </w:r>
    </w:p>
    <w:p w14:paraId="40BEA080" w14:textId="77777777" w:rsidR="00CB2BA9" w:rsidRDefault="00773039" w:rsidP="00773039">
      <w:pPr>
        <w:snapToGrid w:val="0"/>
        <w:spacing w:line="360" w:lineRule="auto"/>
        <w:ind w:firstLine="709"/>
        <w:rPr>
          <w:rFonts w:ascii="Times New Roman" w:hAnsi="Times New Roman" w:cs="Times New Roman"/>
          <w:sz w:val="28"/>
          <w:szCs w:val="28"/>
        </w:rPr>
      </w:pPr>
      <w:r>
        <w:rPr>
          <w:rFonts w:ascii="Times New Roman" w:hAnsi="Times New Roman" w:cs="Times New Roman"/>
          <w:sz w:val="28"/>
          <w:szCs w:val="28"/>
        </w:rPr>
        <w:t>In short, the new development stage puts forward new and higher requirements for asset management. Chinese enterprises should be guided by the new era of socialism with Chinese characteristics, based on the new development stage, implement the new development concept, accelerate the construction of a high-quality asset management system, promote high-quality development of asset management, and play a greater role in serving economic and social development.</w:t>
      </w:r>
    </w:p>
    <w:p w14:paraId="6C202A23" w14:textId="77777777" w:rsidR="00CB2BA9" w:rsidRDefault="00CB2BA9" w:rsidP="00773039">
      <w:pPr>
        <w:snapToGrid w:val="0"/>
        <w:spacing w:line="360" w:lineRule="auto"/>
        <w:ind w:firstLine="709"/>
        <w:rPr>
          <w:rFonts w:ascii="Times New Roman" w:hAnsi="Times New Roman" w:cs="Times New Roman"/>
          <w:sz w:val="28"/>
          <w:szCs w:val="28"/>
        </w:rPr>
      </w:pPr>
    </w:p>
    <w:p w14:paraId="28FD602D" w14:textId="77777777" w:rsidR="00CB2BA9" w:rsidRDefault="00CB2BA9" w:rsidP="00773039">
      <w:pPr>
        <w:snapToGrid w:val="0"/>
        <w:spacing w:line="360" w:lineRule="auto"/>
        <w:ind w:firstLine="709"/>
        <w:rPr>
          <w:rFonts w:ascii="Times New Roman" w:hAnsi="Times New Roman" w:cs="Times New Roman"/>
          <w:sz w:val="28"/>
          <w:szCs w:val="28"/>
        </w:rPr>
      </w:pPr>
    </w:p>
    <w:p w14:paraId="1B5F61B6" w14:textId="77777777" w:rsidR="00CB2BA9" w:rsidRDefault="00CB2BA9" w:rsidP="00773039">
      <w:pPr>
        <w:snapToGrid w:val="0"/>
        <w:spacing w:line="360" w:lineRule="auto"/>
        <w:ind w:firstLine="709"/>
        <w:rPr>
          <w:rFonts w:ascii="Times New Roman" w:hAnsi="Times New Roman" w:cs="Times New Roman"/>
          <w:sz w:val="28"/>
          <w:szCs w:val="28"/>
        </w:rPr>
      </w:pPr>
    </w:p>
    <w:p w14:paraId="353441E8" w14:textId="77777777" w:rsidR="00CB2BA9" w:rsidRDefault="00CB2BA9" w:rsidP="00773039">
      <w:pPr>
        <w:snapToGrid w:val="0"/>
        <w:spacing w:line="360" w:lineRule="auto"/>
        <w:ind w:firstLine="709"/>
        <w:rPr>
          <w:rFonts w:ascii="Times New Roman" w:hAnsi="Times New Roman" w:cs="Times New Roman"/>
          <w:sz w:val="28"/>
          <w:szCs w:val="28"/>
        </w:rPr>
      </w:pPr>
    </w:p>
    <w:p w14:paraId="30D1435D" w14:textId="77777777" w:rsidR="00CB2BA9" w:rsidRDefault="00CB2BA9" w:rsidP="00773039">
      <w:pPr>
        <w:snapToGrid w:val="0"/>
        <w:spacing w:line="360" w:lineRule="auto"/>
        <w:ind w:firstLine="709"/>
        <w:rPr>
          <w:rFonts w:ascii="Times New Roman" w:hAnsi="Times New Roman" w:cs="Times New Roman"/>
          <w:sz w:val="28"/>
          <w:szCs w:val="28"/>
        </w:rPr>
      </w:pPr>
    </w:p>
    <w:p w14:paraId="671217B5" w14:textId="77777777" w:rsidR="00CB2BA9" w:rsidRDefault="00773039">
      <w:pPr>
        <w:rPr>
          <w:rFonts w:ascii="Times New Roman" w:hAnsi="Times New Roman" w:cs="Times New Roman"/>
          <w:sz w:val="28"/>
          <w:szCs w:val="28"/>
        </w:rPr>
      </w:pPr>
      <w:r>
        <w:rPr>
          <w:rFonts w:ascii="Times New Roman" w:hAnsi="Times New Roman" w:cs="Times New Roman"/>
          <w:sz w:val="28"/>
          <w:szCs w:val="28"/>
        </w:rPr>
        <w:br w:type="page"/>
      </w:r>
    </w:p>
    <w:p w14:paraId="3C245B30" w14:textId="77777777" w:rsidR="00CB2BA9" w:rsidRPr="00773039" w:rsidRDefault="00773039">
      <w:pPr>
        <w:snapToGrid w:val="0"/>
        <w:jc w:val="center"/>
        <w:outlineLvl w:val="0"/>
        <w:rPr>
          <w:rFonts w:ascii="Times New Roman" w:hAnsi="Times New Roman" w:cs="Times New Roman"/>
          <w:b/>
          <w:bCs/>
          <w:sz w:val="28"/>
          <w:szCs w:val="28"/>
        </w:rPr>
      </w:pPr>
      <w:bookmarkStart w:id="18" w:name="_Toc31793"/>
      <w:r w:rsidRPr="00773039">
        <w:rPr>
          <w:rFonts w:ascii="Times New Roman" w:hAnsi="Times New Roman" w:cs="Times New Roman"/>
          <w:b/>
          <w:bCs/>
          <w:sz w:val="28"/>
          <w:szCs w:val="28"/>
        </w:rPr>
        <w:lastRenderedPageBreak/>
        <w:t>CONCLUSIONS</w:t>
      </w:r>
      <w:bookmarkEnd w:id="18"/>
    </w:p>
    <w:p w14:paraId="59CB1182" w14:textId="77777777" w:rsidR="00CB2BA9" w:rsidRDefault="00CB2BA9" w:rsidP="00773039">
      <w:pPr>
        <w:snapToGrid w:val="0"/>
        <w:spacing w:line="360" w:lineRule="auto"/>
        <w:ind w:firstLine="709"/>
        <w:jc w:val="center"/>
        <w:outlineLvl w:val="0"/>
        <w:rPr>
          <w:rFonts w:ascii="Times New Roman" w:hAnsi="Times New Roman" w:cs="Times New Roman"/>
          <w:b/>
          <w:bCs/>
          <w:sz w:val="32"/>
          <w:szCs w:val="40"/>
        </w:rPr>
      </w:pPr>
    </w:p>
    <w:p w14:paraId="5E6B9698" w14:textId="77777777" w:rsidR="00CB2BA9" w:rsidRDefault="00773039" w:rsidP="00773039">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In conclusion, this study has conducted an in-depth and comprehensive exploration of the current status and future trends of asset management practices in Chinese enterprises, with a particular focus on the innovative formulation of management strategies, the deep integration of digital transformation, and the flexible adaptation to international standards. Through this series of research, we have provided solid theoretical support and practical guidance for promoting the high-quality development of asset management in Chinese enterprises.</w:t>
      </w:r>
    </w:p>
    <w:p w14:paraId="607D3469" w14:textId="77777777" w:rsidR="00CB2BA9" w:rsidRDefault="00773039" w:rsidP="00773039">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When comparing and analyzing the asset management practices of enterprises with different ownership structures, we observed an increasingly evident trend of differentiated development in asset management among Chinese enterprises. Guided by the overall direction of national economic development, large state-owned enterprises, such as Sinopec, are committed to building a highly systematic and standardized asset management system. This system, characterized by its rigor and professionalism, has effectively improved the overall level of asset management. On the other hand, private enterprises, represented by Huawei, tend to adopt a flexible and innovation-driven management model. They have achieved rapid response and efficient optimization of asset allocation by constructing a matrix organizational structure and fully leveraging digital means. The practical explorations of these two types of enterprises not only reflect the delicate balance between traditional management approaches and modern innovative development paths among Chinese enterprises but also indicate that Chinese asset management is steadily advancing towards modernization and globalization.</w:t>
      </w:r>
    </w:p>
    <w:p w14:paraId="3E508F43" w14:textId="77777777" w:rsidR="00CB2BA9" w:rsidRDefault="00773039" w:rsidP="00773039">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 xml:space="preserve">It is particularly noteworthy that this study found that formulating asset management strategies closely linked to the characteristics of individual enterprises and effectively integrating them with international advanced standards such as ISO 55000 has become a key factor for Chinese enterprises to enhance their asset management level and competitiveness. Sinopec has achieved fine and systematic management of assets throughout their entire lifecycle by establishing a specialized </w:t>
      </w:r>
      <w:r>
        <w:rPr>
          <w:rFonts w:ascii="Times New Roman" w:hAnsi="Times New Roman" w:cs="Times New Roman"/>
          <w:sz w:val="28"/>
          <w:szCs w:val="36"/>
        </w:rPr>
        <w:lastRenderedPageBreak/>
        <w:t>organizational structure and a comprehensive asset evaluation system. Meanwhile, Huawei, relying on its unique matrix management model, has fully leveraged the powerful enabling role of digital technology to not only optimize asset allocation but also facilitate the rapid conversion of innovation outcomes. These successful cases unequivocally demonstrate that systematic management, digital transformation, and innovation-driven development are indispensable core elements for the current improvement of asset management in Chinese enterprises.</w:t>
      </w:r>
    </w:p>
    <w:p w14:paraId="3394E57E" w14:textId="77777777" w:rsidR="00CB2BA9" w:rsidRDefault="00773039" w:rsidP="00773039">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Furthermore, this study also emphasizes the importance of establishing a sound risk management mechanism. As Chinese enterprises continuously integrate into global industrial and supply chains, they face increasingly complex and diverse risks, including not only traditional financial and operational risks but also emerging risks such as geopolitical issues and cultural differences. Therefore, closely integrating risk management with data-driven decision support, artificial intelligence, and other cutting-edge technologies has become an important development direction for asset management in Chinese enterprises. This trend not only helps enterprises more accurately identify, assess, and control risks but is also crucial for achieving high-quality development and ensuring the steady progress of enterprises.</w:t>
      </w:r>
    </w:p>
    <w:p w14:paraId="7234D8AE" w14:textId="77777777" w:rsidR="00CB2BA9" w:rsidRDefault="00773039" w:rsidP="00773039">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t>In summary, this study systematically addresses the key issues in the theory and practice of asset management for Chinese enterprises in the new development stage, possessing both theoretical innovation value and strong practical application significance. It is of great importance for promoting the high-quality development of asset management in Chinese enterprises. In the future, scholars can continue to delve into asset management theories and methods that are closely integrated with enterprise development practices, contributing more wisdom and strength to the pursuit of high-quality development for enterprises.</w:t>
      </w:r>
    </w:p>
    <w:p w14:paraId="7069771B" w14:textId="77777777" w:rsidR="00CB2BA9" w:rsidRDefault="00773039" w:rsidP="00773039">
      <w:pPr>
        <w:snapToGrid w:val="0"/>
        <w:spacing w:line="360" w:lineRule="auto"/>
        <w:ind w:firstLine="709"/>
        <w:rPr>
          <w:rFonts w:ascii="Times New Roman" w:hAnsi="Times New Roman" w:cs="Times New Roman"/>
          <w:sz w:val="28"/>
          <w:szCs w:val="36"/>
        </w:rPr>
      </w:pPr>
      <w:r>
        <w:rPr>
          <w:rFonts w:ascii="Times New Roman" w:hAnsi="Times New Roman" w:cs="Times New Roman"/>
          <w:sz w:val="28"/>
          <w:szCs w:val="36"/>
        </w:rPr>
        <w:br w:type="page"/>
      </w:r>
    </w:p>
    <w:p w14:paraId="190B363B" w14:textId="77777777" w:rsidR="00CB2BA9" w:rsidRPr="00773039" w:rsidRDefault="00773039">
      <w:pPr>
        <w:snapToGrid w:val="0"/>
        <w:jc w:val="center"/>
        <w:outlineLvl w:val="0"/>
        <w:rPr>
          <w:rFonts w:ascii="Times New Roman" w:hAnsi="Times New Roman" w:cs="Times New Roman"/>
          <w:b/>
          <w:bCs/>
          <w:sz w:val="28"/>
          <w:szCs w:val="28"/>
        </w:rPr>
      </w:pPr>
      <w:bookmarkStart w:id="19" w:name="_Toc4877"/>
      <w:r w:rsidRPr="00773039">
        <w:rPr>
          <w:rFonts w:ascii="Times New Roman" w:hAnsi="Times New Roman" w:cs="Times New Roman"/>
          <w:b/>
          <w:bCs/>
          <w:sz w:val="28"/>
          <w:szCs w:val="28"/>
        </w:rPr>
        <w:lastRenderedPageBreak/>
        <w:t>REFERENCES</w:t>
      </w:r>
      <w:bookmarkEnd w:id="19"/>
    </w:p>
    <w:p w14:paraId="5E2C2CCE" w14:textId="77777777" w:rsidR="00CB2BA9" w:rsidRDefault="00CB2BA9">
      <w:pPr>
        <w:snapToGrid w:val="0"/>
        <w:spacing w:line="360" w:lineRule="auto"/>
        <w:ind w:firstLineChars="200" w:firstLine="560"/>
        <w:rPr>
          <w:rFonts w:ascii="Times New Roman" w:hAnsi="Times New Roman" w:cs="Times New Roman"/>
          <w:sz w:val="28"/>
          <w:szCs w:val="28"/>
        </w:rPr>
      </w:pPr>
    </w:p>
    <w:p w14:paraId="5FBFBD97"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w:t>
      </w:r>
      <w:r>
        <w:rPr>
          <w:rFonts w:ascii="Times New Roman" w:hAnsi="Times New Roman" w:cs="Times New Roman"/>
          <w:sz w:val="28"/>
          <w:szCs w:val="28"/>
        </w:rPr>
        <w:t>Samuelson, P. A. (1954). The Pure Theory of Public Expenditure. The Review of Economics and Statistics, 36(4), 387-389.</w:t>
      </w:r>
    </w:p>
    <w:p w14:paraId="59D93321"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rPr>
        <w:t>．</w:t>
      </w:r>
      <w:r>
        <w:rPr>
          <w:rFonts w:ascii="Times New Roman" w:hAnsi="Times New Roman" w:cs="Times New Roman"/>
          <w:sz w:val="28"/>
          <w:szCs w:val="28"/>
        </w:rPr>
        <w:t>Markowitz, H. (1952). Portfolio selection. The Journal of Finance, 7(1), 77-91.</w:t>
      </w:r>
    </w:p>
    <w:p w14:paraId="7C8B5AB1"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w:t>
      </w:r>
      <w:r>
        <w:rPr>
          <w:rFonts w:ascii="Times New Roman" w:hAnsi="Times New Roman" w:cs="Times New Roman"/>
          <w:sz w:val="28"/>
          <w:szCs w:val="28"/>
        </w:rPr>
        <w:t>．</w:t>
      </w:r>
      <w:r>
        <w:rPr>
          <w:rFonts w:ascii="Times New Roman" w:hAnsi="Times New Roman" w:cs="Times New Roman"/>
          <w:sz w:val="28"/>
          <w:szCs w:val="28"/>
        </w:rPr>
        <w:t>Hood, C. (1991). A PUBLIC MANAGEMENT FOR ALL SEASONS? Public Administration, 69, 3-19.</w:t>
      </w:r>
    </w:p>
    <w:p w14:paraId="0923331D"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w:t>
      </w:r>
      <w:r>
        <w:rPr>
          <w:rFonts w:ascii="Times New Roman" w:hAnsi="Times New Roman" w:cs="Times New Roman"/>
          <w:sz w:val="28"/>
          <w:szCs w:val="28"/>
        </w:rPr>
        <w:t>．</w:t>
      </w:r>
      <w:r>
        <w:rPr>
          <w:rFonts w:ascii="Times New Roman" w:hAnsi="Times New Roman" w:cs="Times New Roman"/>
          <w:sz w:val="28"/>
          <w:szCs w:val="28"/>
        </w:rPr>
        <w:t>Neale, J. (2006). Bucks to slash property assets. Estates Gazette, 625, 31-31.</w:t>
      </w:r>
    </w:p>
    <w:p w14:paraId="266C87EC"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w:t>
      </w:r>
      <w:r>
        <w:rPr>
          <w:rFonts w:ascii="Times New Roman" w:hAnsi="Times New Roman" w:cs="Times New Roman"/>
          <w:sz w:val="28"/>
          <w:szCs w:val="28"/>
        </w:rPr>
        <w:t>．</w:t>
      </w:r>
      <w:r>
        <w:rPr>
          <w:rFonts w:ascii="Times New Roman" w:hAnsi="Times New Roman" w:cs="Times New Roman"/>
          <w:sz w:val="28"/>
          <w:szCs w:val="28"/>
        </w:rPr>
        <w:t>Stewart, D. (2007). Implementing Asset Management in Local Government in the USA. PAS 55 and Measuring Asset Management, 2007 IET Seminar on.</w:t>
      </w:r>
    </w:p>
    <w:p w14:paraId="2CA73EE7"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w:t>
      </w:r>
      <w:r>
        <w:rPr>
          <w:rFonts w:ascii="Times New Roman" w:hAnsi="Times New Roman" w:cs="Times New Roman"/>
          <w:sz w:val="28"/>
          <w:szCs w:val="28"/>
        </w:rPr>
        <w:t>．</w:t>
      </w:r>
      <w:r>
        <w:rPr>
          <w:rFonts w:ascii="Times New Roman" w:hAnsi="Times New Roman" w:cs="Times New Roman"/>
          <w:sz w:val="28"/>
          <w:szCs w:val="28"/>
        </w:rPr>
        <w:t>Sotirios, K., Dimitrios, A., &amp; Ioannis, P. (2014). On the appraisal of consumer credit banking products within the asset quality frame: A multiple criteria application. Operational Research, 7(2), 45-49.</w:t>
      </w:r>
    </w:p>
    <w:p w14:paraId="2724F96A"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w:t>
      </w:r>
      <w:r>
        <w:rPr>
          <w:rFonts w:ascii="Times New Roman" w:hAnsi="Times New Roman" w:cs="Times New Roman"/>
          <w:sz w:val="28"/>
          <w:szCs w:val="28"/>
        </w:rPr>
        <w:t>．</w:t>
      </w:r>
      <w:r>
        <w:rPr>
          <w:rFonts w:ascii="Times New Roman" w:hAnsi="Times New Roman" w:cs="Times New Roman"/>
          <w:sz w:val="28"/>
          <w:szCs w:val="28"/>
        </w:rPr>
        <w:t xml:space="preserve">China Chemical Reporter. (2012). Guangdong Official Confirms </w:t>
      </w:r>
      <w:proofErr w:type="spellStart"/>
      <w:r>
        <w:rPr>
          <w:rFonts w:ascii="Times New Roman" w:hAnsi="Times New Roman" w:cs="Times New Roman"/>
          <w:sz w:val="28"/>
          <w:szCs w:val="28"/>
        </w:rPr>
        <w:t>Baosteel</w:t>
      </w:r>
      <w:proofErr w:type="spellEnd"/>
      <w:r>
        <w:rPr>
          <w:rFonts w:ascii="Times New Roman" w:hAnsi="Times New Roman" w:cs="Times New Roman"/>
          <w:sz w:val="28"/>
          <w:szCs w:val="28"/>
        </w:rPr>
        <w:t xml:space="preserve"> shao guan </w:t>
      </w:r>
      <w:proofErr w:type="spellStart"/>
      <w:r>
        <w:rPr>
          <w:rFonts w:ascii="Times New Roman" w:hAnsi="Times New Roman" w:cs="Times New Roman"/>
          <w:sz w:val="28"/>
          <w:szCs w:val="28"/>
        </w:rPr>
        <w:t>MergerTalks</w:t>
      </w:r>
      <w:proofErr w:type="spellEnd"/>
      <w:r>
        <w:rPr>
          <w:rFonts w:ascii="Times New Roman" w:hAnsi="Times New Roman" w:cs="Times New Roman"/>
          <w:sz w:val="28"/>
          <w:szCs w:val="28"/>
        </w:rPr>
        <w:t>. Metal Bulletin, 17(19), 44-63.</w:t>
      </w:r>
    </w:p>
    <w:p w14:paraId="508114A6"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w:t>
      </w:r>
      <w:r>
        <w:rPr>
          <w:rFonts w:ascii="Times New Roman" w:hAnsi="Times New Roman" w:cs="Times New Roman"/>
          <w:sz w:val="28"/>
          <w:szCs w:val="28"/>
        </w:rPr>
        <w:t>．</w:t>
      </w:r>
      <w:r>
        <w:rPr>
          <w:rFonts w:ascii="Times New Roman" w:hAnsi="Times New Roman" w:cs="Times New Roman"/>
          <w:sz w:val="28"/>
          <w:szCs w:val="28"/>
        </w:rPr>
        <w:t>Chapman, C., &amp; Ward, S. (2003). Project risk management: processes, techniques and insights. John Wiley &amp; Sons.</w:t>
      </w:r>
    </w:p>
    <w:p w14:paraId="0302068A"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9</w:t>
      </w:r>
      <w:r>
        <w:rPr>
          <w:rFonts w:ascii="Times New Roman" w:hAnsi="Times New Roman" w:cs="Times New Roman"/>
          <w:sz w:val="28"/>
          <w:szCs w:val="28"/>
        </w:rPr>
        <w:t>．</w:t>
      </w:r>
      <w:r>
        <w:rPr>
          <w:rFonts w:ascii="Times New Roman" w:hAnsi="Times New Roman" w:cs="Times New Roman"/>
          <w:sz w:val="28"/>
          <w:szCs w:val="28"/>
        </w:rPr>
        <w:t>International Organization for Standardization. (2014). ISO 55000:2014 Asset management — Overview, principles and terminology.</w:t>
      </w:r>
    </w:p>
    <w:p w14:paraId="7FC194A0"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10</w:t>
      </w:r>
      <w:r>
        <w:rPr>
          <w:rFonts w:ascii="Times New Roman" w:hAnsi="Times New Roman" w:cs="Times New Roman"/>
          <w:sz w:val="28"/>
          <w:szCs w:val="28"/>
        </w:rPr>
        <w:t>．</w:t>
      </w:r>
      <w:r>
        <w:rPr>
          <w:rFonts w:ascii="Times New Roman" w:hAnsi="Times New Roman" w:cs="Times New Roman"/>
          <w:sz w:val="28"/>
          <w:szCs w:val="28"/>
        </w:rPr>
        <w:t>International Organization for Standardization. (2014). ISO 55001:2014 Asset management — Management systems — Requirements.</w:t>
      </w:r>
    </w:p>
    <w:p w14:paraId="406FBCAE"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11</w:t>
      </w:r>
      <w:r>
        <w:rPr>
          <w:rFonts w:ascii="Times New Roman" w:hAnsi="Times New Roman" w:cs="Times New Roman"/>
          <w:sz w:val="28"/>
          <w:szCs w:val="28"/>
        </w:rPr>
        <w:t>．</w:t>
      </w:r>
      <w:r>
        <w:rPr>
          <w:rFonts w:ascii="Times New Roman" w:hAnsi="Times New Roman" w:cs="Times New Roman"/>
          <w:sz w:val="28"/>
          <w:szCs w:val="28"/>
        </w:rPr>
        <w:t>Sharpe, W. F. (1964). Capital asset prices: A theory of market equilibrium under conditions of risk. The Journal of Finance, 19(3), 425-442.</w:t>
      </w:r>
    </w:p>
    <w:p w14:paraId="19A6480A"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12</w:t>
      </w:r>
      <w:r>
        <w:rPr>
          <w:rFonts w:ascii="Times New Roman" w:hAnsi="Times New Roman" w:cs="Times New Roman"/>
          <w:sz w:val="28"/>
          <w:szCs w:val="28"/>
        </w:rPr>
        <w:t>．</w:t>
      </w:r>
      <w:r>
        <w:rPr>
          <w:rFonts w:ascii="Times New Roman" w:hAnsi="Times New Roman" w:cs="Times New Roman"/>
          <w:sz w:val="28"/>
          <w:szCs w:val="28"/>
        </w:rPr>
        <w:t xml:space="preserve">Campbell, J. Y., &amp; </w:t>
      </w:r>
      <w:proofErr w:type="spellStart"/>
      <w:r>
        <w:rPr>
          <w:rFonts w:ascii="Times New Roman" w:hAnsi="Times New Roman" w:cs="Times New Roman"/>
          <w:sz w:val="28"/>
          <w:szCs w:val="28"/>
        </w:rPr>
        <w:t>Viceira</w:t>
      </w:r>
      <w:proofErr w:type="spellEnd"/>
      <w:r>
        <w:rPr>
          <w:rFonts w:ascii="Times New Roman" w:hAnsi="Times New Roman" w:cs="Times New Roman"/>
          <w:sz w:val="28"/>
          <w:szCs w:val="28"/>
        </w:rPr>
        <w:t>, L. M. (2002). Strategic asset allocation: portfolio choice for long-term investors. Oxford University Press.</w:t>
      </w:r>
    </w:p>
    <w:p w14:paraId="1B265F88"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13</w:t>
      </w:r>
      <w:r>
        <w:rPr>
          <w:rFonts w:ascii="Times New Roman" w:hAnsi="Times New Roman" w:cs="Times New Roman"/>
          <w:sz w:val="28"/>
          <w:szCs w:val="28"/>
        </w:rPr>
        <w:t>．</w:t>
      </w:r>
      <w:r>
        <w:rPr>
          <w:rFonts w:ascii="Times New Roman" w:hAnsi="Times New Roman" w:cs="Times New Roman"/>
          <w:sz w:val="28"/>
          <w:szCs w:val="28"/>
        </w:rPr>
        <w:t>Fama, E. F., &amp; French, K. R. (1993). Common risk factors in the returns on stocks and bonds. Journal of Financial Economics, 33(1), 3-56.</w:t>
      </w:r>
    </w:p>
    <w:p w14:paraId="2A2BAB37"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14</w:t>
      </w:r>
      <w:r>
        <w:rPr>
          <w:rFonts w:ascii="Times New Roman" w:hAnsi="Times New Roman" w:cs="Times New Roman"/>
          <w:sz w:val="28"/>
          <w:szCs w:val="28"/>
        </w:rPr>
        <w:t>．</w:t>
      </w:r>
      <w:r>
        <w:rPr>
          <w:rFonts w:ascii="Times New Roman" w:hAnsi="Times New Roman" w:cs="Times New Roman"/>
          <w:sz w:val="28"/>
          <w:szCs w:val="28"/>
        </w:rPr>
        <w:t>Shefrin, H. (2000). Beyond greed and fear: Understanding behavioral finance and the psychology of investing. Oxford University Press.</w:t>
      </w:r>
    </w:p>
    <w:p w14:paraId="68542968"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15</w:t>
      </w:r>
      <w:r>
        <w:rPr>
          <w:rFonts w:ascii="Times New Roman" w:hAnsi="Times New Roman" w:cs="Times New Roman"/>
          <w:sz w:val="28"/>
          <w:szCs w:val="28"/>
        </w:rPr>
        <w:t>．</w:t>
      </w:r>
      <w:r>
        <w:rPr>
          <w:rFonts w:ascii="Times New Roman" w:hAnsi="Times New Roman" w:cs="Times New Roman"/>
          <w:sz w:val="28"/>
          <w:szCs w:val="28"/>
        </w:rPr>
        <w:t>Bodie, Z., Kane, A., &amp; Marcus, A. J. (2014). Investments. McGraw-Hill Education.</w:t>
      </w:r>
    </w:p>
    <w:p w14:paraId="7FC55F1B"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16</w:t>
      </w:r>
      <w:r>
        <w:rPr>
          <w:rFonts w:ascii="Times New Roman" w:hAnsi="Times New Roman" w:cs="Times New Roman"/>
          <w:sz w:val="28"/>
          <w:szCs w:val="28"/>
        </w:rPr>
        <w:t>．</w:t>
      </w:r>
      <w:r>
        <w:rPr>
          <w:rFonts w:ascii="Times New Roman" w:hAnsi="Times New Roman" w:cs="Times New Roman"/>
          <w:sz w:val="28"/>
          <w:szCs w:val="28"/>
        </w:rPr>
        <w:t>Deming, W. E. (1986). Out of the crisis. Massachusetts Institute of Technology.</w:t>
      </w:r>
    </w:p>
    <w:p w14:paraId="51DE9754"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17</w:t>
      </w:r>
      <w:r>
        <w:rPr>
          <w:rFonts w:ascii="Times New Roman" w:hAnsi="Times New Roman" w:cs="Times New Roman"/>
          <w:sz w:val="28"/>
          <w:szCs w:val="28"/>
        </w:rPr>
        <w:t>．</w:t>
      </w:r>
      <w:r>
        <w:rPr>
          <w:rFonts w:ascii="Times New Roman" w:hAnsi="Times New Roman" w:cs="Times New Roman"/>
          <w:sz w:val="28"/>
          <w:szCs w:val="28"/>
        </w:rPr>
        <w:t>El-Akruti, K., Dwight, R., &amp; Zhang, T. (2013). The strategic role of engineering asset management. International Journal of Production Economics, 146(1), 227-239.</w:t>
      </w:r>
    </w:p>
    <w:p w14:paraId="6360498E"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18</w:t>
      </w:r>
      <w:r>
        <w:rPr>
          <w:rFonts w:ascii="Times New Roman" w:hAnsi="Times New Roman" w:cs="Times New Roman"/>
          <w:sz w:val="28"/>
          <w:szCs w:val="28"/>
        </w:rPr>
        <w:t>．</w:t>
      </w:r>
      <w:proofErr w:type="spellStart"/>
      <w:r>
        <w:rPr>
          <w:rFonts w:ascii="Times New Roman" w:hAnsi="Times New Roman" w:cs="Times New Roman"/>
          <w:sz w:val="28"/>
          <w:szCs w:val="28"/>
        </w:rPr>
        <w:t>Jorion</w:t>
      </w:r>
      <w:proofErr w:type="spellEnd"/>
      <w:r>
        <w:rPr>
          <w:rFonts w:ascii="Times New Roman" w:hAnsi="Times New Roman" w:cs="Times New Roman"/>
          <w:sz w:val="28"/>
          <w:szCs w:val="28"/>
        </w:rPr>
        <w:t>, P. (2007). Value at risk: the new benchmark for managing financial risk. McGraw-Hill.</w:t>
      </w:r>
    </w:p>
    <w:p w14:paraId="7FF2B6D5"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19</w:t>
      </w:r>
      <w:r>
        <w:rPr>
          <w:rFonts w:ascii="Times New Roman" w:hAnsi="Times New Roman" w:cs="Times New Roman"/>
          <w:sz w:val="28"/>
          <w:szCs w:val="28"/>
        </w:rPr>
        <w:t>．</w:t>
      </w:r>
      <w:r>
        <w:rPr>
          <w:rFonts w:ascii="Times New Roman" w:hAnsi="Times New Roman" w:cs="Times New Roman"/>
          <w:sz w:val="28"/>
          <w:szCs w:val="28"/>
        </w:rPr>
        <w:t>Markowitz, H. M. (1991). Foundations of portfolio theory. The Journal of Finance, 46(2), 469-477.</w:t>
      </w:r>
    </w:p>
    <w:p w14:paraId="1D5CF8F3"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20</w:t>
      </w:r>
      <w:r>
        <w:rPr>
          <w:rFonts w:ascii="Times New Roman" w:hAnsi="Times New Roman" w:cs="Times New Roman"/>
          <w:sz w:val="28"/>
          <w:szCs w:val="28"/>
        </w:rPr>
        <w:t>．</w:t>
      </w:r>
      <w:r>
        <w:rPr>
          <w:rFonts w:ascii="Times New Roman" w:hAnsi="Times New Roman" w:cs="Times New Roman"/>
          <w:sz w:val="28"/>
          <w:szCs w:val="28"/>
        </w:rPr>
        <w:t>UNPRI. (2020). Principles for Responsible Investment. United Nations-supported Principles for Responsible Investment.</w:t>
      </w:r>
    </w:p>
    <w:p w14:paraId="12C74797"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21</w:t>
      </w:r>
      <w:r>
        <w:rPr>
          <w:rFonts w:ascii="Times New Roman" w:hAnsi="Times New Roman" w:cs="Times New Roman"/>
          <w:sz w:val="28"/>
          <w:szCs w:val="28"/>
        </w:rPr>
        <w:t>．</w:t>
      </w:r>
      <w:r>
        <w:rPr>
          <w:rFonts w:ascii="Times New Roman" w:hAnsi="Times New Roman" w:cs="Times New Roman"/>
          <w:sz w:val="28"/>
          <w:szCs w:val="28"/>
        </w:rPr>
        <w:t>Kearney, C., &amp; Liu, S. (2014). Textual sentiment in finance: A survey of methods and models. International Review of Financial Analysis, 33, 171-185.</w:t>
      </w:r>
    </w:p>
    <w:p w14:paraId="0212200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22</w:t>
      </w:r>
      <w:r>
        <w:rPr>
          <w:rFonts w:ascii="Times New Roman" w:hAnsi="Times New Roman" w:cs="Times New Roman"/>
          <w:sz w:val="28"/>
          <w:szCs w:val="28"/>
        </w:rPr>
        <w:t>．</w:t>
      </w:r>
      <w:r>
        <w:rPr>
          <w:rFonts w:ascii="Times New Roman" w:hAnsi="Times New Roman" w:cs="Times New Roman"/>
          <w:sz w:val="28"/>
          <w:szCs w:val="28"/>
        </w:rPr>
        <w:t>Liu, Y. P., &amp; Li, X. R. (2020). State-owned Assets Management (4th edition). Beijing: Renmin University of China Press.</w:t>
      </w:r>
    </w:p>
    <w:p w14:paraId="0C62B064"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23</w:t>
      </w:r>
      <w:r>
        <w:rPr>
          <w:rFonts w:ascii="Times New Roman" w:hAnsi="Times New Roman" w:cs="Times New Roman"/>
          <w:sz w:val="28"/>
          <w:szCs w:val="28"/>
        </w:rPr>
        <w:t>．</w:t>
      </w:r>
      <w:r>
        <w:rPr>
          <w:rFonts w:ascii="Times New Roman" w:hAnsi="Times New Roman" w:cs="Times New Roman"/>
          <w:sz w:val="28"/>
          <w:szCs w:val="28"/>
        </w:rPr>
        <w:t>Li, X. P. (2020). Research on the Preservation and Appreciation Mechanism of State-owned Assets in Enterprises: Based on EVA Concept and Method. Beijing: Science Press.</w:t>
      </w:r>
    </w:p>
    <w:p w14:paraId="4115A0A1"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24</w:t>
      </w:r>
      <w:r>
        <w:rPr>
          <w:rFonts w:ascii="Times New Roman" w:hAnsi="Times New Roman" w:cs="Times New Roman"/>
          <w:sz w:val="28"/>
          <w:szCs w:val="28"/>
        </w:rPr>
        <w:t>．</w:t>
      </w:r>
      <w:r>
        <w:rPr>
          <w:rFonts w:ascii="Times New Roman" w:hAnsi="Times New Roman" w:cs="Times New Roman"/>
          <w:sz w:val="28"/>
          <w:szCs w:val="28"/>
        </w:rPr>
        <w:t>Qi, H. D., Guo, J. C., &amp; Peng, R. (2019). The Institutional Significance and Effective Practice of the Comprehensive Report on State-owned Assets Management. Finance and Accounting, (04), 4-9.</w:t>
      </w:r>
    </w:p>
    <w:p w14:paraId="75C02913"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25</w:t>
      </w:r>
      <w:r>
        <w:rPr>
          <w:rFonts w:ascii="Times New Roman" w:hAnsi="Times New Roman" w:cs="Times New Roman"/>
          <w:sz w:val="28"/>
          <w:szCs w:val="28"/>
        </w:rPr>
        <w:t>．</w:t>
      </w:r>
      <w:r>
        <w:rPr>
          <w:rFonts w:ascii="Times New Roman" w:hAnsi="Times New Roman" w:cs="Times New Roman"/>
          <w:sz w:val="28"/>
          <w:szCs w:val="28"/>
        </w:rPr>
        <w:t xml:space="preserve">Ye, H. S. (2005). Comparative Analysis of Different Views on the Ownership of State-owned Assets. Journal of </w:t>
      </w:r>
      <w:proofErr w:type="spellStart"/>
      <w:r>
        <w:rPr>
          <w:rFonts w:ascii="Times New Roman" w:hAnsi="Times New Roman" w:cs="Times New Roman"/>
          <w:sz w:val="28"/>
          <w:szCs w:val="28"/>
        </w:rPr>
        <w:t>Zhongnan</w:t>
      </w:r>
      <w:proofErr w:type="spellEnd"/>
      <w:r>
        <w:rPr>
          <w:rFonts w:ascii="Times New Roman" w:hAnsi="Times New Roman" w:cs="Times New Roman"/>
          <w:sz w:val="28"/>
          <w:szCs w:val="28"/>
        </w:rPr>
        <w:t xml:space="preserve"> University of Economics and Law, (06), 58-62.</w:t>
      </w:r>
    </w:p>
    <w:p w14:paraId="67F4C4B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26</w:t>
      </w:r>
      <w:r>
        <w:rPr>
          <w:rFonts w:ascii="Times New Roman" w:hAnsi="Times New Roman" w:cs="Times New Roman"/>
          <w:sz w:val="28"/>
          <w:szCs w:val="28"/>
        </w:rPr>
        <w:t>．</w:t>
      </w:r>
      <w:proofErr w:type="spellStart"/>
      <w:r>
        <w:rPr>
          <w:rFonts w:ascii="Times New Roman" w:hAnsi="Times New Roman" w:cs="Times New Roman"/>
          <w:sz w:val="28"/>
          <w:szCs w:val="28"/>
        </w:rPr>
        <w:t>Dilimulati</w:t>
      </w:r>
      <w:proofErr w:type="spellEnd"/>
      <w:r>
        <w:rPr>
          <w:rFonts w:ascii="Times New Roman" w:hAnsi="Times New Roman" w:cs="Times New Roman"/>
          <w:sz w:val="28"/>
          <w:szCs w:val="28"/>
        </w:rPr>
        <w:t xml:space="preserve">, N., &amp; Ding, X. S. (2010). Research Report on the Reform of </w:t>
      </w:r>
      <w:r>
        <w:rPr>
          <w:rFonts w:ascii="Times New Roman" w:hAnsi="Times New Roman" w:cs="Times New Roman"/>
          <w:sz w:val="28"/>
          <w:szCs w:val="28"/>
        </w:rPr>
        <w:lastRenderedPageBreak/>
        <w:t>Operational State-owned Assets in Administrative Institutions in Jiangxi Province. Xinjiang Finance and Accounting, (1), 5.</w:t>
      </w:r>
    </w:p>
    <w:p w14:paraId="342AD82D"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27</w:t>
      </w:r>
      <w:r>
        <w:rPr>
          <w:rFonts w:ascii="Times New Roman" w:hAnsi="Times New Roman" w:cs="Times New Roman"/>
          <w:sz w:val="28"/>
          <w:szCs w:val="28"/>
        </w:rPr>
        <w:t>．</w:t>
      </w:r>
      <w:r>
        <w:rPr>
          <w:rFonts w:ascii="Times New Roman" w:hAnsi="Times New Roman" w:cs="Times New Roman"/>
          <w:sz w:val="28"/>
          <w:szCs w:val="28"/>
        </w:rPr>
        <w:t>He, H. N. (2018). Some Thoughts on the Implementation of the New Accounting System for Administrative Institutions in Jiangxi Public Security Organs. Audit and Finance, (10), 2.</w:t>
      </w:r>
    </w:p>
    <w:p w14:paraId="6AB4055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28</w:t>
      </w:r>
      <w:r>
        <w:rPr>
          <w:rFonts w:ascii="Times New Roman" w:hAnsi="Times New Roman" w:cs="Times New Roman"/>
          <w:sz w:val="28"/>
          <w:szCs w:val="28"/>
        </w:rPr>
        <w:t>．</w:t>
      </w:r>
      <w:r>
        <w:rPr>
          <w:rFonts w:ascii="Times New Roman" w:hAnsi="Times New Roman" w:cs="Times New Roman"/>
          <w:sz w:val="28"/>
          <w:szCs w:val="28"/>
        </w:rPr>
        <w:t>Hong, L. X. (2021). Current Situation and Countermeasures of Internal Control in Administrative Institutions. China Agricultural Accounting, (2019-12), 26-27.</w:t>
      </w:r>
    </w:p>
    <w:p w14:paraId="173D05DD"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29</w:t>
      </w:r>
      <w:r>
        <w:rPr>
          <w:rFonts w:ascii="Times New Roman" w:hAnsi="Times New Roman" w:cs="Times New Roman"/>
          <w:sz w:val="28"/>
          <w:szCs w:val="28"/>
        </w:rPr>
        <w:t>．</w:t>
      </w:r>
      <w:r>
        <w:rPr>
          <w:rFonts w:ascii="Times New Roman" w:hAnsi="Times New Roman" w:cs="Times New Roman"/>
          <w:sz w:val="28"/>
          <w:szCs w:val="28"/>
        </w:rPr>
        <w:t>Modigliani, F., &amp; Miller, M. H. (1958). The cost of capital, corporation finance and the theory of investment. The American Economic Review, 48(3), 261-297.</w:t>
      </w:r>
    </w:p>
    <w:p w14:paraId="1B16B86B"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30</w:t>
      </w:r>
      <w:r>
        <w:rPr>
          <w:rFonts w:ascii="Times New Roman" w:hAnsi="Times New Roman" w:cs="Times New Roman"/>
          <w:sz w:val="28"/>
          <w:szCs w:val="28"/>
        </w:rPr>
        <w:t>．</w:t>
      </w:r>
      <w:r>
        <w:rPr>
          <w:rFonts w:ascii="Times New Roman" w:hAnsi="Times New Roman" w:cs="Times New Roman"/>
          <w:sz w:val="28"/>
          <w:szCs w:val="28"/>
        </w:rPr>
        <w:t>Woodhouse, J. (2001). Asset management: concepts &amp; practices. The Woodhouse Partnership Ltd.</w:t>
      </w:r>
    </w:p>
    <w:p w14:paraId="51AD9F23"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31</w:t>
      </w:r>
      <w:r>
        <w:rPr>
          <w:rFonts w:ascii="Times New Roman" w:hAnsi="Times New Roman" w:cs="Times New Roman"/>
          <w:sz w:val="28"/>
          <w:szCs w:val="28"/>
        </w:rPr>
        <w:t>．</w:t>
      </w:r>
      <w:r>
        <w:rPr>
          <w:rFonts w:ascii="Times New Roman" w:hAnsi="Times New Roman" w:cs="Times New Roman"/>
          <w:sz w:val="28"/>
          <w:szCs w:val="28"/>
        </w:rPr>
        <w:t>Hastings, N. A. J. (2010). Physical asset management. Springer.</w:t>
      </w:r>
    </w:p>
    <w:p w14:paraId="0CBED96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32</w:t>
      </w:r>
      <w:r>
        <w:rPr>
          <w:rFonts w:ascii="Times New Roman" w:hAnsi="Times New Roman" w:cs="Times New Roman"/>
          <w:sz w:val="28"/>
          <w:szCs w:val="28"/>
        </w:rPr>
        <w:t>．</w:t>
      </w:r>
      <w:r>
        <w:rPr>
          <w:rFonts w:ascii="Times New Roman" w:hAnsi="Times New Roman" w:cs="Times New Roman"/>
          <w:sz w:val="28"/>
          <w:szCs w:val="28"/>
        </w:rPr>
        <w:t>Basel Committee on Banking Supervision. (2013). Basel III: The Liquidity Coverage Ratio and liquidity risk monitoring tools.</w:t>
      </w:r>
    </w:p>
    <w:p w14:paraId="10A64C03"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33</w:t>
      </w:r>
      <w:r>
        <w:rPr>
          <w:rFonts w:ascii="Times New Roman" w:hAnsi="Times New Roman" w:cs="Times New Roman"/>
          <w:sz w:val="28"/>
          <w:szCs w:val="28"/>
        </w:rPr>
        <w:t>．</w:t>
      </w:r>
      <w:r>
        <w:rPr>
          <w:rFonts w:ascii="Times New Roman" w:hAnsi="Times New Roman" w:cs="Times New Roman"/>
          <w:sz w:val="28"/>
          <w:szCs w:val="28"/>
        </w:rPr>
        <w:t>State-owned Assets Supervision and Administration Commission. (2019). Guidelines on Strengthening the Asset Management of Central State-owned Enterprises.</w:t>
      </w:r>
    </w:p>
    <w:p w14:paraId="56BEC689"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34</w:t>
      </w:r>
      <w:r>
        <w:rPr>
          <w:rFonts w:ascii="Times New Roman" w:hAnsi="Times New Roman" w:cs="Times New Roman"/>
          <w:sz w:val="28"/>
          <w:szCs w:val="28"/>
        </w:rPr>
        <w:t>．</w:t>
      </w:r>
      <w:r>
        <w:rPr>
          <w:rFonts w:ascii="Times New Roman" w:hAnsi="Times New Roman" w:cs="Times New Roman"/>
          <w:sz w:val="28"/>
          <w:szCs w:val="28"/>
        </w:rPr>
        <w:t>State Council of the People's Republic of China. (2015). Guiding Opinions on Deepening the Reform of State-owned Enterprises.</w:t>
      </w:r>
    </w:p>
    <w:p w14:paraId="6FD35F7E"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35</w:t>
      </w:r>
      <w:r>
        <w:rPr>
          <w:rFonts w:ascii="Times New Roman" w:hAnsi="Times New Roman" w:cs="Times New Roman"/>
          <w:sz w:val="28"/>
          <w:szCs w:val="28"/>
        </w:rPr>
        <w:t>．</w:t>
      </w:r>
      <w:proofErr w:type="spellStart"/>
      <w:r>
        <w:rPr>
          <w:rFonts w:ascii="Times New Roman" w:hAnsi="Times New Roman" w:cs="Times New Roman"/>
          <w:sz w:val="28"/>
          <w:szCs w:val="28"/>
        </w:rPr>
        <w:t>Fottler</w:t>
      </w:r>
      <w:proofErr w:type="spellEnd"/>
      <w:r>
        <w:rPr>
          <w:rFonts w:ascii="Times New Roman" w:hAnsi="Times New Roman" w:cs="Times New Roman"/>
          <w:sz w:val="28"/>
          <w:szCs w:val="28"/>
        </w:rPr>
        <w:t>, M. D. (1981). Is Management Really Generic? Academy of Management Review, 6(1), 1-12.</w:t>
      </w:r>
    </w:p>
    <w:p w14:paraId="1B0349EE"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36</w:t>
      </w:r>
      <w:r>
        <w:rPr>
          <w:rFonts w:ascii="Times New Roman" w:hAnsi="Times New Roman" w:cs="Times New Roman"/>
          <w:sz w:val="28"/>
          <w:szCs w:val="28"/>
        </w:rPr>
        <w:t>．</w:t>
      </w:r>
      <w:r>
        <w:rPr>
          <w:rFonts w:ascii="Times New Roman" w:hAnsi="Times New Roman" w:cs="Times New Roman"/>
          <w:sz w:val="28"/>
          <w:szCs w:val="28"/>
        </w:rPr>
        <w:t>Mayhew, A. (2002). Dangers in Using the Idea of Property Rights: Modern Property Rights Theory and the Neo-Classical Trap. Journal of Economic Issues, 36(4), 959-966.</w:t>
      </w:r>
    </w:p>
    <w:p w14:paraId="6837EB54"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37</w:t>
      </w:r>
      <w:r>
        <w:rPr>
          <w:rFonts w:ascii="Times New Roman" w:hAnsi="Times New Roman" w:cs="Times New Roman"/>
          <w:sz w:val="28"/>
          <w:szCs w:val="28"/>
        </w:rPr>
        <w:t>．</w:t>
      </w:r>
      <w:r>
        <w:rPr>
          <w:rFonts w:ascii="Times New Roman" w:hAnsi="Times New Roman" w:cs="Times New Roman"/>
          <w:sz w:val="28"/>
          <w:szCs w:val="28"/>
        </w:rPr>
        <w:t xml:space="preserve">Holtmann, A. G. (1983). A Theory of Non-Profit Firms. </w:t>
      </w:r>
      <w:proofErr w:type="spellStart"/>
      <w:r>
        <w:rPr>
          <w:rFonts w:ascii="Times New Roman" w:hAnsi="Times New Roman" w:cs="Times New Roman"/>
          <w:sz w:val="28"/>
          <w:szCs w:val="28"/>
        </w:rPr>
        <w:t>Economica</w:t>
      </w:r>
      <w:proofErr w:type="spellEnd"/>
      <w:r>
        <w:rPr>
          <w:rFonts w:ascii="Times New Roman" w:hAnsi="Times New Roman" w:cs="Times New Roman"/>
          <w:sz w:val="28"/>
          <w:szCs w:val="28"/>
        </w:rPr>
        <w:t xml:space="preserve"> (New Series), 50(200), 439-449.</w:t>
      </w:r>
    </w:p>
    <w:p w14:paraId="444BD460"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38</w:t>
      </w:r>
      <w:r>
        <w:rPr>
          <w:rFonts w:ascii="Times New Roman" w:hAnsi="Times New Roman" w:cs="Times New Roman"/>
          <w:sz w:val="28"/>
          <w:szCs w:val="28"/>
        </w:rPr>
        <w:t>．</w:t>
      </w:r>
      <w:r>
        <w:rPr>
          <w:rFonts w:ascii="Times New Roman" w:hAnsi="Times New Roman" w:cs="Times New Roman"/>
          <w:sz w:val="28"/>
          <w:szCs w:val="28"/>
        </w:rPr>
        <w:t xml:space="preserve">Kornai, J. (2007). The Soft Budget Constraint. </w:t>
      </w:r>
      <w:proofErr w:type="spellStart"/>
      <w:r>
        <w:rPr>
          <w:rFonts w:ascii="Times New Roman" w:hAnsi="Times New Roman" w:cs="Times New Roman"/>
          <w:sz w:val="28"/>
          <w:szCs w:val="28"/>
        </w:rPr>
        <w:t>Kyklos</w:t>
      </w:r>
      <w:proofErr w:type="spellEnd"/>
      <w:r>
        <w:rPr>
          <w:rFonts w:ascii="Times New Roman" w:hAnsi="Times New Roman" w:cs="Times New Roman"/>
          <w:sz w:val="28"/>
          <w:szCs w:val="28"/>
        </w:rPr>
        <w:t>, 39(1), 3-30.</w:t>
      </w:r>
    </w:p>
    <w:p w14:paraId="2C1F3F11"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39</w:t>
      </w:r>
      <w:r>
        <w:rPr>
          <w:rFonts w:ascii="Times New Roman" w:hAnsi="Times New Roman" w:cs="Times New Roman"/>
          <w:sz w:val="28"/>
          <w:szCs w:val="28"/>
        </w:rPr>
        <w:t>．</w:t>
      </w:r>
      <w:r>
        <w:rPr>
          <w:rFonts w:ascii="Times New Roman" w:hAnsi="Times New Roman" w:cs="Times New Roman"/>
          <w:sz w:val="28"/>
          <w:szCs w:val="28"/>
        </w:rPr>
        <w:t>Kaplan, R. S., &amp; Norton, D. P. (2001). Transforming the balanced scorecard from performance measurement to strategic measurement. Accounting Horizons, 14(1), 87-104.</w:t>
      </w:r>
    </w:p>
    <w:p w14:paraId="45C340FF"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40</w:t>
      </w:r>
      <w:r>
        <w:rPr>
          <w:rFonts w:ascii="Times New Roman" w:hAnsi="Times New Roman" w:cs="Times New Roman"/>
          <w:sz w:val="28"/>
          <w:szCs w:val="28"/>
        </w:rPr>
        <w:t>．</w:t>
      </w:r>
      <w:r>
        <w:rPr>
          <w:rFonts w:ascii="Times New Roman" w:hAnsi="Times New Roman" w:cs="Times New Roman"/>
          <w:sz w:val="28"/>
          <w:szCs w:val="28"/>
        </w:rPr>
        <w:t>Kaplan, R. S. (2008). Conceptual foundations of the balanced scorecard. Handbooks of Management Accounting Research, 3, 1253-1269.</w:t>
      </w:r>
    </w:p>
    <w:p w14:paraId="6EA15DF6"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41</w:t>
      </w:r>
      <w:r>
        <w:rPr>
          <w:rFonts w:ascii="Times New Roman" w:hAnsi="Times New Roman" w:cs="Times New Roman"/>
          <w:sz w:val="28"/>
          <w:szCs w:val="28"/>
        </w:rPr>
        <w:t>．</w:t>
      </w:r>
      <w:r>
        <w:rPr>
          <w:rFonts w:ascii="Times New Roman" w:hAnsi="Times New Roman" w:cs="Times New Roman"/>
          <w:sz w:val="28"/>
          <w:szCs w:val="28"/>
        </w:rPr>
        <w:t>Dillon, B. (2000). Keeping Tabs on Council Property Assets. Public Finance and Accountancy, 15, 113-115.</w:t>
      </w:r>
    </w:p>
    <w:p w14:paraId="3F9E92B7"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42</w:t>
      </w:r>
      <w:r>
        <w:rPr>
          <w:rFonts w:ascii="Times New Roman" w:hAnsi="Times New Roman" w:cs="Times New Roman"/>
          <w:sz w:val="28"/>
          <w:szCs w:val="28"/>
        </w:rPr>
        <w:t>．</w:t>
      </w:r>
      <w:r>
        <w:rPr>
          <w:rFonts w:ascii="Times New Roman" w:hAnsi="Times New Roman" w:cs="Times New Roman"/>
          <w:sz w:val="28"/>
          <w:szCs w:val="28"/>
        </w:rPr>
        <w:t>Glaeser, E. L. (2002). The Governance of Not-for-Profit Firms. Harvard Institute of Economic Research Working Papers, 11, 187-195.</w:t>
      </w:r>
    </w:p>
    <w:p w14:paraId="416F432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43</w:t>
      </w:r>
      <w:r>
        <w:rPr>
          <w:rFonts w:ascii="Times New Roman" w:hAnsi="Times New Roman" w:cs="Times New Roman"/>
          <w:sz w:val="28"/>
          <w:szCs w:val="28"/>
        </w:rPr>
        <w:t>．</w:t>
      </w:r>
      <w:proofErr w:type="spellStart"/>
      <w:r>
        <w:rPr>
          <w:rFonts w:ascii="Times New Roman" w:hAnsi="Times New Roman" w:cs="Times New Roman"/>
          <w:sz w:val="28"/>
          <w:szCs w:val="28"/>
        </w:rPr>
        <w:t>Demsetz</w:t>
      </w:r>
      <w:proofErr w:type="spellEnd"/>
      <w:r>
        <w:rPr>
          <w:rFonts w:ascii="Times New Roman" w:hAnsi="Times New Roman" w:cs="Times New Roman"/>
          <w:sz w:val="28"/>
          <w:szCs w:val="28"/>
        </w:rPr>
        <w:t>, H. (1974). Toward a Theory of Property Rights. Palgrave Macmillan UK, 65(06), 163-177.</w:t>
      </w:r>
    </w:p>
    <w:p w14:paraId="646F4238"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44</w:t>
      </w:r>
      <w:r>
        <w:rPr>
          <w:rFonts w:ascii="Times New Roman" w:hAnsi="Times New Roman" w:cs="Times New Roman"/>
          <w:sz w:val="28"/>
          <w:szCs w:val="28"/>
        </w:rPr>
        <w:t>．</w:t>
      </w:r>
      <w:r>
        <w:rPr>
          <w:rFonts w:ascii="Times New Roman" w:hAnsi="Times New Roman" w:cs="Times New Roman"/>
          <w:sz w:val="28"/>
          <w:szCs w:val="28"/>
        </w:rPr>
        <w:t>Qi, S. Y. (2002). Outline of China's Public Economic System Reform and Public Economics. Beijing: People's Publishing House.</w:t>
      </w:r>
    </w:p>
    <w:p w14:paraId="1B4C5A81"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45</w:t>
      </w:r>
      <w:r>
        <w:rPr>
          <w:rFonts w:ascii="Times New Roman" w:hAnsi="Times New Roman" w:cs="Times New Roman"/>
          <w:sz w:val="28"/>
          <w:szCs w:val="28"/>
        </w:rPr>
        <w:t>．</w:t>
      </w:r>
      <w:r>
        <w:rPr>
          <w:rFonts w:ascii="Times New Roman" w:hAnsi="Times New Roman" w:cs="Times New Roman"/>
          <w:sz w:val="28"/>
          <w:szCs w:val="28"/>
        </w:rPr>
        <w:t>Ji, J. S. (2002). New Model of State-owned Assets Management in Administrative Institutions. Beijing: Economic Management Publishing House.</w:t>
      </w:r>
    </w:p>
    <w:p w14:paraId="5B38B983"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46</w:t>
      </w:r>
      <w:r>
        <w:rPr>
          <w:rFonts w:ascii="Times New Roman" w:hAnsi="Times New Roman" w:cs="Times New Roman"/>
          <w:sz w:val="28"/>
          <w:szCs w:val="28"/>
        </w:rPr>
        <w:t>．</w:t>
      </w:r>
      <w:r>
        <w:rPr>
          <w:rFonts w:ascii="Times New Roman" w:hAnsi="Times New Roman" w:cs="Times New Roman"/>
          <w:sz w:val="28"/>
          <w:szCs w:val="28"/>
        </w:rPr>
        <w:t>Tang, Z. C. (2005). New Public Finance: Theory and Practice. Shanghai: Fudan University Press.</w:t>
      </w:r>
    </w:p>
    <w:p w14:paraId="2A31CEB4"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47</w:t>
      </w:r>
      <w:r>
        <w:rPr>
          <w:rFonts w:ascii="Times New Roman" w:hAnsi="Times New Roman" w:cs="Times New Roman"/>
          <w:sz w:val="28"/>
          <w:szCs w:val="28"/>
        </w:rPr>
        <w:t>．</w:t>
      </w:r>
      <w:r>
        <w:rPr>
          <w:rFonts w:ascii="Times New Roman" w:hAnsi="Times New Roman" w:cs="Times New Roman"/>
          <w:sz w:val="28"/>
          <w:szCs w:val="28"/>
        </w:rPr>
        <w:t>Feng, L. K. (2015). Central and Local Decentralization of State-owned Property: From the Perspective of Local Ownership. Chongqing: Southwest University of Political Science and Law Press.</w:t>
      </w:r>
    </w:p>
    <w:p w14:paraId="53D3896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48</w:t>
      </w:r>
      <w:r>
        <w:rPr>
          <w:rFonts w:ascii="Times New Roman" w:hAnsi="Times New Roman" w:cs="Times New Roman"/>
          <w:sz w:val="28"/>
          <w:szCs w:val="28"/>
        </w:rPr>
        <w:t>．</w:t>
      </w:r>
      <w:r>
        <w:rPr>
          <w:rFonts w:ascii="Times New Roman" w:hAnsi="Times New Roman" w:cs="Times New Roman"/>
          <w:sz w:val="28"/>
          <w:szCs w:val="28"/>
        </w:rPr>
        <w:t>Song, J. N. (2017). Research on the Reform of China's State-owned Assets Management System from the Perspective of Governance Theory. Beijing: Chinese Academy of Fiscal Sciences.</w:t>
      </w:r>
    </w:p>
    <w:p w14:paraId="754A6511"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49</w:t>
      </w:r>
      <w:r>
        <w:rPr>
          <w:rFonts w:ascii="Times New Roman" w:hAnsi="Times New Roman" w:cs="Times New Roman"/>
          <w:sz w:val="28"/>
          <w:szCs w:val="28"/>
        </w:rPr>
        <w:t>．</w:t>
      </w:r>
      <w:r>
        <w:rPr>
          <w:rFonts w:ascii="Times New Roman" w:hAnsi="Times New Roman" w:cs="Times New Roman"/>
          <w:sz w:val="28"/>
          <w:szCs w:val="28"/>
        </w:rPr>
        <w:t>ISO. (2014). ISO 55000 Asset management - Overview, principles and terminology. International Organization for Standardization.</w:t>
      </w:r>
    </w:p>
    <w:p w14:paraId="42142FAB"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50</w:t>
      </w:r>
      <w:r>
        <w:rPr>
          <w:rFonts w:ascii="Times New Roman" w:hAnsi="Times New Roman" w:cs="Times New Roman"/>
          <w:sz w:val="28"/>
          <w:szCs w:val="28"/>
        </w:rPr>
        <w:t>．</w:t>
      </w:r>
      <w:r>
        <w:rPr>
          <w:rFonts w:ascii="Times New Roman" w:hAnsi="Times New Roman" w:cs="Times New Roman"/>
          <w:sz w:val="28"/>
          <w:szCs w:val="28"/>
        </w:rPr>
        <w:t>Sinopec. (2023). Sinopec Annual Report. Sinopec.</w:t>
      </w:r>
    </w:p>
    <w:p w14:paraId="1B757B94"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51</w:t>
      </w:r>
      <w:r>
        <w:rPr>
          <w:rFonts w:ascii="Times New Roman" w:hAnsi="Times New Roman" w:cs="Times New Roman"/>
          <w:sz w:val="28"/>
          <w:szCs w:val="28"/>
        </w:rPr>
        <w:t>．</w:t>
      </w:r>
      <w:r>
        <w:rPr>
          <w:rFonts w:ascii="Times New Roman" w:hAnsi="Times New Roman" w:cs="Times New Roman"/>
          <w:sz w:val="28"/>
          <w:szCs w:val="28"/>
        </w:rPr>
        <w:t>Sinopec. (2023). Sinopec Asset Management Evaluation Index System. Sinopec Internal Data.</w:t>
      </w:r>
    </w:p>
    <w:p w14:paraId="0512A90C"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52</w:t>
      </w:r>
      <w:r>
        <w:rPr>
          <w:rFonts w:ascii="Times New Roman" w:hAnsi="Times New Roman" w:cs="Times New Roman"/>
          <w:sz w:val="28"/>
          <w:szCs w:val="28"/>
        </w:rPr>
        <w:t>．</w:t>
      </w:r>
      <w:r>
        <w:rPr>
          <w:rFonts w:ascii="Times New Roman" w:hAnsi="Times New Roman" w:cs="Times New Roman"/>
          <w:sz w:val="28"/>
          <w:szCs w:val="28"/>
        </w:rPr>
        <w:t>Sinopec. (2023). Changes in Sinopec's Core Asset Management Indicators. Sinopec Internal Data.</w:t>
      </w:r>
    </w:p>
    <w:p w14:paraId="37EBE164"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53</w:t>
      </w:r>
      <w:r>
        <w:rPr>
          <w:rFonts w:ascii="Times New Roman" w:hAnsi="Times New Roman" w:cs="Times New Roman"/>
          <w:sz w:val="28"/>
          <w:szCs w:val="28"/>
        </w:rPr>
        <w:t>．</w:t>
      </w:r>
      <w:r>
        <w:rPr>
          <w:rFonts w:ascii="Times New Roman" w:hAnsi="Times New Roman" w:cs="Times New Roman"/>
          <w:sz w:val="28"/>
          <w:szCs w:val="28"/>
        </w:rPr>
        <w:t>Midea Group. (2023). Midea Group Technology White Paper. Midea Group.</w:t>
      </w:r>
    </w:p>
    <w:p w14:paraId="6F327D5C"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54</w:t>
      </w:r>
      <w:r>
        <w:rPr>
          <w:rFonts w:ascii="Times New Roman" w:hAnsi="Times New Roman" w:cs="Times New Roman"/>
          <w:sz w:val="28"/>
          <w:szCs w:val="28"/>
        </w:rPr>
        <w:t>．</w:t>
      </w:r>
      <w:r>
        <w:rPr>
          <w:rFonts w:ascii="Times New Roman" w:hAnsi="Times New Roman" w:cs="Times New Roman"/>
          <w:sz w:val="28"/>
          <w:szCs w:val="28"/>
        </w:rPr>
        <w:t>Midea Group. (2023). Midea Group Management Innovation Report. Midea Group.</w:t>
      </w:r>
    </w:p>
    <w:p w14:paraId="7F002FEC"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55</w:t>
      </w:r>
      <w:r>
        <w:rPr>
          <w:rFonts w:ascii="Times New Roman" w:hAnsi="Times New Roman" w:cs="Times New Roman"/>
          <w:sz w:val="28"/>
          <w:szCs w:val="28"/>
        </w:rPr>
        <w:t>．</w:t>
      </w:r>
      <w:r>
        <w:rPr>
          <w:rFonts w:ascii="Times New Roman" w:hAnsi="Times New Roman" w:cs="Times New Roman"/>
          <w:sz w:val="28"/>
          <w:szCs w:val="28"/>
        </w:rPr>
        <w:t>Huawei. (2021). Huawei Annual Report. Huawei.</w:t>
      </w:r>
    </w:p>
    <w:p w14:paraId="453B7A87"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56</w:t>
      </w:r>
      <w:r>
        <w:rPr>
          <w:rFonts w:ascii="Times New Roman" w:hAnsi="Times New Roman" w:cs="Times New Roman"/>
          <w:sz w:val="28"/>
          <w:szCs w:val="28"/>
        </w:rPr>
        <w:t>．</w:t>
      </w:r>
      <w:r>
        <w:rPr>
          <w:rFonts w:ascii="Times New Roman" w:hAnsi="Times New Roman" w:cs="Times New Roman"/>
          <w:sz w:val="28"/>
          <w:szCs w:val="28"/>
        </w:rPr>
        <w:t>Huawei. (2021). Huawei Innovation Management White Paper. Huawei.</w:t>
      </w:r>
    </w:p>
    <w:p w14:paraId="15D8686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57</w:t>
      </w:r>
      <w:r>
        <w:rPr>
          <w:rFonts w:ascii="Times New Roman" w:hAnsi="Times New Roman" w:cs="Times New Roman"/>
          <w:sz w:val="28"/>
          <w:szCs w:val="28"/>
        </w:rPr>
        <w:t>．</w:t>
      </w:r>
      <w:r>
        <w:rPr>
          <w:rFonts w:ascii="Times New Roman" w:hAnsi="Times New Roman" w:cs="Times New Roman"/>
          <w:sz w:val="28"/>
          <w:szCs w:val="28"/>
        </w:rPr>
        <w:t>Sinopec. (2023). Sinopec Internal Data Compilation. Sinopec.</w:t>
      </w:r>
    </w:p>
    <w:p w14:paraId="2A293B30"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58</w:t>
      </w:r>
      <w:r>
        <w:rPr>
          <w:rFonts w:ascii="Times New Roman" w:hAnsi="Times New Roman" w:cs="Times New Roman"/>
          <w:sz w:val="28"/>
          <w:szCs w:val="28"/>
        </w:rPr>
        <w:t>．</w:t>
      </w:r>
      <w:r>
        <w:rPr>
          <w:rFonts w:ascii="Times New Roman" w:hAnsi="Times New Roman" w:cs="Times New Roman"/>
          <w:sz w:val="28"/>
          <w:szCs w:val="28"/>
        </w:rPr>
        <w:t>Wind Database. (2022). Comparison of Asset Operation Efficiency between Chinese and International Benchmark Enterprises.</w:t>
      </w:r>
    </w:p>
    <w:p w14:paraId="0AD07423"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59</w:t>
      </w:r>
      <w:r>
        <w:rPr>
          <w:rFonts w:ascii="Times New Roman" w:hAnsi="Times New Roman" w:cs="Times New Roman"/>
          <w:sz w:val="28"/>
          <w:szCs w:val="28"/>
        </w:rPr>
        <w:t>．</w:t>
      </w:r>
      <w:r>
        <w:rPr>
          <w:rFonts w:ascii="Times New Roman" w:hAnsi="Times New Roman" w:cs="Times New Roman"/>
          <w:sz w:val="28"/>
          <w:szCs w:val="28"/>
        </w:rPr>
        <w:t>Wind Database. (2022). Comparison of Capital Return and Operating Efficiency Indicators of Chinese and Foreign Companies.</w:t>
      </w:r>
    </w:p>
    <w:p w14:paraId="7A041211"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60</w:t>
      </w:r>
      <w:r>
        <w:rPr>
          <w:rFonts w:ascii="Times New Roman" w:hAnsi="Times New Roman" w:cs="Times New Roman"/>
          <w:sz w:val="28"/>
          <w:szCs w:val="28"/>
        </w:rPr>
        <w:t>．</w:t>
      </w:r>
      <w:r>
        <w:rPr>
          <w:rFonts w:ascii="Times New Roman" w:hAnsi="Times New Roman" w:cs="Times New Roman"/>
          <w:sz w:val="28"/>
          <w:szCs w:val="28"/>
        </w:rPr>
        <w:t>Deloitte Consulting. (2022). Research Report on the Impact of Advanced Asset Management Strategies. Deloitte.</w:t>
      </w:r>
    </w:p>
    <w:p w14:paraId="09360E97"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61</w:t>
      </w:r>
      <w:r>
        <w:rPr>
          <w:rFonts w:ascii="Times New Roman" w:hAnsi="Times New Roman" w:cs="Times New Roman"/>
          <w:sz w:val="28"/>
          <w:szCs w:val="28"/>
        </w:rPr>
        <w:t>．</w:t>
      </w:r>
      <w:r>
        <w:rPr>
          <w:rFonts w:ascii="Times New Roman" w:hAnsi="Times New Roman" w:cs="Times New Roman"/>
          <w:sz w:val="28"/>
          <w:szCs w:val="28"/>
        </w:rPr>
        <w:t>Wind Database. (2023). Asset-Liability Ratio and Total Asset Turnover Rate of China's Industrial Enterprises Above Designated Size.</w:t>
      </w:r>
    </w:p>
    <w:p w14:paraId="79DA666F"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62</w:t>
      </w:r>
      <w:r>
        <w:rPr>
          <w:rFonts w:ascii="Times New Roman" w:hAnsi="Times New Roman" w:cs="Times New Roman"/>
          <w:sz w:val="28"/>
          <w:szCs w:val="28"/>
        </w:rPr>
        <w:t>．</w:t>
      </w:r>
      <w:r>
        <w:rPr>
          <w:rFonts w:ascii="Times New Roman" w:hAnsi="Times New Roman" w:cs="Times New Roman"/>
          <w:sz w:val="28"/>
          <w:szCs w:val="28"/>
        </w:rPr>
        <w:t>Academic Community. (2022). Research on the Role of the Combination of Industry and Finance in Optimizing Corporate Asset Allocation. Various Academic Papers.</w:t>
      </w:r>
    </w:p>
    <w:p w14:paraId="4A989746"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63</w:t>
      </w:r>
      <w:r>
        <w:rPr>
          <w:rFonts w:ascii="Times New Roman" w:hAnsi="Times New Roman" w:cs="Times New Roman"/>
          <w:sz w:val="28"/>
          <w:szCs w:val="28"/>
        </w:rPr>
        <w:t>．</w:t>
      </w:r>
      <w:r>
        <w:rPr>
          <w:rFonts w:ascii="Times New Roman" w:hAnsi="Times New Roman" w:cs="Times New Roman"/>
          <w:sz w:val="28"/>
          <w:szCs w:val="28"/>
        </w:rPr>
        <w:t>China National Nuclear Corporation. (2022). China National Nuclear Corporation 2035 First-Class Strategy and Industrial-Financial Synergy Practices. China National Nuclear Corporation.</w:t>
      </w:r>
    </w:p>
    <w:p w14:paraId="5AF0487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64</w:t>
      </w:r>
      <w:r>
        <w:rPr>
          <w:rFonts w:ascii="Times New Roman" w:hAnsi="Times New Roman" w:cs="Times New Roman"/>
          <w:sz w:val="28"/>
          <w:szCs w:val="28"/>
        </w:rPr>
        <w:t>．</w:t>
      </w:r>
      <w:r>
        <w:rPr>
          <w:rFonts w:ascii="Times New Roman" w:hAnsi="Times New Roman" w:cs="Times New Roman"/>
          <w:sz w:val="28"/>
          <w:szCs w:val="28"/>
        </w:rPr>
        <w:t>Research Data. (2023). Comparison of R&amp;D Investment Intensity and Net Asset Return Rate between High-tech Enterprises and Traditional Manufacturing. Various Research Reports.</w:t>
      </w:r>
    </w:p>
    <w:p w14:paraId="4F182C75"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65</w:t>
      </w:r>
      <w:r>
        <w:rPr>
          <w:rFonts w:ascii="Times New Roman" w:hAnsi="Times New Roman" w:cs="Times New Roman"/>
          <w:sz w:val="28"/>
          <w:szCs w:val="28"/>
        </w:rPr>
        <w:t>．</w:t>
      </w:r>
      <w:proofErr w:type="spellStart"/>
      <w:r>
        <w:rPr>
          <w:rFonts w:ascii="Times New Roman" w:hAnsi="Times New Roman" w:cs="Times New Roman"/>
          <w:sz w:val="28"/>
          <w:szCs w:val="28"/>
        </w:rPr>
        <w:t>Gree</w:t>
      </w:r>
      <w:proofErr w:type="spellEnd"/>
      <w:r>
        <w:rPr>
          <w:rFonts w:ascii="Times New Roman" w:hAnsi="Times New Roman" w:cs="Times New Roman"/>
          <w:sz w:val="28"/>
          <w:szCs w:val="28"/>
        </w:rPr>
        <w:t xml:space="preserve"> Electric Appliances. (2022). </w:t>
      </w:r>
      <w:proofErr w:type="spellStart"/>
      <w:r>
        <w:rPr>
          <w:rFonts w:ascii="Times New Roman" w:hAnsi="Times New Roman" w:cs="Times New Roman"/>
          <w:sz w:val="28"/>
          <w:szCs w:val="28"/>
        </w:rPr>
        <w:t>Gree</w:t>
      </w:r>
      <w:proofErr w:type="spellEnd"/>
      <w:r>
        <w:rPr>
          <w:rFonts w:ascii="Times New Roman" w:hAnsi="Times New Roman" w:cs="Times New Roman"/>
          <w:sz w:val="28"/>
          <w:szCs w:val="28"/>
        </w:rPr>
        <w:t xml:space="preserve"> Electric Appliances Annual Report. </w:t>
      </w:r>
      <w:proofErr w:type="spellStart"/>
      <w:r>
        <w:rPr>
          <w:rFonts w:ascii="Times New Roman" w:hAnsi="Times New Roman" w:cs="Times New Roman"/>
          <w:sz w:val="28"/>
          <w:szCs w:val="28"/>
        </w:rPr>
        <w:t>Gree</w:t>
      </w:r>
      <w:proofErr w:type="spellEnd"/>
      <w:r>
        <w:rPr>
          <w:rFonts w:ascii="Times New Roman" w:hAnsi="Times New Roman" w:cs="Times New Roman"/>
          <w:sz w:val="28"/>
          <w:szCs w:val="28"/>
        </w:rPr>
        <w:t xml:space="preserve"> Electric Appliances.</w:t>
      </w:r>
    </w:p>
    <w:p w14:paraId="6D6E65AF"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66</w:t>
      </w:r>
      <w:r>
        <w:rPr>
          <w:rFonts w:ascii="Times New Roman" w:hAnsi="Times New Roman" w:cs="Times New Roman"/>
          <w:sz w:val="28"/>
          <w:szCs w:val="28"/>
        </w:rPr>
        <w:t>．</w:t>
      </w:r>
      <w:r>
        <w:rPr>
          <w:rFonts w:ascii="Times New Roman" w:hAnsi="Times New Roman" w:cs="Times New Roman"/>
          <w:sz w:val="28"/>
          <w:szCs w:val="28"/>
        </w:rPr>
        <w:t xml:space="preserve">McKinsey. (2022). Research on the Impact of Service-Oriented </w:t>
      </w:r>
      <w:r>
        <w:rPr>
          <w:rFonts w:ascii="Times New Roman" w:hAnsi="Times New Roman" w:cs="Times New Roman"/>
          <w:sz w:val="28"/>
          <w:szCs w:val="28"/>
        </w:rPr>
        <w:lastRenderedPageBreak/>
        <w:t>Transformation on Manufacturing Enterprises. McKinsey.</w:t>
      </w:r>
    </w:p>
    <w:p w14:paraId="3F3FDAF8"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67</w:t>
      </w:r>
      <w:r>
        <w:rPr>
          <w:rFonts w:ascii="Times New Roman" w:hAnsi="Times New Roman" w:cs="Times New Roman"/>
          <w:sz w:val="28"/>
          <w:szCs w:val="28"/>
        </w:rPr>
        <w:t>．</w:t>
      </w:r>
      <w:r>
        <w:rPr>
          <w:rFonts w:ascii="Times New Roman" w:hAnsi="Times New Roman" w:cs="Times New Roman"/>
          <w:sz w:val="28"/>
          <w:szCs w:val="28"/>
        </w:rPr>
        <w:t>Haier Group. (2022). Haier Group Annual Report. Haier Group.</w:t>
      </w:r>
    </w:p>
    <w:p w14:paraId="0FC02141"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68</w:t>
      </w:r>
      <w:r>
        <w:rPr>
          <w:rFonts w:ascii="Times New Roman" w:hAnsi="Times New Roman" w:cs="Times New Roman"/>
          <w:sz w:val="28"/>
          <w:szCs w:val="28"/>
        </w:rPr>
        <w:t>．</w:t>
      </w:r>
      <w:r>
        <w:rPr>
          <w:rFonts w:ascii="Times New Roman" w:hAnsi="Times New Roman" w:cs="Times New Roman"/>
          <w:sz w:val="28"/>
          <w:szCs w:val="28"/>
        </w:rPr>
        <w:t>World Bank. (2021). Study on the Impact of Improved Project Life Cycle Management on Project Costs. World Bank.</w:t>
      </w:r>
    </w:p>
    <w:p w14:paraId="58C88730"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69</w:t>
      </w:r>
      <w:r>
        <w:rPr>
          <w:rFonts w:ascii="Times New Roman" w:hAnsi="Times New Roman" w:cs="Times New Roman"/>
          <w:sz w:val="28"/>
          <w:szCs w:val="28"/>
        </w:rPr>
        <w:t>．</w:t>
      </w:r>
      <w:r>
        <w:rPr>
          <w:rFonts w:ascii="Times New Roman" w:hAnsi="Times New Roman" w:cs="Times New Roman"/>
          <w:sz w:val="28"/>
          <w:szCs w:val="28"/>
        </w:rPr>
        <w:t>State Grid Corporation of China. (2022). Practices and Achievements of UHV Project Construction Management and Control. State Grid Corporation of China.</w:t>
      </w:r>
    </w:p>
    <w:p w14:paraId="1FF72EB5"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70</w:t>
      </w:r>
      <w:r>
        <w:rPr>
          <w:rFonts w:ascii="Times New Roman" w:hAnsi="Times New Roman" w:cs="Times New Roman"/>
          <w:sz w:val="28"/>
          <w:szCs w:val="28"/>
        </w:rPr>
        <w:t>．</w:t>
      </w:r>
      <w:r>
        <w:rPr>
          <w:rFonts w:ascii="Times New Roman" w:hAnsi="Times New Roman" w:cs="Times New Roman"/>
          <w:sz w:val="28"/>
          <w:szCs w:val="28"/>
        </w:rPr>
        <w:t>Boston Consulting Group. (2021). Research on the Impact of Successful Strategic Restructuring on Corporate Value. Boston Consulting Group.</w:t>
      </w:r>
    </w:p>
    <w:p w14:paraId="68C7894D"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71</w:t>
      </w:r>
      <w:r>
        <w:rPr>
          <w:rFonts w:ascii="Times New Roman" w:hAnsi="Times New Roman" w:cs="Times New Roman"/>
          <w:sz w:val="28"/>
          <w:szCs w:val="28"/>
        </w:rPr>
        <w:t>．</w:t>
      </w:r>
      <w:proofErr w:type="spellStart"/>
      <w:r>
        <w:rPr>
          <w:rFonts w:ascii="Times New Roman" w:hAnsi="Times New Roman" w:cs="Times New Roman"/>
          <w:sz w:val="28"/>
          <w:szCs w:val="28"/>
        </w:rPr>
        <w:t>Baowu</w:t>
      </w:r>
      <w:proofErr w:type="spellEnd"/>
      <w:r>
        <w:rPr>
          <w:rFonts w:ascii="Times New Roman" w:hAnsi="Times New Roman" w:cs="Times New Roman"/>
          <w:sz w:val="28"/>
          <w:szCs w:val="28"/>
        </w:rPr>
        <w:t xml:space="preserve"> Steel. (2022). </w:t>
      </w:r>
      <w:proofErr w:type="spellStart"/>
      <w:r>
        <w:rPr>
          <w:rFonts w:ascii="Times New Roman" w:hAnsi="Times New Roman" w:cs="Times New Roman"/>
          <w:sz w:val="28"/>
          <w:szCs w:val="28"/>
        </w:rPr>
        <w:t>Baowu</w:t>
      </w:r>
      <w:proofErr w:type="spellEnd"/>
      <w:r>
        <w:rPr>
          <w:rFonts w:ascii="Times New Roman" w:hAnsi="Times New Roman" w:cs="Times New Roman"/>
          <w:sz w:val="28"/>
          <w:szCs w:val="28"/>
        </w:rPr>
        <w:t xml:space="preserve"> Steel Annual Report. </w:t>
      </w:r>
      <w:proofErr w:type="spellStart"/>
      <w:r>
        <w:rPr>
          <w:rFonts w:ascii="Times New Roman" w:hAnsi="Times New Roman" w:cs="Times New Roman"/>
          <w:sz w:val="28"/>
          <w:szCs w:val="28"/>
        </w:rPr>
        <w:t>Baowu</w:t>
      </w:r>
      <w:proofErr w:type="spellEnd"/>
      <w:r>
        <w:rPr>
          <w:rFonts w:ascii="Times New Roman" w:hAnsi="Times New Roman" w:cs="Times New Roman"/>
          <w:sz w:val="28"/>
          <w:szCs w:val="28"/>
        </w:rPr>
        <w:t xml:space="preserve"> Steel.</w:t>
      </w:r>
    </w:p>
    <w:p w14:paraId="49EB4DFA"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72</w:t>
      </w:r>
      <w:r>
        <w:rPr>
          <w:rFonts w:ascii="Times New Roman" w:hAnsi="Times New Roman" w:cs="Times New Roman"/>
          <w:sz w:val="28"/>
          <w:szCs w:val="28"/>
        </w:rPr>
        <w:t>．</w:t>
      </w:r>
      <w:r>
        <w:rPr>
          <w:rFonts w:ascii="Times New Roman" w:hAnsi="Times New Roman" w:cs="Times New Roman"/>
          <w:sz w:val="28"/>
          <w:szCs w:val="28"/>
        </w:rPr>
        <w:t>KPMG. (2022). Research on the Impact of Inefficient Asset Disposal on Asset Returns. KPMG.</w:t>
      </w:r>
    </w:p>
    <w:p w14:paraId="631B4516"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73</w:t>
      </w:r>
      <w:r>
        <w:rPr>
          <w:rFonts w:ascii="Times New Roman" w:hAnsi="Times New Roman" w:cs="Times New Roman"/>
          <w:sz w:val="28"/>
          <w:szCs w:val="28"/>
        </w:rPr>
        <w:t>．</w:t>
      </w:r>
      <w:r>
        <w:rPr>
          <w:rFonts w:ascii="Times New Roman" w:hAnsi="Times New Roman" w:cs="Times New Roman"/>
          <w:sz w:val="28"/>
          <w:szCs w:val="28"/>
        </w:rPr>
        <w:t>China Eastern Airlines Group. (2022). China Eastern Airlines Group Annual Report. China Eastern Airlines Group.</w:t>
      </w:r>
    </w:p>
    <w:p w14:paraId="283651F5"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74</w:t>
      </w:r>
      <w:r>
        <w:rPr>
          <w:rFonts w:ascii="Times New Roman" w:hAnsi="Times New Roman" w:cs="Times New Roman"/>
          <w:sz w:val="28"/>
          <w:szCs w:val="28"/>
        </w:rPr>
        <w:t>．</w:t>
      </w:r>
      <w:r>
        <w:rPr>
          <w:rFonts w:ascii="Times New Roman" w:hAnsi="Times New Roman" w:cs="Times New Roman"/>
          <w:sz w:val="28"/>
          <w:szCs w:val="28"/>
        </w:rPr>
        <w:t>Deloitte Consulting. (2022). Research Report on the Impact of Digital Transformation and Intelligent Upgrading on Corporate Operational Efficiency. Deloitte.</w:t>
      </w:r>
    </w:p>
    <w:p w14:paraId="46F2EC3C"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75</w:t>
      </w:r>
      <w:r>
        <w:rPr>
          <w:rFonts w:ascii="Times New Roman" w:hAnsi="Times New Roman" w:cs="Times New Roman"/>
          <w:sz w:val="28"/>
          <w:szCs w:val="28"/>
        </w:rPr>
        <w:t>．</w:t>
      </w:r>
      <w:r>
        <w:rPr>
          <w:rFonts w:ascii="Times New Roman" w:hAnsi="Times New Roman" w:cs="Times New Roman"/>
          <w:sz w:val="28"/>
          <w:szCs w:val="28"/>
        </w:rPr>
        <w:t>XCMG. (2023). XCMG Intelligent Equipment and Smart Service Fusion Model and Application Effects. XCMG.</w:t>
      </w:r>
    </w:p>
    <w:p w14:paraId="705D9788"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76</w:t>
      </w:r>
      <w:r>
        <w:rPr>
          <w:rFonts w:ascii="Times New Roman" w:hAnsi="Times New Roman" w:cs="Times New Roman"/>
          <w:sz w:val="28"/>
          <w:szCs w:val="28"/>
        </w:rPr>
        <w:t>．</w:t>
      </w:r>
      <w:r>
        <w:rPr>
          <w:rFonts w:ascii="Times New Roman" w:hAnsi="Times New Roman" w:cs="Times New Roman"/>
          <w:sz w:val="28"/>
          <w:szCs w:val="28"/>
        </w:rPr>
        <w:t>SAIC Motor. (2023). SAIC Motor Big Data Platform and Its Application in Product Development, Production, and Marketing. SAIC Motor.</w:t>
      </w:r>
    </w:p>
    <w:p w14:paraId="518B1F29"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77</w:t>
      </w:r>
      <w:r>
        <w:rPr>
          <w:rFonts w:ascii="Times New Roman" w:hAnsi="Times New Roman" w:cs="Times New Roman"/>
          <w:sz w:val="28"/>
          <w:szCs w:val="28"/>
        </w:rPr>
        <w:t>．</w:t>
      </w:r>
      <w:proofErr w:type="spellStart"/>
      <w:r>
        <w:rPr>
          <w:rFonts w:ascii="Times New Roman" w:hAnsi="Times New Roman" w:cs="Times New Roman"/>
          <w:sz w:val="28"/>
          <w:szCs w:val="28"/>
        </w:rPr>
        <w:t>Gree</w:t>
      </w:r>
      <w:proofErr w:type="spellEnd"/>
      <w:r>
        <w:rPr>
          <w:rFonts w:ascii="Times New Roman" w:hAnsi="Times New Roman" w:cs="Times New Roman"/>
          <w:sz w:val="28"/>
          <w:szCs w:val="28"/>
        </w:rPr>
        <w:t xml:space="preserve"> Electric Appliances. (2022). </w:t>
      </w:r>
      <w:proofErr w:type="spellStart"/>
      <w:r>
        <w:rPr>
          <w:rFonts w:ascii="Times New Roman" w:hAnsi="Times New Roman" w:cs="Times New Roman"/>
          <w:sz w:val="28"/>
          <w:szCs w:val="28"/>
        </w:rPr>
        <w:t>Gree</w:t>
      </w:r>
      <w:proofErr w:type="spellEnd"/>
      <w:r>
        <w:rPr>
          <w:rFonts w:ascii="Times New Roman" w:hAnsi="Times New Roman" w:cs="Times New Roman"/>
          <w:sz w:val="28"/>
          <w:szCs w:val="28"/>
        </w:rPr>
        <w:t xml:space="preserve"> Electric Appliances "Machine Replacement" Strategy and Its Impact on Productivity. </w:t>
      </w:r>
      <w:proofErr w:type="spellStart"/>
      <w:r>
        <w:rPr>
          <w:rFonts w:ascii="Times New Roman" w:hAnsi="Times New Roman" w:cs="Times New Roman"/>
          <w:sz w:val="28"/>
          <w:szCs w:val="28"/>
        </w:rPr>
        <w:t>Gree</w:t>
      </w:r>
      <w:proofErr w:type="spellEnd"/>
      <w:r>
        <w:rPr>
          <w:rFonts w:ascii="Times New Roman" w:hAnsi="Times New Roman" w:cs="Times New Roman"/>
          <w:sz w:val="28"/>
          <w:szCs w:val="28"/>
        </w:rPr>
        <w:t xml:space="preserve"> Electric Appliances.</w:t>
      </w:r>
    </w:p>
    <w:p w14:paraId="61375151"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78</w:t>
      </w:r>
      <w:r>
        <w:rPr>
          <w:rFonts w:ascii="Times New Roman" w:hAnsi="Times New Roman" w:cs="Times New Roman"/>
          <w:sz w:val="28"/>
          <w:szCs w:val="28"/>
        </w:rPr>
        <w:t>．</w:t>
      </w:r>
      <w:r>
        <w:rPr>
          <w:rFonts w:ascii="Times New Roman" w:hAnsi="Times New Roman" w:cs="Times New Roman"/>
          <w:sz w:val="28"/>
          <w:szCs w:val="28"/>
        </w:rPr>
        <w:t>Academic Research. (2022). The Role of Digital Technology Integration in Reshaping Industrial Competitiveness. Various Academic Papers.</w:t>
      </w:r>
    </w:p>
    <w:p w14:paraId="2237801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79</w:t>
      </w:r>
      <w:r>
        <w:rPr>
          <w:rFonts w:ascii="Times New Roman" w:hAnsi="Times New Roman" w:cs="Times New Roman"/>
          <w:sz w:val="28"/>
          <w:szCs w:val="28"/>
        </w:rPr>
        <w:t>．</w:t>
      </w:r>
      <w:r>
        <w:rPr>
          <w:rFonts w:ascii="Times New Roman" w:hAnsi="Times New Roman" w:cs="Times New Roman"/>
          <w:sz w:val="28"/>
          <w:szCs w:val="28"/>
        </w:rPr>
        <w:t>Industry Experts. (2023). Forecast of the Market Size and Growth Rate of China's Industrial Internet. Industry Expert Interviews and Reports.</w:t>
      </w:r>
    </w:p>
    <w:p w14:paraId="4638FEBE"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80</w:t>
      </w:r>
      <w:r>
        <w:rPr>
          <w:rFonts w:ascii="Times New Roman" w:hAnsi="Times New Roman" w:cs="Times New Roman"/>
          <w:sz w:val="28"/>
          <w:szCs w:val="28"/>
        </w:rPr>
        <w:t>．</w:t>
      </w:r>
      <w:r>
        <w:rPr>
          <w:rFonts w:ascii="Times New Roman" w:hAnsi="Times New Roman" w:cs="Times New Roman"/>
          <w:sz w:val="28"/>
          <w:szCs w:val="28"/>
        </w:rPr>
        <w:t>Sany Group. (2023). Sany Group "Genyun" Digital Transformation Platform and Its Application Effects. Sany Group.</w:t>
      </w:r>
    </w:p>
    <w:p w14:paraId="13918E73"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lastRenderedPageBreak/>
        <w:t>81</w:t>
      </w:r>
      <w:r>
        <w:rPr>
          <w:rFonts w:ascii="Times New Roman" w:hAnsi="Times New Roman" w:cs="Times New Roman"/>
          <w:sz w:val="28"/>
          <w:szCs w:val="28"/>
        </w:rPr>
        <w:t>．</w:t>
      </w:r>
      <w:r>
        <w:rPr>
          <w:rFonts w:ascii="Times New Roman" w:hAnsi="Times New Roman" w:cs="Times New Roman"/>
          <w:sz w:val="28"/>
          <w:szCs w:val="28"/>
        </w:rPr>
        <w:t>Shanghai Petrochemical. (2023). Shanghai Petrochemical Digital Transformation Project and Its Key Achievements. Shanghai Petrochemical.</w:t>
      </w:r>
    </w:p>
    <w:p w14:paraId="521299EF"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82</w:t>
      </w:r>
      <w:r>
        <w:rPr>
          <w:rFonts w:ascii="Times New Roman" w:hAnsi="Times New Roman" w:cs="Times New Roman"/>
          <w:sz w:val="28"/>
          <w:szCs w:val="28"/>
        </w:rPr>
        <w:t>．</w:t>
      </w:r>
      <w:r>
        <w:rPr>
          <w:rFonts w:ascii="Times New Roman" w:hAnsi="Times New Roman" w:cs="Times New Roman"/>
          <w:sz w:val="28"/>
          <w:szCs w:val="28"/>
        </w:rPr>
        <w:t xml:space="preserve">Haier Group. (2023). Haier </w:t>
      </w:r>
      <w:proofErr w:type="spellStart"/>
      <w:r>
        <w:rPr>
          <w:rFonts w:ascii="Times New Roman" w:hAnsi="Times New Roman" w:cs="Times New Roman"/>
          <w:sz w:val="28"/>
          <w:szCs w:val="28"/>
        </w:rPr>
        <w:t>COSMOPlat</w:t>
      </w:r>
      <w:proofErr w:type="spellEnd"/>
      <w:r>
        <w:rPr>
          <w:rFonts w:ascii="Times New Roman" w:hAnsi="Times New Roman" w:cs="Times New Roman"/>
          <w:sz w:val="28"/>
          <w:szCs w:val="28"/>
        </w:rPr>
        <w:t xml:space="preserve"> Platform and Its Application Effects in Personalized Customization and On-demand Production. Haier Group.</w:t>
      </w:r>
    </w:p>
    <w:p w14:paraId="2EA83C98"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83</w:t>
      </w:r>
      <w:r>
        <w:rPr>
          <w:rFonts w:ascii="Times New Roman" w:hAnsi="Times New Roman" w:cs="Times New Roman"/>
          <w:sz w:val="28"/>
          <w:szCs w:val="28"/>
        </w:rPr>
        <w:t>．</w:t>
      </w:r>
      <w:r>
        <w:rPr>
          <w:rFonts w:ascii="Times New Roman" w:hAnsi="Times New Roman" w:cs="Times New Roman"/>
          <w:sz w:val="28"/>
          <w:szCs w:val="28"/>
        </w:rPr>
        <w:t>SAIC Motor. (2023). SAIC Motor Internet of Vehicles Big Data Platform and Its Application in Product Development, Production, and Marketing. SAIC Motor.</w:t>
      </w:r>
    </w:p>
    <w:p w14:paraId="072953BC"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84</w:t>
      </w:r>
      <w:r>
        <w:rPr>
          <w:rFonts w:ascii="Times New Roman" w:hAnsi="Times New Roman" w:cs="Times New Roman"/>
          <w:sz w:val="28"/>
          <w:szCs w:val="28"/>
        </w:rPr>
        <w:t>．</w:t>
      </w:r>
      <w:r>
        <w:rPr>
          <w:rFonts w:ascii="Times New Roman" w:hAnsi="Times New Roman" w:cs="Times New Roman"/>
          <w:sz w:val="28"/>
          <w:szCs w:val="28"/>
        </w:rPr>
        <w:t>State Grid Corporation of China. (2023). State Grid Intelligent Asset Management System and Its Application Effects. State Grid Corporation of China.</w:t>
      </w:r>
    </w:p>
    <w:p w14:paraId="577E15D5"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85</w:t>
      </w:r>
      <w:r>
        <w:rPr>
          <w:rFonts w:ascii="Times New Roman" w:hAnsi="Times New Roman" w:cs="Times New Roman"/>
          <w:sz w:val="28"/>
          <w:szCs w:val="28"/>
        </w:rPr>
        <w:t>．</w:t>
      </w:r>
      <w:r>
        <w:rPr>
          <w:rFonts w:ascii="Times New Roman" w:hAnsi="Times New Roman" w:cs="Times New Roman"/>
          <w:sz w:val="28"/>
          <w:szCs w:val="28"/>
        </w:rPr>
        <w:t>XCMG. (2023). XCMG AMIX Intelligent IoT Platform and Its Application Effects in Equipment Management. XCMG.</w:t>
      </w:r>
    </w:p>
    <w:p w14:paraId="1B18719C"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86</w:t>
      </w:r>
      <w:r>
        <w:rPr>
          <w:rFonts w:ascii="Times New Roman" w:hAnsi="Times New Roman" w:cs="Times New Roman"/>
          <w:sz w:val="28"/>
          <w:szCs w:val="28"/>
        </w:rPr>
        <w:t>．</w:t>
      </w:r>
      <w:r>
        <w:rPr>
          <w:rFonts w:ascii="Times New Roman" w:hAnsi="Times New Roman" w:cs="Times New Roman"/>
          <w:sz w:val="28"/>
          <w:szCs w:val="28"/>
        </w:rPr>
        <w:t>China Securities Regulatory Commission. (2023). Data on the Scale of Asset Securitization Issuance in China. China Securities Regulatory Commission.</w:t>
      </w:r>
    </w:p>
    <w:p w14:paraId="13CB305C"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87</w:t>
      </w:r>
      <w:r>
        <w:rPr>
          <w:rFonts w:ascii="Times New Roman" w:hAnsi="Times New Roman" w:cs="Times New Roman"/>
          <w:sz w:val="28"/>
          <w:szCs w:val="28"/>
        </w:rPr>
        <w:t>．</w:t>
      </w:r>
      <w:r>
        <w:rPr>
          <w:rFonts w:ascii="Times New Roman" w:hAnsi="Times New Roman" w:cs="Times New Roman"/>
          <w:sz w:val="28"/>
          <w:szCs w:val="28"/>
        </w:rPr>
        <w:t>Vanke. (2022). Vanke Real Estate Securitization Practices and Scale. Vanke.</w:t>
      </w:r>
    </w:p>
    <w:p w14:paraId="750B0638"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88</w:t>
      </w:r>
      <w:r>
        <w:rPr>
          <w:rFonts w:ascii="Times New Roman" w:hAnsi="Times New Roman" w:cs="Times New Roman"/>
          <w:sz w:val="28"/>
          <w:szCs w:val="28"/>
        </w:rPr>
        <w:t>．</w:t>
      </w:r>
      <w:r>
        <w:rPr>
          <w:rFonts w:ascii="Times New Roman" w:hAnsi="Times New Roman" w:cs="Times New Roman"/>
          <w:sz w:val="28"/>
          <w:szCs w:val="28"/>
        </w:rPr>
        <w:t>SAIC-GM. (2023). SAIC-GM Digital Financial Service Platform and Its Application in the Automotive Industry Chain. SAIC-GM.</w:t>
      </w:r>
    </w:p>
    <w:p w14:paraId="42FA9984"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89</w:t>
      </w:r>
      <w:r>
        <w:rPr>
          <w:rFonts w:ascii="Times New Roman" w:hAnsi="Times New Roman" w:cs="Times New Roman"/>
          <w:sz w:val="28"/>
          <w:szCs w:val="28"/>
        </w:rPr>
        <w:t>．</w:t>
      </w:r>
      <w:r>
        <w:rPr>
          <w:rFonts w:ascii="Times New Roman" w:hAnsi="Times New Roman" w:cs="Times New Roman"/>
          <w:sz w:val="28"/>
          <w:szCs w:val="28"/>
        </w:rPr>
        <w:t xml:space="preserve">Bromiley, P., McShane, M., Nair, A., &amp; </w:t>
      </w:r>
      <w:proofErr w:type="spellStart"/>
      <w:r>
        <w:rPr>
          <w:rFonts w:ascii="Times New Roman" w:hAnsi="Times New Roman" w:cs="Times New Roman"/>
          <w:sz w:val="28"/>
          <w:szCs w:val="28"/>
        </w:rPr>
        <w:t>Rustambekov</w:t>
      </w:r>
      <w:proofErr w:type="spellEnd"/>
      <w:r>
        <w:rPr>
          <w:rFonts w:ascii="Times New Roman" w:hAnsi="Times New Roman" w:cs="Times New Roman"/>
          <w:sz w:val="28"/>
          <w:szCs w:val="28"/>
        </w:rPr>
        <w:t>, E. (2015). Enterprise risk management: Review, critique, and research directions. Long range planning, 48(4), 265-276.</w:t>
      </w:r>
    </w:p>
    <w:p w14:paraId="22E02A82" w14:textId="77777777" w:rsidR="00CB2BA9" w:rsidRDefault="00773039">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rPr>
        <w:t>90</w:t>
      </w:r>
      <w:r>
        <w:rPr>
          <w:rFonts w:ascii="Times New Roman" w:hAnsi="Times New Roman" w:cs="Times New Roman"/>
          <w:sz w:val="28"/>
          <w:szCs w:val="28"/>
        </w:rPr>
        <w:t>．</w:t>
      </w:r>
      <w:r>
        <w:rPr>
          <w:rFonts w:ascii="Times New Roman" w:hAnsi="Times New Roman" w:cs="Times New Roman"/>
          <w:sz w:val="28"/>
          <w:szCs w:val="28"/>
        </w:rPr>
        <w:t>Cappelli, P. (2008). Talent on demand: Managing talent in an age of uncertainty. Harvard Business Press.</w:t>
      </w:r>
    </w:p>
    <w:sectPr w:rsidR="00CB2BA9">
      <w:headerReference w:type="default" r:id="rId15"/>
      <w:pgSz w:w="11906" w:h="16838"/>
      <w:pgMar w:top="1134" w:right="850" w:bottom="1134"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D7BC80" w14:textId="77777777" w:rsidR="00FB7E36" w:rsidRDefault="00FB7E36" w:rsidP="00E920C6">
      <w:r>
        <w:separator/>
      </w:r>
    </w:p>
  </w:endnote>
  <w:endnote w:type="continuationSeparator" w:id="0">
    <w:p w14:paraId="278AA0C3" w14:textId="77777777" w:rsidR="00FB7E36" w:rsidRDefault="00FB7E36" w:rsidP="00E92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1FB6D4" w14:textId="77777777" w:rsidR="00FB7E36" w:rsidRDefault="00FB7E36" w:rsidP="00E920C6">
      <w:r>
        <w:separator/>
      </w:r>
    </w:p>
  </w:footnote>
  <w:footnote w:type="continuationSeparator" w:id="0">
    <w:p w14:paraId="13271CC2" w14:textId="77777777" w:rsidR="00FB7E36" w:rsidRDefault="00FB7E36" w:rsidP="00E920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11595870"/>
      <w:docPartObj>
        <w:docPartGallery w:val="Page Numbers (Top of Page)"/>
        <w:docPartUnique/>
      </w:docPartObj>
    </w:sdtPr>
    <w:sdtContent>
      <w:p w14:paraId="148386A2" w14:textId="1B0C8E8C" w:rsidR="00E920C6" w:rsidRDefault="00E920C6">
        <w:pPr>
          <w:pStyle w:val="a4"/>
          <w:jc w:val="right"/>
        </w:pPr>
        <w:r>
          <w:fldChar w:fldCharType="begin"/>
        </w:r>
        <w:r>
          <w:instrText>PAGE   \* MERGEFORMAT</w:instrText>
        </w:r>
        <w:r>
          <w:fldChar w:fldCharType="separate"/>
        </w:r>
        <w:r>
          <w:rPr>
            <w:lang w:val="ru-RU"/>
          </w:rPr>
          <w:t>2</w:t>
        </w:r>
        <w:r>
          <w:fldChar w:fldCharType="end"/>
        </w:r>
      </w:p>
    </w:sdtContent>
  </w:sdt>
  <w:p w14:paraId="26726192" w14:textId="77777777" w:rsidR="00E920C6" w:rsidRDefault="00E920C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9746344"/>
    <w:multiLevelType w:val="singleLevel"/>
    <w:tmpl w:val="89746344"/>
    <w:lvl w:ilvl="0">
      <w:start w:val="1"/>
      <w:numFmt w:val="decimal"/>
      <w:suff w:val="nothing"/>
      <w:lvlText w:val="%1．"/>
      <w:lvlJc w:val="left"/>
      <w:pPr>
        <w:ind w:left="0" w:firstLine="400"/>
      </w:pPr>
      <w:rPr>
        <w:rFonts w:hint="default"/>
      </w:rPr>
    </w:lvl>
  </w:abstractNum>
  <w:abstractNum w:abstractNumId="1" w15:restartNumberingAfterBreak="0">
    <w:nsid w:val="9D608133"/>
    <w:multiLevelType w:val="multilevel"/>
    <w:tmpl w:val="9D608133"/>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2" w15:restartNumberingAfterBreak="0">
    <w:nsid w:val="EADF79A2"/>
    <w:multiLevelType w:val="multilevel"/>
    <w:tmpl w:val="EADF79A2"/>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3" w15:restartNumberingAfterBreak="0">
    <w:nsid w:val="13641D36"/>
    <w:multiLevelType w:val="multilevel"/>
    <w:tmpl w:val="97E4A372"/>
    <w:lvl w:ilvl="0">
      <w:start w:val="1"/>
      <w:numFmt w:val="decimal"/>
      <w:lvlText w:val="%1."/>
      <w:lvlJc w:val="left"/>
      <w:pPr>
        <w:ind w:left="450" w:hanging="450"/>
      </w:pPr>
      <w:rPr>
        <w:rFonts w:hint="default"/>
      </w:rPr>
    </w:lvl>
    <w:lvl w:ilvl="1">
      <w:start w:val="1"/>
      <w:numFmt w:val="decimal"/>
      <w:lvlText w:val="%1.%2."/>
      <w:lvlJc w:val="left"/>
      <w:pPr>
        <w:ind w:left="1282" w:hanging="720"/>
      </w:pPr>
      <w:rPr>
        <w:rFonts w:hint="default"/>
      </w:rPr>
    </w:lvl>
    <w:lvl w:ilvl="2">
      <w:start w:val="1"/>
      <w:numFmt w:val="decimal"/>
      <w:lvlText w:val="%1.%2.%3."/>
      <w:lvlJc w:val="left"/>
      <w:pPr>
        <w:ind w:left="1844" w:hanging="720"/>
      </w:pPr>
      <w:rPr>
        <w:rFonts w:hint="default"/>
      </w:rPr>
    </w:lvl>
    <w:lvl w:ilvl="3">
      <w:start w:val="1"/>
      <w:numFmt w:val="decimal"/>
      <w:lvlText w:val="%1.%2.%3.%4."/>
      <w:lvlJc w:val="left"/>
      <w:pPr>
        <w:ind w:left="2766" w:hanging="1080"/>
      </w:pPr>
      <w:rPr>
        <w:rFonts w:hint="default"/>
      </w:rPr>
    </w:lvl>
    <w:lvl w:ilvl="4">
      <w:start w:val="1"/>
      <w:numFmt w:val="decimal"/>
      <w:lvlText w:val="%1.%2.%3.%4.%5."/>
      <w:lvlJc w:val="left"/>
      <w:pPr>
        <w:ind w:left="3328" w:hanging="1080"/>
      </w:pPr>
      <w:rPr>
        <w:rFonts w:hint="default"/>
      </w:rPr>
    </w:lvl>
    <w:lvl w:ilvl="5">
      <w:start w:val="1"/>
      <w:numFmt w:val="decimal"/>
      <w:lvlText w:val="%1.%2.%3.%4.%5.%6."/>
      <w:lvlJc w:val="left"/>
      <w:pPr>
        <w:ind w:left="4250" w:hanging="1440"/>
      </w:pPr>
      <w:rPr>
        <w:rFonts w:hint="default"/>
      </w:rPr>
    </w:lvl>
    <w:lvl w:ilvl="6">
      <w:start w:val="1"/>
      <w:numFmt w:val="decimal"/>
      <w:lvlText w:val="%1.%2.%3.%4.%5.%6.%7."/>
      <w:lvlJc w:val="left"/>
      <w:pPr>
        <w:ind w:left="5172" w:hanging="1800"/>
      </w:pPr>
      <w:rPr>
        <w:rFonts w:hint="default"/>
      </w:rPr>
    </w:lvl>
    <w:lvl w:ilvl="7">
      <w:start w:val="1"/>
      <w:numFmt w:val="decimal"/>
      <w:lvlText w:val="%1.%2.%3.%4.%5.%6.%7.%8."/>
      <w:lvlJc w:val="left"/>
      <w:pPr>
        <w:ind w:left="5734" w:hanging="1800"/>
      </w:pPr>
      <w:rPr>
        <w:rFonts w:hint="default"/>
      </w:rPr>
    </w:lvl>
    <w:lvl w:ilvl="8">
      <w:start w:val="1"/>
      <w:numFmt w:val="decimal"/>
      <w:lvlText w:val="%1.%2.%3.%4.%5.%6.%7.%8.%9."/>
      <w:lvlJc w:val="left"/>
      <w:pPr>
        <w:ind w:left="6656" w:hanging="2160"/>
      </w:pPr>
      <w:rPr>
        <w:rFonts w:hint="default"/>
      </w:rPr>
    </w:lvl>
  </w:abstractNum>
  <w:abstractNum w:abstractNumId="4" w15:restartNumberingAfterBreak="0">
    <w:nsid w:val="306743B0"/>
    <w:multiLevelType w:val="singleLevel"/>
    <w:tmpl w:val="306743B0"/>
    <w:lvl w:ilvl="0">
      <w:start w:val="1"/>
      <w:numFmt w:val="decimal"/>
      <w:suff w:val="nothing"/>
      <w:lvlText w:val="%1．"/>
      <w:lvlJc w:val="left"/>
      <w:pPr>
        <w:ind w:left="0" w:firstLine="400"/>
      </w:pPr>
      <w:rPr>
        <w:rFonts w:hint="default"/>
      </w:rPr>
    </w:lvl>
  </w:abstractNum>
  <w:abstractNum w:abstractNumId="5" w15:restartNumberingAfterBreak="0">
    <w:nsid w:val="364D05F2"/>
    <w:multiLevelType w:val="singleLevel"/>
    <w:tmpl w:val="364D05F2"/>
    <w:lvl w:ilvl="0">
      <w:start w:val="1"/>
      <w:numFmt w:val="decimal"/>
      <w:suff w:val="nothing"/>
      <w:lvlText w:val="%1．"/>
      <w:lvlJc w:val="left"/>
      <w:pPr>
        <w:ind w:left="0" w:firstLine="400"/>
      </w:pPr>
      <w:rPr>
        <w:rFonts w:hint="default"/>
      </w:rPr>
    </w:lvl>
  </w:abstractNum>
  <w:abstractNum w:abstractNumId="6" w15:restartNumberingAfterBreak="0">
    <w:nsid w:val="5AAFF8DD"/>
    <w:multiLevelType w:val="multilevel"/>
    <w:tmpl w:val="5AAFF8DD"/>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7" w15:restartNumberingAfterBreak="0">
    <w:nsid w:val="6A7EEA2E"/>
    <w:multiLevelType w:val="multilevel"/>
    <w:tmpl w:val="6A7EEA2E"/>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8" w15:restartNumberingAfterBreak="0">
    <w:nsid w:val="71DF4D90"/>
    <w:multiLevelType w:val="multilevel"/>
    <w:tmpl w:val="71DF4D90"/>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num w:numId="1" w16cid:durableId="662582652">
    <w:abstractNumId w:val="0"/>
  </w:num>
  <w:num w:numId="2" w16cid:durableId="1282221852">
    <w:abstractNumId w:val="5"/>
  </w:num>
  <w:num w:numId="3" w16cid:durableId="1943956471">
    <w:abstractNumId w:val="4"/>
  </w:num>
  <w:num w:numId="4" w16cid:durableId="101848129">
    <w:abstractNumId w:val="7"/>
  </w:num>
  <w:num w:numId="5" w16cid:durableId="1689795894">
    <w:abstractNumId w:val="2"/>
  </w:num>
  <w:num w:numId="6" w16cid:durableId="1917856387">
    <w:abstractNumId w:val="1"/>
  </w:num>
  <w:num w:numId="7" w16cid:durableId="1124615412">
    <w:abstractNumId w:val="8"/>
  </w:num>
  <w:num w:numId="8" w16cid:durableId="659308990">
    <w:abstractNumId w:val="6"/>
  </w:num>
  <w:num w:numId="9" w16cid:durableId="6104792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embedSystemFonts/>
  <w:proofState w:spelling="clean" w:grammar="clean"/>
  <w:defaultTabStop w:val="420"/>
  <w:hyphenationZone w:val="42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OWU5NGFhY2Q2OWViYjZlZWQ0OGZjM2EyMGRmOTRlMTgifQ=="/>
  </w:docVars>
  <w:rsids>
    <w:rsidRoot w:val="05E86971"/>
    <w:rsid w:val="00052A63"/>
    <w:rsid w:val="002D0281"/>
    <w:rsid w:val="002F17AA"/>
    <w:rsid w:val="003F1D15"/>
    <w:rsid w:val="004F310E"/>
    <w:rsid w:val="00633D08"/>
    <w:rsid w:val="00773039"/>
    <w:rsid w:val="007A3406"/>
    <w:rsid w:val="008C5DBF"/>
    <w:rsid w:val="00C057C0"/>
    <w:rsid w:val="00C927FF"/>
    <w:rsid w:val="00CB2BA9"/>
    <w:rsid w:val="00E0617E"/>
    <w:rsid w:val="00E920C6"/>
    <w:rsid w:val="00EE5419"/>
    <w:rsid w:val="00FB7E36"/>
    <w:rsid w:val="01B3097E"/>
    <w:rsid w:val="01F20EFE"/>
    <w:rsid w:val="02CB7F49"/>
    <w:rsid w:val="03661A20"/>
    <w:rsid w:val="03CA657E"/>
    <w:rsid w:val="040E4592"/>
    <w:rsid w:val="058C4826"/>
    <w:rsid w:val="05AC22B4"/>
    <w:rsid w:val="05E86971"/>
    <w:rsid w:val="07E775D3"/>
    <w:rsid w:val="08B1373D"/>
    <w:rsid w:val="08DB257C"/>
    <w:rsid w:val="08F301FA"/>
    <w:rsid w:val="09CB082F"/>
    <w:rsid w:val="09E10052"/>
    <w:rsid w:val="0A40746F"/>
    <w:rsid w:val="0B246449"/>
    <w:rsid w:val="0D703BC7"/>
    <w:rsid w:val="0E236E8B"/>
    <w:rsid w:val="0E6E6955"/>
    <w:rsid w:val="0E9D4E90"/>
    <w:rsid w:val="0EF83E74"/>
    <w:rsid w:val="105552F6"/>
    <w:rsid w:val="10A5627E"/>
    <w:rsid w:val="11943BFC"/>
    <w:rsid w:val="13453400"/>
    <w:rsid w:val="144D6A10"/>
    <w:rsid w:val="14EF5D19"/>
    <w:rsid w:val="156C5731"/>
    <w:rsid w:val="16491459"/>
    <w:rsid w:val="16BE59A3"/>
    <w:rsid w:val="18626607"/>
    <w:rsid w:val="1A310B82"/>
    <w:rsid w:val="1B612DA1"/>
    <w:rsid w:val="1B8847D2"/>
    <w:rsid w:val="1BA62EAA"/>
    <w:rsid w:val="1DC15D79"/>
    <w:rsid w:val="1E164317"/>
    <w:rsid w:val="1E6D7CAF"/>
    <w:rsid w:val="1E7D6144"/>
    <w:rsid w:val="1F176598"/>
    <w:rsid w:val="20270A5D"/>
    <w:rsid w:val="20AC2D10"/>
    <w:rsid w:val="213827F6"/>
    <w:rsid w:val="21FE57EE"/>
    <w:rsid w:val="22B440FE"/>
    <w:rsid w:val="23563407"/>
    <w:rsid w:val="246B4C91"/>
    <w:rsid w:val="254E25E8"/>
    <w:rsid w:val="261A071C"/>
    <w:rsid w:val="28996270"/>
    <w:rsid w:val="28FB65E3"/>
    <w:rsid w:val="2A9C2048"/>
    <w:rsid w:val="2AE61515"/>
    <w:rsid w:val="2B053749"/>
    <w:rsid w:val="2B0A6FB1"/>
    <w:rsid w:val="2B995497"/>
    <w:rsid w:val="2C363DD6"/>
    <w:rsid w:val="2C506C46"/>
    <w:rsid w:val="2CC17B44"/>
    <w:rsid w:val="31556AAC"/>
    <w:rsid w:val="318E2E43"/>
    <w:rsid w:val="31DB5204"/>
    <w:rsid w:val="33890C8F"/>
    <w:rsid w:val="360F1920"/>
    <w:rsid w:val="38A87E0A"/>
    <w:rsid w:val="39EE7A9E"/>
    <w:rsid w:val="3A3E6C77"/>
    <w:rsid w:val="3AE50EA1"/>
    <w:rsid w:val="3B00217F"/>
    <w:rsid w:val="3B247C1B"/>
    <w:rsid w:val="3BB05953"/>
    <w:rsid w:val="3BEC625F"/>
    <w:rsid w:val="3C2854E9"/>
    <w:rsid w:val="3CF2458A"/>
    <w:rsid w:val="3E8B7FB1"/>
    <w:rsid w:val="403B1563"/>
    <w:rsid w:val="404C717D"/>
    <w:rsid w:val="46081EE8"/>
    <w:rsid w:val="48F0738F"/>
    <w:rsid w:val="493C6A78"/>
    <w:rsid w:val="4AEE78FE"/>
    <w:rsid w:val="4C3457E4"/>
    <w:rsid w:val="4C4D68A6"/>
    <w:rsid w:val="4E04284E"/>
    <w:rsid w:val="4EF75B67"/>
    <w:rsid w:val="50334005"/>
    <w:rsid w:val="50C3063B"/>
    <w:rsid w:val="51624BA2"/>
    <w:rsid w:val="52FC2DD4"/>
    <w:rsid w:val="539F032F"/>
    <w:rsid w:val="561623FF"/>
    <w:rsid w:val="56C87B9D"/>
    <w:rsid w:val="57877110"/>
    <w:rsid w:val="59E31446"/>
    <w:rsid w:val="5B1F3B03"/>
    <w:rsid w:val="5C0827EA"/>
    <w:rsid w:val="5C8C51C9"/>
    <w:rsid w:val="5CCB7A9F"/>
    <w:rsid w:val="5DC50992"/>
    <w:rsid w:val="5DD72473"/>
    <w:rsid w:val="62E35E32"/>
    <w:rsid w:val="64BB664B"/>
    <w:rsid w:val="6655487D"/>
    <w:rsid w:val="66FD119D"/>
    <w:rsid w:val="671B7875"/>
    <w:rsid w:val="694806C9"/>
    <w:rsid w:val="698711F2"/>
    <w:rsid w:val="6A2057E7"/>
    <w:rsid w:val="6B20545A"/>
    <w:rsid w:val="6B7D28AC"/>
    <w:rsid w:val="6BFB7C75"/>
    <w:rsid w:val="6C9360FF"/>
    <w:rsid w:val="6D417909"/>
    <w:rsid w:val="6E755ABD"/>
    <w:rsid w:val="6FBB39A3"/>
    <w:rsid w:val="700A66D9"/>
    <w:rsid w:val="706C2EEF"/>
    <w:rsid w:val="708F6BDE"/>
    <w:rsid w:val="71665B90"/>
    <w:rsid w:val="720B20E6"/>
    <w:rsid w:val="731A4E85"/>
    <w:rsid w:val="731C29AB"/>
    <w:rsid w:val="74DF0134"/>
    <w:rsid w:val="75616D9B"/>
    <w:rsid w:val="75C15A8B"/>
    <w:rsid w:val="786D3CA8"/>
    <w:rsid w:val="79766B8D"/>
    <w:rsid w:val="799C4845"/>
    <w:rsid w:val="79AC25AE"/>
    <w:rsid w:val="79AE4579"/>
    <w:rsid w:val="79E41D48"/>
    <w:rsid w:val="7B902188"/>
    <w:rsid w:val="7C2D79D7"/>
    <w:rsid w:val="7C705B15"/>
    <w:rsid w:val="7F127358"/>
    <w:rsid w:val="7F6A2CF0"/>
    <w:rsid w:val="7FCE32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50F60A30"/>
  <w15:docId w15:val="{4AF370B9-646E-4B06-AEC6-F3039B392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header" w:uiPriority="99"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lang w:val="en" w:eastAsia="zh-CN"/>
    </w:rPr>
  </w:style>
  <w:style w:type="paragraph" w:styleId="1">
    <w:name w:val="heading 1"/>
    <w:basedOn w:val="a"/>
    <w:next w:val="a"/>
    <w:qFormat/>
    <w:pPr>
      <w:keepNext/>
      <w:pageBreakBefore/>
      <w:suppressAutoHyphens/>
      <w:jc w:val="center"/>
      <w:outlineLvl w:val="0"/>
    </w:pPr>
    <w:rPr>
      <w:rFonts w:eastAsia="Times New Roman"/>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link w:val="a5"/>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qFormat/>
  </w:style>
  <w:style w:type="paragraph" w:styleId="2">
    <w:name w:val="toc 2"/>
    <w:basedOn w:val="a"/>
    <w:next w:val="a"/>
    <w:qFormat/>
    <w:pPr>
      <w:ind w:leftChars="200" w:left="420"/>
    </w:pPr>
  </w:style>
  <w:style w:type="paragraph" w:styleId="HTML">
    <w:name w:val="HTML Preformatted"/>
    <w:basedOn w:val="a"/>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SimSun" w:eastAsia="SimSun" w:hAnsi="SimSun" w:cs="Times New Roman" w:hint="eastAsia"/>
      <w:kern w:val="0"/>
      <w:sz w:val="24"/>
    </w:rPr>
  </w:style>
  <w:style w:type="paragraph" w:styleId="a6">
    <w:name w:val="Normal (Web)"/>
    <w:basedOn w:val="a"/>
    <w:qFormat/>
    <w:rPr>
      <w:sz w:val="24"/>
    </w:rPr>
  </w:style>
  <w:style w:type="paragraph" w:styleId="a7">
    <w:name w:val="Balloon Text"/>
    <w:basedOn w:val="a"/>
    <w:link w:val="a8"/>
    <w:rsid w:val="00773039"/>
    <w:rPr>
      <w:rFonts w:ascii="Tahoma" w:hAnsi="Tahoma" w:cs="Tahoma"/>
      <w:sz w:val="16"/>
      <w:szCs w:val="16"/>
    </w:rPr>
  </w:style>
  <w:style w:type="character" w:customStyle="1" w:styleId="a8">
    <w:name w:val="Текст выноски Знак"/>
    <w:basedOn w:val="a0"/>
    <w:link w:val="a7"/>
    <w:rsid w:val="00773039"/>
    <w:rPr>
      <w:rFonts w:ascii="Tahoma" w:eastAsiaTheme="minorEastAsia" w:hAnsi="Tahoma" w:cs="Tahoma"/>
      <w:kern w:val="2"/>
      <w:sz w:val="16"/>
      <w:szCs w:val="16"/>
      <w:lang w:val="en" w:eastAsia="zh-CN"/>
    </w:rPr>
  </w:style>
  <w:style w:type="paragraph" w:styleId="a9">
    <w:name w:val="List Paragraph"/>
    <w:basedOn w:val="a"/>
    <w:uiPriority w:val="99"/>
    <w:unhideWhenUsed/>
    <w:rsid w:val="00773039"/>
    <w:pPr>
      <w:ind w:left="720"/>
      <w:contextualSpacing/>
    </w:pPr>
  </w:style>
  <w:style w:type="character" w:customStyle="1" w:styleId="a5">
    <w:name w:val="Верхний колонтитул Знак"/>
    <w:basedOn w:val="a0"/>
    <w:link w:val="a4"/>
    <w:uiPriority w:val="99"/>
    <w:rsid w:val="00E920C6"/>
    <w:rPr>
      <w:rFonts w:asciiTheme="minorHAnsi" w:eastAsiaTheme="minorEastAsia" w:hAnsiTheme="minorHAnsi" w:cstheme="minorBidi"/>
      <w:kern w:val="2"/>
      <w:sz w:val="18"/>
      <w:szCs w:val="24"/>
      <w:lang w:val="en"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82</Pages>
  <Words>104302</Words>
  <Characters>59453</Characters>
  <Application>Microsoft Office Word</Application>
  <DocSecurity>0</DocSecurity>
  <Lines>495</Lines>
  <Paragraphs>326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铂象</dc:creator>
  <cp:lastModifiedBy>Галина</cp:lastModifiedBy>
  <cp:revision>5</cp:revision>
  <cp:lastPrinted>2024-11-19T13:37:00Z</cp:lastPrinted>
  <dcterms:created xsi:type="dcterms:W3CDTF">2024-11-19T13:27:00Z</dcterms:created>
  <dcterms:modified xsi:type="dcterms:W3CDTF">2024-11-19T13:39:00Z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CDDCBB9501A241E59522344EAC04DD83_13</vt:lpwstr>
  </property>
</Properties>
</file>