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3991" w:rsidRPr="00621CF1" w:rsidRDefault="00DC3991" w:rsidP="00DC3991">
      <w:pPr>
        <w:spacing w:after="0" w:line="240" w:lineRule="auto"/>
        <w:jc w:val="center"/>
        <w:rPr>
          <w:rFonts w:ascii="Times New Roman" w:eastAsia="Calibri" w:hAnsi="Times New Roman" w:cs="Times New Roman"/>
          <w:b/>
          <w:bCs/>
          <w:i/>
          <w:iCs/>
          <w:noProof/>
          <w:sz w:val="28"/>
          <w:szCs w:val="28"/>
          <w:lang w:val="uk-UA" w:eastAsia="ru-RU"/>
        </w:rPr>
      </w:pPr>
      <w:r w:rsidRPr="00621CF1">
        <w:rPr>
          <w:rFonts w:ascii="Times New Roman" w:eastAsia="Calibri" w:hAnsi="Times New Roman" w:cs="Times New Roman"/>
          <w:noProof/>
          <w:sz w:val="28"/>
          <w:szCs w:val="28"/>
          <w:lang w:val="uk-UA" w:eastAsia="ru-RU"/>
        </w:rPr>
        <w:t>Одеський національний університет імені І. І. Мечникова</w:t>
      </w:r>
    </w:p>
    <w:p w:rsidR="00DC3991" w:rsidRPr="00621CF1" w:rsidRDefault="00DC3991" w:rsidP="00DC3991">
      <w:pPr>
        <w:spacing w:after="0" w:line="240" w:lineRule="auto"/>
        <w:ind w:firstLine="709"/>
        <w:jc w:val="center"/>
        <w:rPr>
          <w:rFonts w:ascii="Times New Roman" w:eastAsia="Calibri" w:hAnsi="Times New Roman" w:cs="Times New Roman"/>
          <w:noProof/>
          <w:sz w:val="28"/>
          <w:szCs w:val="28"/>
          <w:lang w:val="uk-UA" w:eastAsia="ru-RU"/>
        </w:rPr>
      </w:pPr>
      <w:r w:rsidRPr="00621CF1">
        <w:rPr>
          <w:rFonts w:ascii="Times New Roman" w:eastAsia="Calibri" w:hAnsi="Times New Roman" w:cs="Times New Roman"/>
          <w:noProof/>
          <w:sz w:val="28"/>
          <w:szCs w:val="28"/>
          <w:lang w:val="uk-UA" w:eastAsia="ru-RU"/>
        </w:rPr>
        <w:t>Факультет міжнародних відносин, політології та соціології</w:t>
      </w:r>
    </w:p>
    <w:p w:rsidR="00DC3991" w:rsidRPr="00621CF1" w:rsidRDefault="00DC3991" w:rsidP="00DC3991">
      <w:pPr>
        <w:spacing w:after="0" w:line="240" w:lineRule="auto"/>
        <w:ind w:firstLine="709"/>
        <w:jc w:val="center"/>
        <w:rPr>
          <w:rFonts w:ascii="Times New Roman" w:eastAsia="Calibri" w:hAnsi="Times New Roman" w:cs="Times New Roman"/>
          <w:noProof/>
          <w:sz w:val="28"/>
          <w:szCs w:val="28"/>
          <w:lang w:val="uk-UA" w:eastAsia="ru-RU"/>
        </w:rPr>
      </w:pPr>
      <w:r w:rsidRPr="00621CF1">
        <w:rPr>
          <w:rFonts w:ascii="Times New Roman" w:eastAsia="Calibri" w:hAnsi="Times New Roman" w:cs="Times New Roman"/>
          <w:noProof/>
          <w:sz w:val="28"/>
          <w:szCs w:val="28"/>
          <w:lang w:val="uk-UA" w:eastAsia="ru-RU"/>
        </w:rPr>
        <w:t>Кафедра світового господарства і міжнародних економічних відносин</w:t>
      </w:r>
    </w:p>
    <w:p w:rsidR="00DC3991" w:rsidRPr="00621CF1" w:rsidRDefault="00DC3991" w:rsidP="00DC3991">
      <w:pPr>
        <w:spacing w:after="0" w:line="240" w:lineRule="auto"/>
        <w:ind w:firstLine="709"/>
        <w:jc w:val="both"/>
        <w:rPr>
          <w:rFonts w:ascii="Times New Roman" w:eastAsia="Calibri" w:hAnsi="Times New Roman" w:cs="Times New Roman"/>
          <w:noProof/>
          <w:sz w:val="28"/>
          <w:szCs w:val="28"/>
          <w:u w:val="single"/>
          <w:lang w:val="uk-UA" w:eastAsia="ru-RU"/>
        </w:rPr>
      </w:pPr>
    </w:p>
    <w:p w:rsidR="00DC3991" w:rsidRPr="00621CF1" w:rsidRDefault="00DC3991" w:rsidP="00DC3991">
      <w:pPr>
        <w:spacing w:after="0" w:line="240" w:lineRule="auto"/>
        <w:ind w:firstLine="709"/>
        <w:jc w:val="center"/>
        <w:rPr>
          <w:rFonts w:ascii="Times New Roman" w:eastAsia="Calibri" w:hAnsi="Times New Roman" w:cs="Times New Roman"/>
          <w:noProof/>
          <w:sz w:val="28"/>
          <w:szCs w:val="28"/>
          <w:u w:val="single"/>
          <w:lang w:val="uk-UA" w:eastAsia="ru-RU"/>
        </w:rPr>
      </w:pPr>
    </w:p>
    <w:p w:rsidR="00DC3991" w:rsidRPr="00621CF1" w:rsidRDefault="00DC3991" w:rsidP="00DC3991">
      <w:pPr>
        <w:spacing w:after="0" w:line="240" w:lineRule="auto"/>
        <w:ind w:firstLine="709"/>
        <w:jc w:val="center"/>
        <w:rPr>
          <w:rFonts w:ascii="Times New Roman" w:eastAsia="Calibri" w:hAnsi="Times New Roman" w:cs="Times New Roman"/>
          <w:noProof/>
          <w:sz w:val="28"/>
          <w:szCs w:val="28"/>
          <w:u w:val="single"/>
          <w:lang w:val="uk-UA" w:eastAsia="ru-RU"/>
        </w:rPr>
      </w:pPr>
    </w:p>
    <w:p w:rsidR="00DC3991" w:rsidRPr="00621CF1" w:rsidRDefault="00DC3991" w:rsidP="00DC3991">
      <w:pPr>
        <w:spacing w:after="0" w:line="240" w:lineRule="auto"/>
        <w:ind w:firstLine="709"/>
        <w:jc w:val="center"/>
        <w:rPr>
          <w:rFonts w:ascii="Times New Roman" w:eastAsia="Calibri" w:hAnsi="Times New Roman" w:cs="Times New Roman"/>
          <w:noProof/>
          <w:sz w:val="28"/>
          <w:szCs w:val="28"/>
          <w:u w:val="single"/>
          <w:lang w:val="uk-UA" w:eastAsia="ru-RU"/>
        </w:rPr>
      </w:pPr>
    </w:p>
    <w:p w:rsidR="00DC3991" w:rsidRPr="00621CF1" w:rsidRDefault="00DC3991" w:rsidP="00DC3991">
      <w:pPr>
        <w:spacing w:after="0" w:line="360" w:lineRule="auto"/>
        <w:jc w:val="center"/>
        <w:rPr>
          <w:rFonts w:ascii="Times New Roman" w:eastAsia="Calibri" w:hAnsi="Times New Roman" w:cs="Times New Roman"/>
          <w:b/>
          <w:bCs/>
          <w:noProof/>
          <w:sz w:val="28"/>
          <w:szCs w:val="28"/>
          <w:lang w:val="uk-UA" w:eastAsia="ru-RU"/>
        </w:rPr>
      </w:pPr>
      <w:r w:rsidRPr="00621CF1">
        <w:rPr>
          <w:rFonts w:ascii="Times New Roman" w:eastAsia="Calibri" w:hAnsi="Times New Roman" w:cs="Times New Roman"/>
          <w:b/>
          <w:bCs/>
          <w:noProof/>
          <w:sz w:val="28"/>
          <w:szCs w:val="28"/>
          <w:lang w:val="uk-UA" w:eastAsia="ru-RU"/>
        </w:rPr>
        <w:t>ДИПЛОМНА РОБОТА</w:t>
      </w:r>
    </w:p>
    <w:p w:rsidR="00DC3991" w:rsidRPr="00621CF1" w:rsidRDefault="00DC3991" w:rsidP="00DC3991">
      <w:pPr>
        <w:spacing w:after="0" w:line="360" w:lineRule="auto"/>
        <w:jc w:val="center"/>
        <w:rPr>
          <w:rFonts w:ascii="Times New Roman" w:eastAsia="Calibri" w:hAnsi="Times New Roman" w:cs="Times New Roman"/>
          <w:sz w:val="28"/>
          <w:szCs w:val="28"/>
          <w:lang w:val="uk-UA"/>
        </w:rPr>
      </w:pPr>
      <w:r w:rsidRPr="00621CF1">
        <w:rPr>
          <w:rFonts w:ascii="Times New Roman" w:eastAsia="Calibri" w:hAnsi="Times New Roman" w:cs="Times New Roman"/>
          <w:noProof/>
          <w:sz w:val="28"/>
          <w:szCs w:val="28"/>
          <w:lang w:val="uk-UA" w:eastAsia="ru-RU"/>
        </w:rPr>
        <w:t xml:space="preserve">на здобуття ступеня вищої освіти </w:t>
      </w:r>
      <w:r w:rsidRPr="00621CF1">
        <w:rPr>
          <w:rFonts w:ascii="Times New Roman" w:eastAsia="Calibri" w:hAnsi="Times New Roman" w:cs="Times New Roman"/>
          <w:sz w:val="28"/>
          <w:szCs w:val="28"/>
          <w:lang w:val="uk-UA" w:eastAsia="uk-UA"/>
        </w:rPr>
        <w:t>«</w:t>
      </w:r>
      <w:r w:rsidRPr="00621CF1">
        <w:rPr>
          <w:rFonts w:ascii="Times New Roman" w:eastAsia="Calibri" w:hAnsi="Times New Roman" w:cs="Times New Roman"/>
          <w:noProof/>
          <w:sz w:val="28"/>
          <w:szCs w:val="28"/>
          <w:lang w:val="uk-UA" w:eastAsia="ru-RU"/>
        </w:rPr>
        <w:t>бакалавр</w:t>
      </w:r>
      <w:r w:rsidRPr="00621CF1">
        <w:rPr>
          <w:rFonts w:ascii="Times New Roman" w:eastAsia="Calibri" w:hAnsi="Times New Roman" w:cs="Times New Roman"/>
          <w:sz w:val="28"/>
          <w:szCs w:val="28"/>
          <w:lang w:val="uk-UA"/>
        </w:rPr>
        <w:t>»</w:t>
      </w:r>
    </w:p>
    <w:p w:rsidR="00DC3991" w:rsidRPr="00621CF1" w:rsidRDefault="00DC3991" w:rsidP="00DC3991">
      <w:pPr>
        <w:spacing w:after="0" w:line="360" w:lineRule="auto"/>
        <w:jc w:val="center"/>
        <w:rPr>
          <w:rFonts w:ascii="Times New Roman" w:eastAsia="Calibri" w:hAnsi="Times New Roman" w:cs="Times New Roman"/>
          <w:b/>
          <w:bCs/>
          <w:sz w:val="28"/>
          <w:szCs w:val="28"/>
          <w:lang w:val="uk-UA"/>
        </w:rPr>
      </w:pPr>
      <w:r w:rsidRPr="00621CF1">
        <w:rPr>
          <w:rFonts w:ascii="Times New Roman" w:eastAsia="Calibri" w:hAnsi="Times New Roman" w:cs="Times New Roman"/>
          <w:b/>
          <w:bCs/>
          <w:sz w:val="28"/>
          <w:szCs w:val="28"/>
          <w:lang w:val="uk-UA" w:eastAsia="uk-UA"/>
        </w:rPr>
        <w:t>на тему: «</w:t>
      </w:r>
      <w:r>
        <w:rPr>
          <w:rFonts w:ascii="Times New Roman" w:eastAsia="Calibri" w:hAnsi="Times New Roman" w:cs="Times New Roman"/>
          <w:b/>
          <w:color w:val="000000"/>
          <w:sz w:val="28"/>
          <w:szCs w:val="28"/>
          <w:lang w:val="uk-UA"/>
        </w:rPr>
        <w:t>Р</w:t>
      </w:r>
      <w:r w:rsidRPr="00DC3991">
        <w:rPr>
          <w:rFonts w:ascii="Times New Roman" w:eastAsia="Calibri" w:hAnsi="Times New Roman" w:cs="Times New Roman"/>
          <w:b/>
          <w:color w:val="000000"/>
          <w:sz w:val="28"/>
          <w:szCs w:val="28"/>
          <w:lang w:val="uk-UA"/>
        </w:rPr>
        <w:t>озвиток зовнішньоекономічних зв’язків Португалії та Греції в умовах невизначеності</w:t>
      </w:r>
      <w:r w:rsidRPr="00621CF1">
        <w:rPr>
          <w:rFonts w:ascii="Times New Roman" w:eastAsia="Calibri" w:hAnsi="Times New Roman" w:cs="Times New Roman"/>
          <w:b/>
          <w:bCs/>
          <w:sz w:val="28"/>
          <w:szCs w:val="28"/>
          <w:lang w:val="uk-UA"/>
        </w:rPr>
        <w:t>»</w:t>
      </w:r>
    </w:p>
    <w:p w:rsidR="00DC3991" w:rsidRPr="00621CF1" w:rsidRDefault="00DC3991" w:rsidP="00DC3991">
      <w:pPr>
        <w:spacing w:after="0" w:line="360" w:lineRule="auto"/>
        <w:jc w:val="center"/>
        <w:rPr>
          <w:rFonts w:ascii="Times New Roman" w:eastAsia="Calibri" w:hAnsi="Times New Roman" w:cs="Times New Roman"/>
          <w:sz w:val="24"/>
          <w:szCs w:val="24"/>
          <w:lang w:val="uk-UA"/>
        </w:rPr>
      </w:pPr>
      <w:r w:rsidRPr="00621CF1">
        <w:rPr>
          <w:rFonts w:ascii="Times New Roman" w:eastAsia="Calibri" w:hAnsi="Times New Roman" w:cs="Times New Roman"/>
          <w:sz w:val="24"/>
          <w:szCs w:val="24"/>
          <w:lang w:val="uk-UA"/>
        </w:rPr>
        <w:t>«</w:t>
      </w:r>
      <w:r w:rsidRPr="00DC3991">
        <w:rPr>
          <w:rFonts w:ascii="Times New Roman" w:eastAsia="Calibri" w:hAnsi="Times New Roman" w:cs="Times New Roman"/>
          <w:color w:val="000000"/>
          <w:sz w:val="24"/>
          <w:szCs w:val="24"/>
        </w:rPr>
        <w:t xml:space="preserve">Development of foreign economic relations of Portugal and Greece </w:t>
      </w:r>
      <w:r>
        <w:rPr>
          <w:rFonts w:ascii="Times New Roman" w:eastAsia="Calibri" w:hAnsi="Times New Roman" w:cs="Times New Roman"/>
          <w:color w:val="000000"/>
          <w:sz w:val="24"/>
          <w:szCs w:val="24"/>
        </w:rPr>
        <w:t>under</w:t>
      </w:r>
      <w:r w:rsidRPr="00DC3991">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 xml:space="preserve">conditions of </w:t>
      </w:r>
      <w:r w:rsidRPr="00DC3991">
        <w:rPr>
          <w:rFonts w:ascii="Times New Roman" w:eastAsia="Calibri" w:hAnsi="Times New Roman" w:cs="Times New Roman"/>
          <w:color w:val="000000"/>
          <w:sz w:val="24"/>
          <w:szCs w:val="24"/>
        </w:rPr>
        <w:t>uncertainty</w:t>
      </w:r>
      <w:r w:rsidRPr="00621CF1">
        <w:rPr>
          <w:rFonts w:ascii="Times New Roman" w:eastAsia="Calibri" w:hAnsi="Times New Roman" w:cs="Times New Roman"/>
          <w:sz w:val="24"/>
          <w:szCs w:val="24"/>
        </w:rPr>
        <w:t>»</w:t>
      </w:r>
    </w:p>
    <w:p w:rsidR="00DC3991" w:rsidRPr="00621CF1" w:rsidRDefault="00DC3991" w:rsidP="00DC3991">
      <w:pPr>
        <w:spacing w:after="0" w:line="360" w:lineRule="auto"/>
        <w:jc w:val="center"/>
        <w:rPr>
          <w:rFonts w:ascii="Times New Roman" w:eastAsia="Calibri" w:hAnsi="Times New Roman" w:cs="Times New Roman"/>
          <w:sz w:val="24"/>
          <w:szCs w:val="24"/>
          <w:lang w:val="uk-UA"/>
        </w:rPr>
      </w:pPr>
    </w:p>
    <w:p w:rsidR="00DC3991" w:rsidRPr="00621CF1" w:rsidRDefault="00DC3991" w:rsidP="00DC3991">
      <w:pPr>
        <w:spacing w:after="0" w:line="360" w:lineRule="auto"/>
        <w:jc w:val="center"/>
        <w:rPr>
          <w:rFonts w:ascii="Times New Roman" w:eastAsia="Calibri" w:hAnsi="Times New Roman" w:cs="Times New Roman"/>
          <w:sz w:val="24"/>
          <w:szCs w:val="24"/>
          <w:lang w:val="uk-UA"/>
        </w:rPr>
      </w:pPr>
    </w:p>
    <w:p w:rsidR="00DC3991" w:rsidRPr="000C1525" w:rsidRDefault="00DC3991" w:rsidP="00DC3991">
      <w:pPr>
        <w:spacing w:after="0" w:line="240" w:lineRule="auto"/>
        <w:ind w:left="3686" w:right="-93"/>
        <w:jc w:val="both"/>
        <w:rPr>
          <w:rFonts w:ascii="Times New Roman" w:eastAsia="Calibri" w:hAnsi="Times New Roman" w:cs="Times New Roman"/>
          <w:sz w:val="28"/>
          <w:szCs w:val="28"/>
          <w:lang w:val="uk-UA"/>
        </w:rPr>
      </w:pPr>
      <w:r w:rsidRPr="000C1525">
        <w:rPr>
          <w:rFonts w:ascii="Times New Roman" w:eastAsia="Calibri" w:hAnsi="Times New Roman" w:cs="Times New Roman"/>
          <w:sz w:val="28"/>
          <w:szCs w:val="28"/>
          <w:lang w:val="uk-UA"/>
        </w:rPr>
        <w:t>Виконав: студент денної форми навчання</w:t>
      </w:r>
    </w:p>
    <w:p w:rsidR="00DC3991" w:rsidRPr="000C1525" w:rsidRDefault="00DC3991" w:rsidP="00DC3991">
      <w:pPr>
        <w:spacing w:after="0" w:line="240" w:lineRule="auto"/>
        <w:ind w:left="3686" w:right="-93"/>
        <w:jc w:val="both"/>
        <w:rPr>
          <w:rFonts w:ascii="Times New Roman" w:eastAsia="Calibri" w:hAnsi="Times New Roman" w:cs="Times New Roman"/>
          <w:sz w:val="20"/>
          <w:szCs w:val="20"/>
          <w:lang w:val="uk-UA"/>
        </w:rPr>
      </w:pPr>
      <w:r w:rsidRPr="000C1525">
        <w:rPr>
          <w:rFonts w:ascii="Times New Roman" w:eastAsia="Calibri" w:hAnsi="Times New Roman" w:cs="Times New Roman"/>
          <w:sz w:val="28"/>
          <w:szCs w:val="28"/>
          <w:lang w:val="uk-UA"/>
        </w:rPr>
        <w:t xml:space="preserve">Спеціальності 292 «Міжнародні економічні відносини»  </w:t>
      </w:r>
    </w:p>
    <w:p w:rsidR="00DC3991" w:rsidRPr="000C1525" w:rsidRDefault="000C1525" w:rsidP="00DC3991">
      <w:pPr>
        <w:spacing w:after="0" w:line="240" w:lineRule="auto"/>
        <w:ind w:left="3686" w:hanging="120"/>
        <w:jc w:val="both"/>
        <w:rPr>
          <w:rFonts w:ascii="Times New Roman" w:eastAsia="Calibri" w:hAnsi="Times New Roman" w:cs="Times New Roman"/>
          <w:noProof/>
          <w:sz w:val="28"/>
          <w:szCs w:val="28"/>
          <w:lang w:val="uk-UA" w:eastAsia="ru-RU"/>
        </w:rPr>
      </w:pPr>
      <w:r>
        <w:rPr>
          <w:rFonts w:ascii="Times New Roman" w:eastAsia="Calibri" w:hAnsi="Times New Roman" w:cs="Times New Roman"/>
          <w:sz w:val="28"/>
          <w:szCs w:val="28"/>
        </w:rPr>
        <w:t xml:space="preserve">  </w:t>
      </w:r>
      <w:r w:rsidRPr="000C1525">
        <w:rPr>
          <w:rFonts w:ascii="Times New Roman" w:eastAsia="Calibri" w:hAnsi="Times New Roman" w:cs="Times New Roman"/>
          <w:sz w:val="28"/>
          <w:szCs w:val="28"/>
          <w:lang w:val="uk-UA"/>
        </w:rPr>
        <w:t>Шевченко Дмітрій Валерійович</w:t>
      </w:r>
    </w:p>
    <w:p w:rsidR="00DC3991" w:rsidRPr="000C1525" w:rsidRDefault="00DC3991" w:rsidP="00DC3991">
      <w:pPr>
        <w:spacing w:after="0" w:line="240" w:lineRule="auto"/>
        <w:ind w:left="3686"/>
        <w:jc w:val="both"/>
        <w:rPr>
          <w:rFonts w:ascii="Times New Roman" w:eastAsia="Calibri" w:hAnsi="Times New Roman" w:cs="Times New Roman"/>
          <w:noProof/>
          <w:sz w:val="28"/>
          <w:szCs w:val="28"/>
          <w:lang w:val="uk-UA" w:eastAsia="ru-RU"/>
        </w:rPr>
      </w:pPr>
      <w:r w:rsidRPr="000C1525">
        <w:rPr>
          <w:rFonts w:ascii="Times New Roman" w:eastAsia="Calibri" w:hAnsi="Times New Roman" w:cs="Times New Roman"/>
          <w:noProof/>
          <w:sz w:val="28"/>
          <w:szCs w:val="28"/>
          <w:lang w:val="uk-UA" w:eastAsia="ru-RU"/>
        </w:rPr>
        <w:t>Науковий керівник:____________</w:t>
      </w:r>
    </w:p>
    <w:p w:rsidR="00DC3991" w:rsidRDefault="00DC3991" w:rsidP="00DC3991">
      <w:pPr>
        <w:spacing w:after="0" w:line="240" w:lineRule="auto"/>
        <w:ind w:left="3686"/>
        <w:jc w:val="both"/>
        <w:rPr>
          <w:rFonts w:ascii="Times New Roman" w:eastAsia="Calibri" w:hAnsi="Times New Roman" w:cs="Times New Roman"/>
          <w:noProof/>
          <w:sz w:val="28"/>
          <w:szCs w:val="28"/>
          <w:lang w:val="uk-UA" w:eastAsia="ru-RU"/>
        </w:rPr>
      </w:pPr>
      <w:r w:rsidRPr="000C1525">
        <w:rPr>
          <w:rFonts w:ascii="Times New Roman" w:eastAsia="Calibri" w:hAnsi="Times New Roman" w:cs="Times New Roman"/>
          <w:noProof/>
          <w:sz w:val="28"/>
          <w:szCs w:val="28"/>
          <w:lang w:val="uk-UA" w:eastAsia="ru-RU"/>
        </w:rPr>
        <w:t>Рецензент:______</w:t>
      </w:r>
      <w:bookmarkStart w:id="0" w:name="_GoBack"/>
      <w:bookmarkEnd w:id="0"/>
      <w:r w:rsidRPr="000C1525">
        <w:rPr>
          <w:rFonts w:ascii="Times New Roman" w:eastAsia="Calibri" w:hAnsi="Times New Roman" w:cs="Times New Roman"/>
          <w:noProof/>
          <w:sz w:val="28"/>
          <w:szCs w:val="28"/>
          <w:lang w:val="uk-UA" w:eastAsia="ru-RU"/>
        </w:rPr>
        <w:t>_____________</w:t>
      </w:r>
    </w:p>
    <w:p w:rsidR="00DC3991" w:rsidRPr="00621CF1" w:rsidRDefault="00DC3991" w:rsidP="00DC3991">
      <w:pPr>
        <w:spacing w:after="0" w:line="240" w:lineRule="auto"/>
        <w:jc w:val="both"/>
        <w:rPr>
          <w:rFonts w:ascii="Times New Roman" w:eastAsia="Calibri" w:hAnsi="Times New Roman" w:cs="Times New Roman"/>
          <w:noProof/>
          <w:sz w:val="28"/>
          <w:szCs w:val="28"/>
          <w:lang w:val="uk-UA" w:eastAsia="ru-RU"/>
        </w:rPr>
      </w:pPr>
    </w:p>
    <w:p w:rsidR="00DC3991" w:rsidRPr="00621CF1" w:rsidRDefault="00DC3991" w:rsidP="00DC3991">
      <w:pPr>
        <w:spacing w:after="0" w:line="240" w:lineRule="auto"/>
        <w:jc w:val="both"/>
        <w:rPr>
          <w:rFonts w:ascii="Times New Roman" w:eastAsia="Calibri" w:hAnsi="Times New Roman" w:cs="Times New Roman"/>
          <w:noProof/>
          <w:sz w:val="28"/>
          <w:szCs w:val="28"/>
          <w:lang w:val="uk-UA" w:eastAsia="ru-RU"/>
        </w:rPr>
      </w:pPr>
    </w:p>
    <w:p w:rsidR="00DC3991" w:rsidRPr="00621CF1" w:rsidRDefault="00DC3991" w:rsidP="00DC3991">
      <w:pPr>
        <w:widowControl w:val="0"/>
        <w:spacing w:after="0" w:line="360" w:lineRule="auto"/>
        <w:ind w:firstLine="709"/>
        <w:jc w:val="both"/>
        <w:rPr>
          <w:rFonts w:ascii="Times New Roman" w:eastAsia="Calibri" w:hAnsi="Times New Roman" w:cs="Times New Roman"/>
          <w:color w:val="000000"/>
          <w:sz w:val="28"/>
          <w:szCs w:val="28"/>
          <w:lang w:val="uk-UA"/>
        </w:rPr>
      </w:pPr>
      <w:r w:rsidRPr="00621CF1">
        <w:rPr>
          <w:rFonts w:ascii="Times New Roman" w:eastAsia="Calibri" w:hAnsi="Times New Roman" w:cs="Times New Roman"/>
          <w:color w:val="000000"/>
          <w:sz w:val="28"/>
          <w:szCs w:val="28"/>
          <w:lang w:val="uk-UA"/>
        </w:rPr>
        <w:t xml:space="preserve">Рекомендовано до захисту:               </w:t>
      </w:r>
      <w:r w:rsidRPr="00A96DBB">
        <w:rPr>
          <w:rFonts w:ascii="Times New Roman" w:eastAsia="Calibri" w:hAnsi="Times New Roman" w:cs="Times New Roman"/>
          <w:color w:val="000000"/>
          <w:sz w:val="28"/>
          <w:szCs w:val="28"/>
          <w:lang w:val="uk-UA"/>
        </w:rPr>
        <w:t xml:space="preserve">      </w:t>
      </w:r>
      <w:r w:rsidRPr="00621CF1">
        <w:rPr>
          <w:rFonts w:ascii="Times New Roman" w:eastAsia="Calibri" w:hAnsi="Times New Roman" w:cs="Times New Roman"/>
          <w:color w:val="000000"/>
          <w:sz w:val="28"/>
          <w:szCs w:val="28"/>
          <w:lang w:val="uk-UA"/>
        </w:rPr>
        <w:t xml:space="preserve">  Захищено на засіданні ЕК №</w:t>
      </w:r>
      <w:r w:rsidRPr="00A96DBB">
        <w:rPr>
          <w:rFonts w:ascii="Times New Roman" w:eastAsia="Calibri" w:hAnsi="Times New Roman" w:cs="Times New Roman"/>
          <w:color w:val="000000"/>
          <w:sz w:val="28"/>
          <w:szCs w:val="28"/>
          <w:lang w:val="uk-UA"/>
        </w:rPr>
        <w:t>___</w:t>
      </w:r>
    </w:p>
    <w:p w:rsidR="00DC3991" w:rsidRPr="00621CF1" w:rsidRDefault="00DC3991" w:rsidP="00DC3991">
      <w:pPr>
        <w:widowControl w:val="0"/>
        <w:spacing w:after="0" w:line="360" w:lineRule="auto"/>
        <w:ind w:firstLine="709"/>
        <w:jc w:val="both"/>
        <w:rPr>
          <w:rFonts w:ascii="Times New Roman" w:eastAsia="Calibri" w:hAnsi="Times New Roman" w:cs="Times New Roman"/>
          <w:color w:val="000000"/>
          <w:sz w:val="28"/>
          <w:szCs w:val="28"/>
          <w:lang w:val="uk-UA"/>
        </w:rPr>
      </w:pPr>
      <w:r w:rsidRPr="00621CF1">
        <w:rPr>
          <w:rFonts w:ascii="Times New Roman" w:eastAsia="Calibri" w:hAnsi="Times New Roman" w:cs="Times New Roman"/>
          <w:color w:val="000000"/>
          <w:sz w:val="28"/>
          <w:szCs w:val="28"/>
          <w:lang w:val="uk-UA"/>
        </w:rPr>
        <w:t xml:space="preserve">Протокол засідання кафедри          </w:t>
      </w:r>
      <w:r w:rsidRPr="00A96DBB">
        <w:rPr>
          <w:rFonts w:ascii="Times New Roman" w:eastAsia="Calibri" w:hAnsi="Times New Roman" w:cs="Times New Roman"/>
          <w:color w:val="000000"/>
          <w:sz w:val="28"/>
          <w:szCs w:val="28"/>
          <w:lang w:val="uk-UA"/>
        </w:rPr>
        <w:t xml:space="preserve">     </w:t>
      </w:r>
      <w:r w:rsidRPr="00621CF1">
        <w:rPr>
          <w:rFonts w:ascii="Times New Roman" w:eastAsia="Calibri" w:hAnsi="Times New Roman" w:cs="Times New Roman"/>
          <w:color w:val="000000"/>
          <w:sz w:val="28"/>
          <w:szCs w:val="28"/>
          <w:lang w:val="uk-UA"/>
        </w:rPr>
        <w:t xml:space="preserve">     протокол №___від ___. 202</w:t>
      </w:r>
      <w:r>
        <w:rPr>
          <w:rFonts w:ascii="Times New Roman" w:eastAsia="Calibri" w:hAnsi="Times New Roman" w:cs="Times New Roman"/>
          <w:color w:val="000000"/>
          <w:sz w:val="28"/>
          <w:szCs w:val="28"/>
          <w:lang w:val="uk-UA"/>
        </w:rPr>
        <w:t>4</w:t>
      </w:r>
      <w:r w:rsidRPr="00621CF1">
        <w:rPr>
          <w:rFonts w:ascii="Times New Roman" w:eastAsia="Calibri" w:hAnsi="Times New Roman" w:cs="Times New Roman"/>
          <w:color w:val="000000"/>
          <w:sz w:val="28"/>
          <w:szCs w:val="28"/>
          <w:lang w:val="uk-UA"/>
        </w:rPr>
        <w:t>р.</w:t>
      </w:r>
    </w:p>
    <w:p w:rsidR="00DC3991" w:rsidRPr="00621CF1" w:rsidRDefault="00DC3991" w:rsidP="00DC3991">
      <w:pPr>
        <w:widowControl w:val="0"/>
        <w:spacing w:after="0" w:line="360" w:lineRule="auto"/>
        <w:jc w:val="both"/>
        <w:rPr>
          <w:rFonts w:ascii="Times New Roman" w:eastAsia="Calibri" w:hAnsi="Times New Roman" w:cs="Times New Roman"/>
          <w:color w:val="000000"/>
          <w:sz w:val="28"/>
          <w:szCs w:val="28"/>
          <w:lang w:val="uk-UA"/>
        </w:rPr>
      </w:pPr>
      <w:r w:rsidRPr="00621CF1">
        <w:rPr>
          <w:rFonts w:ascii="Times New Roman" w:eastAsia="Calibri" w:hAnsi="Times New Roman" w:cs="Times New Roman"/>
          <w:color w:val="000000"/>
          <w:sz w:val="28"/>
          <w:szCs w:val="28"/>
          <w:lang w:val="uk-UA"/>
        </w:rPr>
        <w:t xml:space="preserve">                                                .                       </w:t>
      </w:r>
      <w:r w:rsidRPr="00A96DBB">
        <w:rPr>
          <w:rFonts w:ascii="Times New Roman" w:eastAsia="Calibri" w:hAnsi="Times New Roman" w:cs="Times New Roman"/>
          <w:color w:val="000000"/>
          <w:sz w:val="28"/>
          <w:szCs w:val="28"/>
          <w:lang w:val="uk-UA"/>
        </w:rPr>
        <w:t xml:space="preserve">     </w:t>
      </w:r>
      <w:r w:rsidRPr="00621CF1">
        <w:rPr>
          <w:rFonts w:ascii="Times New Roman" w:eastAsia="Calibri" w:hAnsi="Times New Roman" w:cs="Times New Roman"/>
          <w:color w:val="000000"/>
          <w:sz w:val="28"/>
          <w:szCs w:val="28"/>
          <w:lang w:val="uk-UA"/>
        </w:rPr>
        <w:t xml:space="preserve">  Оцінка____________/______/______                         </w:t>
      </w:r>
    </w:p>
    <w:p w:rsidR="00DC3991" w:rsidRPr="00F72CAE" w:rsidRDefault="00DC3991" w:rsidP="00DC3991">
      <w:pPr>
        <w:spacing w:after="0" w:line="240" w:lineRule="auto"/>
        <w:jc w:val="center"/>
        <w:rPr>
          <w:rFonts w:ascii="Times New Roman" w:eastAsia="Calibri" w:hAnsi="Times New Roman" w:cs="Times New Roman"/>
          <w:sz w:val="20"/>
          <w:szCs w:val="20"/>
          <w:lang w:val="uk-UA"/>
        </w:rPr>
      </w:pPr>
      <w:r w:rsidRPr="00A96DBB">
        <w:rPr>
          <w:rFonts w:ascii="Times New Roman" w:eastAsia="Calibri" w:hAnsi="Times New Roman" w:cs="Times New Roman"/>
          <w:color w:val="000000"/>
          <w:sz w:val="28"/>
          <w:szCs w:val="28"/>
          <w:lang w:val="uk-UA"/>
        </w:rPr>
        <w:t xml:space="preserve">                                                                             </w:t>
      </w:r>
      <w:r w:rsidRPr="00A96DBB">
        <w:rPr>
          <w:rFonts w:ascii="Times New Roman" w:eastAsia="Calibri" w:hAnsi="Times New Roman" w:cs="Times New Roman"/>
          <w:sz w:val="20"/>
          <w:szCs w:val="20"/>
          <w:lang w:val="uk-UA"/>
        </w:rPr>
        <w:t>(за національною шкалою/шкалою ЕСТ</w:t>
      </w:r>
      <w:r w:rsidRPr="00A96DBB">
        <w:rPr>
          <w:rFonts w:ascii="Times New Roman" w:eastAsia="Calibri" w:hAnsi="Times New Roman" w:cs="Times New Roman"/>
          <w:sz w:val="20"/>
          <w:szCs w:val="20"/>
        </w:rPr>
        <w:t>S</w:t>
      </w:r>
      <w:r w:rsidRPr="00A96DBB">
        <w:rPr>
          <w:rFonts w:ascii="Times New Roman" w:eastAsia="Calibri" w:hAnsi="Times New Roman" w:cs="Times New Roman"/>
          <w:sz w:val="20"/>
          <w:szCs w:val="20"/>
          <w:lang w:val="uk-UA"/>
        </w:rPr>
        <w:t>/ бали)</w:t>
      </w:r>
    </w:p>
    <w:p w:rsidR="00DC3991" w:rsidRPr="00621CF1" w:rsidRDefault="00DC3991" w:rsidP="00DC3991">
      <w:pPr>
        <w:widowControl w:val="0"/>
        <w:spacing w:after="0" w:line="360" w:lineRule="auto"/>
        <w:ind w:firstLine="709"/>
        <w:jc w:val="both"/>
        <w:rPr>
          <w:rFonts w:ascii="Times New Roman" w:eastAsia="Calibri" w:hAnsi="Times New Roman" w:cs="Times New Roman"/>
          <w:color w:val="000000"/>
          <w:sz w:val="28"/>
          <w:szCs w:val="28"/>
          <w:lang w:val="uk-UA"/>
        </w:rPr>
      </w:pPr>
    </w:p>
    <w:p w:rsidR="00DC3991" w:rsidRPr="00621CF1" w:rsidRDefault="00DC3991" w:rsidP="00DC3991">
      <w:pPr>
        <w:widowControl w:val="0"/>
        <w:spacing w:after="0" w:line="360" w:lineRule="auto"/>
        <w:ind w:firstLine="709"/>
        <w:jc w:val="both"/>
        <w:rPr>
          <w:rFonts w:ascii="Times New Roman" w:eastAsia="Calibri" w:hAnsi="Times New Roman" w:cs="Times New Roman"/>
          <w:color w:val="000000"/>
          <w:sz w:val="28"/>
          <w:szCs w:val="28"/>
          <w:lang w:val="uk-UA"/>
        </w:rPr>
      </w:pPr>
      <w:r w:rsidRPr="00621CF1">
        <w:rPr>
          <w:rFonts w:ascii="Times New Roman" w:eastAsia="Calibri" w:hAnsi="Times New Roman" w:cs="Times New Roman"/>
          <w:color w:val="000000"/>
          <w:sz w:val="28"/>
          <w:szCs w:val="28"/>
          <w:lang w:val="uk-UA"/>
        </w:rPr>
        <w:t>Завідувач кафедри                                 Голова ЕК</w:t>
      </w:r>
    </w:p>
    <w:p w:rsidR="00DC3991" w:rsidRPr="00621CF1" w:rsidRDefault="00DC3991" w:rsidP="00DC3991">
      <w:pPr>
        <w:widowControl w:val="0"/>
        <w:spacing w:after="0" w:line="360" w:lineRule="auto"/>
        <w:ind w:firstLine="709"/>
        <w:jc w:val="both"/>
        <w:rPr>
          <w:rFonts w:ascii="Times New Roman" w:eastAsia="Calibri" w:hAnsi="Times New Roman" w:cs="Times New Roman"/>
          <w:color w:val="000000"/>
          <w:sz w:val="28"/>
          <w:szCs w:val="28"/>
          <w:lang w:val="uk-UA"/>
        </w:rPr>
      </w:pPr>
    </w:p>
    <w:p w:rsidR="00DC3991" w:rsidRPr="00621CF1" w:rsidRDefault="00DC3991" w:rsidP="00DC3991">
      <w:pPr>
        <w:widowControl w:val="0"/>
        <w:spacing w:after="0" w:line="360" w:lineRule="auto"/>
        <w:ind w:firstLine="709"/>
        <w:jc w:val="both"/>
        <w:rPr>
          <w:rFonts w:ascii="Times New Roman" w:eastAsia="Calibri" w:hAnsi="Times New Roman" w:cs="Times New Roman"/>
          <w:color w:val="000000"/>
          <w:sz w:val="28"/>
          <w:szCs w:val="28"/>
          <w:lang w:val="uk-UA"/>
        </w:rPr>
      </w:pPr>
      <w:r w:rsidRPr="00621CF1">
        <w:rPr>
          <w:rFonts w:ascii="Times New Roman" w:eastAsia="Calibri" w:hAnsi="Times New Roman" w:cs="Times New Roman"/>
          <w:color w:val="000000"/>
          <w:sz w:val="28"/>
          <w:szCs w:val="28"/>
          <w:lang w:val="uk-UA"/>
        </w:rPr>
        <w:t>_________  Якубовський С.О.              __________ Якубовський С.О.</w:t>
      </w:r>
    </w:p>
    <w:p w:rsidR="00DC3991" w:rsidRPr="00621CF1" w:rsidRDefault="00DC3991" w:rsidP="00DC3991">
      <w:pPr>
        <w:spacing w:after="0" w:line="240" w:lineRule="auto"/>
        <w:ind w:firstLine="709"/>
        <w:jc w:val="center"/>
        <w:rPr>
          <w:rFonts w:ascii="Times New Roman" w:eastAsia="Calibri" w:hAnsi="Times New Roman" w:cs="Times New Roman"/>
          <w:noProof/>
          <w:sz w:val="28"/>
          <w:szCs w:val="28"/>
          <w:lang w:val="uk-UA" w:eastAsia="ru-RU"/>
        </w:rPr>
      </w:pPr>
    </w:p>
    <w:p w:rsidR="00DC3991" w:rsidRPr="00621CF1" w:rsidRDefault="00DC3991" w:rsidP="00DC3991">
      <w:pPr>
        <w:spacing w:after="0" w:line="240" w:lineRule="auto"/>
        <w:ind w:firstLine="709"/>
        <w:jc w:val="center"/>
        <w:rPr>
          <w:rFonts w:ascii="Times New Roman" w:eastAsia="Calibri" w:hAnsi="Times New Roman" w:cs="Times New Roman"/>
          <w:noProof/>
          <w:sz w:val="28"/>
          <w:szCs w:val="28"/>
          <w:lang w:val="uk-UA" w:eastAsia="ru-RU"/>
        </w:rPr>
      </w:pPr>
    </w:p>
    <w:p w:rsidR="00DC3991" w:rsidRPr="00621CF1" w:rsidRDefault="00DC3991" w:rsidP="00DC3991">
      <w:pPr>
        <w:spacing w:after="0" w:line="240" w:lineRule="auto"/>
        <w:ind w:firstLine="709"/>
        <w:jc w:val="center"/>
        <w:rPr>
          <w:rFonts w:ascii="Times New Roman" w:eastAsia="Calibri" w:hAnsi="Times New Roman" w:cs="Times New Roman"/>
          <w:noProof/>
          <w:sz w:val="28"/>
          <w:szCs w:val="28"/>
          <w:lang w:val="uk-UA" w:eastAsia="ru-RU"/>
        </w:rPr>
      </w:pPr>
    </w:p>
    <w:p w:rsidR="00DC3991" w:rsidRPr="00DC3991" w:rsidRDefault="00DC3991" w:rsidP="00DC3991">
      <w:pPr>
        <w:spacing w:after="0" w:line="240" w:lineRule="auto"/>
        <w:ind w:firstLine="709"/>
        <w:jc w:val="center"/>
        <w:rPr>
          <w:rFonts w:ascii="Times New Roman" w:eastAsia="Calibri" w:hAnsi="Times New Roman" w:cs="Times New Roman"/>
          <w:noProof/>
          <w:sz w:val="28"/>
          <w:szCs w:val="28"/>
          <w:lang w:val="uk-UA" w:eastAsia="ru-RU"/>
        </w:rPr>
      </w:pPr>
      <w:r w:rsidRPr="00621CF1">
        <w:rPr>
          <w:rFonts w:ascii="Times New Roman" w:eastAsia="Calibri" w:hAnsi="Times New Roman" w:cs="Times New Roman"/>
          <w:noProof/>
          <w:sz w:val="28"/>
          <w:szCs w:val="28"/>
          <w:lang w:val="uk-UA" w:eastAsia="ru-RU"/>
        </w:rPr>
        <w:t>Одеса – 20</w:t>
      </w:r>
      <w:r>
        <w:rPr>
          <w:rFonts w:ascii="Times New Roman" w:eastAsia="Calibri" w:hAnsi="Times New Roman" w:cs="Times New Roman"/>
          <w:noProof/>
          <w:sz w:val="28"/>
          <w:szCs w:val="28"/>
          <w:lang w:val="uk-UA" w:eastAsia="ru-RU"/>
        </w:rPr>
        <w:t>24</w:t>
      </w:r>
    </w:p>
    <w:p w:rsidR="00000AF8" w:rsidRPr="008F16A0" w:rsidRDefault="00DC3991" w:rsidP="00DC3991">
      <w:pPr>
        <w:rPr>
          <w:rFonts w:ascii="Times New Roman" w:hAnsi="Times New Roman" w:cs="Times New Roman"/>
          <w:sz w:val="28"/>
          <w:szCs w:val="28"/>
          <w:lang w:val="uk-UA"/>
        </w:rPr>
      </w:pPr>
      <w:r>
        <w:rPr>
          <w:rFonts w:ascii="Times New Roman" w:hAnsi="Times New Roman" w:cs="Times New Roman"/>
          <w:sz w:val="28"/>
          <w:szCs w:val="28"/>
          <w:lang w:val="uk-UA"/>
        </w:rPr>
        <w:br w:type="page"/>
      </w:r>
    </w:p>
    <w:sdt>
      <w:sdtPr>
        <w:rPr>
          <w:rFonts w:ascii="Times New Roman" w:eastAsiaTheme="minorHAnsi" w:hAnsi="Times New Roman" w:cs="Times New Roman"/>
          <w:b/>
          <w:color w:val="auto"/>
          <w:sz w:val="28"/>
          <w:szCs w:val="28"/>
          <w:lang w:val="ru-RU"/>
        </w:rPr>
        <w:id w:val="291556813"/>
        <w:docPartObj>
          <w:docPartGallery w:val="Table of Contents"/>
          <w:docPartUnique/>
        </w:docPartObj>
      </w:sdtPr>
      <w:sdtEndPr>
        <w:rPr>
          <w:bCs/>
        </w:rPr>
      </w:sdtEndPr>
      <w:sdtContent>
        <w:p w:rsidR="00C02C14" w:rsidRPr="00082E09" w:rsidRDefault="00C02C14" w:rsidP="00082E09">
          <w:pPr>
            <w:pStyle w:val="a8"/>
            <w:spacing w:before="0" w:line="360" w:lineRule="auto"/>
            <w:jc w:val="center"/>
            <w:rPr>
              <w:rFonts w:ascii="Times New Roman" w:hAnsi="Times New Roman" w:cs="Times New Roman"/>
              <w:b/>
              <w:color w:val="auto"/>
              <w:sz w:val="28"/>
              <w:szCs w:val="28"/>
              <w:lang w:val="ru-RU"/>
            </w:rPr>
          </w:pPr>
          <w:r w:rsidRPr="00082E09">
            <w:rPr>
              <w:rFonts w:ascii="Times New Roman" w:hAnsi="Times New Roman" w:cs="Times New Roman"/>
              <w:b/>
              <w:color w:val="auto"/>
              <w:sz w:val="28"/>
              <w:szCs w:val="28"/>
              <w:lang w:val="ru-RU"/>
            </w:rPr>
            <w:t>ЗМІСТ</w:t>
          </w:r>
        </w:p>
        <w:p w:rsidR="00C02C14" w:rsidRPr="00082E09" w:rsidRDefault="00C02C14" w:rsidP="00082E09">
          <w:pPr>
            <w:jc w:val="both"/>
            <w:rPr>
              <w:rFonts w:ascii="Times New Roman" w:hAnsi="Times New Roman" w:cs="Times New Roman"/>
              <w:sz w:val="28"/>
              <w:szCs w:val="28"/>
              <w:lang w:val="ru-RU"/>
            </w:rPr>
          </w:pPr>
        </w:p>
        <w:p w:rsidR="00C02C14" w:rsidRPr="00082E09" w:rsidRDefault="00C02C14" w:rsidP="00082E09">
          <w:pPr>
            <w:jc w:val="both"/>
            <w:rPr>
              <w:rFonts w:ascii="Times New Roman" w:hAnsi="Times New Roman" w:cs="Times New Roman"/>
              <w:sz w:val="28"/>
              <w:szCs w:val="28"/>
              <w:lang w:val="ru-RU"/>
            </w:rPr>
          </w:pPr>
        </w:p>
        <w:p w:rsidR="00082E09" w:rsidRPr="00082E09" w:rsidRDefault="00C02C14" w:rsidP="00082E09">
          <w:pPr>
            <w:pStyle w:val="11"/>
            <w:tabs>
              <w:tab w:val="right" w:leader="dot" w:pos="10245"/>
            </w:tabs>
            <w:spacing w:after="0" w:line="360" w:lineRule="auto"/>
            <w:jc w:val="both"/>
            <w:rPr>
              <w:rFonts w:ascii="Times New Roman" w:eastAsiaTheme="minorEastAsia" w:hAnsi="Times New Roman" w:cs="Times New Roman"/>
              <w:noProof/>
              <w:sz w:val="28"/>
              <w:szCs w:val="28"/>
            </w:rPr>
          </w:pPr>
          <w:r w:rsidRPr="00082E09">
            <w:rPr>
              <w:rFonts w:ascii="Times New Roman" w:hAnsi="Times New Roman" w:cs="Times New Roman"/>
              <w:sz w:val="28"/>
              <w:szCs w:val="28"/>
            </w:rPr>
            <w:fldChar w:fldCharType="begin"/>
          </w:r>
          <w:r w:rsidRPr="00082E09">
            <w:rPr>
              <w:rFonts w:ascii="Times New Roman" w:hAnsi="Times New Roman" w:cs="Times New Roman"/>
              <w:sz w:val="28"/>
              <w:szCs w:val="28"/>
            </w:rPr>
            <w:instrText xml:space="preserve"> TOC \o "1-3" \h \z \u </w:instrText>
          </w:r>
          <w:r w:rsidRPr="00082E09">
            <w:rPr>
              <w:rFonts w:ascii="Times New Roman" w:hAnsi="Times New Roman" w:cs="Times New Roman"/>
              <w:sz w:val="28"/>
              <w:szCs w:val="28"/>
            </w:rPr>
            <w:fldChar w:fldCharType="separate"/>
          </w:r>
          <w:hyperlink w:anchor="_Toc168123000" w:history="1">
            <w:r w:rsidR="00082E09" w:rsidRPr="00082E09">
              <w:rPr>
                <w:rStyle w:val="a9"/>
                <w:rFonts w:ascii="Times New Roman" w:hAnsi="Times New Roman" w:cs="Times New Roman"/>
                <w:noProof/>
                <w:color w:val="auto"/>
                <w:sz w:val="28"/>
                <w:szCs w:val="28"/>
                <w:u w:val="none"/>
                <w:lang w:val="uk-UA"/>
              </w:rPr>
              <w:t>ВСТУП</w:t>
            </w:r>
            <w:r w:rsidR="00082E09" w:rsidRPr="00082E09">
              <w:rPr>
                <w:rFonts w:ascii="Times New Roman" w:hAnsi="Times New Roman" w:cs="Times New Roman"/>
                <w:noProof/>
                <w:webHidden/>
                <w:sz w:val="28"/>
                <w:szCs w:val="28"/>
              </w:rPr>
              <w:tab/>
            </w:r>
            <w:r w:rsidR="00082E09" w:rsidRPr="00082E09">
              <w:rPr>
                <w:rFonts w:ascii="Times New Roman" w:hAnsi="Times New Roman" w:cs="Times New Roman"/>
                <w:noProof/>
                <w:webHidden/>
                <w:sz w:val="28"/>
                <w:szCs w:val="28"/>
              </w:rPr>
              <w:fldChar w:fldCharType="begin"/>
            </w:r>
            <w:r w:rsidR="00082E09" w:rsidRPr="00082E09">
              <w:rPr>
                <w:rFonts w:ascii="Times New Roman" w:hAnsi="Times New Roman" w:cs="Times New Roman"/>
                <w:noProof/>
                <w:webHidden/>
                <w:sz w:val="28"/>
                <w:szCs w:val="28"/>
              </w:rPr>
              <w:instrText xml:space="preserve"> PAGEREF _Toc168123000 \h </w:instrText>
            </w:r>
            <w:r w:rsidR="00082E09" w:rsidRPr="00082E09">
              <w:rPr>
                <w:rFonts w:ascii="Times New Roman" w:hAnsi="Times New Roman" w:cs="Times New Roman"/>
                <w:noProof/>
                <w:webHidden/>
                <w:sz w:val="28"/>
                <w:szCs w:val="28"/>
              </w:rPr>
            </w:r>
            <w:r w:rsidR="00082E09" w:rsidRPr="00082E09">
              <w:rPr>
                <w:rFonts w:ascii="Times New Roman" w:hAnsi="Times New Roman" w:cs="Times New Roman"/>
                <w:noProof/>
                <w:webHidden/>
                <w:sz w:val="28"/>
                <w:szCs w:val="28"/>
              </w:rPr>
              <w:fldChar w:fldCharType="separate"/>
            </w:r>
            <w:r w:rsidR="000C1525">
              <w:rPr>
                <w:rFonts w:ascii="Times New Roman" w:hAnsi="Times New Roman" w:cs="Times New Roman"/>
                <w:noProof/>
                <w:webHidden/>
                <w:sz w:val="28"/>
                <w:szCs w:val="28"/>
              </w:rPr>
              <w:t>3</w:t>
            </w:r>
            <w:r w:rsidR="00082E09" w:rsidRPr="00082E09">
              <w:rPr>
                <w:rFonts w:ascii="Times New Roman" w:hAnsi="Times New Roman" w:cs="Times New Roman"/>
                <w:noProof/>
                <w:webHidden/>
                <w:sz w:val="28"/>
                <w:szCs w:val="28"/>
              </w:rPr>
              <w:fldChar w:fldCharType="end"/>
            </w:r>
          </w:hyperlink>
        </w:p>
        <w:p w:rsidR="00082E09" w:rsidRPr="00082E09" w:rsidRDefault="00082E09" w:rsidP="00082E09">
          <w:pPr>
            <w:pStyle w:val="11"/>
            <w:tabs>
              <w:tab w:val="right" w:leader="dot" w:pos="10245"/>
            </w:tabs>
            <w:spacing w:after="0" w:line="360" w:lineRule="auto"/>
            <w:jc w:val="both"/>
            <w:rPr>
              <w:rFonts w:ascii="Times New Roman" w:eastAsiaTheme="minorEastAsia" w:hAnsi="Times New Roman" w:cs="Times New Roman"/>
              <w:noProof/>
              <w:sz w:val="28"/>
              <w:szCs w:val="28"/>
            </w:rPr>
          </w:pPr>
          <w:r w:rsidRPr="00082E09">
            <w:rPr>
              <w:rStyle w:val="a9"/>
              <w:rFonts w:ascii="Times New Roman" w:hAnsi="Times New Roman" w:cs="Times New Roman"/>
              <w:noProof/>
              <w:color w:val="auto"/>
              <w:sz w:val="28"/>
              <w:szCs w:val="28"/>
              <w:u w:val="none"/>
              <w:lang w:val="uk-UA"/>
            </w:rPr>
            <w:t xml:space="preserve">РОЗДІЛ 1. </w:t>
          </w:r>
          <w:hyperlink w:anchor="_Toc168123002" w:history="1">
            <w:r w:rsidRPr="00082E09">
              <w:rPr>
                <w:rStyle w:val="a9"/>
                <w:rFonts w:ascii="Times New Roman" w:hAnsi="Times New Roman" w:cs="Times New Roman"/>
                <w:noProof/>
                <w:color w:val="auto"/>
                <w:sz w:val="28"/>
                <w:szCs w:val="28"/>
                <w:u w:val="none"/>
                <w:lang w:val="uk-UA"/>
              </w:rPr>
              <w:t>ТЕОРЕТИЧНІ ОСНОВИ ДОСЛІДЖЕННЯ РОЗВИТКУ ЗОВНІШНЬОЕКОНОМІЧНИХ ЗВ’ЯЗКІВ ПОРТУГАЛІЇ ТА ГРЕЦІЇ В УМОВАХ НЕВИЗНАЧЕНОСТІ</w:t>
            </w:r>
            <w:r w:rsidRPr="00082E09">
              <w:rPr>
                <w:rFonts w:ascii="Times New Roman" w:hAnsi="Times New Roman" w:cs="Times New Roman"/>
                <w:noProof/>
                <w:webHidden/>
                <w:sz w:val="28"/>
                <w:szCs w:val="28"/>
              </w:rPr>
              <w:tab/>
            </w:r>
            <w:r w:rsidRPr="00082E09">
              <w:rPr>
                <w:rFonts w:ascii="Times New Roman" w:hAnsi="Times New Roman" w:cs="Times New Roman"/>
                <w:noProof/>
                <w:webHidden/>
                <w:sz w:val="28"/>
                <w:szCs w:val="28"/>
              </w:rPr>
              <w:fldChar w:fldCharType="begin"/>
            </w:r>
            <w:r w:rsidRPr="00082E09">
              <w:rPr>
                <w:rFonts w:ascii="Times New Roman" w:hAnsi="Times New Roman" w:cs="Times New Roman"/>
                <w:noProof/>
                <w:webHidden/>
                <w:sz w:val="28"/>
                <w:szCs w:val="28"/>
              </w:rPr>
              <w:instrText xml:space="preserve"> PAGEREF _Toc168123002 \h </w:instrText>
            </w:r>
            <w:r w:rsidRPr="00082E09">
              <w:rPr>
                <w:rFonts w:ascii="Times New Roman" w:hAnsi="Times New Roman" w:cs="Times New Roman"/>
                <w:noProof/>
                <w:webHidden/>
                <w:sz w:val="28"/>
                <w:szCs w:val="28"/>
              </w:rPr>
            </w:r>
            <w:r w:rsidRPr="00082E09">
              <w:rPr>
                <w:rFonts w:ascii="Times New Roman" w:hAnsi="Times New Roman" w:cs="Times New Roman"/>
                <w:noProof/>
                <w:webHidden/>
                <w:sz w:val="28"/>
                <w:szCs w:val="28"/>
              </w:rPr>
              <w:fldChar w:fldCharType="separate"/>
            </w:r>
            <w:r w:rsidR="000C1525">
              <w:rPr>
                <w:rFonts w:ascii="Times New Roman" w:hAnsi="Times New Roman" w:cs="Times New Roman"/>
                <w:noProof/>
                <w:webHidden/>
                <w:sz w:val="28"/>
                <w:szCs w:val="28"/>
              </w:rPr>
              <w:t>5</w:t>
            </w:r>
            <w:r w:rsidRPr="00082E09">
              <w:rPr>
                <w:rFonts w:ascii="Times New Roman" w:hAnsi="Times New Roman" w:cs="Times New Roman"/>
                <w:noProof/>
                <w:webHidden/>
                <w:sz w:val="28"/>
                <w:szCs w:val="28"/>
              </w:rPr>
              <w:fldChar w:fldCharType="end"/>
            </w:r>
          </w:hyperlink>
        </w:p>
        <w:p w:rsidR="00082E09" w:rsidRPr="00082E09" w:rsidRDefault="00EC0906" w:rsidP="00082E09">
          <w:pPr>
            <w:pStyle w:val="21"/>
            <w:tabs>
              <w:tab w:val="right" w:leader="dot" w:pos="10245"/>
            </w:tabs>
            <w:spacing w:after="0" w:line="360" w:lineRule="auto"/>
            <w:ind w:left="0"/>
            <w:jc w:val="both"/>
            <w:rPr>
              <w:rFonts w:ascii="Times New Roman" w:eastAsiaTheme="minorEastAsia" w:hAnsi="Times New Roman" w:cs="Times New Roman"/>
              <w:noProof/>
              <w:sz w:val="28"/>
              <w:szCs w:val="28"/>
            </w:rPr>
          </w:pPr>
          <w:hyperlink w:anchor="_Toc168123003" w:history="1">
            <w:r w:rsidR="00082E09" w:rsidRPr="00082E09">
              <w:rPr>
                <w:rStyle w:val="a9"/>
                <w:rFonts w:ascii="Times New Roman" w:hAnsi="Times New Roman" w:cs="Times New Roman"/>
                <w:noProof/>
                <w:color w:val="auto"/>
                <w:sz w:val="28"/>
                <w:szCs w:val="28"/>
                <w:u w:val="none"/>
                <w:lang w:val="uk-UA"/>
              </w:rPr>
              <w:t>1.1. Особливості сучасних теоретичних підходів щодо аналізу розвитку зовнішньоекономічних зв’язків країн в умовах невизначеності</w:t>
            </w:r>
            <w:r w:rsidR="00082E09" w:rsidRPr="00082E09">
              <w:rPr>
                <w:rFonts w:ascii="Times New Roman" w:hAnsi="Times New Roman" w:cs="Times New Roman"/>
                <w:noProof/>
                <w:webHidden/>
                <w:sz w:val="28"/>
                <w:szCs w:val="28"/>
              </w:rPr>
              <w:tab/>
            </w:r>
            <w:r w:rsidR="00082E09" w:rsidRPr="00082E09">
              <w:rPr>
                <w:rFonts w:ascii="Times New Roman" w:hAnsi="Times New Roman" w:cs="Times New Roman"/>
                <w:noProof/>
                <w:webHidden/>
                <w:sz w:val="28"/>
                <w:szCs w:val="28"/>
              </w:rPr>
              <w:fldChar w:fldCharType="begin"/>
            </w:r>
            <w:r w:rsidR="00082E09" w:rsidRPr="00082E09">
              <w:rPr>
                <w:rFonts w:ascii="Times New Roman" w:hAnsi="Times New Roman" w:cs="Times New Roman"/>
                <w:noProof/>
                <w:webHidden/>
                <w:sz w:val="28"/>
                <w:szCs w:val="28"/>
              </w:rPr>
              <w:instrText xml:space="preserve"> PAGEREF _Toc168123003 \h </w:instrText>
            </w:r>
            <w:r w:rsidR="00082E09" w:rsidRPr="00082E09">
              <w:rPr>
                <w:rFonts w:ascii="Times New Roman" w:hAnsi="Times New Roman" w:cs="Times New Roman"/>
                <w:noProof/>
                <w:webHidden/>
                <w:sz w:val="28"/>
                <w:szCs w:val="28"/>
              </w:rPr>
            </w:r>
            <w:r w:rsidR="00082E09" w:rsidRPr="00082E09">
              <w:rPr>
                <w:rFonts w:ascii="Times New Roman" w:hAnsi="Times New Roman" w:cs="Times New Roman"/>
                <w:noProof/>
                <w:webHidden/>
                <w:sz w:val="28"/>
                <w:szCs w:val="28"/>
              </w:rPr>
              <w:fldChar w:fldCharType="separate"/>
            </w:r>
            <w:r w:rsidR="000C1525">
              <w:rPr>
                <w:rFonts w:ascii="Times New Roman" w:hAnsi="Times New Roman" w:cs="Times New Roman"/>
                <w:noProof/>
                <w:webHidden/>
                <w:sz w:val="28"/>
                <w:szCs w:val="28"/>
              </w:rPr>
              <w:t>5</w:t>
            </w:r>
            <w:r w:rsidR="00082E09" w:rsidRPr="00082E09">
              <w:rPr>
                <w:rFonts w:ascii="Times New Roman" w:hAnsi="Times New Roman" w:cs="Times New Roman"/>
                <w:noProof/>
                <w:webHidden/>
                <w:sz w:val="28"/>
                <w:szCs w:val="28"/>
              </w:rPr>
              <w:fldChar w:fldCharType="end"/>
            </w:r>
          </w:hyperlink>
        </w:p>
        <w:p w:rsidR="00082E09" w:rsidRPr="00082E09" w:rsidRDefault="00EC0906" w:rsidP="00082E09">
          <w:pPr>
            <w:pStyle w:val="21"/>
            <w:tabs>
              <w:tab w:val="right" w:leader="dot" w:pos="10245"/>
            </w:tabs>
            <w:spacing w:after="0" w:line="360" w:lineRule="auto"/>
            <w:ind w:left="0"/>
            <w:jc w:val="both"/>
            <w:rPr>
              <w:rFonts w:ascii="Times New Roman" w:eastAsiaTheme="minorEastAsia" w:hAnsi="Times New Roman" w:cs="Times New Roman"/>
              <w:noProof/>
              <w:sz w:val="28"/>
              <w:szCs w:val="28"/>
            </w:rPr>
          </w:pPr>
          <w:hyperlink w:anchor="_Toc168123004" w:history="1">
            <w:r w:rsidR="00082E09" w:rsidRPr="00082E09">
              <w:rPr>
                <w:rStyle w:val="a9"/>
                <w:rFonts w:ascii="Times New Roman" w:hAnsi="Times New Roman" w:cs="Times New Roman"/>
                <w:noProof/>
                <w:color w:val="auto"/>
                <w:sz w:val="28"/>
                <w:szCs w:val="28"/>
                <w:u w:val="none"/>
                <w:lang w:val="uk-UA"/>
              </w:rPr>
              <w:t>1.2. Аналіз теоретичних досліджень розвитку зовнішньоекономічних зв’язків Португалії та Греції в умовах невизначеності</w:t>
            </w:r>
            <w:r w:rsidR="00082E09" w:rsidRPr="00082E09">
              <w:rPr>
                <w:rFonts w:ascii="Times New Roman" w:hAnsi="Times New Roman" w:cs="Times New Roman"/>
                <w:noProof/>
                <w:webHidden/>
                <w:sz w:val="28"/>
                <w:szCs w:val="28"/>
              </w:rPr>
              <w:tab/>
            </w:r>
            <w:r w:rsidR="00082E09" w:rsidRPr="00082E09">
              <w:rPr>
                <w:rFonts w:ascii="Times New Roman" w:hAnsi="Times New Roman" w:cs="Times New Roman"/>
                <w:noProof/>
                <w:webHidden/>
                <w:sz w:val="28"/>
                <w:szCs w:val="28"/>
              </w:rPr>
              <w:fldChar w:fldCharType="begin"/>
            </w:r>
            <w:r w:rsidR="00082E09" w:rsidRPr="00082E09">
              <w:rPr>
                <w:rFonts w:ascii="Times New Roman" w:hAnsi="Times New Roman" w:cs="Times New Roman"/>
                <w:noProof/>
                <w:webHidden/>
                <w:sz w:val="28"/>
                <w:szCs w:val="28"/>
              </w:rPr>
              <w:instrText xml:space="preserve"> PAGEREF _Toc168123004 \h </w:instrText>
            </w:r>
            <w:r w:rsidR="00082E09" w:rsidRPr="00082E09">
              <w:rPr>
                <w:rFonts w:ascii="Times New Roman" w:hAnsi="Times New Roman" w:cs="Times New Roman"/>
                <w:noProof/>
                <w:webHidden/>
                <w:sz w:val="28"/>
                <w:szCs w:val="28"/>
              </w:rPr>
            </w:r>
            <w:r w:rsidR="00082E09" w:rsidRPr="00082E09">
              <w:rPr>
                <w:rFonts w:ascii="Times New Roman" w:hAnsi="Times New Roman" w:cs="Times New Roman"/>
                <w:noProof/>
                <w:webHidden/>
                <w:sz w:val="28"/>
                <w:szCs w:val="28"/>
              </w:rPr>
              <w:fldChar w:fldCharType="separate"/>
            </w:r>
            <w:r w:rsidR="000C1525">
              <w:rPr>
                <w:rFonts w:ascii="Times New Roman" w:hAnsi="Times New Roman" w:cs="Times New Roman"/>
                <w:noProof/>
                <w:webHidden/>
                <w:sz w:val="28"/>
                <w:szCs w:val="28"/>
              </w:rPr>
              <w:t>12</w:t>
            </w:r>
            <w:r w:rsidR="00082E09" w:rsidRPr="00082E09">
              <w:rPr>
                <w:rFonts w:ascii="Times New Roman" w:hAnsi="Times New Roman" w:cs="Times New Roman"/>
                <w:noProof/>
                <w:webHidden/>
                <w:sz w:val="28"/>
                <w:szCs w:val="28"/>
              </w:rPr>
              <w:fldChar w:fldCharType="end"/>
            </w:r>
          </w:hyperlink>
        </w:p>
        <w:p w:rsidR="00082E09" w:rsidRPr="00082E09" w:rsidRDefault="00082E09" w:rsidP="00082E09">
          <w:pPr>
            <w:pStyle w:val="11"/>
            <w:tabs>
              <w:tab w:val="right" w:leader="dot" w:pos="10245"/>
            </w:tabs>
            <w:spacing w:after="0" w:line="360" w:lineRule="auto"/>
            <w:jc w:val="both"/>
            <w:rPr>
              <w:rFonts w:ascii="Times New Roman" w:eastAsiaTheme="minorEastAsia" w:hAnsi="Times New Roman" w:cs="Times New Roman"/>
              <w:noProof/>
              <w:sz w:val="28"/>
              <w:szCs w:val="28"/>
            </w:rPr>
          </w:pPr>
          <w:r w:rsidRPr="00082E09">
            <w:rPr>
              <w:rStyle w:val="a9"/>
              <w:rFonts w:ascii="Times New Roman" w:hAnsi="Times New Roman" w:cs="Times New Roman"/>
              <w:noProof/>
              <w:color w:val="auto"/>
              <w:sz w:val="28"/>
              <w:szCs w:val="28"/>
              <w:u w:val="none"/>
              <w:lang w:val="uk-UA"/>
            </w:rPr>
            <w:t xml:space="preserve">РОЗДІЛ 2. </w:t>
          </w:r>
          <w:hyperlink w:anchor="_Toc168123006" w:history="1">
            <w:r w:rsidRPr="00082E09">
              <w:rPr>
                <w:rStyle w:val="a9"/>
                <w:rFonts w:ascii="Times New Roman" w:hAnsi="Times New Roman" w:cs="Times New Roman"/>
                <w:noProof/>
                <w:color w:val="auto"/>
                <w:sz w:val="28"/>
                <w:szCs w:val="28"/>
                <w:u w:val="none"/>
                <w:lang w:val="uk-UA"/>
              </w:rPr>
              <w:t>АНАЛІЗ ДИНАМІКИ ТА СТРУКТУРИ ЗОВНІШНЬОЕКОНОМІЧНИХ ЗВ’ЯЗКІВ ПОРТУГАЛІЇ ТА ГРЕЦІЇ В УМОВАХ НЕВИЗНАЧЕНОСТІ</w:t>
            </w:r>
            <w:r w:rsidRPr="00082E09">
              <w:rPr>
                <w:rFonts w:ascii="Times New Roman" w:hAnsi="Times New Roman" w:cs="Times New Roman"/>
                <w:noProof/>
                <w:webHidden/>
                <w:sz w:val="28"/>
                <w:szCs w:val="28"/>
              </w:rPr>
              <w:tab/>
            </w:r>
            <w:r w:rsidRPr="00082E09">
              <w:rPr>
                <w:rFonts w:ascii="Times New Roman" w:hAnsi="Times New Roman" w:cs="Times New Roman"/>
                <w:noProof/>
                <w:webHidden/>
                <w:sz w:val="28"/>
                <w:szCs w:val="28"/>
              </w:rPr>
              <w:fldChar w:fldCharType="begin"/>
            </w:r>
            <w:r w:rsidRPr="00082E09">
              <w:rPr>
                <w:rFonts w:ascii="Times New Roman" w:hAnsi="Times New Roman" w:cs="Times New Roman"/>
                <w:noProof/>
                <w:webHidden/>
                <w:sz w:val="28"/>
                <w:szCs w:val="28"/>
              </w:rPr>
              <w:instrText xml:space="preserve"> PAGEREF _Toc168123006 \h </w:instrText>
            </w:r>
            <w:r w:rsidRPr="00082E09">
              <w:rPr>
                <w:rFonts w:ascii="Times New Roman" w:hAnsi="Times New Roman" w:cs="Times New Roman"/>
                <w:noProof/>
                <w:webHidden/>
                <w:sz w:val="28"/>
                <w:szCs w:val="28"/>
              </w:rPr>
            </w:r>
            <w:r w:rsidRPr="00082E09">
              <w:rPr>
                <w:rFonts w:ascii="Times New Roman" w:hAnsi="Times New Roman" w:cs="Times New Roman"/>
                <w:noProof/>
                <w:webHidden/>
                <w:sz w:val="28"/>
                <w:szCs w:val="28"/>
              </w:rPr>
              <w:fldChar w:fldCharType="separate"/>
            </w:r>
            <w:r w:rsidR="000C1525">
              <w:rPr>
                <w:rFonts w:ascii="Times New Roman" w:hAnsi="Times New Roman" w:cs="Times New Roman"/>
                <w:noProof/>
                <w:webHidden/>
                <w:sz w:val="28"/>
                <w:szCs w:val="28"/>
              </w:rPr>
              <w:t>22</w:t>
            </w:r>
            <w:r w:rsidRPr="00082E09">
              <w:rPr>
                <w:rFonts w:ascii="Times New Roman" w:hAnsi="Times New Roman" w:cs="Times New Roman"/>
                <w:noProof/>
                <w:webHidden/>
                <w:sz w:val="28"/>
                <w:szCs w:val="28"/>
              </w:rPr>
              <w:fldChar w:fldCharType="end"/>
            </w:r>
          </w:hyperlink>
        </w:p>
        <w:p w:rsidR="00082E09" w:rsidRPr="00082E09" w:rsidRDefault="00EC0906" w:rsidP="00082E09">
          <w:pPr>
            <w:pStyle w:val="21"/>
            <w:tabs>
              <w:tab w:val="right" w:leader="dot" w:pos="10245"/>
            </w:tabs>
            <w:spacing w:after="0" w:line="360" w:lineRule="auto"/>
            <w:ind w:left="0"/>
            <w:jc w:val="both"/>
            <w:rPr>
              <w:rFonts w:ascii="Times New Roman" w:eastAsiaTheme="minorEastAsia" w:hAnsi="Times New Roman" w:cs="Times New Roman"/>
              <w:noProof/>
              <w:sz w:val="28"/>
              <w:szCs w:val="28"/>
            </w:rPr>
          </w:pPr>
          <w:hyperlink w:anchor="_Toc168123007" w:history="1">
            <w:r w:rsidR="00082E09" w:rsidRPr="00082E09">
              <w:rPr>
                <w:rStyle w:val="a9"/>
                <w:rFonts w:ascii="Times New Roman" w:hAnsi="Times New Roman" w:cs="Times New Roman"/>
                <w:noProof/>
                <w:color w:val="auto"/>
                <w:sz w:val="28"/>
                <w:szCs w:val="28"/>
                <w:u w:val="none"/>
                <w:lang w:val="uk-UA"/>
              </w:rPr>
              <w:t>2.1. Порівняльний аналіз зовнішньої торгівлі Португалії та Греції</w:t>
            </w:r>
            <w:r w:rsidR="00082E09" w:rsidRPr="00082E09">
              <w:rPr>
                <w:rFonts w:ascii="Times New Roman" w:hAnsi="Times New Roman" w:cs="Times New Roman"/>
                <w:noProof/>
                <w:webHidden/>
                <w:sz w:val="28"/>
                <w:szCs w:val="28"/>
              </w:rPr>
              <w:tab/>
            </w:r>
            <w:r w:rsidR="00082E09" w:rsidRPr="00082E09">
              <w:rPr>
                <w:rFonts w:ascii="Times New Roman" w:hAnsi="Times New Roman" w:cs="Times New Roman"/>
                <w:noProof/>
                <w:webHidden/>
                <w:sz w:val="28"/>
                <w:szCs w:val="28"/>
              </w:rPr>
              <w:fldChar w:fldCharType="begin"/>
            </w:r>
            <w:r w:rsidR="00082E09" w:rsidRPr="00082E09">
              <w:rPr>
                <w:rFonts w:ascii="Times New Roman" w:hAnsi="Times New Roman" w:cs="Times New Roman"/>
                <w:noProof/>
                <w:webHidden/>
                <w:sz w:val="28"/>
                <w:szCs w:val="28"/>
              </w:rPr>
              <w:instrText xml:space="preserve"> PAGEREF _Toc168123007 \h </w:instrText>
            </w:r>
            <w:r w:rsidR="00082E09" w:rsidRPr="00082E09">
              <w:rPr>
                <w:rFonts w:ascii="Times New Roman" w:hAnsi="Times New Roman" w:cs="Times New Roman"/>
                <w:noProof/>
                <w:webHidden/>
                <w:sz w:val="28"/>
                <w:szCs w:val="28"/>
              </w:rPr>
            </w:r>
            <w:r w:rsidR="00082E09" w:rsidRPr="00082E09">
              <w:rPr>
                <w:rFonts w:ascii="Times New Roman" w:hAnsi="Times New Roman" w:cs="Times New Roman"/>
                <w:noProof/>
                <w:webHidden/>
                <w:sz w:val="28"/>
                <w:szCs w:val="28"/>
              </w:rPr>
              <w:fldChar w:fldCharType="separate"/>
            </w:r>
            <w:r w:rsidR="000C1525">
              <w:rPr>
                <w:rFonts w:ascii="Times New Roman" w:hAnsi="Times New Roman" w:cs="Times New Roman"/>
                <w:noProof/>
                <w:webHidden/>
                <w:sz w:val="28"/>
                <w:szCs w:val="28"/>
              </w:rPr>
              <w:t>22</w:t>
            </w:r>
            <w:r w:rsidR="00082E09" w:rsidRPr="00082E09">
              <w:rPr>
                <w:rFonts w:ascii="Times New Roman" w:hAnsi="Times New Roman" w:cs="Times New Roman"/>
                <w:noProof/>
                <w:webHidden/>
                <w:sz w:val="28"/>
                <w:szCs w:val="28"/>
              </w:rPr>
              <w:fldChar w:fldCharType="end"/>
            </w:r>
          </w:hyperlink>
        </w:p>
        <w:p w:rsidR="00082E09" w:rsidRPr="00082E09" w:rsidRDefault="00EC0906" w:rsidP="00082E09">
          <w:pPr>
            <w:pStyle w:val="21"/>
            <w:tabs>
              <w:tab w:val="right" w:leader="dot" w:pos="10245"/>
            </w:tabs>
            <w:spacing w:after="0" w:line="360" w:lineRule="auto"/>
            <w:ind w:left="0"/>
            <w:jc w:val="both"/>
            <w:rPr>
              <w:rFonts w:ascii="Times New Roman" w:eastAsiaTheme="minorEastAsia" w:hAnsi="Times New Roman" w:cs="Times New Roman"/>
              <w:noProof/>
              <w:sz w:val="28"/>
              <w:szCs w:val="28"/>
            </w:rPr>
          </w:pPr>
          <w:hyperlink w:anchor="_Toc168123008" w:history="1">
            <w:r w:rsidR="00082E09" w:rsidRPr="00082E09">
              <w:rPr>
                <w:rStyle w:val="a9"/>
                <w:rFonts w:ascii="Times New Roman" w:hAnsi="Times New Roman" w:cs="Times New Roman"/>
                <w:noProof/>
                <w:color w:val="auto"/>
                <w:sz w:val="28"/>
                <w:szCs w:val="28"/>
                <w:u w:val="none"/>
                <w:lang w:val="uk-UA"/>
              </w:rPr>
              <w:t>2.2. Аналіз структури міжнародних інвестиційних позицій та динаміки зовнішніх боргів Португалії та Греція</w:t>
            </w:r>
            <w:r w:rsidR="00082E09" w:rsidRPr="00082E09">
              <w:rPr>
                <w:rFonts w:ascii="Times New Roman" w:hAnsi="Times New Roman" w:cs="Times New Roman"/>
                <w:noProof/>
                <w:webHidden/>
                <w:sz w:val="28"/>
                <w:szCs w:val="28"/>
              </w:rPr>
              <w:tab/>
            </w:r>
            <w:r w:rsidR="00082E09" w:rsidRPr="00082E09">
              <w:rPr>
                <w:rFonts w:ascii="Times New Roman" w:hAnsi="Times New Roman" w:cs="Times New Roman"/>
                <w:noProof/>
                <w:webHidden/>
                <w:sz w:val="28"/>
                <w:szCs w:val="28"/>
              </w:rPr>
              <w:fldChar w:fldCharType="begin"/>
            </w:r>
            <w:r w:rsidR="00082E09" w:rsidRPr="00082E09">
              <w:rPr>
                <w:rFonts w:ascii="Times New Roman" w:hAnsi="Times New Roman" w:cs="Times New Roman"/>
                <w:noProof/>
                <w:webHidden/>
                <w:sz w:val="28"/>
                <w:szCs w:val="28"/>
              </w:rPr>
              <w:instrText xml:space="preserve"> PAGEREF _Toc168123008 \h </w:instrText>
            </w:r>
            <w:r w:rsidR="00082E09" w:rsidRPr="00082E09">
              <w:rPr>
                <w:rFonts w:ascii="Times New Roman" w:hAnsi="Times New Roman" w:cs="Times New Roman"/>
                <w:noProof/>
                <w:webHidden/>
                <w:sz w:val="28"/>
                <w:szCs w:val="28"/>
              </w:rPr>
            </w:r>
            <w:r w:rsidR="00082E09" w:rsidRPr="00082E09">
              <w:rPr>
                <w:rFonts w:ascii="Times New Roman" w:hAnsi="Times New Roman" w:cs="Times New Roman"/>
                <w:noProof/>
                <w:webHidden/>
                <w:sz w:val="28"/>
                <w:szCs w:val="28"/>
              </w:rPr>
              <w:fldChar w:fldCharType="separate"/>
            </w:r>
            <w:r w:rsidR="000C1525">
              <w:rPr>
                <w:rFonts w:ascii="Times New Roman" w:hAnsi="Times New Roman" w:cs="Times New Roman"/>
                <w:noProof/>
                <w:webHidden/>
                <w:sz w:val="28"/>
                <w:szCs w:val="28"/>
              </w:rPr>
              <w:t>31</w:t>
            </w:r>
            <w:r w:rsidR="00082E09" w:rsidRPr="00082E09">
              <w:rPr>
                <w:rFonts w:ascii="Times New Roman" w:hAnsi="Times New Roman" w:cs="Times New Roman"/>
                <w:noProof/>
                <w:webHidden/>
                <w:sz w:val="28"/>
                <w:szCs w:val="28"/>
              </w:rPr>
              <w:fldChar w:fldCharType="end"/>
            </w:r>
          </w:hyperlink>
        </w:p>
        <w:p w:rsidR="00082E09" w:rsidRPr="00082E09" w:rsidRDefault="00EC0906" w:rsidP="00082E09">
          <w:pPr>
            <w:pStyle w:val="21"/>
            <w:tabs>
              <w:tab w:val="right" w:leader="dot" w:pos="10245"/>
            </w:tabs>
            <w:spacing w:after="0" w:line="360" w:lineRule="auto"/>
            <w:ind w:left="0"/>
            <w:jc w:val="both"/>
            <w:rPr>
              <w:rFonts w:ascii="Times New Roman" w:eastAsiaTheme="minorEastAsia" w:hAnsi="Times New Roman" w:cs="Times New Roman"/>
              <w:noProof/>
              <w:sz w:val="28"/>
              <w:szCs w:val="28"/>
            </w:rPr>
          </w:pPr>
          <w:hyperlink w:anchor="_Toc168123009" w:history="1">
            <w:r w:rsidR="00082E09" w:rsidRPr="00082E09">
              <w:rPr>
                <w:rStyle w:val="a9"/>
                <w:rFonts w:ascii="Times New Roman" w:hAnsi="Times New Roman" w:cs="Times New Roman"/>
                <w:noProof/>
                <w:color w:val="auto"/>
                <w:sz w:val="28"/>
                <w:szCs w:val="28"/>
                <w:u w:val="none"/>
                <w:lang w:val="uk-UA"/>
              </w:rPr>
              <w:t>2.3. Дослідження взаємозалежності зовнішньоекономічних показників Португалії та Греції</w:t>
            </w:r>
            <w:r w:rsidR="00082E09" w:rsidRPr="00082E09">
              <w:rPr>
                <w:rFonts w:ascii="Times New Roman" w:hAnsi="Times New Roman" w:cs="Times New Roman"/>
                <w:noProof/>
                <w:webHidden/>
                <w:sz w:val="28"/>
                <w:szCs w:val="28"/>
              </w:rPr>
              <w:tab/>
            </w:r>
            <w:r w:rsidR="00082E09" w:rsidRPr="00082E09">
              <w:rPr>
                <w:rFonts w:ascii="Times New Roman" w:hAnsi="Times New Roman" w:cs="Times New Roman"/>
                <w:noProof/>
                <w:webHidden/>
                <w:sz w:val="28"/>
                <w:szCs w:val="28"/>
              </w:rPr>
              <w:fldChar w:fldCharType="begin"/>
            </w:r>
            <w:r w:rsidR="00082E09" w:rsidRPr="00082E09">
              <w:rPr>
                <w:rFonts w:ascii="Times New Roman" w:hAnsi="Times New Roman" w:cs="Times New Roman"/>
                <w:noProof/>
                <w:webHidden/>
                <w:sz w:val="28"/>
                <w:szCs w:val="28"/>
              </w:rPr>
              <w:instrText xml:space="preserve"> PAGEREF _Toc168123009 \h </w:instrText>
            </w:r>
            <w:r w:rsidR="00082E09" w:rsidRPr="00082E09">
              <w:rPr>
                <w:rFonts w:ascii="Times New Roman" w:hAnsi="Times New Roman" w:cs="Times New Roman"/>
                <w:noProof/>
                <w:webHidden/>
                <w:sz w:val="28"/>
                <w:szCs w:val="28"/>
              </w:rPr>
            </w:r>
            <w:r w:rsidR="00082E09" w:rsidRPr="00082E09">
              <w:rPr>
                <w:rFonts w:ascii="Times New Roman" w:hAnsi="Times New Roman" w:cs="Times New Roman"/>
                <w:noProof/>
                <w:webHidden/>
                <w:sz w:val="28"/>
                <w:szCs w:val="28"/>
              </w:rPr>
              <w:fldChar w:fldCharType="separate"/>
            </w:r>
            <w:r w:rsidR="000C1525">
              <w:rPr>
                <w:rFonts w:ascii="Times New Roman" w:hAnsi="Times New Roman" w:cs="Times New Roman"/>
                <w:noProof/>
                <w:webHidden/>
                <w:sz w:val="28"/>
                <w:szCs w:val="28"/>
              </w:rPr>
              <w:t>40</w:t>
            </w:r>
            <w:r w:rsidR="00082E09" w:rsidRPr="00082E09">
              <w:rPr>
                <w:rFonts w:ascii="Times New Roman" w:hAnsi="Times New Roman" w:cs="Times New Roman"/>
                <w:noProof/>
                <w:webHidden/>
                <w:sz w:val="28"/>
                <w:szCs w:val="28"/>
              </w:rPr>
              <w:fldChar w:fldCharType="end"/>
            </w:r>
          </w:hyperlink>
        </w:p>
        <w:p w:rsidR="00082E09" w:rsidRPr="00082E09" w:rsidRDefault="00082E09" w:rsidP="00082E09">
          <w:pPr>
            <w:pStyle w:val="11"/>
            <w:tabs>
              <w:tab w:val="right" w:leader="dot" w:pos="10245"/>
            </w:tabs>
            <w:spacing w:after="0" w:line="360" w:lineRule="auto"/>
            <w:jc w:val="both"/>
            <w:rPr>
              <w:rFonts w:ascii="Times New Roman" w:eastAsiaTheme="minorEastAsia" w:hAnsi="Times New Roman" w:cs="Times New Roman"/>
              <w:noProof/>
              <w:sz w:val="28"/>
              <w:szCs w:val="28"/>
            </w:rPr>
          </w:pPr>
          <w:r w:rsidRPr="00082E09">
            <w:rPr>
              <w:rStyle w:val="a9"/>
              <w:rFonts w:ascii="Times New Roman" w:hAnsi="Times New Roman" w:cs="Times New Roman"/>
              <w:noProof/>
              <w:color w:val="auto"/>
              <w:sz w:val="28"/>
              <w:szCs w:val="28"/>
              <w:u w:val="none"/>
              <w:lang w:val="uk-UA"/>
            </w:rPr>
            <w:t xml:space="preserve">РОЗДІЛ 3. </w:t>
          </w:r>
          <w:hyperlink w:anchor="_Toc168123011" w:history="1">
            <w:r w:rsidRPr="00082E09">
              <w:rPr>
                <w:rStyle w:val="a9"/>
                <w:rFonts w:ascii="Times New Roman" w:hAnsi="Times New Roman" w:cs="Times New Roman"/>
                <w:noProof/>
                <w:color w:val="auto"/>
                <w:sz w:val="28"/>
                <w:szCs w:val="28"/>
                <w:u w:val="none"/>
                <w:lang w:val="uk-UA"/>
              </w:rPr>
              <w:t>ОСОБЛИВОСТІ  ЗОВНІШНЬОЕКОНОМІЧНИХ ЗВ’ЯЗКІВ ПОРТУГАЛІЇ ТА ГРЕЦІЇ З УКРАЇНОЮ</w:t>
            </w:r>
            <w:r w:rsidRPr="00082E09">
              <w:rPr>
                <w:rFonts w:ascii="Times New Roman" w:hAnsi="Times New Roman" w:cs="Times New Roman"/>
                <w:noProof/>
                <w:webHidden/>
                <w:sz w:val="28"/>
                <w:szCs w:val="28"/>
              </w:rPr>
              <w:tab/>
            </w:r>
            <w:r w:rsidRPr="00082E09">
              <w:rPr>
                <w:rFonts w:ascii="Times New Roman" w:hAnsi="Times New Roman" w:cs="Times New Roman"/>
                <w:noProof/>
                <w:webHidden/>
                <w:sz w:val="28"/>
                <w:szCs w:val="28"/>
              </w:rPr>
              <w:fldChar w:fldCharType="begin"/>
            </w:r>
            <w:r w:rsidRPr="00082E09">
              <w:rPr>
                <w:rFonts w:ascii="Times New Roman" w:hAnsi="Times New Roman" w:cs="Times New Roman"/>
                <w:noProof/>
                <w:webHidden/>
                <w:sz w:val="28"/>
                <w:szCs w:val="28"/>
              </w:rPr>
              <w:instrText xml:space="preserve"> PAGEREF _Toc168123011 \h </w:instrText>
            </w:r>
            <w:r w:rsidRPr="00082E09">
              <w:rPr>
                <w:rFonts w:ascii="Times New Roman" w:hAnsi="Times New Roman" w:cs="Times New Roman"/>
                <w:noProof/>
                <w:webHidden/>
                <w:sz w:val="28"/>
                <w:szCs w:val="28"/>
              </w:rPr>
            </w:r>
            <w:r w:rsidRPr="00082E09">
              <w:rPr>
                <w:rFonts w:ascii="Times New Roman" w:hAnsi="Times New Roman" w:cs="Times New Roman"/>
                <w:noProof/>
                <w:webHidden/>
                <w:sz w:val="28"/>
                <w:szCs w:val="28"/>
              </w:rPr>
              <w:fldChar w:fldCharType="separate"/>
            </w:r>
            <w:r w:rsidR="000C1525">
              <w:rPr>
                <w:rFonts w:ascii="Times New Roman" w:hAnsi="Times New Roman" w:cs="Times New Roman"/>
                <w:noProof/>
                <w:webHidden/>
                <w:sz w:val="28"/>
                <w:szCs w:val="28"/>
              </w:rPr>
              <w:t>44</w:t>
            </w:r>
            <w:r w:rsidRPr="00082E09">
              <w:rPr>
                <w:rFonts w:ascii="Times New Roman" w:hAnsi="Times New Roman" w:cs="Times New Roman"/>
                <w:noProof/>
                <w:webHidden/>
                <w:sz w:val="28"/>
                <w:szCs w:val="28"/>
              </w:rPr>
              <w:fldChar w:fldCharType="end"/>
            </w:r>
          </w:hyperlink>
        </w:p>
        <w:p w:rsidR="00082E09" w:rsidRPr="00082E09" w:rsidRDefault="00EC0906" w:rsidP="00082E09">
          <w:pPr>
            <w:pStyle w:val="11"/>
            <w:tabs>
              <w:tab w:val="right" w:leader="dot" w:pos="10245"/>
            </w:tabs>
            <w:spacing w:after="0" w:line="360" w:lineRule="auto"/>
            <w:jc w:val="both"/>
            <w:rPr>
              <w:rFonts w:ascii="Times New Roman" w:eastAsiaTheme="minorEastAsia" w:hAnsi="Times New Roman" w:cs="Times New Roman"/>
              <w:noProof/>
              <w:sz w:val="28"/>
              <w:szCs w:val="28"/>
            </w:rPr>
          </w:pPr>
          <w:hyperlink w:anchor="_Toc168123012" w:history="1">
            <w:r w:rsidR="00082E09" w:rsidRPr="00082E09">
              <w:rPr>
                <w:rStyle w:val="a9"/>
                <w:rFonts w:ascii="Times New Roman" w:hAnsi="Times New Roman" w:cs="Times New Roman"/>
                <w:noProof/>
                <w:color w:val="auto"/>
                <w:sz w:val="28"/>
                <w:szCs w:val="28"/>
                <w:u w:val="none"/>
                <w:lang w:val="uk-UA"/>
              </w:rPr>
              <w:t>ВИСНОВКИ</w:t>
            </w:r>
            <w:r w:rsidR="00082E09" w:rsidRPr="00082E09">
              <w:rPr>
                <w:rFonts w:ascii="Times New Roman" w:hAnsi="Times New Roman" w:cs="Times New Roman"/>
                <w:noProof/>
                <w:webHidden/>
                <w:sz w:val="28"/>
                <w:szCs w:val="28"/>
              </w:rPr>
              <w:tab/>
            </w:r>
            <w:r w:rsidR="00082E09" w:rsidRPr="00082E09">
              <w:rPr>
                <w:rFonts w:ascii="Times New Roman" w:hAnsi="Times New Roman" w:cs="Times New Roman"/>
                <w:noProof/>
                <w:webHidden/>
                <w:sz w:val="28"/>
                <w:szCs w:val="28"/>
              </w:rPr>
              <w:fldChar w:fldCharType="begin"/>
            </w:r>
            <w:r w:rsidR="00082E09" w:rsidRPr="00082E09">
              <w:rPr>
                <w:rFonts w:ascii="Times New Roman" w:hAnsi="Times New Roman" w:cs="Times New Roman"/>
                <w:noProof/>
                <w:webHidden/>
                <w:sz w:val="28"/>
                <w:szCs w:val="28"/>
              </w:rPr>
              <w:instrText xml:space="preserve"> PAGEREF _Toc168123012 \h </w:instrText>
            </w:r>
            <w:r w:rsidR="00082E09" w:rsidRPr="00082E09">
              <w:rPr>
                <w:rFonts w:ascii="Times New Roman" w:hAnsi="Times New Roman" w:cs="Times New Roman"/>
                <w:noProof/>
                <w:webHidden/>
                <w:sz w:val="28"/>
                <w:szCs w:val="28"/>
              </w:rPr>
            </w:r>
            <w:r w:rsidR="00082E09" w:rsidRPr="00082E09">
              <w:rPr>
                <w:rFonts w:ascii="Times New Roman" w:hAnsi="Times New Roman" w:cs="Times New Roman"/>
                <w:noProof/>
                <w:webHidden/>
                <w:sz w:val="28"/>
                <w:szCs w:val="28"/>
              </w:rPr>
              <w:fldChar w:fldCharType="separate"/>
            </w:r>
            <w:r w:rsidR="000C1525">
              <w:rPr>
                <w:rFonts w:ascii="Times New Roman" w:hAnsi="Times New Roman" w:cs="Times New Roman"/>
                <w:noProof/>
                <w:webHidden/>
                <w:sz w:val="28"/>
                <w:szCs w:val="28"/>
              </w:rPr>
              <w:t>49</w:t>
            </w:r>
            <w:r w:rsidR="00082E09" w:rsidRPr="00082E09">
              <w:rPr>
                <w:rFonts w:ascii="Times New Roman" w:hAnsi="Times New Roman" w:cs="Times New Roman"/>
                <w:noProof/>
                <w:webHidden/>
                <w:sz w:val="28"/>
                <w:szCs w:val="28"/>
              </w:rPr>
              <w:fldChar w:fldCharType="end"/>
            </w:r>
          </w:hyperlink>
        </w:p>
        <w:p w:rsidR="00082E09" w:rsidRPr="00082E09" w:rsidRDefault="00EC0906" w:rsidP="00082E09">
          <w:pPr>
            <w:pStyle w:val="11"/>
            <w:tabs>
              <w:tab w:val="right" w:leader="dot" w:pos="10245"/>
            </w:tabs>
            <w:spacing w:after="0" w:line="360" w:lineRule="auto"/>
            <w:jc w:val="both"/>
            <w:rPr>
              <w:rFonts w:ascii="Times New Roman" w:eastAsiaTheme="minorEastAsia" w:hAnsi="Times New Roman" w:cs="Times New Roman"/>
              <w:noProof/>
              <w:sz w:val="28"/>
              <w:szCs w:val="28"/>
            </w:rPr>
          </w:pPr>
          <w:hyperlink w:anchor="_Toc168123013" w:history="1">
            <w:r w:rsidR="00082E09" w:rsidRPr="00082E09">
              <w:rPr>
                <w:rStyle w:val="a9"/>
                <w:rFonts w:ascii="Times New Roman" w:hAnsi="Times New Roman" w:cs="Times New Roman"/>
                <w:noProof/>
                <w:color w:val="auto"/>
                <w:sz w:val="28"/>
                <w:szCs w:val="28"/>
                <w:u w:val="none"/>
                <w:lang w:val="uk-UA"/>
              </w:rPr>
              <w:t>СПИСОК ВИКОРИСТАНИХ ДЖЕРЕЛ</w:t>
            </w:r>
            <w:r w:rsidR="00082E09" w:rsidRPr="00082E09">
              <w:rPr>
                <w:rFonts w:ascii="Times New Roman" w:hAnsi="Times New Roman" w:cs="Times New Roman"/>
                <w:noProof/>
                <w:webHidden/>
                <w:sz w:val="28"/>
                <w:szCs w:val="28"/>
              </w:rPr>
              <w:tab/>
            </w:r>
            <w:r w:rsidR="00082E09" w:rsidRPr="00082E09">
              <w:rPr>
                <w:rFonts w:ascii="Times New Roman" w:hAnsi="Times New Roman" w:cs="Times New Roman"/>
                <w:noProof/>
                <w:webHidden/>
                <w:sz w:val="28"/>
                <w:szCs w:val="28"/>
              </w:rPr>
              <w:fldChar w:fldCharType="begin"/>
            </w:r>
            <w:r w:rsidR="00082E09" w:rsidRPr="00082E09">
              <w:rPr>
                <w:rFonts w:ascii="Times New Roman" w:hAnsi="Times New Roman" w:cs="Times New Roman"/>
                <w:noProof/>
                <w:webHidden/>
                <w:sz w:val="28"/>
                <w:szCs w:val="28"/>
              </w:rPr>
              <w:instrText xml:space="preserve"> PAGEREF _Toc168123013 \h </w:instrText>
            </w:r>
            <w:r w:rsidR="00082E09" w:rsidRPr="00082E09">
              <w:rPr>
                <w:rFonts w:ascii="Times New Roman" w:hAnsi="Times New Roman" w:cs="Times New Roman"/>
                <w:noProof/>
                <w:webHidden/>
                <w:sz w:val="28"/>
                <w:szCs w:val="28"/>
              </w:rPr>
            </w:r>
            <w:r w:rsidR="00082E09" w:rsidRPr="00082E09">
              <w:rPr>
                <w:rFonts w:ascii="Times New Roman" w:hAnsi="Times New Roman" w:cs="Times New Roman"/>
                <w:noProof/>
                <w:webHidden/>
                <w:sz w:val="28"/>
                <w:szCs w:val="28"/>
              </w:rPr>
              <w:fldChar w:fldCharType="separate"/>
            </w:r>
            <w:r w:rsidR="000C1525">
              <w:rPr>
                <w:rFonts w:ascii="Times New Roman" w:hAnsi="Times New Roman" w:cs="Times New Roman"/>
                <w:noProof/>
                <w:webHidden/>
                <w:sz w:val="28"/>
                <w:szCs w:val="28"/>
              </w:rPr>
              <w:t>53</w:t>
            </w:r>
            <w:r w:rsidR="00082E09" w:rsidRPr="00082E09">
              <w:rPr>
                <w:rFonts w:ascii="Times New Roman" w:hAnsi="Times New Roman" w:cs="Times New Roman"/>
                <w:noProof/>
                <w:webHidden/>
                <w:sz w:val="28"/>
                <w:szCs w:val="28"/>
              </w:rPr>
              <w:fldChar w:fldCharType="end"/>
            </w:r>
          </w:hyperlink>
        </w:p>
        <w:p w:rsidR="00DC3991" w:rsidRPr="00C02C14" w:rsidRDefault="00C02C14" w:rsidP="00082E09">
          <w:pPr>
            <w:spacing w:after="0" w:line="360" w:lineRule="auto"/>
            <w:jc w:val="both"/>
          </w:pPr>
          <w:r w:rsidRPr="00082E09">
            <w:rPr>
              <w:rFonts w:ascii="Times New Roman" w:hAnsi="Times New Roman" w:cs="Times New Roman"/>
              <w:b/>
              <w:bCs/>
              <w:sz w:val="28"/>
              <w:szCs w:val="28"/>
              <w:lang w:val="ru-RU"/>
            </w:rPr>
            <w:fldChar w:fldCharType="end"/>
          </w:r>
        </w:p>
      </w:sdtContent>
    </w:sdt>
    <w:p w:rsidR="00DC3991" w:rsidRDefault="00DC399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F16A0" w:rsidRPr="005C4747" w:rsidRDefault="00000AF8" w:rsidP="00DC3991">
      <w:pPr>
        <w:pStyle w:val="1"/>
        <w:rPr>
          <w:lang w:val="uk-UA"/>
        </w:rPr>
      </w:pPr>
      <w:bookmarkStart w:id="1" w:name="_Toc168123000"/>
      <w:r w:rsidRPr="005C4747">
        <w:rPr>
          <w:lang w:val="uk-UA"/>
        </w:rPr>
        <w:lastRenderedPageBreak/>
        <w:t>ВСТУП</w:t>
      </w:r>
      <w:bookmarkEnd w:id="1"/>
    </w:p>
    <w:p w:rsidR="00DC3991" w:rsidRDefault="00DC3991" w:rsidP="00DC3991">
      <w:pPr>
        <w:spacing w:after="0" w:line="360" w:lineRule="auto"/>
        <w:ind w:firstLine="680"/>
        <w:jc w:val="both"/>
        <w:rPr>
          <w:rFonts w:ascii="Times New Roman" w:hAnsi="Times New Roman" w:cs="Times New Roman"/>
          <w:sz w:val="28"/>
          <w:szCs w:val="28"/>
          <w:lang w:val="uk-UA"/>
        </w:rPr>
      </w:pPr>
    </w:p>
    <w:p w:rsidR="00DC3991" w:rsidRDefault="00DC3991" w:rsidP="00DC3991">
      <w:pPr>
        <w:spacing w:after="0" w:line="360" w:lineRule="auto"/>
        <w:ind w:firstLine="680"/>
        <w:jc w:val="both"/>
        <w:rPr>
          <w:rFonts w:ascii="Times New Roman" w:hAnsi="Times New Roman" w:cs="Times New Roman"/>
          <w:sz w:val="28"/>
          <w:szCs w:val="28"/>
          <w:lang w:val="uk-UA"/>
        </w:rPr>
      </w:pPr>
    </w:p>
    <w:p w:rsidR="001131FE" w:rsidRDefault="00BB4DA8" w:rsidP="001131FE">
      <w:pPr>
        <w:spacing w:after="0" w:line="360" w:lineRule="auto"/>
        <w:ind w:firstLine="680"/>
        <w:jc w:val="both"/>
        <w:rPr>
          <w:rFonts w:ascii="Times New Roman" w:hAnsi="Times New Roman" w:cs="Times New Roman"/>
          <w:sz w:val="28"/>
          <w:szCs w:val="28"/>
          <w:lang w:val="uk-UA"/>
        </w:rPr>
      </w:pPr>
      <w:r w:rsidRPr="00BB4DA8">
        <w:rPr>
          <w:rFonts w:ascii="Times New Roman" w:hAnsi="Times New Roman" w:cs="Times New Roman"/>
          <w:b/>
          <w:sz w:val="28"/>
          <w:szCs w:val="28"/>
          <w:lang w:val="uk-UA"/>
        </w:rPr>
        <w:t xml:space="preserve">Актуальність роботи. </w:t>
      </w:r>
      <w:r>
        <w:rPr>
          <w:rFonts w:ascii="Times New Roman" w:hAnsi="Times New Roman" w:cs="Times New Roman"/>
          <w:sz w:val="28"/>
          <w:szCs w:val="28"/>
          <w:lang w:val="uk-UA"/>
        </w:rPr>
        <w:t xml:space="preserve">Невизначеність </w:t>
      </w:r>
      <w:r w:rsidR="001131FE" w:rsidRPr="001131FE">
        <w:rPr>
          <w:rFonts w:ascii="Times New Roman" w:hAnsi="Times New Roman" w:cs="Times New Roman"/>
          <w:sz w:val="28"/>
          <w:szCs w:val="28"/>
          <w:lang w:val="uk-UA"/>
        </w:rPr>
        <w:t>залишається дуже актуальною проблемою через її значний вплив на економіку та суспільства в усьому світі.</w:t>
      </w:r>
      <w:r w:rsidR="001131FE">
        <w:rPr>
          <w:rFonts w:ascii="Times New Roman" w:hAnsi="Times New Roman" w:cs="Times New Roman"/>
          <w:sz w:val="28"/>
          <w:szCs w:val="28"/>
          <w:lang w:val="uk-UA"/>
        </w:rPr>
        <w:t xml:space="preserve"> Вона</w:t>
      </w:r>
      <w:r w:rsidR="001131FE" w:rsidRPr="001131FE">
        <w:rPr>
          <w:rFonts w:ascii="Times New Roman" w:hAnsi="Times New Roman" w:cs="Times New Roman"/>
          <w:sz w:val="28"/>
          <w:szCs w:val="28"/>
          <w:lang w:val="uk-UA"/>
        </w:rPr>
        <w:t xml:space="preserve"> впливає на прийняття рішень, моделі інвестицій, поведінку споживачів, формулювання політики та з</w:t>
      </w:r>
      <w:r w:rsidR="001131FE">
        <w:rPr>
          <w:rFonts w:ascii="Times New Roman" w:hAnsi="Times New Roman" w:cs="Times New Roman"/>
          <w:sz w:val="28"/>
          <w:szCs w:val="28"/>
          <w:lang w:val="uk-UA"/>
        </w:rPr>
        <w:t>агальну економічну ефективність, що особливо важливо на сучасному етапу розвитку через поглиблення глобалізації та взаємопов’язаності світових ринків, що спричиняє перелив шоків з одних регіонів на інші.</w:t>
      </w:r>
      <w:r w:rsidR="001131FE" w:rsidRPr="001131FE">
        <w:rPr>
          <w:rFonts w:ascii="Times New Roman" w:hAnsi="Times New Roman" w:cs="Times New Roman"/>
          <w:sz w:val="28"/>
          <w:szCs w:val="28"/>
          <w:lang w:val="uk-UA"/>
        </w:rPr>
        <w:t xml:space="preserve"> Розуміння, управління та пом’якшення </w:t>
      </w:r>
      <w:r w:rsidR="001131FE">
        <w:rPr>
          <w:rFonts w:ascii="Times New Roman" w:hAnsi="Times New Roman" w:cs="Times New Roman"/>
          <w:sz w:val="28"/>
          <w:szCs w:val="28"/>
          <w:lang w:val="uk-UA"/>
        </w:rPr>
        <w:t xml:space="preserve">етапів </w:t>
      </w:r>
      <w:r w:rsidR="001131FE" w:rsidRPr="001131FE">
        <w:rPr>
          <w:rFonts w:ascii="Times New Roman" w:hAnsi="Times New Roman" w:cs="Times New Roman"/>
          <w:sz w:val="28"/>
          <w:szCs w:val="28"/>
          <w:lang w:val="uk-UA"/>
        </w:rPr>
        <w:t>невизначеності залишаються ключовими викликами для політиків, компаній, дослідників та окремих осіб, коли вони орієнтуються в складності сучасного економічного ландшафту.</w:t>
      </w:r>
    </w:p>
    <w:p w:rsidR="00BB4DA8" w:rsidRDefault="00BB4DA8" w:rsidP="001131FE">
      <w:pPr>
        <w:spacing w:after="0" w:line="360" w:lineRule="auto"/>
        <w:ind w:firstLine="680"/>
        <w:jc w:val="both"/>
        <w:rPr>
          <w:rFonts w:ascii="Times New Roman" w:hAnsi="Times New Roman" w:cs="Times New Roman"/>
          <w:sz w:val="28"/>
          <w:lang w:val="uk-UA"/>
        </w:rPr>
      </w:pPr>
      <w:r w:rsidRPr="00705D99">
        <w:rPr>
          <w:rFonts w:ascii="Times New Roman" w:hAnsi="Times New Roman" w:cs="Times New Roman"/>
          <w:b/>
          <w:sz w:val="28"/>
          <w:lang w:val="uk-UA"/>
        </w:rPr>
        <w:t>Аналіз останніх досліджень та публікацій.</w:t>
      </w:r>
      <w:r w:rsidRPr="00705D99">
        <w:rPr>
          <w:rFonts w:ascii="Times New Roman" w:hAnsi="Times New Roman" w:cs="Times New Roman"/>
          <w:sz w:val="28"/>
          <w:lang w:val="uk-UA"/>
        </w:rPr>
        <w:t xml:space="preserve"> У ході роботи було проаналізовано публікації багатьох науковців, серед яких</w:t>
      </w:r>
      <w:r w:rsidR="001131FE">
        <w:rPr>
          <w:rFonts w:ascii="Times New Roman" w:hAnsi="Times New Roman" w:cs="Times New Roman"/>
          <w:sz w:val="28"/>
          <w:lang w:val="uk-UA"/>
        </w:rPr>
        <w:t xml:space="preserve"> Йоша Бекманн, Тірд М. Бунман, </w:t>
      </w:r>
      <w:r w:rsidR="001131FE" w:rsidRPr="001131FE">
        <w:rPr>
          <w:rFonts w:ascii="Times New Roman" w:hAnsi="Times New Roman" w:cs="Times New Roman"/>
          <w:sz w:val="28"/>
          <w:lang w:val="uk-UA"/>
        </w:rPr>
        <w:t>Свен Шрайбер, Маріус Фабер, Кемаль Кіліч, Гліб Козляков, Даля Марін, Лін Лін, Цзе Янь, Юн Цзян, Чжунбао Чжоу, Руі Гама, Рікардо Фернандес, Крістіна Баррос, Луїс Телес Морайс, Маріо Сентено, Мігель Коельо, Анджей Чеслік, Мехмет Тургут</w:t>
      </w:r>
      <w:r w:rsidR="001131FE">
        <w:rPr>
          <w:rFonts w:ascii="Times New Roman" w:hAnsi="Times New Roman" w:cs="Times New Roman"/>
          <w:sz w:val="28"/>
          <w:lang w:val="uk-UA"/>
        </w:rPr>
        <w:t xml:space="preserve"> та інші. </w:t>
      </w:r>
    </w:p>
    <w:p w:rsidR="00BB4DA8" w:rsidRDefault="00BB4DA8" w:rsidP="00BB4DA8">
      <w:pPr>
        <w:spacing w:after="0" w:line="360" w:lineRule="auto"/>
        <w:ind w:firstLine="709"/>
        <w:jc w:val="both"/>
        <w:rPr>
          <w:rFonts w:ascii="Times New Roman" w:hAnsi="Times New Roman" w:cs="Times New Roman"/>
          <w:sz w:val="28"/>
          <w:lang w:val="uk-UA"/>
        </w:rPr>
      </w:pPr>
      <w:r w:rsidRPr="00705D99">
        <w:rPr>
          <w:rFonts w:ascii="Times New Roman" w:hAnsi="Times New Roman" w:cs="Times New Roman"/>
          <w:b/>
          <w:sz w:val="28"/>
          <w:lang w:val="uk-UA"/>
        </w:rPr>
        <w:t>Метою роботи</w:t>
      </w:r>
      <w:r w:rsidRPr="00705D99">
        <w:rPr>
          <w:rFonts w:ascii="Times New Roman" w:hAnsi="Times New Roman" w:cs="Times New Roman"/>
          <w:sz w:val="28"/>
          <w:lang w:val="uk-UA"/>
        </w:rPr>
        <w:t xml:space="preserve"> є на основі узагальнення та систематизації теоретичних положень</w:t>
      </w:r>
      <w:r>
        <w:rPr>
          <w:rFonts w:ascii="Times New Roman" w:hAnsi="Times New Roman" w:cs="Times New Roman"/>
          <w:sz w:val="28"/>
          <w:lang w:val="uk-UA"/>
        </w:rPr>
        <w:t>, а також на основі аналізу</w:t>
      </w:r>
      <w:r w:rsidRPr="00705D99">
        <w:rPr>
          <w:rFonts w:ascii="Times New Roman" w:hAnsi="Times New Roman" w:cs="Times New Roman"/>
          <w:sz w:val="28"/>
          <w:lang w:val="uk-UA"/>
        </w:rPr>
        <w:t xml:space="preserve"> щодо </w:t>
      </w:r>
      <w:r>
        <w:rPr>
          <w:rFonts w:ascii="Times New Roman" w:hAnsi="Times New Roman" w:cs="Times New Roman"/>
          <w:sz w:val="28"/>
          <w:lang w:val="uk-UA"/>
        </w:rPr>
        <w:t>розвитку</w:t>
      </w:r>
      <w:r w:rsidRPr="00705D99">
        <w:rPr>
          <w:rFonts w:ascii="Times New Roman" w:hAnsi="Times New Roman" w:cs="Times New Roman"/>
          <w:sz w:val="28"/>
          <w:lang w:val="uk-UA"/>
        </w:rPr>
        <w:t xml:space="preserve"> </w:t>
      </w:r>
      <w:r>
        <w:rPr>
          <w:rFonts w:ascii="Times New Roman" w:hAnsi="Times New Roman" w:cs="Times New Roman"/>
          <w:sz w:val="28"/>
          <w:lang w:val="uk-UA"/>
        </w:rPr>
        <w:t>зовнішньоекономічних позицій Португалії та Греції в умовах невизначеності дослідити</w:t>
      </w:r>
      <w:r w:rsidRPr="00705D99">
        <w:rPr>
          <w:rFonts w:ascii="Times New Roman" w:hAnsi="Times New Roman" w:cs="Times New Roman"/>
          <w:sz w:val="28"/>
          <w:lang w:val="uk-UA"/>
        </w:rPr>
        <w:t xml:space="preserve"> досвід </w:t>
      </w:r>
      <w:r>
        <w:rPr>
          <w:rFonts w:ascii="Times New Roman" w:hAnsi="Times New Roman" w:cs="Times New Roman"/>
          <w:sz w:val="28"/>
          <w:lang w:val="uk-UA"/>
        </w:rPr>
        <w:t xml:space="preserve">даних </w:t>
      </w:r>
      <w:r w:rsidRPr="00705D99">
        <w:rPr>
          <w:rFonts w:ascii="Times New Roman" w:hAnsi="Times New Roman" w:cs="Times New Roman"/>
          <w:sz w:val="28"/>
          <w:lang w:val="uk-UA"/>
        </w:rPr>
        <w:t xml:space="preserve">країн та визначити взаємозалежність між показниками </w:t>
      </w:r>
      <w:r>
        <w:rPr>
          <w:rFonts w:ascii="Times New Roman" w:hAnsi="Times New Roman" w:cs="Times New Roman"/>
          <w:sz w:val="28"/>
          <w:lang w:val="uk-UA"/>
        </w:rPr>
        <w:t xml:space="preserve">їх </w:t>
      </w:r>
      <w:r w:rsidRPr="00705D99">
        <w:rPr>
          <w:rFonts w:ascii="Times New Roman" w:hAnsi="Times New Roman" w:cs="Times New Roman"/>
          <w:sz w:val="28"/>
          <w:lang w:val="uk-UA"/>
        </w:rPr>
        <w:t xml:space="preserve">зовнішньоекономічних позицій. Досягнення мети передбачає досягнення наступних </w:t>
      </w:r>
      <w:r w:rsidRPr="00705D99">
        <w:rPr>
          <w:rFonts w:ascii="Times New Roman" w:hAnsi="Times New Roman" w:cs="Times New Roman"/>
          <w:b/>
          <w:sz w:val="28"/>
          <w:lang w:val="uk-UA"/>
        </w:rPr>
        <w:t>завдань</w:t>
      </w:r>
      <w:r w:rsidRPr="00705D99">
        <w:rPr>
          <w:rFonts w:ascii="Times New Roman" w:hAnsi="Times New Roman" w:cs="Times New Roman"/>
          <w:sz w:val="28"/>
          <w:lang w:val="uk-UA"/>
        </w:rPr>
        <w:t>:</w:t>
      </w:r>
    </w:p>
    <w:p w:rsidR="00BB4DA8" w:rsidRPr="00F9094D" w:rsidRDefault="00BB4DA8" w:rsidP="00BE39EC">
      <w:pPr>
        <w:pStyle w:val="a3"/>
        <w:numPr>
          <w:ilvl w:val="0"/>
          <w:numId w:val="3"/>
        </w:numPr>
        <w:spacing w:after="0" w:line="360" w:lineRule="auto"/>
        <w:ind w:left="709" w:hanging="283"/>
        <w:jc w:val="both"/>
        <w:rPr>
          <w:rFonts w:ascii="Times New Roman" w:hAnsi="Times New Roman" w:cs="Times New Roman"/>
          <w:sz w:val="28"/>
          <w:lang w:val="uk-UA"/>
        </w:rPr>
      </w:pPr>
      <w:r w:rsidRPr="00F9094D">
        <w:rPr>
          <w:rFonts w:ascii="Times New Roman" w:hAnsi="Times New Roman" w:cs="Times New Roman"/>
          <w:sz w:val="28"/>
          <w:lang w:val="uk-UA"/>
        </w:rPr>
        <w:t>Аналіз теоретичних основ</w:t>
      </w:r>
      <w:r>
        <w:rPr>
          <w:rFonts w:ascii="Times New Roman" w:hAnsi="Times New Roman" w:cs="Times New Roman"/>
          <w:sz w:val="28"/>
          <w:lang w:val="uk-UA"/>
        </w:rPr>
        <w:t>, методів</w:t>
      </w:r>
      <w:r w:rsidRPr="00F9094D">
        <w:rPr>
          <w:rFonts w:ascii="Times New Roman" w:hAnsi="Times New Roman" w:cs="Times New Roman"/>
          <w:sz w:val="28"/>
          <w:lang w:val="uk-UA"/>
        </w:rPr>
        <w:t xml:space="preserve"> та підходів дослідження </w:t>
      </w:r>
      <w:r>
        <w:rPr>
          <w:rFonts w:ascii="Times New Roman" w:hAnsi="Times New Roman" w:cs="Times New Roman"/>
          <w:sz w:val="28"/>
          <w:lang w:val="uk-UA"/>
        </w:rPr>
        <w:t>розвитку зовнішньоекономічних зв’язків Португалії та Греції в умовах невизначеності</w:t>
      </w:r>
      <w:r w:rsidRPr="00F9094D">
        <w:rPr>
          <w:rFonts w:ascii="Times New Roman" w:hAnsi="Times New Roman" w:cs="Times New Roman"/>
          <w:sz w:val="28"/>
          <w:lang w:val="uk-UA"/>
        </w:rPr>
        <w:t>;</w:t>
      </w:r>
    </w:p>
    <w:p w:rsidR="00BB4DA8" w:rsidRDefault="00BB4DA8" w:rsidP="00BE39EC">
      <w:pPr>
        <w:pStyle w:val="a3"/>
        <w:numPr>
          <w:ilvl w:val="0"/>
          <w:numId w:val="3"/>
        </w:numPr>
        <w:spacing w:after="0" w:line="360" w:lineRule="auto"/>
        <w:ind w:left="709" w:hanging="283"/>
        <w:jc w:val="both"/>
        <w:rPr>
          <w:rFonts w:ascii="Times New Roman" w:hAnsi="Times New Roman" w:cs="Times New Roman"/>
          <w:sz w:val="28"/>
          <w:lang w:val="uk-UA"/>
        </w:rPr>
      </w:pPr>
      <w:r w:rsidRPr="00F9094D">
        <w:rPr>
          <w:rFonts w:ascii="Times New Roman" w:hAnsi="Times New Roman" w:cs="Times New Roman"/>
          <w:sz w:val="28"/>
          <w:lang w:val="uk-UA"/>
        </w:rPr>
        <w:t xml:space="preserve">Порівняльний аналіз </w:t>
      </w:r>
      <w:r>
        <w:rPr>
          <w:rFonts w:ascii="Times New Roman" w:hAnsi="Times New Roman" w:cs="Times New Roman"/>
          <w:sz w:val="28"/>
          <w:lang w:val="uk-UA"/>
        </w:rPr>
        <w:t>торгівельних зв’язків, міжнародної інвестиційної позиції та зовнішнього боргу у якості індикаторів зовнішньоекономічних зв’язків Португалії та Греції;</w:t>
      </w:r>
    </w:p>
    <w:p w:rsidR="00BB4DA8" w:rsidRPr="00F9094D" w:rsidRDefault="00BB4DA8" w:rsidP="00BE39EC">
      <w:pPr>
        <w:pStyle w:val="a3"/>
        <w:numPr>
          <w:ilvl w:val="0"/>
          <w:numId w:val="3"/>
        </w:numPr>
        <w:spacing w:after="0" w:line="360" w:lineRule="auto"/>
        <w:ind w:left="709" w:hanging="283"/>
        <w:jc w:val="both"/>
        <w:rPr>
          <w:rFonts w:ascii="Times New Roman" w:hAnsi="Times New Roman" w:cs="Times New Roman"/>
          <w:sz w:val="28"/>
          <w:lang w:val="uk-UA"/>
        </w:rPr>
      </w:pPr>
      <w:r>
        <w:rPr>
          <w:rFonts w:ascii="Times New Roman" w:hAnsi="Times New Roman" w:cs="Times New Roman"/>
          <w:sz w:val="28"/>
          <w:lang w:val="uk-UA"/>
        </w:rPr>
        <w:lastRenderedPageBreak/>
        <w:t>Емпіричне д</w:t>
      </w:r>
      <w:r w:rsidRPr="00F9094D">
        <w:rPr>
          <w:rFonts w:ascii="Times New Roman" w:hAnsi="Times New Roman" w:cs="Times New Roman"/>
          <w:sz w:val="28"/>
          <w:lang w:val="uk-UA"/>
        </w:rPr>
        <w:t xml:space="preserve">ослідження взаємозалежності зовнішньоекономічних показників </w:t>
      </w:r>
      <w:r>
        <w:rPr>
          <w:rFonts w:ascii="Times New Roman" w:hAnsi="Times New Roman" w:cs="Times New Roman"/>
          <w:sz w:val="28"/>
          <w:lang w:val="uk-UA"/>
        </w:rPr>
        <w:t>Португалії та Греції</w:t>
      </w:r>
      <w:r w:rsidRPr="00F9094D">
        <w:rPr>
          <w:rFonts w:ascii="Times New Roman" w:hAnsi="Times New Roman" w:cs="Times New Roman"/>
          <w:sz w:val="28"/>
          <w:lang w:val="uk-UA"/>
        </w:rPr>
        <w:t>;</w:t>
      </w:r>
    </w:p>
    <w:p w:rsidR="00BB4DA8" w:rsidRPr="00F9094D" w:rsidRDefault="00BB4DA8" w:rsidP="00BE39EC">
      <w:pPr>
        <w:pStyle w:val="a3"/>
        <w:numPr>
          <w:ilvl w:val="0"/>
          <w:numId w:val="3"/>
        </w:numPr>
        <w:spacing w:after="0" w:line="360" w:lineRule="auto"/>
        <w:ind w:left="709" w:hanging="283"/>
        <w:jc w:val="both"/>
        <w:rPr>
          <w:rFonts w:ascii="Times New Roman" w:hAnsi="Times New Roman" w:cs="Times New Roman"/>
          <w:sz w:val="28"/>
          <w:lang w:val="uk-UA"/>
        </w:rPr>
      </w:pPr>
      <w:r w:rsidRPr="00F9094D">
        <w:rPr>
          <w:rFonts w:ascii="Times New Roman" w:hAnsi="Times New Roman" w:cs="Times New Roman"/>
          <w:sz w:val="28"/>
          <w:lang w:val="uk-UA"/>
        </w:rPr>
        <w:t xml:space="preserve">Аналіз зовнішньоекономічних зв’язків </w:t>
      </w:r>
      <w:r>
        <w:rPr>
          <w:rFonts w:ascii="Times New Roman" w:hAnsi="Times New Roman" w:cs="Times New Roman"/>
          <w:sz w:val="28"/>
          <w:lang w:val="uk-UA"/>
        </w:rPr>
        <w:t>Португалії та Греції</w:t>
      </w:r>
      <w:r w:rsidRPr="00F9094D">
        <w:rPr>
          <w:rFonts w:ascii="Times New Roman" w:hAnsi="Times New Roman" w:cs="Times New Roman"/>
          <w:sz w:val="28"/>
          <w:lang w:val="uk-UA"/>
        </w:rPr>
        <w:t xml:space="preserve"> з Україною.</w:t>
      </w:r>
    </w:p>
    <w:p w:rsidR="00BB4DA8" w:rsidRPr="00F9094D" w:rsidRDefault="00BB4DA8" w:rsidP="00BB4DA8">
      <w:pPr>
        <w:spacing w:after="0" w:line="360" w:lineRule="auto"/>
        <w:ind w:firstLine="709"/>
        <w:jc w:val="both"/>
        <w:rPr>
          <w:rFonts w:ascii="Times New Roman" w:hAnsi="Times New Roman" w:cs="Times New Roman"/>
          <w:sz w:val="28"/>
          <w:lang w:val="uk-UA"/>
        </w:rPr>
      </w:pPr>
      <w:r w:rsidRPr="00F9094D">
        <w:rPr>
          <w:rFonts w:ascii="Times New Roman" w:hAnsi="Times New Roman" w:cs="Times New Roman"/>
          <w:sz w:val="28"/>
          <w:lang w:val="uk-UA"/>
        </w:rPr>
        <w:t xml:space="preserve">Для вирішення поставлених завдань були використані такі </w:t>
      </w:r>
      <w:r w:rsidRPr="00F9094D">
        <w:rPr>
          <w:rFonts w:ascii="Times New Roman" w:hAnsi="Times New Roman" w:cs="Times New Roman"/>
          <w:b/>
          <w:sz w:val="28"/>
          <w:lang w:val="uk-UA"/>
        </w:rPr>
        <w:t xml:space="preserve">методи дослідження: </w:t>
      </w:r>
      <w:r w:rsidRPr="00F9094D">
        <w:rPr>
          <w:rFonts w:ascii="Times New Roman" w:hAnsi="Times New Roman" w:cs="Times New Roman"/>
          <w:sz w:val="28"/>
          <w:lang w:val="uk-UA"/>
        </w:rPr>
        <w:t>аналіз літератури та наукових досліджень з теми роботи, аналіз статистичних даних</w:t>
      </w:r>
      <w:r w:rsidR="00BE39EC">
        <w:rPr>
          <w:rFonts w:ascii="Times New Roman" w:hAnsi="Times New Roman" w:cs="Times New Roman"/>
          <w:sz w:val="28"/>
          <w:lang w:val="uk-UA"/>
        </w:rPr>
        <w:t xml:space="preserve"> індикаторів</w:t>
      </w:r>
      <w:r w:rsidRPr="00F9094D">
        <w:rPr>
          <w:rFonts w:ascii="Times New Roman" w:hAnsi="Times New Roman" w:cs="Times New Roman"/>
          <w:sz w:val="28"/>
          <w:lang w:val="uk-UA"/>
        </w:rPr>
        <w:t xml:space="preserve"> зовнішньоекономічних </w:t>
      </w:r>
      <w:r w:rsidR="00BE39EC">
        <w:rPr>
          <w:rFonts w:ascii="Times New Roman" w:hAnsi="Times New Roman" w:cs="Times New Roman"/>
          <w:sz w:val="28"/>
          <w:lang w:val="uk-UA"/>
        </w:rPr>
        <w:t>зв’язків</w:t>
      </w:r>
      <w:r w:rsidRPr="00F9094D">
        <w:rPr>
          <w:rFonts w:ascii="Times New Roman" w:hAnsi="Times New Roman" w:cs="Times New Roman"/>
          <w:sz w:val="28"/>
          <w:lang w:val="uk-UA"/>
        </w:rPr>
        <w:t xml:space="preserve"> країн, моделювання та розрахунок, узагальнення і </w:t>
      </w:r>
      <w:r w:rsidR="00BE39EC">
        <w:rPr>
          <w:rFonts w:ascii="Times New Roman" w:hAnsi="Times New Roman" w:cs="Times New Roman"/>
          <w:sz w:val="28"/>
          <w:lang w:val="uk-UA"/>
        </w:rPr>
        <w:t>систематизація</w:t>
      </w:r>
      <w:r w:rsidRPr="00F9094D">
        <w:rPr>
          <w:rFonts w:ascii="Times New Roman" w:hAnsi="Times New Roman" w:cs="Times New Roman"/>
          <w:sz w:val="28"/>
          <w:lang w:val="uk-UA"/>
        </w:rPr>
        <w:t xml:space="preserve"> здобутої інформації.</w:t>
      </w:r>
    </w:p>
    <w:p w:rsidR="00BB4DA8" w:rsidRPr="00F9094D" w:rsidRDefault="00BB4DA8" w:rsidP="00BB4DA8">
      <w:pPr>
        <w:spacing w:after="0" w:line="360" w:lineRule="auto"/>
        <w:ind w:firstLine="709"/>
        <w:jc w:val="both"/>
        <w:rPr>
          <w:rFonts w:ascii="Times New Roman" w:hAnsi="Times New Roman" w:cs="Times New Roman"/>
          <w:sz w:val="28"/>
          <w:lang w:val="uk-UA"/>
        </w:rPr>
      </w:pPr>
      <w:r w:rsidRPr="00F9094D">
        <w:rPr>
          <w:rFonts w:ascii="Times New Roman" w:hAnsi="Times New Roman" w:cs="Times New Roman"/>
          <w:b/>
          <w:sz w:val="28"/>
          <w:lang w:val="uk-UA"/>
        </w:rPr>
        <w:t>Об’єктом дослідження</w:t>
      </w:r>
      <w:r w:rsidRPr="00F9094D">
        <w:rPr>
          <w:rFonts w:ascii="Times New Roman" w:hAnsi="Times New Roman" w:cs="Times New Roman"/>
          <w:sz w:val="28"/>
          <w:lang w:val="uk-UA"/>
        </w:rPr>
        <w:t xml:space="preserve"> є </w:t>
      </w:r>
      <w:r w:rsidR="00BE39EC">
        <w:rPr>
          <w:rFonts w:ascii="Times New Roman" w:hAnsi="Times New Roman" w:cs="Times New Roman"/>
          <w:sz w:val="28"/>
          <w:lang w:val="uk-UA"/>
        </w:rPr>
        <w:t>розвиток</w:t>
      </w:r>
      <w:r w:rsidRPr="00F9094D">
        <w:rPr>
          <w:rFonts w:ascii="Times New Roman" w:hAnsi="Times New Roman" w:cs="Times New Roman"/>
          <w:sz w:val="28"/>
          <w:lang w:val="uk-UA"/>
        </w:rPr>
        <w:t xml:space="preserve"> зовнішньоекономічних </w:t>
      </w:r>
      <w:r w:rsidR="00BE39EC">
        <w:rPr>
          <w:rFonts w:ascii="Times New Roman" w:hAnsi="Times New Roman" w:cs="Times New Roman"/>
          <w:sz w:val="28"/>
          <w:lang w:val="uk-UA"/>
        </w:rPr>
        <w:t>зв’язків в умовах періоду невизначеності країни</w:t>
      </w:r>
      <w:r w:rsidRPr="00F9094D">
        <w:rPr>
          <w:rFonts w:ascii="Times New Roman" w:hAnsi="Times New Roman" w:cs="Times New Roman"/>
          <w:sz w:val="28"/>
          <w:lang w:val="uk-UA"/>
        </w:rPr>
        <w:t xml:space="preserve">. </w:t>
      </w:r>
      <w:r w:rsidRPr="00F9094D">
        <w:rPr>
          <w:rFonts w:ascii="Times New Roman" w:hAnsi="Times New Roman" w:cs="Times New Roman"/>
          <w:b/>
          <w:sz w:val="28"/>
          <w:lang w:val="uk-UA"/>
        </w:rPr>
        <w:t>Предметом дослідження</w:t>
      </w:r>
      <w:r w:rsidRPr="00F9094D">
        <w:rPr>
          <w:rFonts w:ascii="Times New Roman" w:hAnsi="Times New Roman" w:cs="Times New Roman"/>
          <w:sz w:val="28"/>
          <w:lang w:val="uk-UA"/>
        </w:rPr>
        <w:t xml:space="preserve"> виступають </w:t>
      </w:r>
      <w:r w:rsidR="00BE39EC">
        <w:rPr>
          <w:rFonts w:ascii="Times New Roman" w:hAnsi="Times New Roman" w:cs="Times New Roman"/>
          <w:sz w:val="28"/>
          <w:lang w:val="uk-UA"/>
        </w:rPr>
        <w:t>індикатори</w:t>
      </w:r>
      <w:r w:rsidRPr="00F9094D">
        <w:rPr>
          <w:rFonts w:ascii="Times New Roman" w:hAnsi="Times New Roman" w:cs="Times New Roman"/>
          <w:sz w:val="28"/>
          <w:lang w:val="uk-UA"/>
        </w:rPr>
        <w:t xml:space="preserve"> </w:t>
      </w:r>
      <w:r w:rsidR="00BE39EC" w:rsidRPr="00F9094D">
        <w:rPr>
          <w:rFonts w:ascii="Times New Roman" w:hAnsi="Times New Roman" w:cs="Times New Roman"/>
          <w:sz w:val="28"/>
          <w:lang w:val="uk-UA"/>
        </w:rPr>
        <w:t xml:space="preserve">зовнішньоекономічних зв’язків </w:t>
      </w:r>
      <w:r w:rsidR="00BE39EC">
        <w:rPr>
          <w:rFonts w:ascii="Times New Roman" w:hAnsi="Times New Roman" w:cs="Times New Roman"/>
          <w:sz w:val="28"/>
          <w:lang w:val="uk-UA"/>
        </w:rPr>
        <w:t>Португалії та Греції</w:t>
      </w:r>
      <w:r w:rsidRPr="00F9094D">
        <w:rPr>
          <w:rFonts w:ascii="Times New Roman" w:hAnsi="Times New Roman" w:cs="Times New Roman"/>
          <w:sz w:val="28"/>
          <w:lang w:val="uk-UA"/>
        </w:rPr>
        <w:t xml:space="preserve">.  </w:t>
      </w:r>
    </w:p>
    <w:p w:rsidR="00BB4DA8" w:rsidRPr="00F9094D" w:rsidRDefault="00BB4DA8" w:rsidP="00BE39EC">
      <w:pPr>
        <w:spacing w:after="0" w:line="360" w:lineRule="auto"/>
        <w:ind w:firstLine="709"/>
        <w:jc w:val="both"/>
        <w:rPr>
          <w:rFonts w:ascii="Times New Roman" w:hAnsi="Times New Roman" w:cs="Times New Roman"/>
          <w:sz w:val="28"/>
          <w:lang w:val="uk-UA"/>
        </w:rPr>
      </w:pPr>
      <w:r w:rsidRPr="00F9094D">
        <w:rPr>
          <w:rFonts w:ascii="Times New Roman" w:hAnsi="Times New Roman" w:cs="Times New Roman"/>
          <w:sz w:val="28"/>
          <w:lang w:val="uk-UA"/>
        </w:rPr>
        <w:t xml:space="preserve">Дипломна робота складається з вступу, трьох розділів, висновків, списку використаних джерел та додатків. У першому розділі розкриваються теоретичні основи для дослідження </w:t>
      </w:r>
      <w:r w:rsidR="00BE39EC">
        <w:rPr>
          <w:rFonts w:ascii="Times New Roman" w:hAnsi="Times New Roman" w:cs="Times New Roman"/>
          <w:sz w:val="28"/>
          <w:lang w:val="uk-UA"/>
        </w:rPr>
        <w:t xml:space="preserve">розвитку </w:t>
      </w:r>
      <w:r w:rsidR="00BE39EC" w:rsidRPr="00F9094D">
        <w:rPr>
          <w:rFonts w:ascii="Times New Roman" w:hAnsi="Times New Roman" w:cs="Times New Roman"/>
          <w:sz w:val="28"/>
          <w:lang w:val="uk-UA"/>
        </w:rPr>
        <w:t xml:space="preserve">зовнішньоекономічних зв’язків </w:t>
      </w:r>
      <w:r w:rsidR="00BE39EC">
        <w:rPr>
          <w:rFonts w:ascii="Times New Roman" w:hAnsi="Times New Roman" w:cs="Times New Roman"/>
          <w:sz w:val="28"/>
          <w:lang w:val="uk-UA"/>
        </w:rPr>
        <w:t xml:space="preserve">Португалії та Греції в умовах невизначеності. </w:t>
      </w:r>
      <w:r w:rsidRPr="00F9094D">
        <w:rPr>
          <w:rFonts w:ascii="Times New Roman" w:hAnsi="Times New Roman" w:cs="Times New Roman"/>
          <w:sz w:val="28"/>
          <w:lang w:val="uk-UA"/>
        </w:rPr>
        <w:t xml:space="preserve">У другому розділі аналізуються статистичні дані </w:t>
      </w:r>
      <w:r w:rsidR="00BE39EC" w:rsidRPr="00F9094D">
        <w:rPr>
          <w:rFonts w:ascii="Times New Roman" w:hAnsi="Times New Roman" w:cs="Times New Roman"/>
          <w:sz w:val="28"/>
          <w:lang w:val="uk-UA"/>
        </w:rPr>
        <w:t xml:space="preserve">зовнішньоекономічних зв’язків </w:t>
      </w:r>
      <w:r w:rsidR="00BE39EC">
        <w:rPr>
          <w:rFonts w:ascii="Times New Roman" w:hAnsi="Times New Roman" w:cs="Times New Roman"/>
          <w:sz w:val="28"/>
          <w:lang w:val="uk-UA"/>
        </w:rPr>
        <w:t>Португалії та Греції</w:t>
      </w:r>
      <w:r w:rsidRPr="00F9094D">
        <w:rPr>
          <w:rFonts w:ascii="Times New Roman" w:hAnsi="Times New Roman" w:cs="Times New Roman"/>
          <w:sz w:val="28"/>
          <w:lang w:val="uk-UA"/>
        </w:rPr>
        <w:t xml:space="preserve"> та досліджується взаємозв’язок основних </w:t>
      </w:r>
      <w:r w:rsidR="00BE39EC">
        <w:rPr>
          <w:rFonts w:ascii="Times New Roman" w:hAnsi="Times New Roman" w:cs="Times New Roman"/>
          <w:sz w:val="28"/>
          <w:lang w:val="uk-UA"/>
        </w:rPr>
        <w:t>індикаторів</w:t>
      </w:r>
      <w:r w:rsidRPr="00F9094D">
        <w:rPr>
          <w:rFonts w:ascii="Times New Roman" w:hAnsi="Times New Roman" w:cs="Times New Roman"/>
          <w:sz w:val="28"/>
          <w:lang w:val="uk-UA"/>
        </w:rPr>
        <w:t xml:space="preserve"> зовнішньоекономічних даних країн.  У третьому розділі розглянуто зовнішньоекономічні зв’язки </w:t>
      </w:r>
      <w:r w:rsidR="00BE39EC">
        <w:rPr>
          <w:rFonts w:ascii="Times New Roman" w:hAnsi="Times New Roman" w:cs="Times New Roman"/>
          <w:sz w:val="28"/>
          <w:lang w:val="uk-UA"/>
        </w:rPr>
        <w:t xml:space="preserve">Португалії та Греції </w:t>
      </w:r>
      <w:r w:rsidRPr="00F9094D">
        <w:rPr>
          <w:rFonts w:ascii="Times New Roman" w:hAnsi="Times New Roman" w:cs="Times New Roman"/>
          <w:sz w:val="28"/>
          <w:lang w:val="uk-UA"/>
        </w:rPr>
        <w:t xml:space="preserve">з Україною. </w:t>
      </w:r>
    </w:p>
    <w:p w:rsidR="00BB4DA8" w:rsidRDefault="00BB4DA8" w:rsidP="00BB4DA8">
      <w:pPr>
        <w:spacing w:after="0" w:line="360" w:lineRule="auto"/>
        <w:ind w:firstLine="680"/>
        <w:jc w:val="both"/>
        <w:rPr>
          <w:rFonts w:ascii="Times New Roman" w:hAnsi="Times New Roman" w:cs="Times New Roman"/>
          <w:sz w:val="28"/>
          <w:lang w:val="uk-UA"/>
        </w:rPr>
      </w:pPr>
      <w:r w:rsidRPr="00F9094D">
        <w:rPr>
          <w:rFonts w:ascii="Times New Roman" w:hAnsi="Times New Roman" w:cs="Times New Roman"/>
          <w:b/>
          <w:sz w:val="28"/>
          <w:lang w:val="uk-UA"/>
        </w:rPr>
        <w:t>Теоретичною базою</w:t>
      </w:r>
      <w:r w:rsidRPr="00F9094D">
        <w:rPr>
          <w:rFonts w:ascii="Times New Roman" w:hAnsi="Times New Roman" w:cs="Times New Roman"/>
          <w:sz w:val="28"/>
          <w:lang w:val="uk-UA"/>
        </w:rPr>
        <w:t xml:space="preserve"> для даної роботи виступили наукові статті іноземних науковців, </w:t>
      </w:r>
      <w:r w:rsidR="00BE39EC">
        <w:rPr>
          <w:rFonts w:ascii="Times New Roman" w:hAnsi="Times New Roman" w:cs="Times New Roman"/>
          <w:sz w:val="28"/>
          <w:lang w:val="uk-UA"/>
        </w:rPr>
        <w:t xml:space="preserve">статистичні бази даних, </w:t>
      </w:r>
      <w:r w:rsidRPr="00F9094D">
        <w:rPr>
          <w:rFonts w:ascii="Times New Roman" w:hAnsi="Times New Roman" w:cs="Times New Roman"/>
          <w:sz w:val="28"/>
          <w:lang w:val="uk-UA"/>
        </w:rPr>
        <w:t>бази даних МВФ та Світового Банку, а також дані державних служб статистики України.</w:t>
      </w:r>
    </w:p>
    <w:p w:rsidR="00BB4DA8" w:rsidRDefault="00BB4DA8" w:rsidP="00DC3991">
      <w:pPr>
        <w:spacing w:after="0" w:line="360" w:lineRule="auto"/>
        <w:ind w:firstLine="680"/>
        <w:jc w:val="both"/>
        <w:rPr>
          <w:rFonts w:ascii="Times New Roman" w:hAnsi="Times New Roman" w:cs="Times New Roman"/>
          <w:sz w:val="28"/>
          <w:szCs w:val="28"/>
          <w:lang w:val="uk-UA"/>
        </w:rPr>
      </w:pPr>
    </w:p>
    <w:p w:rsidR="00BB4DA8" w:rsidRDefault="00BB4DA8" w:rsidP="00DC3991">
      <w:pPr>
        <w:spacing w:after="0" w:line="360" w:lineRule="auto"/>
        <w:ind w:firstLine="680"/>
        <w:jc w:val="both"/>
        <w:rPr>
          <w:rFonts w:ascii="Times New Roman" w:hAnsi="Times New Roman" w:cs="Times New Roman"/>
          <w:sz w:val="28"/>
          <w:szCs w:val="28"/>
          <w:lang w:val="uk-UA"/>
        </w:rPr>
      </w:pPr>
    </w:p>
    <w:p w:rsidR="00DC3991" w:rsidRDefault="00DC3991"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C3991" w:rsidRDefault="00DC3991" w:rsidP="00DC3991">
      <w:pPr>
        <w:pStyle w:val="1"/>
        <w:rPr>
          <w:lang w:val="uk-UA"/>
        </w:rPr>
      </w:pPr>
      <w:bookmarkStart w:id="2" w:name="_Toc162975073"/>
      <w:bookmarkStart w:id="3" w:name="_Toc168123001"/>
      <w:r>
        <w:rPr>
          <w:lang w:val="uk-UA"/>
        </w:rPr>
        <w:lastRenderedPageBreak/>
        <w:t>РОЗДІЛ 1</w:t>
      </w:r>
      <w:bookmarkEnd w:id="2"/>
      <w:bookmarkEnd w:id="3"/>
    </w:p>
    <w:p w:rsidR="004142CA" w:rsidRDefault="00000AF8" w:rsidP="00DC3991">
      <w:pPr>
        <w:pStyle w:val="1"/>
        <w:rPr>
          <w:lang w:val="uk-UA"/>
        </w:rPr>
      </w:pPr>
      <w:bookmarkStart w:id="4" w:name="_Toc168123002"/>
      <w:r>
        <w:rPr>
          <w:lang w:val="uk-UA"/>
        </w:rPr>
        <w:t xml:space="preserve">ТЕОРЕТИЧНІ ОСНОВИ ДОСЛІДЖЕННЯ </w:t>
      </w:r>
      <w:r w:rsidR="004142CA">
        <w:rPr>
          <w:lang w:val="uk-UA"/>
        </w:rPr>
        <w:t xml:space="preserve">РОЗВИТКУ </w:t>
      </w:r>
      <w:r w:rsidR="004142CA" w:rsidRPr="004142CA">
        <w:rPr>
          <w:lang w:val="uk-UA"/>
        </w:rPr>
        <w:t>ЗОВНІШНЬОЕКОНОМІЧНИХ ЗВ’ЯЗКІВ ПОРТУГАЛІЇ ТА ГРЕЦІЇ В УМОВАХ НЕВИЗНАЧЕНОСТІ</w:t>
      </w:r>
      <w:bookmarkEnd w:id="4"/>
      <w:r w:rsidR="004142CA">
        <w:rPr>
          <w:lang w:val="uk-UA"/>
        </w:rPr>
        <w:t xml:space="preserve"> </w:t>
      </w:r>
    </w:p>
    <w:p w:rsidR="00DC3991" w:rsidRDefault="00DC3991" w:rsidP="00DC3991">
      <w:pPr>
        <w:spacing w:after="0" w:line="360" w:lineRule="auto"/>
        <w:ind w:firstLine="680"/>
        <w:jc w:val="both"/>
        <w:rPr>
          <w:rFonts w:ascii="Times New Roman" w:hAnsi="Times New Roman" w:cs="Times New Roman"/>
          <w:sz w:val="28"/>
          <w:szCs w:val="28"/>
          <w:lang w:val="uk-UA"/>
        </w:rPr>
      </w:pPr>
    </w:p>
    <w:p w:rsidR="00DC3991" w:rsidRDefault="00DC3991" w:rsidP="00DC3991">
      <w:pPr>
        <w:spacing w:after="0" w:line="360" w:lineRule="auto"/>
        <w:ind w:firstLine="680"/>
        <w:jc w:val="both"/>
        <w:rPr>
          <w:rFonts w:ascii="Times New Roman" w:hAnsi="Times New Roman" w:cs="Times New Roman"/>
          <w:sz w:val="28"/>
          <w:szCs w:val="28"/>
          <w:lang w:val="uk-UA"/>
        </w:rPr>
      </w:pPr>
    </w:p>
    <w:p w:rsidR="00000AF8" w:rsidRDefault="00000AF8" w:rsidP="00DC3991">
      <w:pPr>
        <w:pStyle w:val="2"/>
        <w:rPr>
          <w:lang w:val="uk-UA"/>
        </w:rPr>
      </w:pPr>
      <w:bookmarkStart w:id="5" w:name="_Toc168123003"/>
      <w:r>
        <w:rPr>
          <w:lang w:val="uk-UA"/>
        </w:rPr>
        <w:t>1.1. О</w:t>
      </w:r>
      <w:r w:rsidRPr="00000AF8">
        <w:rPr>
          <w:lang w:val="uk-UA"/>
        </w:rPr>
        <w:t>собливості сучасних теоретичних підходів щодо</w:t>
      </w:r>
      <w:r>
        <w:rPr>
          <w:lang w:val="uk-UA"/>
        </w:rPr>
        <w:t xml:space="preserve"> </w:t>
      </w:r>
      <w:r w:rsidR="004142CA" w:rsidRPr="004142CA">
        <w:rPr>
          <w:lang w:val="uk-UA"/>
        </w:rPr>
        <w:t xml:space="preserve">аналізу </w:t>
      </w:r>
      <w:r w:rsidR="004142CA">
        <w:rPr>
          <w:lang w:val="uk-UA"/>
        </w:rPr>
        <w:t>розвитку</w:t>
      </w:r>
      <w:r w:rsidR="004142CA" w:rsidRPr="004142CA">
        <w:rPr>
          <w:lang w:val="uk-UA"/>
        </w:rPr>
        <w:t xml:space="preserve"> зовнішньоекономічних </w:t>
      </w:r>
      <w:r w:rsidR="004142CA">
        <w:rPr>
          <w:lang w:val="uk-UA"/>
        </w:rPr>
        <w:t>зв’язків</w:t>
      </w:r>
      <w:r w:rsidR="004142CA" w:rsidRPr="004142CA">
        <w:rPr>
          <w:lang w:val="uk-UA"/>
        </w:rPr>
        <w:t xml:space="preserve"> країн в умовах невизначеності</w:t>
      </w:r>
      <w:bookmarkEnd w:id="5"/>
    </w:p>
    <w:p w:rsidR="00DC3991" w:rsidRDefault="00DC3991" w:rsidP="00DC3991">
      <w:pPr>
        <w:spacing w:after="0" w:line="360" w:lineRule="auto"/>
        <w:ind w:firstLine="680"/>
        <w:jc w:val="both"/>
        <w:rPr>
          <w:rFonts w:ascii="Times New Roman" w:hAnsi="Times New Roman" w:cs="Times New Roman"/>
          <w:sz w:val="28"/>
          <w:szCs w:val="28"/>
          <w:lang w:val="uk-UA"/>
        </w:rPr>
      </w:pPr>
    </w:p>
    <w:p w:rsidR="00DC3991" w:rsidRPr="00334A0A" w:rsidRDefault="00334A0A"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334A0A">
        <w:rPr>
          <w:rFonts w:ascii="Times New Roman" w:hAnsi="Times New Roman" w:cs="Times New Roman"/>
          <w:sz w:val="28"/>
          <w:szCs w:val="28"/>
          <w:lang w:val="uk-UA"/>
        </w:rPr>
        <w:t>таття</w:t>
      </w:r>
      <w:r>
        <w:rPr>
          <w:rFonts w:ascii="Times New Roman" w:hAnsi="Times New Roman" w:cs="Times New Roman"/>
          <w:sz w:val="28"/>
          <w:szCs w:val="28"/>
          <w:lang w:val="uk-UA"/>
        </w:rPr>
        <w:t xml:space="preserve"> Йоша Бекманн та інш. «</w:t>
      </w:r>
      <w:r w:rsidRPr="00334A0A">
        <w:rPr>
          <w:rFonts w:ascii="Times New Roman" w:hAnsi="Times New Roman" w:cs="Times New Roman"/>
          <w:sz w:val="28"/>
          <w:szCs w:val="28"/>
          <w:lang w:val="uk-UA"/>
        </w:rPr>
        <w:t>Очікування, настрої та рух капіталу до країн з ринковою економікою, що розвивається</w:t>
      </w:r>
      <w:r>
        <w:rPr>
          <w:rFonts w:ascii="Times New Roman" w:hAnsi="Times New Roman" w:cs="Times New Roman"/>
          <w:sz w:val="28"/>
          <w:szCs w:val="28"/>
          <w:lang w:val="uk-UA"/>
        </w:rPr>
        <w:t>» (2024)</w:t>
      </w:r>
      <w:r w:rsidRPr="00334A0A">
        <w:rPr>
          <w:rFonts w:ascii="Times New Roman" w:hAnsi="Times New Roman" w:cs="Times New Roman"/>
          <w:sz w:val="28"/>
          <w:szCs w:val="28"/>
          <w:lang w:val="uk-UA"/>
        </w:rPr>
        <w:t xml:space="preserve"> пропонує новий погляд на детермінанти потоку капіталу шляхом оцінки ролі </w:t>
      </w:r>
      <w:r>
        <w:rPr>
          <w:rFonts w:ascii="Times New Roman" w:hAnsi="Times New Roman" w:cs="Times New Roman"/>
          <w:sz w:val="28"/>
          <w:szCs w:val="28"/>
          <w:lang w:val="uk-UA"/>
        </w:rPr>
        <w:t>невизначеності та очікувань щодо економічного розвитку</w:t>
      </w:r>
      <w:r w:rsidRPr="00334A0A">
        <w:rPr>
          <w:rFonts w:ascii="Times New Roman" w:hAnsi="Times New Roman" w:cs="Times New Roman"/>
          <w:sz w:val="28"/>
          <w:szCs w:val="28"/>
          <w:lang w:val="uk-UA"/>
        </w:rPr>
        <w:t xml:space="preserve">. Аналізуючи вісім країн з економікою, що розвивається, </w:t>
      </w:r>
      <w:r>
        <w:rPr>
          <w:rFonts w:ascii="Times New Roman" w:hAnsi="Times New Roman" w:cs="Times New Roman"/>
          <w:sz w:val="28"/>
          <w:szCs w:val="28"/>
          <w:lang w:val="uk-UA"/>
        </w:rPr>
        <w:t xml:space="preserve">автори оцінили </w:t>
      </w:r>
      <w:r w:rsidRPr="00334A0A">
        <w:rPr>
          <w:rFonts w:ascii="Times New Roman" w:hAnsi="Times New Roman" w:cs="Times New Roman"/>
          <w:sz w:val="28"/>
          <w:szCs w:val="28"/>
          <w:lang w:val="uk-UA"/>
        </w:rPr>
        <w:t xml:space="preserve">вплив макроекономічних очікувань, а також різні індикатори настроїв </w:t>
      </w:r>
      <w:r w:rsidR="00455167">
        <w:rPr>
          <w:rFonts w:ascii="Times New Roman" w:hAnsi="Times New Roman" w:cs="Times New Roman"/>
          <w:sz w:val="28"/>
          <w:szCs w:val="28"/>
          <w:lang w:val="uk-UA"/>
        </w:rPr>
        <w:t>та невизначеності</w:t>
      </w:r>
      <w:r w:rsidRPr="00334A0A">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Отримані</w:t>
      </w:r>
      <w:r w:rsidRPr="00334A0A">
        <w:rPr>
          <w:rFonts w:ascii="Times New Roman" w:hAnsi="Times New Roman" w:cs="Times New Roman"/>
          <w:sz w:val="28"/>
          <w:szCs w:val="28"/>
          <w:lang w:val="uk-UA"/>
        </w:rPr>
        <w:t xml:space="preserve"> результати показують, що індикатори настроїв</w:t>
      </w:r>
      <w:r>
        <w:rPr>
          <w:rFonts w:ascii="Times New Roman" w:hAnsi="Times New Roman" w:cs="Times New Roman"/>
          <w:sz w:val="28"/>
          <w:szCs w:val="28"/>
          <w:lang w:val="uk-UA"/>
        </w:rPr>
        <w:t xml:space="preserve"> та рівень невизначеності </w:t>
      </w:r>
      <w:r w:rsidRPr="00334A0A">
        <w:rPr>
          <w:rFonts w:ascii="Times New Roman" w:hAnsi="Times New Roman" w:cs="Times New Roman"/>
          <w:sz w:val="28"/>
          <w:szCs w:val="28"/>
          <w:lang w:val="uk-UA"/>
        </w:rPr>
        <w:t>містять корисну інформацію про</w:t>
      </w:r>
      <w:r w:rsidR="00455167">
        <w:rPr>
          <w:rFonts w:ascii="Times New Roman" w:hAnsi="Times New Roman" w:cs="Times New Roman"/>
          <w:sz w:val="28"/>
          <w:szCs w:val="28"/>
          <w:lang w:val="uk-UA"/>
        </w:rPr>
        <w:t xml:space="preserve"> реальну</w:t>
      </w:r>
      <w:r w:rsidRPr="00334A0A">
        <w:rPr>
          <w:rFonts w:ascii="Times New Roman" w:hAnsi="Times New Roman" w:cs="Times New Roman"/>
          <w:sz w:val="28"/>
          <w:szCs w:val="28"/>
          <w:lang w:val="uk-UA"/>
        </w:rPr>
        <w:t xml:space="preserve"> динаміку потоків капіталу, </w:t>
      </w:r>
      <w:r w:rsidR="00455167">
        <w:rPr>
          <w:rFonts w:ascii="Times New Roman" w:hAnsi="Times New Roman" w:cs="Times New Roman"/>
          <w:sz w:val="28"/>
          <w:szCs w:val="28"/>
          <w:lang w:val="uk-UA"/>
        </w:rPr>
        <w:t>що</w:t>
      </w:r>
      <w:r w:rsidRPr="00334A0A">
        <w:rPr>
          <w:rFonts w:ascii="Times New Roman" w:hAnsi="Times New Roman" w:cs="Times New Roman"/>
          <w:sz w:val="28"/>
          <w:szCs w:val="28"/>
          <w:lang w:val="uk-UA"/>
        </w:rPr>
        <w:t xml:space="preserve"> виходить за рамки впливу звичайних факторів </w:t>
      </w:r>
      <w:r>
        <w:rPr>
          <w:rFonts w:ascii="Times New Roman" w:hAnsi="Times New Roman" w:cs="Times New Roman"/>
          <w:sz w:val="28"/>
          <w:szCs w:val="28"/>
          <w:lang w:val="uk-UA"/>
        </w:rPr>
        <w:t>впливу на потоки капіталу</w:t>
      </w:r>
      <w:r w:rsidRPr="00334A0A">
        <w:rPr>
          <w:rFonts w:ascii="Times New Roman" w:hAnsi="Times New Roman" w:cs="Times New Roman"/>
          <w:sz w:val="28"/>
          <w:szCs w:val="28"/>
          <w:lang w:val="uk-UA"/>
        </w:rPr>
        <w:t xml:space="preserve"> для всіх</w:t>
      </w:r>
      <w:r>
        <w:rPr>
          <w:rFonts w:ascii="Times New Roman" w:hAnsi="Times New Roman" w:cs="Times New Roman"/>
          <w:sz w:val="28"/>
          <w:szCs w:val="28"/>
          <w:lang w:val="uk-UA"/>
        </w:rPr>
        <w:t xml:space="preserve"> проаналізованих країн</w:t>
      </w:r>
      <w:r w:rsidRPr="00334A0A">
        <w:rPr>
          <w:rFonts w:ascii="Times New Roman" w:hAnsi="Times New Roman" w:cs="Times New Roman"/>
          <w:sz w:val="28"/>
          <w:szCs w:val="28"/>
          <w:lang w:val="uk-UA"/>
        </w:rPr>
        <w:t>. Згідно з теоретичними міркуваннями, хороші новини про національну економіку</w:t>
      </w:r>
      <w:r>
        <w:rPr>
          <w:rFonts w:ascii="Times New Roman" w:hAnsi="Times New Roman" w:cs="Times New Roman"/>
          <w:sz w:val="28"/>
          <w:szCs w:val="28"/>
          <w:lang w:val="uk-UA"/>
        </w:rPr>
        <w:t xml:space="preserve"> та визначеність щодо розвитку</w:t>
      </w:r>
      <w:r w:rsidRPr="00334A0A">
        <w:rPr>
          <w:rFonts w:ascii="Times New Roman" w:hAnsi="Times New Roman" w:cs="Times New Roman"/>
          <w:sz w:val="28"/>
          <w:szCs w:val="28"/>
          <w:lang w:val="uk-UA"/>
        </w:rPr>
        <w:t xml:space="preserve"> мають тенденцію</w:t>
      </w:r>
      <w:r>
        <w:rPr>
          <w:rFonts w:ascii="Times New Roman" w:hAnsi="Times New Roman" w:cs="Times New Roman"/>
          <w:sz w:val="28"/>
          <w:szCs w:val="28"/>
          <w:lang w:val="uk-UA"/>
        </w:rPr>
        <w:t xml:space="preserve"> до збільшення потоків капіталу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1</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DC3991" w:rsidRDefault="00334A0A" w:rsidP="00DC3991">
      <w:pPr>
        <w:spacing w:after="0" w:line="360" w:lineRule="auto"/>
        <w:ind w:firstLine="680"/>
        <w:jc w:val="both"/>
        <w:rPr>
          <w:rFonts w:ascii="Times New Roman" w:hAnsi="Times New Roman" w:cs="Times New Roman"/>
          <w:sz w:val="28"/>
          <w:szCs w:val="28"/>
          <w:lang w:val="uk-UA"/>
        </w:rPr>
      </w:pPr>
      <w:r w:rsidRPr="00334A0A">
        <w:rPr>
          <w:rFonts w:ascii="Times New Roman" w:hAnsi="Times New Roman" w:cs="Times New Roman"/>
          <w:sz w:val="28"/>
          <w:szCs w:val="28"/>
          <w:lang w:val="uk-UA"/>
        </w:rPr>
        <w:t xml:space="preserve">Світова економіка дедалі більше глобалізується, оскільки фірми організовують виробництво вздовж глобальних ланцюгів створення вартості. Але останнім часом глобалізація зупинилася. </w:t>
      </w:r>
      <w:r w:rsidR="00455167">
        <w:rPr>
          <w:rFonts w:ascii="Times New Roman" w:hAnsi="Times New Roman" w:cs="Times New Roman"/>
          <w:sz w:val="28"/>
          <w:szCs w:val="28"/>
          <w:lang w:val="uk-UA"/>
        </w:rPr>
        <w:t xml:space="preserve">Робота </w:t>
      </w:r>
      <w:r w:rsidR="00455167" w:rsidRPr="00455167">
        <w:rPr>
          <w:rFonts w:ascii="Times New Roman" w:hAnsi="Times New Roman" w:cs="Times New Roman"/>
          <w:sz w:val="28"/>
          <w:szCs w:val="28"/>
          <w:lang w:val="uk-UA"/>
        </w:rPr>
        <w:t xml:space="preserve">Маріус Фабер, </w:t>
      </w:r>
      <w:r w:rsidR="00455167">
        <w:rPr>
          <w:rFonts w:ascii="Times New Roman" w:hAnsi="Times New Roman" w:cs="Times New Roman"/>
          <w:sz w:val="28"/>
          <w:szCs w:val="28"/>
          <w:lang w:val="uk-UA"/>
        </w:rPr>
        <w:t>та інш. «</w:t>
      </w:r>
      <w:r w:rsidR="00455167" w:rsidRPr="00455167">
        <w:rPr>
          <w:rFonts w:ascii="Times New Roman" w:hAnsi="Times New Roman" w:cs="Times New Roman"/>
          <w:sz w:val="28"/>
          <w:szCs w:val="28"/>
          <w:lang w:val="uk-UA"/>
        </w:rPr>
        <w:t>Глобальні ланцюжки створення вартості у світі невизначеності та автоматизації</w:t>
      </w:r>
      <w:r w:rsidR="00455167">
        <w:rPr>
          <w:rFonts w:ascii="Times New Roman" w:hAnsi="Times New Roman" w:cs="Times New Roman"/>
          <w:sz w:val="28"/>
          <w:szCs w:val="28"/>
          <w:lang w:val="uk-UA"/>
        </w:rPr>
        <w:t>» (2024)</w:t>
      </w:r>
      <w:r w:rsidRPr="00334A0A">
        <w:rPr>
          <w:rFonts w:ascii="Times New Roman" w:hAnsi="Times New Roman" w:cs="Times New Roman"/>
          <w:sz w:val="28"/>
          <w:szCs w:val="28"/>
          <w:lang w:val="uk-UA"/>
        </w:rPr>
        <w:t xml:space="preserve"> показує, що вища невизначеність у поєднанні з кращими технологіями автоматизації, ймовірно, сприяла зміні цієї тенденції. </w:t>
      </w:r>
      <w:r w:rsidR="00455167">
        <w:rPr>
          <w:rFonts w:ascii="Times New Roman" w:hAnsi="Times New Roman" w:cs="Times New Roman"/>
          <w:sz w:val="28"/>
          <w:szCs w:val="28"/>
          <w:lang w:val="uk-UA"/>
        </w:rPr>
        <w:t>Автори демонструють</w:t>
      </w:r>
      <w:r w:rsidRPr="00334A0A">
        <w:rPr>
          <w:rFonts w:ascii="Times New Roman" w:hAnsi="Times New Roman" w:cs="Times New Roman"/>
          <w:sz w:val="28"/>
          <w:szCs w:val="28"/>
          <w:lang w:val="uk-UA"/>
        </w:rPr>
        <w:t>, що правдоподібний екзогенний вплив невизначеності в країнах, що розвиваються, призводить до повернення</w:t>
      </w:r>
      <w:r w:rsidR="00455167">
        <w:rPr>
          <w:rFonts w:ascii="Times New Roman" w:hAnsi="Times New Roman" w:cs="Times New Roman"/>
          <w:sz w:val="28"/>
          <w:szCs w:val="28"/>
          <w:lang w:val="uk-UA"/>
        </w:rPr>
        <w:t xml:space="preserve"> </w:t>
      </w:r>
      <w:r w:rsidR="00455167">
        <w:rPr>
          <w:rFonts w:ascii="Times New Roman" w:hAnsi="Times New Roman" w:cs="Times New Roman"/>
          <w:sz w:val="28"/>
          <w:szCs w:val="28"/>
          <w:lang w:val="uk-UA"/>
        </w:rPr>
        <w:lastRenderedPageBreak/>
        <w:t>виробництва</w:t>
      </w:r>
      <w:r w:rsidRPr="00334A0A">
        <w:rPr>
          <w:rFonts w:ascii="Times New Roman" w:hAnsi="Times New Roman" w:cs="Times New Roman"/>
          <w:sz w:val="28"/>
          <w:szCs w:val="28"/>
          <w:lang w:val="uk-UA"/>
        </w:rPr>
        <w:t xml:space="preserve"> в країни з високим рівнем доходу, </w:t>
      </w:r>
      <w:r w:rsidR="00455167">
        <w:rPr>
          <w:rFonts w:ascii="Times New Roman" w:hAnsi="Times New Roman" w:cs="Times New Roman"/>
          <w:sz w:val="28"/>
          <w:szCs w:val="28"/>
          <w:lang w:val="uk-UA"/>
        </w:rPr>
        <w:t xml:space="preserve">але кращою визначеність щодо економічного та геополітичного стану та очікуваного розвитку </w:t>
      </w:r>
      <w:r w:rsidR="00455167" w:rsidRPr="00334A0A">
        <w:rPr>
          <w:rFonts w:ascii="Times New Roman" w:hAnsi="Times New Roman" w:cs="Times New Roman"/>
          <w:sz w:val="28"/>
          <w:szCs w:val="28"/>
          <w:lang w:val="uk-UA"/>
        </w:rPr>
        <w:t>[</w:t>
      </w:r>
      <w:r w:rsidR="00455167">
        <w:rPr>
          <w:rFonts w:ascii="Times New Roman" w:hAnsi="Times New Roman" w:cs="Times New Roman"/>
          <w:sz w:val="28"/>
          <w:szCs w:val="28"/>
          <w:lang w:val="uk-UA"/>
        </w:rPr>
        <w:t>2</w:t>
      </w:r>
      <w:r w:rsidR="00455167" w:rsidRPr="00334A0A">
        <w:rPr>
          <w:rFonts w:ascii="Times New Roman" w:hAnsi="Times New Roman" w:cs="Times New Roman"/>
          <w:sz w:val="28"/>
          <w:szCs w:val="28"/>
          <w:lang w:val="uk-UA"/>
        </w:rPr>
        <w:t>]</w:t>
      </w:r>
      <w:r w:rsidR="00455167">
        <w:rPr>
          <w:rFonts w:ascii="Times New Roman" w:hAnsi="Times New Roman" w:cs="Times New Roman"/>
          <w:sz w:val="28"/>
          <w:szCs w:val="28"/>
          <w:lang w:val="uk-UA"/>
        </w:rPr>
        <w:t>.</w:t>
      </w:r>
    </w:p>
    <w:p w:rsidR="00334A0A" w:rsidRDefault="00334A0A" w:rsidP="00455167">
      <w:pPr>
        <w:spacing w:after="0" w:line="360" w:lineRule="auto"/>
        <w:ind w:firstLine="680"/>
        <w:jc w:val="both"/>
        <w:rPr>
          <w:rFonts w:ascii="Times New Roman" w:hAnsi="Times New Roman" w:cs="Times New Roman"/>
          <w:sz w:val="28"/>
          <w:szCs w:val="28"/>
          <w:lang w:val="uk-UA"/>
        </w:rPr>
      </w:pPr>
      <w:r w:rsidRPr="00334A0A">
        <w:rPr>
          <w:rFonts w:ascii="Times New Roman" w:hAnsi="Times New Roman" w:cs="Times New Roman"/>
          <w:sz w:val="28"/>
          <w:szCs w:val="28"/>
          <w:lang w:val="uk-UA"/>
        </w:rPr>
        <w:t xml:space="preserve">Останні 15 років були насиченими подіями. Глобальна фінансова криза нагадала про важливість стабільної фінансової системи для добре функціонуючої економіки, з низькою та стабільною інфляцією та максимальною зайнятістю. З огляду на </w:t>
      </w:r>
      <w:r w:rsidR="00455167">
        <w:rPr>
          <w:rFonts w:ascii="Times New Roman" w:hAnsi="Times New Roman" w:cs="Times New Roman"/>
          <w:sz w:val="28"/>
          <w:szCs w:val="28"/>
          <w:lang w:val="uk-UA"/>
        </w:rPr>
        <w:t>нещодавню кризу пандемії</w:t>
      </w:r>
      <w:r w:rsidRPr="00334A0A">
        <w:rPr>
          <w:rFonts w:ascii="Times New Roman" w:hAnsi="Times New Roman" w:cs="Times New Roman"/>
          <w:sz w:val="28"/>
          <w:szCs w:val="28"/>
          <w:lang w:val="uk-UA"/>
        </w:rPr>
        <w:t>,</w:t>
      </w:r>
      <w:r w:rsidR="00455167">
        <w:rPr>
          <w:rFonts w:ascii="Times New Roman" w:hAnsi="Times New Roman" w:cs="Times New Roman"/>
          <w:sz w:val="28"/>
          <w:szCs w:val="28"/>
          <w:lang w:val="uk-UA"/>
        </w:rPr>
        <w:t xml:space="preserve"> автор К'яра Скотті у праці «</w:t>
      </w:r>
      <w:r w:rsidR="00455167" w:rsidRPr="00455167">
        <w:rPr>
          <w:rFonts w:ascii="Times New Roman" w:hAnsi="Times New Roman" w:cs="Times New Roman"/>
          <w:sz w:val="28"/>
          <w:szCs w:val="28"/>
          <w:lang w:val="uk-UA"/>
        </w:rPr>
        <w:t>Фінансові шоки в невизначеній економіці</w:t>
      </w:r>
      <w:r w:rsidR="00455167">
        <w:rPr>
          <w:rFonts w:ascii="Times New Roman" w:hAnsi="Times New Roman" w:cs="Times New Roman"/>
          <w:sz w:val="28"/>
          <w:szCs w:val="28"/>
          <w:lang w:val="uk-UA"/>
        </w:rPr>
        <w:t>» (2023) досліджує дане питання</w:t>
      </w:r>
      <w:r w:rsidRPr="00334A0A">
        <w:rPr>
          <w:rFonts w:ascii="Times New Roman" w:hAnsi="Times New Roman" w:cs="Times New Roman"/>
          <w:sz w:val="28"/>
          <w:szCs w:val="28"/>
          <w:lang w:val="uk-UA"/>
        </w:rPr>
        <w:t xml:space="preserve">. </w:t>
      </w:r>
      <w:r w:rsidR="00455167">
        <w:rPr>
          <w:rFonts w:ascii="Times New Roman" w:hAnsi="Times New Roman" w:cs="Times New Roman"/>
          <w:sz w:val="28"/>
          <w:szCs w:val="28"/>
          <w:lang w:val="uk-UA"/>
        </w:rPr>
        <w:t>Згідно з автором, п</w:t>
      </w:r>
      <w:r w:rsidRPr="00334A0A">
        <w:rPr>
          <w:rFonts w:ascii="Times New Roman" w:hAnsi="Times New Roman" w:cs="Times New Roman"/>
          <w:sz w:val="28"/>
          <w:szCs w:val="28"/>
          <w:lang w:val="uk-UA"/>
        </w:rPr>
        <w:t xml:space="preserve">андемія стала величезним шоком, оточеним великою невизначеністю, що ускладнило точні </w:t>
      </w:r>
      <w:r w:rsidR="00455167">
        <w:rPr>
          <w:rFonts w:ascii="Times New Roman" w:hAnsi="Times New Roman" w:cs="Times New Roman"/>
          <w:sz w:val="28"/>
          <w:szCs w:val="28"/>
          <w:lang w:val="uk-UA"/>
        </w:rPr>
        <w:t xml:space="preserve">економічні </w:t>
      </w:r>
      <w:r w:rsidRPr="00334A0A">
        <w:rPr>
          <w:rFonts w:ascii="Times New Roman" w:hAnsi="Times New Roman" w:cs="Times New Roman"/>
          <w:sz w:val="28"/>
          <w:szCs w:val="28"/>
          <w:lang w:val="uk-UA"/>
        </w:rPr>
        <w:t xml:space="preserve">прогнози в рамках традиційних моделей. У статті </w:t>
      </w:r>
      <w:r w:rsidR="00455167">
        <w:rPr>
          <w:rFonts w:ascii="Times New Roman" w:hAnsi="Times New Roman" w:cs="Times New Roman"/>
          <w:sz w:val="28"/>
          <w:szCs w:val="28"/>
          <w:lang w:val="uk-UA"/>
        </w:rPr>
        <w:t>автор робить наступні висновки</w:t>
      </w:r>
      <w:r w:rsidRPr="00334A0A">
        <w:rPr>
          <w:rFonts w:ascii="Times New Roman" w:hAnsi="Times New Roman" w:cs="Times New Roman"/>
          <w:sz w:val="28"/>
          <w:szCs w:val="28"/>
          <w:lang w:val="uk-UA"/>
        </w:rPr>
        <w:t>: невизначеність і хвостовий ризик мають циклічні зміни; фінансові потрясіння можуть мати значний вплив на макроекономічні результати; вплив шоків</w:t>
      </w:r>
      <w:r w:rsidR="00455167">
        <w:rPr>
          <w:rFonts w:ascii="Times New Roman" w:hAnsi="Times New Roman" w:cs="Times New Roman"/>
          <w:sz w:val="28"/>
          <w:szCs w:val="28"/>
          <w:lang w:val="uk-UA"/>
        </w:rPr>
        <w:t xml:space="preserve"> та невизначеності</w:t>
      </w:r>
      <w:r w:rsidRPr="00334A0A">
        <w:rPr>
          <w:rFonts w:ascii="Times New Roman" w:hAnsi="Times New Roman" w:cs="Times New Roman"/>
          <w:sz w:val="28"/>
          <w:szCs w:val="28"/>
          <w:lang w:val="uk-UA"/>
        </w:rPr>
        <w:t xml:space="preserve"> є сильнішим у періоди високої волатильності. Ці уроки мають важливе значення для політи</w:t>
      </w:r>
      <w:r w:rsidR="00455167">
        <w:rPr>
          <w:rFonts w:ascii="Times New Roman" w:hAnsi="Times New Roman" w:cs="Times New Roman"/>
          <w:sz w:val="28"/>
          <w:szCs w:val="28"/>
          <w:lang w:val="uk-UA"/>
        </w:rPr>
        <w:t xml:space="preserve">ків у сьогоднішньому нестабільному середовищі </w:t>
      </w:r>
      <w:r w:rsidR="00455167" w:rsidRPr="00334A0A">
        <w:rPr>
          <w:rFonts w:ascii="Times New Roman" w:hAnsi="Times New Roman" w:cs="Times New Roman"/>
          <w:sz w:val="28"/>
          <w:szCs w:val="28"/>
          <w:lang w:val="uk-UA"/>
        </w:rPr>
        <w:t>[</w:t>
      </w:r>
      <w:r w:rsidR="00455167">
        <w:rPr>
          <w:rFonts w:ascii="Times New Roman" w:hAnsi="Times New Roman" w:cs="Times New Roman"/>
          <w:sz w:val="28"/>
          <w:szCs w:val="28"/>
          <w:lang w:val="uk-UA"/>
        </w:rPr>
        <w:t>3</w:t>
      </w:r>
      <w:r w:rsidR="00455167" w:rsidRPr="00334A0A">
        <w:rPr>
          <w:rFonts w:ascii="Times New Roman" w:hAnsi="Times New Roman" w:cs="Times New Roman"/>
          <w:sz w:val="28"/>
          <w:szCs w:val="28"/>
          <w:lang w:val="uk-UA"/>
        </w:rPr>
        <w:t>]</w:t>
      </w:r>
      <w:r w:rsidR="00455167">
        <w:rPr>
          <w:rFonts w:ascii="Times New Roman" w:hAnsi="Times New Roman" w:cs="Times New Roman"/>
          <w:sz w:val="28"/>
          <w:szCs w:val="28"/>
          <w:lang w:val="uk-UA"/>
        </w:rPr>
        <w:t>.</w:t>
      </w:r>
    </w:p>
    <w:p w:rsidR="00334A0A" w:rsidRDefault="00455167" w:rsidP="0045516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34A0A" w:rsidRPr="00334A0A">
        <w:rPr>
          <w:rFonts w:ascii="Times New Roman" w:hAnsi="Times New Roman" w:cs="Times New Roman"/>
          <w:sz w:val="28"/>
          <w:szCs w:val="28"/>
          <w:lang w:val="uk-UA"/>
        </w:rPr>
        <w:t xml:space="preserve">ослідження </w:t>
      </w:r>
      <w:r w:rsidRPr="00455167">
        <w:rPr>
          <w:rFonts w:ascii="Times New Roman" w:hAnsi="Times New Roman" w:cs="Times New Roman"/>
          <w:sz w:val="28"/>
          <w:szCs w:val="28"/>
          <w:lang w:val="uk-UA"/>
        </w:rPr>
        <w:t>Сюелі Вей</w:t>
      </w:r>
      <w:r>
        <w:rPr>
          <w:rFonts w:ascii="Times New Roman" w:hAnsi="Times New Roman" w:cs="Times New Roman"/>
          <w:sz w:val="28"/>
          <w:szCs w:val="28"/>
          <w:lang w:val="uk-UA"/>
        </w:rPr>
        <w:t xml:space="preserve"> та інш. «</w:t>
      </w:r>
      <w:r w:rsidRPr="00455167">
        <w:rPr>
          <w:rFonts w:ascii="Times New Roman" w:hAnsi="Times New Roman" w:cs="Times New Roman"/>
          <w:sz w:val="28"/>
          <w:szCs w:val="28"/>
          <w:lang w:val="uk-UA"/>
        </w:rPr>
        <w:t>Нелінійні наслідки шоку економічної невизначеності в Китаї: історія двох фінансових режимів</w:t>
      </w:r>
      <w:r>
        <w:rPr>
          <w:rFonts w:ascii="Times New Roman" w:hAnsi="Times New Roman" w:cs="Times New Roman"/>
          <w:sz w:val="28"/>
          <w:szCs w:val="28"/>
          <w:lang w:val="uk-UA"/>
        </w:rPr>
        <w:t>» (2023) розглядає</w:t>
      </w:r>
      <w:r w:rsidR="00334A0A" w:rsidRPr="00334A0A">
        <w:rPr>
          <w:rFonts w:ascii="Times New Roman" w:hAnsi="Times New Roman" w:cs="Times New Roman"/>
          <w:sz w:val="28"/>
          <w:szCs w:val="28"/>
          <w:lang w:val="uk-UA"/>
        </w:rPr>
        <w:t xml:space="preserve"> неоднорідний вплив шоків економічної невизначеності на економіку Китаю за двох різних фінансових умов. </w:t>
      </w:r>
      <w:r>
        <w:rPr>
          <w:rFonts w:ascii="Times New Roman" w:hAnsi="Times New Roman" w:cs="Times New Roman"/>
          <w:sz w:val="28"/>
          <w:szCs w:val="28"/>
          <w:lang w:val="uk-UA"/>
        </w:rPr>
        <w:t>Автори створили</w:t>
      </w:r>
      <w:r w:rsidR="00334A0A" w:rsidRPr="00334A0A">
        <w:rPr>
          <w:rFonts w:ascii="Times New Roman" w:hAnsi="Times New Roman" w:cs="Times New Roman"/>
          <w:sz w:val="28"/>
          <w:szCs w:val="28"/>
          <w:lang w:val="uk-UA"/>
        </w:rPr>
        <w:t xml:space="preserve"> індекс фінансових умов Китаю (CFCI) шляхом поєднання динамічного ковзного середнього (DMA) з моделями TVP-FAVAR. Потім </w:t>
      </w:r>
      <w:r>
        <w:rPr>
          <w:rFonts w:ascii="Times New Roman" w:hAnsi="Times New Roman" w:cs="Times New Roman"/>
          <w:sz w:val="28"/>
          <w:szCs w:val="28"/>
          <w:lang w:val="uk-UA"/>
        </w:rPr>
        <w:t>була використана</w:t>
      </w:r>
      <w:r w:rsidR="00334A0A" w:rsidRPr="00334A0A">
        <w:rPr>
          <w:rFonts w:ascii="Times New Roman" w:hAnsi="Times New Roman" w:cs="Times New Roman"/>
          <w:sz w:val="28"/>
          <w:szCs w:val="28"/>
          <w:lang w:val="uk-UA"/>
        </w:rPr>
        <w:t xml:space="preserve"> нелінійна модель VAR, щоб дослідити, як поширення шоків економічної невизначеності залежить від ендогенного перемикання фінансових скорочень і розширень. </w:t>
      </w:r>
      <w:r>
        <w:rPr>
          <w:rFonts w:ascii="Times New Roman" w:hAnsi="Times New Roman" w:cs="Times New Roman"/>
          <w:sz w:val="28"/>
          <w:szCs w:val="28"/>
          <w:lang w:val="uk-UA"/>
        </w:rPr>
        <w:t>Отримані</w:t>
      </w:r>
      <w:r w:rsidR="00334A0A" w:rsidRPr="00334A0A">
        <w:rPr>
          <w:rFonts w:ascii="Times New Roman" w:hAnsi="Times New Roman" w:cs="Times New Roman"/>
          <w:sz w:val="28"/>
          <w:szCs w:val="28"/>
          <w:lang w:val="uk-UA"/>
        </w:rPr>
        <w:t xml:space="preserve"> результати показують, що CFCI суттєво коливається з часом, а негативний вплив шоків невизначеності приблизно вдвічі більший і більш стійкий під час фінансових скорочень. Крім того, вплив позитивних і негативних шоків невизначеності дещо асиметричний в обох двох режимах, а пояснювальна сила шоків є більшою при посиленні фінансових умов. Таким чином, ключовим </w:t>
      </w:r>
      <w:r>
        <w:rPr>
          <w:rFonts w:ascii="Times New Roman" w:hAnsi="Times New Roman" w:cs="Times New Roman"/>
          <w:sz w:val="28"/>
          <w:szCs w:val="28"/>
          <w:lang w:val="uk-UA"/>
        </w:rPr>
        <w:t>висновком</w:t>
      </w:r>
      <w:r w:rsidR="00334A0A" w:rsidRPr="00334A0A">
        <w:rPr>
          <w:rFonts w:ascii="Times New Roman" w:hAnsi="Times New Roman" w:cs="Times New Roman"/>
          <w:sz w:val="28"/>
          <w:szCs w:val="28"/>
          <w:lang w:val="uk-UA"/>
        </w:rPr>
        <w:t xml:space="preserve"> є те, що фінансові тертя посилюють передачу шоків невизначеності Китаю, а зниження процентних ставок і збільшення пропозиції кредитів є необхідними для комп</w:t>
      </w:r>
      <w:r>
        <w:rPr>
          <w:rFonts w:ascii="Times New Roman" w:hAnsi="Times New Roman" w:cs="Times New Roman"/>
          <w:sz w:val="28"/>
          <w:szCs w:val="28"/>
          <w:lang w:val="uk-UA"/>
        </w:rPr>
        <w:t xml:space="preserve">енсації несприятливих наслідків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4</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334A0A" w:rsidRDefault="00334A0A" w:rsidP="00DC3991">
      <w:pPr>
        <w:spacing w:after="0" w:line="360" w:lineRule="auto"/>
        <w:ind w:firstLine="680"/>
        <w:jc w:val="both"/>
        <w:rPr>
          <w:rFonts w:ascii="Times New Roman" w:hAnsi="Times New Roman" w:cs="Times New Roman"/>
          <w:sz w:val="28"/>
          <w:szCs w:val="28"/>
          <w:lang w:val="uk-UA"/>
        </w:rPr>
      </w:pPr>
      <w:r w:rsidRPr="00334A0A">
        <w:rPr>
          <w:rFonts w:ascii="Times New Roman" w:hAnsi="Times New Roman" w:cs="Times New Roman"/>
          <w:sz w:val="28"/>
          <w:szCs w:val="28"/>
          <w:lang w:val="uk-UA"/>
        </w:rPr>
        <w:lastRenderedPageBreak/>
        <w:t xml:space="preserve">У статті </w:t>
      </w:r>
      <w:r w:rsidR="00CE24F8">
        <w:rPr>
          <w:rFonts w:ascii="Times New Roman" w:hAnsi="Times New Roman" w:cs="Times New Roman"/>
          <w:sz w:val="28"/>
          <w:szCs w:val="28"/>
          <w:lang w:val="uk-UA"/>
        </w:rPr>
        <w:t>Тяньхан Чжоу й Венбінь Чень, Цзе Лі</w:t>
      </w:r>
      <w:r w:rsidR="00CE24F8" w:rsidRPr="00CE24F8">
        <w:rPr>
          <w:rFonts w:ascii="Times New Roman" w:hAnsi="Times New Roman" w:cs="Times New Roman"/>
          <w:sz w:val="28"/>
          <w:szCs w:val="28"/>
          <w:lang w:val="uk-UA"/>
        </w:rPr>
        <w:t xml:space="preserve"> </w:t>
      </w:r>
      <w:r w:rsidR="00CE24F8">
        <w:rPr>
          <w:rFonts w:ascii="Times New Roman" w:hAnsi="Times New Roman" w:cs="Times New Roman"/>
          <w:sz w:val="28"/>
          <w:szCs w:val="28"/>
          <w:lang w:val="uk-UA"/>
        </w:rPr>
        <w:t>«</w:t>
      </w:r>
      <w:r w:rsidR="00CE24F8" w:rsidRPr="00CE24F8">
        <w:rPr>
          <w:rFonts w:ascii="Times New Roman" w:hAnsi="Times New Roman" w:cs="Times New Roman"/>
          <w:sz w:val="28"/>
          <w:szCs w:val="28"/>
          <w:lang w:val="uk-UA"/>
        </w:rPr>
        <w:t>Невизначеність економічної політики та прямі іноземні інвестиції: докази з Китаю</w:t>
      </w:r>
      <w:r w:rsidR="00CE24F8">
        <w:rPr>
          <w:rFonts w:ascii="Times New Roman" w:hAnsi="Times New Roman" w:cs="Times New Roman"/>
          <w:sz w:val="28"/>
          <w:szCs w:val="28"/>
          <w:lang w:val="uk-UA"/>
        </w:rPr>
        <w:t xml:space="preserve">» (2023) </w:t>
      </w:r>
      <w:r w:rsidRPr="00334A0A">
        <w:rPr>
          <w:rFonts w:ascii="Times New Roman" w:hAnsi="Times New Roman" w:cs="Times New Roman"/>
          <w:sz w:val="28"/>
          <w:szCs w:val="28"/>
          <w:lang w:val="uk-UA"/>
        </w:rPr>
        <w:t xml:space="preserve">досліджується вплив невизначеності економічної політики (EPU) на прямі іноземні інвестиції (ПІІ). Використовуючи багаті варіації 264 китайських міст з 2005 по 2014 рік, </w:t>
      </w:r>
      <w:r w:rsidR="00455167">
        <w:rPr>
          <w:rFonts w:ascii="Times New Roman" w:hAnsi="Times New Roman" w:cs="Times New Roman"/>
          <w:sz w:val="28"/>
          <w:szCs w:val="28"/>
          <w:lang w:val="uk-UA"/>
        </w:rPr>
        <w:t>було виявлено</w:t>
      </w:r>
      <w:r w:rsidRPr="00334A0A">
        <w:rPr>
          <w:rFonts w:ascii="Times New Roman" w:hAnsi="Times New Roman" w:cs="Times New Roman"/>
          <w:sz w:val="28"/>
          <w:szCs w:val="28"/>
          <w:lang w:val="uk-UA"/>
        </w:rPr>
        <w:t xml:space="preserve">, що збільшення EPU призводить до зменшення припливу ПІІ. Крім того, тести на неоднорідність показують, що цей ефект є більш значущим у містах з вищим ступенем маркетизації, кращим фінансовим розвитком і вищою часткою промислового виробництва. </w:t>
      </w:r>
      <w:r w:rsidR="00455167">
        <w:rPr>
          <w:rFonts w:ascii="Times New Roman" w:hAnsi="Times New Roman" w:cs="Times New Roman"/>
          <w:sz w:val="28"/>
          <w:szCs w:val="28"/>
          <w:lang w:val="uk-UA"/>
        </w:rPr>
        <w:t>Також було зроблено висновок</w:t>
      </w:r>
      <w:r w:rsidRPr="00334A0A">
        <w:rPr>
          <w:rFonts w:ascii="Times New Roman" w:hAnsi="Times New Roman" w:cs="Times New Roman"/>
          <w:sz w:val="28"/>
          <w:szCs w:val="28"/>
          <w:lang w:val="uk-UA"/>
        </w:rPr>
        <w:t>, що ПІІ більш чутливі до змін EPU після світо</w:t>
      </w:r>
      <w:r w:rsidR="00455167">
        <w:rPr>
          <w:rFonts w:ascii="Times New Roman" w:hAnsi="Times New Roman" w:cs="Times New Roman"/>
          <w:sz w:val="28"/>
          <w:szCs w:val="28"/>
          <w:lang w:val="uk-UA"/>
        </w:rPr>
        <w:t>вої фінансової кризи 2008 року, тобто післ</w:t>
      </w:r>
      <w:r w:rsidR="00CE24F8">
        <w:rPr>
          <w:rFonts w:ascii="Times New Roman" w:hAnsi="Times New Roman" w:cs="Times New Roman"/>
          <w:sz w:val="28"/>
          <w:szCs w:val="28"/>
          <w:lang w:val="uk-UA"/>
        </w:rPr>
        <w:t>я</w:t>
      </w:r>
      <w:r w:rsidR="00455167">
        <w:rPr>
          <w:rFonts w:ascii="Times New Roman" w:hAnsi="Times New Roman" w:cs="Times New Roman"/>
          <w:sz w:val="28"/>
          <w:szCs w:val="28"/>
          <w:lang w:val="uk-UA"/>
        </w:rPr>
        <w:t xml:space="preserve"> потрясінь даного року стан невизначеності має більший вплив на економічні зв’язки країни через </w:t>
      </w:r>
      <w:r w:rsidR="00CE24F8">
        <w:rPr>
          <w:rFonts w:ascii="Times New Roman" w:hAnsi="Times New Roman" w:cs="Times New Roman"/>
          <w:sz w:val="28"/>
          <w:szCs w:val="28"/>
          <w:lang w:val="uk-UA"/>
        </w:rPr>
        <w:t xml:space="preserve">побоювання повторення наслідків кризи </w:t>
      </w:r>
      <w:r w:rsidR="00455167" w:rsidRPr="00334A0A">
        <w:rPr>
          <w:rFonts w:ascii="Times New Roman" w:hAnsi="Times New Roman" w:cs="Times New Roman"/>
          <w:sz w:val="28"/>
          <w:szCs w:val="28"/>
          <w:lang w:val="uk-UA"/>
        </w:rPr>
        <w:t>[</w:t>
      </w:r>
      <w:r w:rsidR="00455167">
        <w:rPr>
          <w:rFonts w:ascii="Times New Roman" w:hAnsi="Times New Roman" w:cs="Times New Roman"/>
          <w:sz w:val="28"/>
          <w:szCs w:val="28"/>
          <w:lang w:val="uk-UA"/>
        </w:rPr>
        <w:t>5</w:t>
      </w:r>
      <w:r w:rsidR="00455167" w:rsidRPr="00334A0A">
        <w:rPr>
          <w:rFonts w:ascii="Times New Roman" w:hAnsi="Times New Roman" w:cs="Times New Roman"/>
          <w:sz w:val="28"/>
          <w:szCs w:val="28"/>
          <w:lang w:val="uk-UA"/>
        </w:rPr>
        <w:t>]</w:t>
      </w:r>
      <w:r w:rsidR="00455167">
        <w:rPr>
          <w:rFonts w:ascii="Times New Roman" w:hAnsi="Times New Roman" w:cs="Times New Roman"/>
          <w:sz w:val="28"/>
          <w:szCs w:val="28"/>
          <w:lang w:val="uk-UA"/>
        </w:rPr>
        <w:t>.</w:t>
      </w:r>
    </w:p>
    <w:p w:rsidR="00334A0A" w:rsidRDefault="00CE24F8" w:rsidP="00CE24F8">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w:t>
      </w:r>
      <w:r w:rsidRPr="00CE24F8">
        <w:rPr>
          <w:rFonts w:ascii="Times New Roman" w:hAnsi="Times New Roman" w:cs="Times New Roman"/>
          <w:sz w:val="28"/>
          <w:szCs w:val="28"/>
          <w:lang w:val="uk-UA"/>
        </w:rPr>
        <w:t>Розпакування економічної невизначеності — вимірювання фірми, сектора та сукупних компонентів</w:t>
      </w:r>
      <w:r>
        <w:rPr>
          <w:rFonts w:ascii="Times New Roman" w:hAnsi="Times New Roman" w:cs="Times New Roman"/>
          <w:sz w:val="28"/>
          <w:szCs w:val="28"/>
          <w:lang w:val="uk-UA"/>
        </w:rPr>
        <w:t xml:space="preserve">» (2024) автори </w:t>
      </w:r>
      <w:r w:rsidRPr="00CE24F8">
        <w:rPr>
          <w:rFonts w:ascii="Times New Roman" w:hAnsi="Times New Roman" w:cs="Times New Roman"/>
          <w:sz w:val="28"/>
          <w:szCs w:val="28"/>
          <w:lang w:val="uk-UA"/>
        </w:rPr>
        <w:t>Сіаваш Мохадес</w:t>
      </w:r>
      <w:r>
        <w:rPr>
          <w:rFonts w:ascii="Times New Roman" w:hAnsi="Times New Roman" w:cs="Times New Roman"/>
          <w:sz w:val="28"/>
          <w:szCs w:val="28"/>
          <w:lang w:val="uk-UA"/>
        </w:rPr>
        <w:t xml:space="preserve"> та інш. запровадили </w:t>
      </w:r>
      <w:r w:rsidR="00334A0A" w:rsidRPr="00334A0A">
        <w:rPr>
          <w:rFonts w:ascii="Times New Roman" w:hAnsi="Times New Roman" w:cs="Times New Roman"/>
          <w:sz w:val="28"/>
          <w:szCs w:val="28"/>
          <w:lang w:val="uk-UA"/>
        </w:rPr>
        <w:t xml:space="preserve">новий метод вимірювання економічної невизначеності на рівні фірми, сектора та агрегатів за допомогою волатильності продажів і </w:t>
      </w:r>
      <w:r>
        <w:rPr>
          <w:rFonts w:ascii="Times New Roman" w:hAnsi="Times New Roman" w:cs="Times New Roman"/>
          <w:sz w:val="28"/>
          <w:szCs w:val="28"/>
          <w:lang w:val="uk-UA"/>
        </w:rPr>
        <w:t>перевірили</w:t>
      </w:r>
      <w:r w:rsidR="00334A0A" w:rsidRPr="00334A0A">
        <w:rPr>
          <w:rFonts w:ascii="Times New Roman" w:hAnsi="Times New Roman" w:cs="Times New Roman"/>
          <w:sz w:val="28"/>
          <w:szCs w:val="28"/>
          <w:lang w:val="uk-UA"/>
        </w:rPr>
        <w:t xml:space="preserve"> його з існуючими показниками макроекономічної невизначеності. </w:t>
      </w:r>
      <w:r>
        <w:rPr>
          <w:rFonts w:ascii="Times New Roman" w:hAnsi="Times New Roman" w:cs="Times New Roman"/>
          <w:sz w:val="28"/>
          <w:szCs w:val="28"/>
          <w:lang w:val="uk-UA"/>
        </w:rPr>
        <w:t>Отримані</w:t>
      </w:r>
      <w:r w:rsidR="00334A0A" w:rsidRPr="00334A0A">
        <w:rPr>
          <w:rFonts w:ascii="Times New Roman" w:hAnsi="Times New Roman" w:cs="Times New Roman"/>
          <w:sz w:val="28"/>
          <w:szCs w:val="28"/>
          <w:lang w:val="uk-UA"/>
        </w:rPr>
        <w:t xml:space="preserve"> висновки підкреслюють, що</w:t>
      </w:r>
      <w:r>
        <w:rPr>
          <w:rFonts w:ascii="Times New Roman" w:hAnsi="Times New Roman" w:cs="Times New Roman"/>
          <w:sz w:val="28"/>
          <w:szCs w:val="28"/>
          <w:lang w:val="uk-UA"/>
        </w:rPr>
        <w:t>:</w:t>
      </w:r>
      <w:r w:rsidR="00334A0A" w:rsidRPr="00334A0A">
        <w:rPr>
          <w:rFonts w:ascii="Times New Roman" w:hAnsi="Times New Roman" w:cs="Times New Roman"/>
          <w:sz w:val="28"/>
          <w:szCs w:val="28"/>
          <w:lang w:val="uk-UA"/>
        </w:rPr>
        <w:t xml:space="preserve"> макроекономічні умови є переважним джерелом невизначеності фірм</w:t>
      </w:r>
      <w:r>
        <w:rPr>
          <w:rFonts w:ascii="Times New Roman" w:hAnsi="Times New Roman" w:cs="Times New Roman"/>
          <w:sz w:val="28"/>
          <w:szCs w:val="28"/>
          <w:lang w:val="uk-UA"/>
        </w:rPr>
        <w:t xml:space="preserve">; </w:t>
      </w:r>
      <w:r w:rsidR="00334A0A" w:rsidRPr="00334A0A">
        <w:rPr>
          <w:rFonts w:ascii="Times New Roman" w:hAnsi="Times New Roman" w:cs="Times New Roman"/>
          <w:sz w:val="28"/>
          <w:szCs w:val="28"/>
          <w:lang w:val="uk-UA"/>
        </w:rPr>
        <w:t>різноманітні риси фірм спричиняють помітну неоднорідність</w:t>
      </w:r>
      <w:r>
        <w:rPr>
          <w:rFonts w:ascii="Times New Roman" w:hAnsi="Times New Roman" w:cs="Times New Roman"/>
          <w:sz w:val="28"/>
          <w:szCs w:val="28"/>
          <w:lang w:val="uk-UA"/>
        </w:rPr>
        <w:t>;</w:t>
      </w:r>
      <w:r w:rsidR="00334A0A" w:rsidRPr="00334A0A">
        <w:rPr>
          <w:rFonts w:ascii="Times New Roman" w:hAnsi="Times New Roman" w:cs="Times New Roman"/>
          <w:sz w:val="28"/>
          <w:szCs w:val="28"/>
          <w:lang w:val="uk-UA"/>
        </w:rPr>
        <w:t xml:space="preserve"> виробничий сектор демонструє найвищу невизначеність серед секторів. </w:t>
      </w:r>
      <w:r>
        <w:rPr>
          <w:rFonts w:ascii="Times New Roman" w:hAnsi="Times New Roman" w:cs="Times New Roman"/>
          <w:sz w:val="28"/>
          <w:szCs w:val="28"/>
          <w:lang w:val="uk-UA"/>
        </w:rPr>
        <w:t>Дані</w:t>
      </w:r>
      <w:r w:rsidR="00334A0A" w:rsidRPr="00334A0A">
        <w:rPr>
          <w:rFonts w:ascii="Times New Roman" w:hAnsi="Times New Roman" w:cs="Times New Roman"/>
          <w:sz w:val="28"/>
          <w:szCs w:val="28"/>
          <w:lang w:val="uk-UA"/>
        </w:rPr>
        <w:t xml:space="preserve"> висновки проливають світло на важливість фірмової та галузевої неоднорідності у вивченні невизначеності та її впливу на економічну діяльність</w:t>
      </w:r>
      <w:r>
        <w:rPr>
          <w:rFonts w:ascii="Times New Roman" w:hAnsi="Times New Roman" w:cs="Times New Roman"/>
          <w:sz w:val="28"/>
          <w:szCs w:val="28"/>
          <w:lang w:val="uk-UA"/>
        </w:rPr>
        <w:t xml:space="preserve">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6</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334A0A" w:rsidRDefault="000B1C15"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дослідженні «</w:t>
      </w:r>
      <w:r w:rsidRPr="000B1C15">
        <w:rPr>
          <w:rFonts w:ascii="Times New Roman" w:hAnsi="Times New Roman" w:cs="Times New Roman"/>
          <w:sz w:val="28"/>
          <w:szCs w:val="28"/>
          <w:lang w:val="uk-UA"/>
        </w:rPr>
        <w:t>Прямі іноземні інвестиції в умовах невизначеності та ризику: аналіз структурної векторної авторегресії</w:t>
      </w:r>
      <w:r>
        <w:rPr>
          <w:rFonts w:ascii="Times New Roman" w:hAnsi="Times New Roman" w:cs="Times New Roman"/>
          <w:sz w:val="28"/>
          <w:szCs w:val="28"/>
          <w:lang w:val="uk-UA"/>
        </w:rPr>
        <w:t xml:space="preserve">» (2023) автора </w:t>
      </w:r>
      <w:r w:rsidRPr="000B1C15">
        <w:rPr>
          <w:rFonts w:ascii="Times New Roman" w:hAnsi="Times New Roman" w:cs="Times New Roman"/>
          <w:sz w:val="28"/>
          <w:szCs w:val="28"/>
          <w:lang w:val="uk-UA"/>
        </w:rPr>
        <w:t>Сабіха Олтулулярна</w:t>
      </w:r>
      <w:r>
        <w:rPr>
          <w:rFonts w:ascii="Times New Roman" w:hAnsi="Times New Roman" w:cs="Times New Roman"/>
          <w:sz w:val="28"/>
          <w:szCs w:val="28"/>
          <w:lang w:val="uk-UA"/>
        </w:rPr>
        <w:t xml:space="preserve"> було досліджено</w:t>
      </w:r>
      <w:r w:rsidR="00334A0A" w:rsidRPr="00334A0A">
        <w:rPr>
          <w:rFonts w:ascii="Times New Roman" w:hAnsi="Times New Roman" w:cs="Times New Roman"/>
          <w:sz w:val="28"/>
          <w:szCs w:val="28"/>
          <w:lang w:val="uk-UA"/>
        </w:rPr>
        <w:t xml:space="preserve"> вплив ризику та невизначеності на прямі іноземні інвестиції в глобальному та національному масштабі для турецької економіки за допомогою моделі структурної векторної авторегресії. У разі глобальної невизначеності прямі іноземні інвестиції в Туреччині</w:t>
      </w:r>
      <w:r>
        <w:rPr>
          <w:rFonts w:ascii="Times New Roman" w:hAnsi="Times New Roman" w:cs="Times New Roman"/>
          <w:sz w:val="28"/>
          <w:szCs w:val="28"/>
          <w:lang w:val="uk-UA"/>
        </w:rPr>
        <w:t xml:space="preserve"> не зазнавали значних змін</w:t>
      </w:r>
      <w:r w:rsidR="00334A0A" w:rsidRPr="00334A0A">
        <w:rPr>
          <w:rFonts w:ascii="Times New Roman" w:hAnsi="Times New Roman" w:cs="Times New Roman"/>
          <w:sz w:val="28"/>
          <w:szCs w:val="28"/>
          <w:lang w:val="uk-UA"/>
        </w:rPr>
        <w:t xml:space="preserve">. Глобальний геополітичний ризик має негативний вплив у довгостроковій перспективі та </w:t>
      </w:r>
      <w:r w:rsidR="00334A0A" w:rsidRPr="00334A0A">
        <w:rPr>
          <w:rFonts w:ascii="Times New Roman" w:hAnsi="Times New Roman" w:cs="Times New Roman"/>
          <w:sz w:val="28"/>
          <w:szCs w:val="28"/>
          <w:lang w:val="uk-UA"/>
        </w:rPr>
        <w:lastRenderedPageBreak/>
        <w:t xml:space="preserve">позитивний вплив у короткостроковій перспективі. Зазначається, що економіко-політична невизначеність не має значного впливу на прямі іноземні інвестиції в довгостроковій перспективі, але має негативний ефект у короткостроковій перспективі. Згідно з результатами дисперсійної декомпозиції аналізу структурної векторної авторегресії, виявляється, що глобальні геополітичні ризики та економіко-політична невизначеність впливають на прямі іноземні інвестиції менше, ніж інші фактори. </w:t>
      </w:r>
      <w:r>
        <w:rPr>
          <w:rFonts w:ascii="Times New Roman" w:hAnsi="Times New Roman" w:cs="Times New Roman"/>
          <w:sz w:val="28"/>
          <w:szCs w:val="28"/>
          <w:lang w:val="uk-UA"/>
        </w:rPr>
        <w:t xml:space="preserve">Отже, </w:t>
      </w:r>
      <w:r w:rsidR="00334A0A" w:rsidRPr="00334A0A">
        <w:rPr>
          <w:rFonts w:ascii="Times New Roman" w:hAnsi="Times New Roman" w:cs="Times New Roman"/>
          <w:sz w:val="28"/>
          <w:szCs w:val="28"/>
          <w:lang w:val="uk-UA"/>
        </w:rPr>
        <w:t xml:space="preserve">на прямі іноземні інвестиції впливає невизначеність </w:t>
      </w:r>
      <w:r w:rsidRPr="00334A0A">
        <w:rPr>
          <w:rFonts w:ascii="Times New Roman" w:hAnsi="Times New Roman" w:cs="Times New Roman"/>
          <w:sz w:val="28"/>
          <w:szCs w:val="28"/>
          <w:lang w:val="uk-UA"/>
        </w:rPr>
        <w:t xml:space="preserve">і геополітичний ризик </w:t>
      </w:r>
      <w:r w:rsidR="00334A0A" w:rsidRPr="00334A0A">
        <w:rPr>
          <w:rFonts w:ascii="Times New Roman" w:hAnsi="Times New Roman" w:cs="Times New Roman"/>
          <w:sz w:val="28"/>
          <w:szCs w:val="28"/>
          <w:lang w:val="uk-UA"/>
        </w:rPr>
        <w:t xml:space="preserve">Туреччини, </w:t>
      </w:r>
      <w:r>
        <w:rPr>
          <w:rFonts w:ascii="Times New Roman" w:hAnsi="Times New Roman" w:cs="Times New Roman"/>
          <w:sz w:val="28"/>
          <w:szCs w:val="28"/>
          <w:lang w:val="uk-UA"/>
        </w:rPr>
        <w:t xml:space="preserve">а таклє </w:t>
      </w:r>
      <w:r w:rsidR="00334A0A" w:rsidRPr="00334A0A">
        <w:rPr>
          <w:rFonts w:ascii="Times New Roman" w:hAnsi="Times New Roman" w:cs="Times New Roman"/>
          <w:sz w:val="28"/>
          <w:szCs w:val="28"/>
          <w:lang w:val="uk-UA"/>
        </w:rPr>
        <w:t>глобальний г</w:t>
      </w:r>
      <w:r w:rsidR="00CE24F8">
        <w:rPr>
          <w:rFonts w:ascii="Times New Roman" w:hAnsi="Times New Roman" w:cs="Times New Roman"/>
          <w:sz w:val="28"/>
          <w:szCs w:val="28"/>
          <w:lang w:val="uk-UA"/>
        </w:rPr>
        <w:t xml:space="preserve">еополітичний ризик </w:t>
      </w:r>
      <w:r w:rsidR="00CE24F8" w:rsidRPr="00334A0A">
        <w:rPr>
          <w:rFonts w:ascii="Times New Roman" w:hAnsi="Times New Roman" w:cs="Times New Roman"/>
          <w:sz w:val="28"/>
          <w:szCs w:val="28"/>
          <w:lang w:val="uk-UA"/>
        </w:rPr>
        <w:t>[</w:t>
      </w:r>
      <w:r w:rsidR="00CE24F8">
        <w:rPr>
          <w:rFonts w:ascii="Times New Roman" w:hAnsi="Times New Roman" w:cs="Times New Roman"/>
          <w:sz w:val="28"/>
          <w:szCs w:val="28"/>
          <w:lang w:val="uk-UA"/>
        </w:rPr>
        <w:t>7</w:t>
      </w:r>
      <w:r w:rsidR="00CE24F8" w:rsidRPr="00334A0A">
        <w:rPr>
          <w:rFonts w:ascii="Times New Roman" w:hAnsi="Times New Roman" w:cs="Times New Roman"/>
          <w:sz w:val="28"/>
          <w:szCs w:val="28"/>
          <w:lang w:val="uk-UA"/>
        </w:rPr>
        <w:t>]</w:t>
      </w:r>
      <w:r w:rsidR="00CE24F8">
        <w:rPr>
          <w:rFonts w:ascii="Times New Roman" w:hAnsi="Times New Roman" w:cs="Times New Roman"/>
          <w:sz w:val="28"/>
          <w:szCs w:val="28"/>
          <w:lang w:val="uk-UA"/>
        </w:rPr>
        <w:t>.</w:t>
      </w:r>
    </w:p>
    <w:p w:rsidR="00334A0A" w:rsidRDefault="00334A0A" w:rsidP="00DC3991">
      <w:pPr>
        <w:spacing w:after="0" w:line="360" w:lineRule="auto"/>
        <w:ind w:firstLine="680"/>
        <w:jc w:val="both"/>
        <w:rPr>
          <w:rFonts w:ascii="Times New Roman" w:hAnsi="Times New Roman" w:cs="Times New Roman"/>
          <w:sz w:val="28"/>
          <w:szCs w:val="28"/>
          <w:lang w:val="uk-UA"/>
        </w:rPr>
      </w:pPr>
      <w:r w:rsidRPr="00334A0A">
        <w:rPr>
          <w:rFonts w:ascii="Times New Roman" w:hAnsi="Times New Roman" w:cs="Times New Roman"/>
          <w:sz w:val="28"/>
          <w:szCs w:val="28"/>
          <w:lang w:val="uk-UA"/>
        </w:rPr>
        <w:t xml:space="preserve">У </w:t>
      </w:r>
      <w:r w:rsidR="000B1C15" w:rsidRPr="00334A0A">
        <w:rPr>
          <w:rFonts w:ascii="Times New Roman" w:hAnsi="Times New Roman" w:cs="Times New Roman"/>
          <w:sz w:val="28"/>
          <w:szCs w:val="28"/>
          <w:lang w:val="uk-UA"/>
        </w:rPr>
        <w:t xml:space="preserve">статті </w:t>
      </w:r>
      <w:r w:rsidR="000B1C15">
        <w:rPr>
          <w:rFonts w:ascii="Times New Roman" w:hAnsi="Times New Roman" w:cs="Times New Roman"/>
          <w:sz w:val="28"/>
          <w:szCs w:val="28"/>
          <w:lang w:val="uk-UA"/>
        </w:rPr>
        <w:t>Джунхьон Кіма «</w:t>
      </w:r>
      <w:r w:rsidR="000B1C15" w:rsidRPr="000B1C15">
        <w:rPr>
          <w:rFonts w:ascii="Times New Roman" w:hAnsi="Times New Roman" w:cs="Times New Roman"/>
          <w:sz w:val="28"/>
          <w:szCs w:val="28"/>
          <w:lang w:val="uk-UA"/>
        </w:rPr>
        <w:t>Вплив шоків зовнішньої невизначеності на корейську економіку</w:t>
      </w:r>
      <w:r w:rsidR="000B1C15">
        <w:rPr>
          <w:rFonts w:ascii="Times New Roman" w:hAnsi="Times New Roman" w:cs="Times New Roman"/>
          <w:sz w:val="28"/>
          <w:szCs w:val="28"/>
          <w:lang w:val="uk-UA"/>
        </w:rPr>
        <w:t xml:space="preserve">» (2022) </w:t>
      </w:r>
      <w:r w:rsidRPr="00334A0A">
        <w:rPr>
          <w:rFonts w:ascii="Times New Roman" w:hAnsi="Times New Roman" w:cs="Times New Roman"/>
          <w:sz w:val="28"/>
          <w:szCs w:val="28"/>
          <w:lang w:val="uk-UA"/>
        </w:rPr>
        <w:t xml:space="preserve">досліджується вплив зовнішньої невизначеності на реальну економіку Південної Кореї. Використовуючи </w:t>
      </w:r>
      <w:r w:rsidR="000B1C15">
        <w:rPr>
          <w:rFonts w:ascii="Times New Roman" w:hAnsi="Times New Roman" w:cs="Times New Roman"/>
          <w:sz w:val="28"/>
          <w:szCs w:val="28"/>
          <w:lang w:val="uk-UA"/>
        </w:rPr>
        <w:t xml:space="preserve">варіації геополітичних ризиків </w:t>
      </w:r>
      <w:r w:rsidRPr="00334A0A">
        <w:rPr>
          <w:rFonts w:ascii="Times New Roman" w:hAnsi="Times New Roman" w:cs="Times New Roman"/>
          <w:sz w:val="28"/>
          <w:szCs w:val="28"/>
          <w:lang w:val="uk-UA"/>
        </w:rPr>
        <w:t xml:space="preserve">і невизначеність, пов’язану з монетарною політикою США, дослідження показує, що такі невизначеності негативно впливають на ключові внутрішні макроекономічні змінні Кореї. Слід зазначити, що цей несприятливий ефект чітко проявляється в таких секторах, як експорт і виробництво, через їх високу чутливість до динаміки зовнішнього попиту. Використовуючи мікродані, дослідження також </w:t>
      </w:r>
      <w:r w:rsidR="000B1C15">
        <w:rPr>
          <w:rFonts w:ascii="Times New Roman" w:hAnsi="Times New Roman" w:cs="Times New Roman"/>
          <w:sz w:val="28"/>
          <w:szCs w:val="28"/>
          <w:lang w:val="uk-UA"/>
        </w:rPr>
        <w:t>демонструє</w:t>
      </w:r>
      <w:r w:rsidRPr="00334A0A">
        <w:rPr>
          <w:rFonts w:ascii="Times New Roman" w:hAnsi="Times New Roman" w:cs="Times New Roman"/>
          <w:sz w:val="28"/>
          <w:szCs w:val="28"/>
          <w:lang w:val="uk-UA"/>
        </w:rPr>
        <w:t>, що зовнішня невизначеність значно скорочує експорт до країн з низьким рівнем доходу та</w:t>
      </w:r>
      <w:r w:rsidR="000B1C15">
        <w:rPr>
          <w:rFonts w:ascii="Times New Roman" w:hAnsi="Times New Roman" w:cs="Times New Roman"/>
          <w:sz w:val="28"/>
          <w:szCs w:val="28"/>
          <w:lang w:val="uk-UA"/>
        </w:rPr>
        <w:t xml:space="preserve"> експорт капіталоємких</w:t>
      </w:r>
      <w:r w:rsidRPr="00334A0A">
        <w:rPr>
          <w:rFonts w:ascii="Times New Roman" w:hAnsi="Times New Roman" w:cs="Times New Roman"/>
          <w:sz w:val="28"/>
          <w:szCs w:val="28"/>
          <w:lang w:val="uk-UA"/>
        </w:rPr>
        <w:t xml:space="preserve"> товарів. Крім того, аналіз підтверджує, що фінансові обмеження та незворотність інвестиційних рішень відіграють ключову роль у посиленні впливу зовнішньої невизначеності</w:t>
      </w:r>
      <w:r w:rsidR="000B1C15">
        <w:rPr>
          <w:rFonts w:ascii="Times New Roman" w:hAnsi="Times New Roman" w:cs="Times New Roman"/>
          <w:sz w:val="28"/>
          <w:szCs w:val="28"/>
          <w:lang w:val="uk-UA"/>
        </w:rPr>
        <w:t xml:space="preserve"> </w:t>
      </w:r>
      <w:r w:rsidR="000B1C15" w:rsidRPr="00334A0A">
        <w:rPr>
          <w:rFonts w:ascii="Times New Roman" w:hAnsi="Times New Roman" w:cs="Times New Roman"/>
          <w:sz w:val="28"/>
          <w:szCs w:val="28"/>
          <w:lang w:val="uk-UA"/>
        </w:rPr>
        <w:t>[</w:t>
      </w:r>
      <w:r w:rsidR="000B1C15">
        <w:rPr>
          <w:rFonts w:ascii="Times New Roman" w:hAnsi="Times New Roman" w:cs="Times New Roman"/>
          <w:sz w:val="28"/>
          <w:szCs w:val="28"/>
          <w:lang w:val="uk-UA"/>
        </w:rPr>
        <w:t>8</w:t>
      </w:r>
      <w:r w:rsidR="000B1C15" w:rsidRPr="00334A0A">
        <w:rPr>
          <w:rFonts w:ascii="Times New Roman" w:hAnsi="Times New Roman" w:cs="Times New Roman"/>
          <w:sz w:val="28"/>
          <w:szCs w:val="28"/>
          <w:lang w:val="uk-UA"/>
        </w:rPr>
        <w:t>]</w:t>
      </w:r>
      <w:r w:rsidR="000B1C15">
        <w:rPr>
          <w:rFonts w:ascii="Times New Roman" w:hAnsi="Times New Roman" w:cs="Times New Roman"/>
          <w:sz w:val="28"/>
          <w:szCs w:val="28"/>
          <w:lang w:val="uk-UA"/>
        </w:rPr>
        <w:t>.</w:t>
      </w:r>
    </w:p>
    <w:p w:rsidR="00334A0A" w:rsidRDefault="00334A0A" w:rsidP="00D6340D">
      <w:pPr>
        <w:spacing w:after="0" w:line="360" w:lineRule="auto"/>
        <w:ind w:firstLine="680"/>
        <w:jc w:val="both"/>
        <w:rPr>
          <w:rFonts w:ascii="Times New Roman" w:hAnsi="Times New Roman" w:cs="Times New Roman"/>
          <w:sz w:val="28"/>
          <w:szCs w:val="28"/>
          <w:lang w:val="uk-UA"/>
        </w:rPr>
      </w:pPr>
      <w:r w:rsidRPr="00334A0A">
        <w:rPr>
          <w:rFonts w:ascii="Times New Roman" w:hAnsi="Times New Roman" w:cs="Times New Roman"/>
          <w:sz w:val="28"/>
          <w:szCs w:val="28"/>
          <w:lang w:val="uk-UA"/>
        </w:rPr>
        <w:t xml:space="preserve">У </w:t>
      </w:r>
      <w:r w:rsidR="00D6340D">
        <w:rPr>
          <w:rFonts w:ascii="Times New Roman" w:hAnsi="Times New Roman" w:cs="Times New Roman"/>
          <w:sz w:val="28"/>
          <w:szCs w:val="28"/>
          <w:lang w:val="uk-UA"/>
        </w:rPr>
        <w:t>роботі «</w:t>
      </w:r>
      <w:r w:rsidR="00D6340D" w:rsidRPr="00D6340D">
        <w:rPr>
          <w:rFonts w:ascii="Times New Roman" w:hAnsi="Times New Roman" w:cs="Times New Roman"/>
          <w:sz w:val="28"/>
          <w:szCs w:val="28"/>
          <w:lang w:val="uk-UA"/>
        </w:rPr>
        <w:t>Невизначеність і довгострокова економіка: роль НДДКР і динаміки бізнесу</w:t>
      </w:r>
      <w:r w:rsidR="00D6340D">
        <w:rPr>
          <w:rFonts w:ascii="Times New Roman" w:hAnsi="Times New Roman" w:cs="Times New Roman"/>
          <w:sz w:val="28"/>
          <w:szCs w:val="28"/>
          <w:lang w:val="uk-UA"/>
        </w:rPr>
        <w:t xml:space="preserve">» (2023) автори </w:t>
      </w:r>
      <w:r w:rsidR="00D6340D" w:rsidRPr="00D6340D">
        <w:rPr>
          <w:rFonts w:ascii="Times New Roman" w:hAnsi="Times New Roman" w:cs="Times New Roman"/>
          <w:sz w:val="28"/>
          <w:szCs w:val="28"/>
          <w:lang w:val="uk-UA"/>
        </w:rPr>
        <w:t>Анджей Ч</w:t>
      </w:r>
      <w:r w:rsidR="00D6340D">
        <w:rPr>
          <w:rFonts w:ascii="Times New Roman" w:hAnsi="Times New Roman" w:cs="Times New Roman"/>
          <w:sz w:val="28"/>
          <w:szCs w:val="28"/>
          <w:lang w:val="uk-UA"/>
        </w:rPr>
        <w:t>еслік та</w:t>
      </w:r>
      <w:r w:rsidR="00D6340D" w:rsidRPr="00D6340D">
        <w:rPr>
          <w:rFonts w:ascii="Times New Roman" w:hAnsi="Times New Roman" w:cs="Times New Roman"/>
          <w:sz w:val="28"/>
          <w:szCs w:val="28"/>
          <w:lang w:val="uk-UA"/>
        </w:rPr>
        <w:t xml:space="preserve"> Мехмет Бурак Тургут</w:t>
      </w:r>
      <w:r w:rsidR="00D6340D">
        <w:rPr>
          <w:rFonts w:ascii="Times New Roman" w:hAnsi="Times New Roman" w:cs="Times New Roman"/>
          <w:sz w:val="28"/>
          <w:szCs w:val="28"/>
          <w:lang w:val="uk-UA"/>
        </w:rPr>
        <w:t xml:space="preserve"> аналізують </w:t>
      </w:r>
      <w:r w:rsidRPr="00334A0A">
        <w:rPr>
          <w:rFonts w:ascii="Times New Roman" w:hAnsi="Times New Roman" w:cs="Times New Roman"/>
          <w:sz w:val="28"/>
          <w:szCs w:val="28"/>
          <w:lang w:val="uk-UA"/>
        </w:rPr>
        <w:t xml:space="preserve">вплив шоків макроекономічної невизначеності на економіку США в довгостроковій перспективі за допомогою методології IV-SVAR за період 1960–2019 рр. </w:t>
      </w:r>
      <w:r w:rsidR="00D6340D">
        <w:rPr>
          <w:rFonts w:ascii="Times New Roman" w:hAnsi="Times New Roman" w:cs="Times New Roman"/>
          <w:sz w:val="28"/>
          <w:szCs w:val="28"/>
          <w:lang w:val="uk-UA"/>
        </w:rPr>
        <w:t>Автори досліджують</w:t>
      </w:r>
      <w:r w:rsidRPr="00334A0A">
        <w:rPr>
          <w:rFonts w:ascii="Times New Roman" w:hAnsi="Times New Roman" w:cs="Times New Roman"/>
          <w:sz w:val="28"/>
          <w:szCs w:val="28"/>
          <w:lang w:val="uk-UA"/>
        </w:rPr>
        <w:t xml:space="preserve"> коливання цін на золото як інструмент для визначення шоків невизначеності. </w:t>
      </w:r>
      <w:r w:rsidR="00D6340D">
        <w:rPr>
          <w:rFonts w:ascii="Times New Roman" w:hAnsi="Times New Roman" w:cs="Times New Roman"/>
          <w:sz w:val="28"/>
          <w:szCs w:val="28"/>
          <w:lang w:val="uk-UA"/>
        </w:rPr>
        <w:t>Було виявлено</w:t>
      </w:r>
      <w:r w:rsidRPr="00334A0A">
        <w:rPr>
          <w:rFonts w:ascii="Times New Roman" w:hAnsi="Times New Roman" w:cs="Times New Roman"/>
          <w:sz w:val="28"/>
          <w:szCs w:val="28"/>
          <w:lang w:val="uk-UA"/>
        </w:rPr>
        <w:t>, що потенційний</w:t>
      </w:r>
      <w:r w:rsidR="00D6340D">
        <w:rPr>
          <w:rFonts w:ascii="Times New Roman" w:hAnsi="Times New Roman" w:cs="Times New Roman"/>
          <w:sz w:val="28"/>
          <w:szCs w:val="28"/>
          <w:lang w:val="uk-UA"/>
        </w:rPr>
        <w:t xml:space="preserve"> промисловий</w:t>
      </w:r>
      <w:r w:rsidRPr="00334A0A">
        <w:rPr>
          <w:rFonts w:ascii="Times New Roman" w:hAnsi="Times New Roman" w:cs="Times New Roman"/>
          <w:sz w:val="28"/>
          <w:szCs w:val="28"/>
          <w:lang w:val="uk-UA"/>
        </w:rPr>
        <w:t xml:space="preserve"> </w:t>
      </w:r>
      <w:r w:rsidR="00D6340D">
        <w:rPr>
          <w:rFonts w:ascii="Times New Roman" w:hAnsi="Times New Roman" w:cs="Times New Roman"/>
          <w:sz w:val="28"/>
          <w:szCs w:val="28"/>
          <w:lang w:val="uk-UA"/>
        </w:rPr>
        <w:t xml:space="preserve">обсяг </w:t>
      </w:r>
      <w:r w:rsidRPr="00334A0A">
        <w:rPr>
          <w:rFonts w:ascii="Times New Roman" w:hAnsi="Times New Roman" w:cs="Times New Roman"/>
          <w:sz w:val="28"/>
          <w:szCs w:val="28"/>
          <w:lang w:val="uk-UA"/>
        </w:rPr>
        <w:t xml:space="preserve">постійно зменшується у відповідь на шок невизначеності. Крім того, дослідження показує, що зниження інвестицій у дослідження та розробки та динамічність бізнесу є двома </w:t>
      </w:r>
      <w:r w:rsidRPr="00334A0A">
        <w:rPr>
          <w:rFonts w:ascii="Times New Roman" w:hAnsi="Times New Roman" w:cs="Times New Roman"/>
          <w:sz w:val="28"/>
          <w:szCs w:val="28"/>
          <w:lang w:val="uk-UA"/>
        </w:rPr>
        <w:lastRenderedPageBreak/>
        <w:t>ключовими каналами передачі шоків невизначеності, які спричиняють довг</w:t>
      </w:r>
      <w:r w:rsidR="00D6340D">
        <w:rPr>
          <w:rFonts w:ascii="Times New Roman" w:hAnsi="Times New Roman" w:cs="Times New Roman"/>
          <w:sz w:val="28"/>
          <w:szCs w:val="28"/>
          <w:lang w:val="uk-UA"/>
        </w:rPr>
        <w:t xml:space="preserve">отривалі наслідки для економіки та сталого економічного розвитку </w:t>
      </w:r>
      <w:r w:rsidR="00D6340D" w:rsidRPr="00334A0A">
        <w:rPr>
          <w:rFonts w:ascii="Times New Roman" w:hAnsi="Times New Roman" w:cs="Times New Roman"/>
          <w:sz w:val="28"/>
          <w:szCs w:val="28"/>
          <w:lang w:val="uk-UA"/>
        </w:rPr>
        <w:t>[</w:t>
      </w:r>
      <w:r w:rsidR="00D6340D">
        <w:rPr>
          <w:rFonts w:ascii="Times New Roman" w:hAnsi="Times New Roman" w:cs="Times New Roman"/>
          <w:sz w:val="28"/>
          <w:szCs w:val="28"/>
          <w:lang w:val="uk-UA"/>
        </w:rPr>
        <w:t>9</w:t>
      </w:r>
      <w:r w:rsidR="00D6340D" w:rsidRPr="00334A0A">
        <w:rPr>
          <w:rFonts w:ascii="Times New Roman" w:hAnsi="Times New Roman" w:cs="Times New Roman"/>
          <w:sz w:val="28"/>
          <w:szCs w:val="28"/>
          <w:lang w:val="uk-UA"/>
        </w:rPr>
        <w:t>]</w:t>
      </w:r>
      <w:r w:rsidR="00D6340D">
        <w:rPr>
          <w:rFonts w:ascii="Times New Roman" w:hAnsi="Times New Roman" w:cs="Times New Roman"/>
          <w:sz w:val="28"/>
          <w:szCs w:val="28"/>
          <w:lang w:val="uk-UA"/>
        </w:rPr>
        <w:t>.</w:t>
      </w:r>
    </w:p>
    <w:p w:rsidR="00334A0A" w:rsidRDefault="00334A0A" w:rsidP="00DC3991">
      <w:pPr>
        <w:spacing w:after="0" w:line="360" w:lineRule="auto"/>
        <w:ind w:firstLine="680"/>
        <w:jc w:val="both"/>
        <w:rPr>
          <w:rFonts w:ascii="Times New Roman" w:hAnsi="Times New Roman" w:cs="Times New Roman"/>
          <w:sz w:val="28"/>
          <w:szCs w:val="28"/>
          <w:lang w:val="uk-UA"/>
        </w:rPr>
      </w:pPr>
      <w:r w:rsidRPr="00334A0A">
        <w:rPr>
          <w:rFonts w:ascii="Times New Roman" w:hAnsi="Times New Roman" w:cs="Times New Roman"/>
          <w:sz w:val="28"/>
          <w:szCs w:val="28"/>
          <w:lang w:val="uk-UA"/>
        </w:rPr>
        <w:t xml:space="preserve">У документі </w:t>
      </w:r>
      <w:r w:rsidR="00424701">
        <w:rPr>
          <w:rFonts w:ascii="Times New Roman" w:hAnsi="Times New Roman" w:cs="Times New Roman"/>
          <w:sz w:val="28"/>
          <w:szCs w:val="28"/>
          <w:lang w:val="uk-UA"/>
        </w:rPr>
        <w:t>Філіппо Арігоні та Чрт Ленарчича</w:t>
      </w:r>
      <w:r w:rsidR="00424701" w:rsidRPr="00424701">
        <w:rPr>
          <w:rFonts w:ascii="Times New Roman" w:hAnsi="Times New Roman" w:cs="Times New Roman"/>
          <w:sz w:val="28"/>
          <w:szCs w:val="28"/>
          <w:lang w:val="uk-UA"/>
        </w:rPr>
        <w:t xml:space="preserve"> </w:t>
      </w:r>
      <w:r w:rsidR="00424701">
        <w:rPr>
          <w:rFonts w:ascii="Times New Roman" w:hAnsi="Times New Roman" w:cs="Times New Roman"/>
          <w:sz w:val="28"/>
          <w:szCs w:val="28"/>
          <w:lang w:val="uk-UA"/>
        </w:rPr>
        <w:t>«</w:t>
      </w:r>
      <w:r w:rsidR="00424701" w:rsidRPr="00424701">
        <w:rPr>
          <w:rFonts w:ascii="Times New Roman" w:hAnsi="Times New Roman" w:cs="Times New Roman"/>
          <w:sz w:val="28"/>
          <w:szCs w:val="28"/>
          <w:lang w:val="uk-UA"/>
        </w:rPr>
        <w:t>Шоки зовнішньоекономічної невизначеності та реальна активність у Єврозоні</w:t>
      </w:r>
      <w:r w:rsidR="00424701">
        <w:rPr>
          <w:rFonts w:ascii="Times New Roman" w:hAnsi="Times New Roman" w:cs="Times New Roman"/>
          <w:sz w:val="28"/>
          <w:szCs w:val="28"/>
          <w:lang w:val="uk-UA"/>
        </w:rPr>
        <w:t xml:space="preserve">» (2023) </w:t>
      </w:r>
      <w:r w:rsidRPr="00334A0A">
        <w:rPr>
          <w:rFonts w:ascii="Times New Roman" w:hAnsi="Times New Roman" w:cs="Times New Roman"/>
          <w:sz w:val="28"/>
          <w:szCs w:val="28"/>
          <w:lang w:val="uk-UA"/>
        </w:rPr>
        <w:t xml:space="preserve">оцінюється модель байєсівської VAR на основі даних </w:t>
      </w:r>
      <w:r w:rsidR="00424701" w:rsidRPr="00334A0A">
        <w:rPr>
          <w:rFonts w:ascii="Times New Roman" w:hAnsi="Times New Roman" w:cs="Times New Roman"/>
          <w:sz w:val="28"/>
          <w:szCs w:val="28"/>
          <w:lang w:val="uk-UA"/>
        </w:rPr>
        <w:t>Єврозони</w:t>
      </w:r>
      <w:r w:rsidRPr="00334A0A">
        <w:rPr>
          <w:rFonts w:ascii="Times New Roman" w:hAnsi="Times New Roman" w:cs="Times New Roman"/>
          <w:sz w:val="28"/>
          <w:szCs w:val="28"/>
          <w:lang w:val="uk-UA"/>
        </w:rPr>
        <w:t xml:space="preserve"> та кількісно визначається реакція реальної діяльності на шоки невизначеності економічної політики, які виникають за кордоном. </w:t>
      </w:r>
      <w:r w:rsidR="00424701">
        <w:rPr>
          <w:rFonts w:ascii="Times New Roman" w:hAnsi="Times New Roman" w:cs="Times New Roman"/>
          <w:sz w:val="28"/>
          <w:szCs w:val="28"/>
          <w:lang w:val="uk-UA"/>
        </w:rPr>
        <w:t>Отримані</w:t>
      </w:r>
      <w:r w:rsidRPr="00334A0A">
        <w:rPr>
          <w:rFonts w:ascii="Times New Roman" w:hAnsi="Times New Roman" w:cs="Times New Roman"/>
          <w:sz w:val="28"/>
          <w:szCs w:val="28"/>
          <w:lang w:val="uk-UA"/>
        </w:rPr>
        <w:t xml:space="preserve"> результати показують, що невизначеність США та Китаю пояснює більшу частку коливань, ніж невизначеність Європи. У розширеній установці </w:t>
      </w:r>
      <w:r w:rsidR="00424701">
        <w:rPr>
          <w:rFonts w:ascii="Times New Roman" w:hAnsi="Times New Roman" w:cs="Times New Roman"/>
          <w:sz w:val="28"/>
          <w:szCs w:val="28"/>
          <w:lang w:val="uk-UA"/>
        </w:rPr>
        <w:t>було виконано</w:t>
      </w:r>
      <w:r w:rsidRPr="00334A0A">
        <w:rPr>
          <w:rFonts w:ascii="Times New Roman" w:hAnsi="Times New Roman" w:cs="Times New Roman"/>
          <w:sz w:val="28"/>
          <w:szCs w:val="28"/>
          <w:lang w:val="uk-UA"/>
        </w:rPr>
        <w:t xml:space="preserve"> контрфактологічне моделювання та </w:t>
      </w:r>
      <w:r w:rsidR="00424701">
        <w:rPr>
          <w:rFonts w:ascii="Times New Roman" w:hAnsi="Times New Roman" w:cs="Times New Roman"/>
          <w:sz w:val="28"/>
          <w:szCs w:val="28"/>
          <w:lang w:val="uk-UA"/>
        </w:rPr>
        <w:t>перевірено</w:t>
      </w:r>
      <w:r w:rsidRPr="00334A0A">
        <w:rPr>
          <w:rFonts w:ascii="Times New Roman" w:hAnsi="Times New Roman" w:cs="Times New Roman"/>
          <w:sz w:val="28"/>
          <w:szCs w:val="28"/>
          <w:lang w:val="uk-UA"/>
        </w:rPr>
        <w:t xml:space="preserve"> наявність зовнішнього каналу зовнішньоекономічної невизначеності, який посилює реальні наслідки шоків невизначеності США та Китаю. Моделювання також документує незначну роль двосторонньої торгової діяльності в механізмі передачі китайських шоків. </w:t>
      </w:r>
      <w:r w:rsidR="00424701">
        <w:rPr>
          <w:rFonts w:ascii="Times New Roman" w:hAnsi="Times New Roman" w:cs="Times New Roman"/>
          <w:sz w:val="28"/>
          <w:szCs w:val="28"/>
          <w:lang w:val="uk-UA"/>
        </w:rPr>
        <w:t>Також підкреслюється</w:t>
      </w:r>
      <w:r w:rsidRPr="00334A0A">
        <w:rPr>
          <w:rFonts w:ascii="Times New Roman" w:hAnsi="Times New Roman" w:cs="Times New Roman"/>
          <w:sz w:val="28"/>
          <w:szCs w:val="28"/>
          <w:lang w:val="uk-UA"/>
        </w:rPr>
        <w:t>, що структурні внутрішні фактори формують специфічну для регіону та країни невизначеність у поширенні шоків невизначеності зовнішньоеконом</w:t>
      </w:r>
      <w:r w:rsidR="00D6340D">
        <w:rPr>
          <w:rFonts w:ascii="Times New Roman" w:hAnsi="Times New Roman" w:cs="Times New Roman"/>
          <w:sz w:val="28"/>
          <w:szCs w:val="28"/>
          <w:lang w:val="uk-UA"/>
        </w:rPr>
        <w:t xml:space="preserve">ічної політики на економіку </w:t>
      </w:r>
      <w:r w:rsidR="00D6340D" w:rsidRPr="00334A0A">
        <w:rPr>
          <w:rFonts w:ascii="Times New Roman" w:hAnsi="Times New Roman" w:cs="Times New Roman"/>
          <w:sz w:val="28"/>
          <w:szCs w:val="28"/>
          <w:lang w:val="uk-UA"/>
        </w:rPr>
        <w:t>[</w:t>
      </w:r>
      <w:r w:rsidR="00D6340D">
        <w:rPr>
          <w:rFonts w:ascii="Times New Roman" w:hAnsi="Times New Roman" w:cs="Times New Roman"/>
          <w:sz w:val="28"/>
          <w:szCs w:val="28"/>
          <w:lang w:val="uk-UA"/>
        </w:rPr>
        <w:t>10</w:t>
      </w:r>
      <w:r w:rsidR="00D6340D" w:rsidRPr="00334A0A">
        <w:rPr>
          <w:rFonts w:ascii="Times New Roman" w:hAnsi="Times New Roman" w:cs="Times New Roman"/>
          <w:sz w:val="28"/>
          <w:szCs w:val="28"/>
          <w:lang w:val="uk-UA"/>
        </w:rPr>
        <w:t>]</w:t>
      </w:r>
      <w:r w:rsidR="00D6340D">
        <w:rPr>
          <w:rFonts w:ascii="Times New Roman" w:hAnsi="Times New Roman" w:cs="Times New Roman"/>
          <w:sz w:val="28"/>
          <w:szCs w:val="28"/>
          <w:lang w:val="uk-UA"/>
        </w:rPr>
        <w:t>.</w:t>
      </w:r>
    </w:p>
    <w:p w:rsidR="00334A0A" w:rsidRDefault="00334A0A" w:rsidP="005D4BD5">
      <w:pPr>
        <w:spacing w:after="0" w:line="360" w:lineRule="auto"/>
        <w:ind w:firstLine="680"/>
        <w:jc w:val="both"/>
        <w:rPr>
          <w:rFonts w:ascii="Times New Roman" w:hAnsi="Times New Roman" w:cs="Times New Roman"/>
          <w:sz w:val="28"/>
          <w:szCs w:val="28"/>
          <w:lang w:val="uk-UA"/>
        </w:rPr>
      </w:pPr>
      <w:r w:rsidRPr="00334A0A">
        <w:rPr>
          <w:rFonts w:ascii="Times New Roman" w:hAnsi="Times New Roman" w:cs="Times New Roman"/>
          <w:sz w:val="28"/>
          <w:szCs w:val="28"/>
          <w:lang w:val="uk-UA"/>
        </w:rPr>
        <w:t xml:space="preserve">У статті </w:t>
      </w:r>
      <w:r w:rsidR="00424701">
        <w:rPr>
          <w:rFonts w:ascii="Times New Roman" w:hAnsi="Times New Roman" w:cs="Times New Roman"/>
          <w:sz w:val="28"/>
          <w:szCs w:val="28"/>
          <w:lang w:val="uk-UA"/>
        </w:rPr>
        <w:t>«</w:t>
      </w:r>
      <w:r w:rsidR="00424701" w:rsidRPr="00424701">
        <w:rPr>
          <w:rFonts w:ascii="Times New Roman" w:hAnsi="Times New Roman" w:cs="Times New Roman"/>
          <w:sz w:val="28"/>
          <w:szCs w:val="28"/>
          <w:lang w:val="uk-UA"/>
        </w:rPr>
        <w:t>Невизначеність економічної політики та взаємодія ризиків у Китаї, США та Японії: підхід GARCH із вейвлет-багатовимірним перемиканням Маркова</w:t>
      </w:r>
      <w:r w:rsidR="00424701">
        <w:rPr>
          <w:rFonts w:ascii="Times New Roman" w:hAnsi="Times New Roman" w:cs="Times New Roman"/>
          <w:sz w:val="28"/>
          <w:szCs w:val="28"/>
          <w:lang w:val="uk-UA"/>
        </w:rPr>
        <w:t xml:space="preserve">» (2022) автори </w:t>
      </w:r>
      <w:r w:rsidR="00424701" w:rsidRPr="00424701">
        <w:rPr>
          <w:rFonts w:ascii="Times New Roman" w:hAnsi="Times New Roman" w:cs="Times New Roman"/>
          <w:sz w:val="28"/>
          <w:szCs w:val="28"/>
          <w:lang w:val="uk-UA"/>
        </w:rPr>
        <w:t>Лін Лінь</w:t>
      </w:r>
      <w:r w:rsidR="00424701">
        <w:rPr>
          <w:rFonts w:ascii="Times New Roman" w:hAnsi="Times New Roman" w:cs="Times New Roman"/>
          <w:sz w:val="28"/>
          <w:szCs w:val="28"/>
          <w:lang w:val="uk-UA"/>
        </w:rPr>
        <w:t xml:space="preserve"> та інш. досліджують </w:t>
      </w:r>
      <w:r w:rsidRPr="00334A0A">
        <w:rPr>
          <w:rFonts w:ascii="Times New Roman" w:hAnsi="Times New Roman" w:cs="Times New Roman"/>
          <w:sz w:val="28"/>
          <w:szCs w:val="28"/>
          <w:lang w:val="uk-UA"/>
        </w:rPr>
        <w:t>взаємодію ризиків між невизначеністю економічної політики</w:t>
      </w:r>
      <w:r w:rsidR="005D4BD5">
        <w:rPr>
          <w:rFonts w:ascii="Times New Roman" w:hAnsi="Times New Roman" w:cs="Times New Roman"/>
          <w:sz w:val="28"/>
          <w:szCs w:val="28"/>
          <w:lang w:val="uk-UA"/>
        </w:rPr>
        <w:t xml:space="preserve"> (</w:t>
      </w:r>
      <w:r w:rsidR="005D4BD5" w:rsidRPr="00334A0A">
        <w:rPr>
          <w:rFonts w:ascii="Times New Roman" w:hAnsi="Times New Roman" w:cs="Times New Roman"/>
          <w:sz w:val="28"/>
          <w:szCs w:val="28"/>
          <w:lang w:val="uk-UA"/>
        </w:rPr>
        <w:t>EPU</w:t>
      </w:r>
      <w:r w:rsidR="005D4BD5">
        <w:rPr>
          <w:rFonts w:ascii="Times New Roman" w:hAnsi="Times New Roman" w:cs="Times New Roman"/>
          <w:sz w:val="28"/>
          <w:szCs w:val="28"/>
          <w:lang w:val="uk-UA"/>
        </w:rPr>
        <w:t>)</w:t>
      </w:r>
      <w:r w:rsidRPr="00334A0A">
        <w:rPr>
          <w:rFonts w:ascii="Times New Roman" w:hAnsi="Times New Roman" w:cs="Times New Roman"/>
          <w:sz w:val="28"/>
          <w:szCs w:val="28"/>
          <w:lang w:val="uk-UA"/>
        </w:rPr>
        <w:t xml:space="preserve">. </w:t>
      </w:r>
      <w:r w:rsidR="00424701">
        <w:rPr>
          <w:rFonts w:ascii="Times New Roman" w:hAnsi="Times New Roman" w:cs="Times New Roman"/>
          <w:sz w:val="28"/>
          <w:szCs w:val="28"/>
          <w:lang w:val="uk-UA"/>
        </w:rPr>
        <w:t>Автори використовують</w:t>
      </w:r>
      <w:r w:rsidRPr="00334A0A">
        <w:rPr>
          <w:rFonts w:ascii="Times New Roman" w:hAnsi="Times New Roman" w:cs="Times New Roman"/>
          <w:sz w:val="28"/>
          <w:szCs w:val="28"/>
          <w:lang w:val="uk-UA"/>
        </w:rPr>
        <w:t xml:space="preserve"> метод ICEEMDAN для розкладання EPU на різні компоненти. Потім </w:t>
      </w:r>
      <w:r w:rsidR="00854D51">
        <w:rPr>
          <w:rFonts w:ascii="Times New Roman" w:hAnsi="Times New Roman" w:cs="Times New Roman"/>
          <w:sz w:val="28"/>
          <w:szCs w:val="28"/>
          <w:lang w:val="uk-UA"/>
        </w:rPr>
        <w:t xml:space="preserve">було використано </w:t>
      </w:r>
      <w:r w:rsidRPr="00334A0A">
        <w:rPr>
          <w:rFonts w:ascii="Times New Roman" w:hAnsi="Times New Roman" w:cs="Times New Roman"/>
          <w:sz w:val="28"/>
          <w:szCs w:val="28"/>
          <w:lang w:val="uk-UA"/>
        </w:rPr>
        <w:t xml:space="preserve">багатовимірну модель GARCH із процесом перемикання режимів Маркова, щоб оцінити взаємодію ризиків за різними часовими та частотними компонентами. </w:t>
      </w:r>
      <w:r w:rsidR="00854D51">
        <w:rPr>
          <w:rFonts w:ascii="Times New Roman" w:hAnsi="Times New Roman" w:cs="Times New Roman"/>
          <w:sz w:val="28"/>
          <w:szCs w:val="28"/>
          <w:lang w:val="uk-UA"/>
        </w:rPr>
        <w:t>Отримані</w:t>
      </w:r>
      <w:r w:rsidRPr="00334A0A">
        <w:rPr>
          <w:rFonts w:ascii="Times New Roman" w:hAnsi="Times New Roman" w:cs="Times New Roman"/>
          <w:sz w:val="28"/>
          <w:szCs w:val="28"/>
          <w:lang w:val="uk-UA"/>
        </w:rPr>
        <w:t xml:space="preserve"> результати, по-перше, показують, що існує певна взаємодія ризиків економіки Китаю та Японії з економічним розвитком США навіть у періоди підйому. По-друге, коли загальний розвиток економіки виглядає багатообіцяючим, взаємодія між Китаєм і Японією є значною. Так само це явище спостерігається між Сполученими Штатами та Японією. Крім того, взаємодія нестабільності ризику від економічного розвитку США до Китаю виявляється, коли економіка </w:t>
      </w:r>
      <w:r w:rsidR="00854D51">
        <w:rPr>
          <w:rFonts w:ascii="Times New Roman" w:hAnsi="Times New Roman" w:cs="Times New Roman"/>
          <w:sz w:val="28"/>
          <w:szCs w:val="28"/>
          <w:lang w:val="uk-UA"/>
        </w:rPr>
        <w:t>в стабільному стані</w:t>
      </w:r>
      <w:r w:rsidRPr="00334A0A">
        <w:rPr>
          <w:rFonts w:ascii="Times New Roman" w:hAnsi="Times New Roman" w:cs="Times New Roman"/>
          <w:sz w:val="28"/>
          <w:szCs w:val="28"/>
          <w:lang w:val="uk-UA"/>
        </w:rPr>
        <w:t xml:space="preserve">. По-третє, коли економіка </w:t>
      </w:r>
      <w:r w:rsidRPr="00334A0A">
        <w:rPr>
          <w:rFonts w:ascii="Times New Roman" w:hAnsi="Times New Roman" w:cs="Times New Roman"/>
          <w:sz w:val="28"/>
          <w:szCs w:val="28"/>
          <w:lang w:val="uk-UA"/>
        </w:rPr>
        <w:lastRenderedPageBreak/>
        <w:t xml:space="preserve">Китаю, Сполучених Штатів і Японії перебуває в стані спаду або навіть у </w:t>
      </w:r>
      <w:r w:rsidR="00854D51">
        <w:rPr>
          <w:rFonts w:ascii="Times New Roman" w:hAnsi="Times New Roman" w:cs="Times New Roman"/>
          <w:sz w:val="28"/>
          <w:szCs w:val="28"/>
          <w:lang w:val="uk-UA"/>
        </w:rPr>
        <w:t>рецесії</w:t>
      </w:r>
      <w:r w:rsidRPr="00334A0A">
        <w:rPr>
          <w:rFonts w:ascii="Times New Roman" w:hAnsi="Times New Roman" w:cs="Times New Roman"/>
          <w:sz w:val="28"/>
          <w:szCs w:val="28"/>
          <w:lang w:val="uk-UA"/>
        </w:rPr>
        <w:t xml:space="preserve">, взаємодія ризиків між ними є значною. Нарешті, під впливом нерегулярних подій найвища динамічна кореляція невизначеності економічної політики спостерігається між Китаєм і США до 2008 року, а після 2008 року найвища динамічна кореляція невизначеності економічної політики спостерігається між США та Японією. Крім того, під впливом екстремальних подій загальна волатильність динамічної кореляції невизначеності економічної політики між </w:t>
      </w:r>
      <w:r w:rsidR="00854D51">
        <w:rPr>
          <w:rFonts w:ascii="Times New Roman" w:hAnsi="Times New Roman" w:cs="Times New Roman"/>
          <w:sz w:val="28"/>
          <w:szCs w:val="28"/>
          <w:lang w:val="uk-UA"/>
        </w:rPr>
        <w:t>країнами</w:t>
      </w:r>
      <w:r w:rsidR="00424701">
        <w:rPr>
          <w:rFonts w:ascii="Times New Roman" w:hAnsi="Times New Roman" w:cs="Times New Roman"/>
          <w:sz w:val="28"/>
          <w:szCs w:val="28"/>
          <w:lang w:val="uk-UA"/>
        </w:rPr>
        <w:t xml:space="preserve"> майже однакова </w:t>
      </w:r>
      <w:r w:rsidR="00424701" w:rsidRPr="00334A0A">
        <w:rPr>
          <w:rFonts w:ascii="Times New Roman" w:hAnsi="Times New Roman" w:cs="Times New Roman"/>
          <w:sz w:val="28"/>
          <w:szCs w:val="28"/>
          <w:lang w:val="uk-UA"/>
        </w:rPr>
        <w:t>[</w:t>
      </w:r>
      <w:r w:rsidR="00424701">
        <w:rPr>
          <w:rFonts w:ascii="Times New Roman" w:hAnsi="Times New Roman" w:cs="Times New Roman"/>
          <w:sz w:val="28"/>
          <w:szCs w:val="28"/>
          <w:lang w:val="uk-UA"/>
        </w:rPr>
        <w:t>11</w:t>
      </w:r>
      <w:r w:rsidR="00424701" w:rsidRPr="00334A0A">
        <w:rPr>
          <w:rFonts w:ascii="Times New Roman" w:hAnsi="Times New Roman" w:cs="Times New Roman"/>
          <w:sz w:val="28"/>
          <w:szCs w:val="28"/>
          <w:lang w:val="uk-UA"/>
        </w:rPr>
        <w:t>]</w:t>
      </w:r>
      <w:r w:rsidR="00424701">
        <w:rPr>
          <w:rFonts w:ascii="Times New Roman" w:hAnsi="Times New Roman" w:cs="Times New Roman"/>
          <w:sz w:val="28"/>
          <w:szCs w:val="28"/>
          <w:lang w:val="uk-UA"/>
        </w:rPr>
        <w:t>.</w:t>
      </w:r>
    </w:p>
    <w:p w:rsidR="00334A0A" w:rsidRDefault="00854D51" w:rsidP="00854D5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Автори </w:t>
      </w:r>
      <w:r w:rsidRPr="00854D51">
        <w:rPr>
          <w:rFonts w:ascii="Times New Roman" w:hAnsi="Times New Roman" w:cs="Times New Roman"/>
          <w:sz w:val="28"/>
          <w:szCs w:val="28"/>
          <w:lang w:val="uk-UA"/>
        </w:rPr>
        <w:t>Чао Ву</w:t>
      </w:r>
      <w:r>
        <w:rPr>
          <w:rFonts w:ascii="Times New Roman" w:hAnsi="Times New Roman" w:cs="Times New Roman"/>
          <w:sz w:val="28"/>
          <w:szCs w:val="28"/>
          <w:lang w:val="uk-UA"/>
        </w:rPr>
        <w:t xml:space="preserve"> та інш. у роботі «</w:t>
      </w:r>
      <w:r w:rsidRPr="00854D51">
        <w:rPr>
          <w:rFonts w:ascii="Times New Roman" w:hAnsi="Times New Roman" w:cs="Times New Roman"/>
          <w:sz w:val="28"/>
          <w:szCs w:val="28"/>
          <w:lang w:val="uk-UA"/>
        </w:rPr>
        <w:t>Поширення торговельної невизначеності між країнами та механізми їх формування</w:t>
      </w:r>
      <w:r>
        <w:rPr>
          <w:rFonts w:ascii="Times New Roman" w:hAnsi="Times New Roman" w:cs="Times New Roman"/>
          <w:sz w:val="28"/>
          <w:szCs w:val="28"/>
          <w:lang w:val="uk-UA"/>
        </w:rPr>
        <w:t xml:space="preserve">» (2022) досліджують поширення </w:t>
      </w:r>
      <w:r w:rsidR="00334A0A" w:rsidRPr="00334A0A">
        <w:rPr>
          <w:rFonts w:ascii="Times New Roman" w:hAnsi="Times New Roman" w:cs="Times New Roman"/>
          <w:sz w:val="28"/>
          <w:szCs w:val="28"/>
          <w:lang w:val="uk-UA"/>
        </w:rPr>
        <w:t>невизначеності</w:t>
      </w:r>
      <w:r>
        <w:rPr>
          <w:rFonts w:ascii="Times New Roman" w:hAnsi="Times New Roman" w:cs="Times New Roman"/>
          <w:sz w:val="28"/>
          <w:szCs w:val="28"/>
          <w:lang w:val="uk-UA"/>
        </w:rPr>
        <w:t xml:space="preserve"> на сферу міжнародної торгівлі в </w:t>
      </w:r>
      <w:r w:rsidR="00334A0A" w:rsidRPr="00334A0A">
        <w:rPr>
          <w:rFonts w:ascii="Times New Roman" w:hAnsi="Times New Roman" w:cs="Times New Roman"/>
          <w:sz w:val="28"/>
          <w:szCs w:val="28"/>
          <w:lang w:val="uk-UA"/>
        </w:rPr>
        <w:t xml:space="preserve">15 репрезентативних країнах за допомогою моделі DF-SV, а також емпірично </w:t>
      </w:r>
      <w:r>
        <w:rPr>
          <w:rFonts w:ascii="Times New Roman" w:hAnsi="Times New Roman" w:cs="Times New Roman"/>
          <w:sz w:val="28"/>
          <w:szCs w:val="28"/>
          <w:lang w:val="uk-UA"/>
        </w:rPr>
        <w:t xml:space="preserve">аналізують </w:t>
      </w:r>
      <w:r w:rsidR="00334A0A" w:rsidRPr="00334A0A">
        <w:rPr>
          <w:rFonts w:ascii="Times New Roman" w:hAnsi="Times New Roman" w:cs="Times New Roman"/>
          <w:sz w:val="28"/>
          <w:szCs w:val="28"/>
          <w:lang w:val="uk-UA"/>
        </w:rPr>
        <w:t xml:space="preserve">ефекти </w:t>
      </w:r>
      <w:r>
        <w:rPr>
          <w:rFonts w:ascii="Times New Roman" w:hAnsi="Times New Roman" w:cs="Times New Roman"/>
          <w:sz w:val="28"/>
          <w:szCs w:val="28"/>
          <w:lang w:val="uk-UA"/>
        </w:rPr>
        <w:t>поширення шоків</w:t>
      </w:r>
      <w:r w:rsidR="00334A0A" w:rsidRPr="00334A0A">
        <w:rPr>
          <w:rFonts w:ascii="Times New Roman" w:hAnsi="Times New Roman" w:cs="Times New Roman"/>
          <w:sz w:val="28"/>
          <w:szCs w:val="28"/>
          <w:lang w:val="uk-UA"/>
        </w:rPr>
        <w:t xml:space="preserve"> між країнами та правила формування невизначеності торгівлі. Висновки </w:t>
      </w:r>
      <w:r>
        <w:rPr>
          <w:rFonts w:ascii="Times New Roman" w:hAnsi="Times New Roman" w:cs="Times New Roman"/>
          <w:sz w:val="28"/>
          <w:szCs w:val="28"/>
          <w:lang w:val="uk-UA"/>
        </w:rPr>
        <w:t>демонструють наступне. Н</w:t>
      </w:r>
      <w:r w:rsidR="00334A0A" w:rsidRPr="00334A0A">
        <w:rPr>
          <w:rFonts w:ascii="Times New Roman" w:hAnsi="Times New Roman" w:cs="Times New Roman"/>
          <w:sz w:val="28"/>
          <w:szCs w:val="28"/>
          <w:lang w:val="uk-UA"/>
        </w:rPr>
        <w:t>евизначеність у торгівлі різко зростає у відповідь на економічні кризи з широким розповсюдженням, особливо серед торгових партнерів. Розвинуті країни часто є джерелами невизначеності, тоді як країни, що р</w:t>
      </w:r>
      <w:r>
        <w:rPr>
          <w:rFonts w:ascii="Times New Roman" w:hAnsi="Times New Roman" w:cs="Times New Roman"/>
          <w:sz w:val="28"/>
          <w:szCs w:val="28"/>
          <w:lang w:val="uk-UA"/>
        </w:rPr>
        <w:t xml:space="preserve">озвиваються, є одержувачами ефектів від невизначеності. </w:t>
      </w:r>
      <w:r w:rsidR="00334A0A" w:rsidRPr="00334A0A">
        <w:rPr>
          <w:rFonts w:ascii="Times New Roman" w:hAnsi="Times New Roman" w:cs="Times New Roman"/>
          <w:sz w:val="28"/>
          <w:szCs w:val="28"/>
          <w:lang w:val="uk-UA"/>
        </w:rPr>
        <w:t>Побічні ефекти залежать від відкритості економіки та нестабільності обмінного курсу, тоді як підвищення фінансової відкритості та стабільності торгівлі може зм</w:t>
      </w:r>
      <w:r>
        <w:rPr>
          <w:rFonts w:ascii="Times New Roman" w:hAnsi="Times New Roman" w:cs="Times New Roman"/>
          <w:sz w:val="28"/>
          <w:szCs w:val="28"/>
          <w:lang w:val="uk-UA"/>
        </w:rPr>
        <w:t xml:space="preserve">еншити ефекти від невизначеності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12</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E81F0F" w:rsidRDefault="00854D51" w:rsidP="00E81F0F">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w:t>
      </w:r>
      <w:r w:rsidRPr="00854D51">
        <w:rPr>
          <w:rFonts w:ascii="Times New Roman" w:hAnsi="Times New Roman" w:cs="Times New Roman"/>
          <w:sz w:val="28"/>
          <w:szCs w:val="28"/>
          <w:lang w:val="uk-UA"/>
        </w:rPr>
        <w:t>Макроекономічні наслідки імпортних тарифів і невизначеності торговельної політики</w:t>
      </w:r>
      <w:r>
        <w:rPr>
          <w:rFonts w:ascii="Times New Roman" w:hAnsi="Times New Roman" w:cs="Times New Roman"/>
          <w:sz w:val="28"/>
          <w:szCs w:val="28"/>
          <w:lang w:val="uk-UA"/>
        </w:rPr>
        <w:t xml:space="preserve">» (2023) автори Лукас Бур та </w:t>
      </w:r>
      <w:r w:rsidRPr="00854D51">
        <w:rPr>
          <w:rFonts w:ascii="Times New Roman" w:hAnsi="Times New Roman" w:cs="Times New Roman"/>
          <w:sz w:val="28"/>
          <w:szCs w:val="28"/>
          <w:lang w:val="uk-UA"/>
        </w:rPr>
        <w:t>Мальте Ріт</w:t>
      </w:r>
      <w:r>
        <w:rPr>
          <w:rFonts w:ascii="Times New Roman" w:hAnsi="Times New Roman" w:cs="Times New Roman"/>
          <w:sz w:val="28"/>
          <w:szCs w:val="28"/>
          <w:lang w:val="uk-UA"/>
        </w:rPr>
        <w:t xml:space="preserve"> оцінюють </w:t>
      </w:r>
      <w:r w:rsidR="00334A0A" w:rsidRPr="00334A0A">
        <w:rPr>
          <w:rFonts w:ascii="Times New Roman" w:hAnsi="Times New Roman" w:cs="Times New Roman"/>
          <w:sz w:val="28"/>
          <w:szCs w:val="28"/>
          <w:lang w:val="uk-UA"/>
        </w:rPr>
        <w:t xml:space="preserve">макроекономічні наслідки імпортних тарифів і невизначеності торговельної політики в Сполучених Штатах, поєднуючи узгоджені з теорією та наративні знакові обмеження для байєсівських SVAR. </w:t>
      </w:r>
      <w:r>
        <w:rPr>
          <w:rFonts w:ascii="Times New Roman" w:hAnsi="Times New Roman" w:cs="Times New Roman"/>
          <w:sz w:val="28"/>
          <w:szCs w:val="28"/>
          <w:lang w:val="uk-UA"/>
        </w:rPr>
        <w:t>Було знайдено</w:t>
      </w:r>
      <w:r w:rsidR="00334A0A" w:rsidRPr="00334A0A">
        <w:rPr>
          <w:rFonts w:ascii="Times New Roman" w:hAnsi="Times New Roman" w:cs="Times New Roman"/>
          <w:sz w:val="28"/>
          <w:szCs w:val="28"/>
          <w:lang w:val="uk-UA"/>
        </w:rPr>
        <w:t xml:space="preserve"> переважно негативні наслідки протекціонізму</w:t>
      </w:r>
      <w:r>
        <w:rPr>
          <w:rFonts w:ascii="Times New Roman" w:hAnsi="Times New Roman" w:cs="Times New Roman"/>
          <w:sz w:val="28"/>
          <w:szCs w:val="28"/>
          <w:lang w:val="uk-UA"/>
        </w:rPr>
        <w:t xml:space="preserve"> та невизначеності щодо політики в зовнішній торгівлі</w:t>
      </w:r>
      <w:r w:rsidR="00334A0A" w:rsidRPr="00334A0A">
        <w:rPr>
          <w:rFonts w:ascii="Times New Roman" w:hAnsi="Times New Roman" w:cs="Times New Roman"/>
          <w:sz w:val="28"/>
          <w:szCs w:val="28"/>
          <w:lang w:val="uk-UA"/>
        </w:rPr>
        <w:t xml:space="preserve">. Тарифні шоки </w:t>
      </w:r>
      <w:r>
        <w:rPr>
          <w:rFonts w:ascii="Times New Roman" w:hAnsi="Times New Roman" w:cs="Times New Roman"/>
          <w:sz w:val="28"/>
          <w:szCs w:val="28"/>
          <w:lang w:val="uk-UA"/>
        </w:rPr>
        <w:t xml:space="preserve">та невизначеність в торговій політиці мають негативний вплив на </w:t>
      </w:r>
      <w:r w:rsidR="00334A0A" w:rsidRPr="00334A0A">
        <w:rPr>
          <w:rFonts w:ascii="Times New Roman" w:hAnsi="Times New Roman" w:cs="Times New Roman"/>
          <w:sz w:val="28"/>
          <w:szCs w:val="28"/>
          <w:lang w:val="uk-UA"/>
        </w:rPr>
        <w:t xml:space="preserve">торгівлю, інвестиції та виробництво, як у сукупності, так і між секторами та </w:t>
      </w:r>
      <w:r>
        <w:rPr>
          <w:rFonts w:ascii="Times New Roman" w:hAnsi="Times New Roman" w:cs="Times New Roman"/>
          <w:sz w:val="28"/>
          <w:szCs w:val="28"/>
          <w:lang w:val="uk-UA"/>
        </w:rPr>
        <w:t xml:space="preserve">галузями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13</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334A0A" w:rsidRDefault="00334A0A" w:rsidP="00E81F0F">
      <w:pPr>
        <w:spacing w:after="0" w:line="360" w:lineRule="auto"/>
        <w:ind w:firstLine="680"/>
        <w:jc w:val="both"/>
        <w:rPr>
          <w:rFonts w:ascii="Times New Roman" w:hAnsi="Times New Roman" w:cs="Times New Roman"/>
          <w:sz w:val="28"/>
          <w:szCs w:val="28"/>
          <w:lang w:val="uk-UA"/>
        </w:rPr>
      </w:pPr>
      <w:r w:rsidRPr="00334A0A">
        <w:rPr>
          <w:rFonts w:ascii="Times New Roman" w:hAnsi="Times New Roman" w:cs="Times New Roman"/>
          <w:sz w:val="28"/>
          <w:szCs w:val="28"/>
          <w:lang w:val="uk-UA"/>
        </w:rPr>
        <w:lastRenderedPageBreak/>
        <w:t xml:space="preserve">У документі </w:t>
      </w:r>
      <w:r w:rsidR="00E81F0F">
        <w:rPr>
          <w:rFonts w:ascii="Times New Roman" w:hAnsi="Times New Roman" w:cs="Times New Roman"/>
          <w:sz w:val="28"/>
          <w:szCs w:val="28"/>
          <w:lang w:val="uk-UA"/>
        </w:rPr>
        <w:t>«</w:t>
      </w:r>
      <w:r w:rsidR="00E81F0F" w:rsidRPr="00E81F0F">
        <w:rPr>
          <w:rFonts w:ascii="Times New Roman" w:hAnsi="Times New Roman" w:cs="Times New Roman"/>
          <w:sz w:val="28"/>
          <w:szCs w:val="28"/>
          <w:lang w:val="uk-UA"/>
        </w:rPr>
        <w:t>Специфічна невизначеність країни та приплив капіталу в країни з ринковою економікою, що розвивається</w:t>
      </w:r>
      <w:r w:rsidR="00E81F0F">
        <w:rPr>
          <w:rFonts w:ascii="Times New Roman" w:hAnsi="Times New Roman" w:cs="Times New Roman"/>
          <w:sz w:val="28"/>
          <w:szCs w:val="28"/>
          <w:lang w:val="uk-UA"/>
        </w:rPr>
        <w:t>» (2023) авторів Махама Самір Бандаого та</w:t>
      </w:r>
      <w:r w:rsidR="00E81F0F" w:rsidRPr="00E81F0F">
        <w:rPr>
          <w:rFonts w:ascii="Times New Roman" w:hAnsi="Times New Roman" w:cs="Times New Roman"/>
          <w:sz w:val="28"/>
          <w:szCs w:val="28"/>
          <w:lang w:val="uk-UA"/>
        </w:rPr>
        <w:t xml:space="preserve"> Еммануель Лартей</w:t>
      </w:r>
      <w:r w:rsidR="00E81F0F">
        <w:rPr>
          <w:rFonts w:ascii="Times New Roman" w:hAnsi="Times New Roman" w:cs="Times New Roman"/>
          <w:sz w:val="28"/>
          <w:szCs w:val="28"/>
          <w:lang w:val="uk-UA"/>
        </w:rPr>
        <w:t xml:space="preserve"> </w:t>
      </w:r>
      <w:r w:rsidRPr="00334A0A">
        <w:rPr>
          <w:rFonts w:ascii="Times New Roman" w:hAnsi="Times New Roman" w:cs="Times New Roman"/>
          <w:sz w:val="28"/>
          <w:szCs w:val="28"/>
          <w:lang w:val="uk-UA"/>
        </w:rPr>
        <w:t>оцінюється ступінь, до якого невизначеність, характерна для конкретної країни,</w:t>
      </w:r>
      <w:r w:rsidR="00E81F0F">
        <w:rPr>
          <w:rFonts w:ascii="Times New Roman" w:hAnsi="Times New Roman" w:cs="Times New Roman"/>
          <w:sz w:val="28"/>
          <w:szCs w:val="28"/>
          <w:lang w:val="uk-UA"/>
        </w:rPr>
        <w:t xml:space="preserve"> що </w:t>
      </w:r>
      <w:r w:rsidRPr="00334A0A">
        <w:rPr>
          <w:rFonts w:ascii="Times New Roman" w:hAnsi="Times New Roman" w:cs="Times New Roman"/>
          <w:sz w:val="28"/>
          <w:szCs w:val="28"/>
          <w:lang w:val="uk-UA"/>
        </w:rPr>
        <w:t xml:space="preserve"> впливає на валовий приплив капіталу та епізоди екстремальних припливів капіталу у формі раптових зупинок і раптових сплесків </w:t>
      </w:r>
      <w:r w:rsidR="00E81F0F">
        <w:rPr>
          <w:rFonts w:ascii="Times New Roman" w:hAnsi="Times New Roman" w:cs="Times New Roman"/>
          <w:sz w:val="28"/>
          <w:szCs w:val="28"/>
          <w:lang w:val="uk-UA"/>
        </w:rPr>
        <w:t>у країнах з ринковою економікою</w:t>
      </w:r>
      <w:r w:rsidRPr="00334A0A">
        <w:rPr>
          <w:rFonts w:ascii="Times New Roman" w:hAnsi="Times New Roman" w:cs="Times New Roman"/>
          <w:sz w:val="28"/>
          <w:szCs w:val="28"/>
          <w:lang w:val="uk-UA"/>
        </w:rPr>
        <w:t>. Основні висновки вказують на те, що збільшення невизначеності в конкретній країні пов’язане зі зниженням сукупного притоку капіталу та зменшенням конкретних типів припливу капіталу, включаючи акціонерний капітал, портфельні та прямі інвестиції. Крім того, підвищена невизначеність також пов'язана зі зменшенням чистого припливу капіталу. Крім того, результати свідчать про те, що збільшення невизначеності може бути пов’язане зі збільшенням ймовірності виходу з періоду нормального потоку капіталу в епізод раптової зупинки, і що підвищена невизначеність може бути негативно пов’язана з імовірністю виходу з періоду спо</w:t>
      </w:r>
      <w:r w:rsidR="00E81F0F">
        <w:rPr>
          <w:rFonts w:ascii="Times New Roman" w:hAnsi="Times New Roman" w:cs="Times New Roman"/>
          <w:sz w:val="28"/>
          <w:szCs w:val="28"/>
          <w:lang w:val="uk-UA"/>
        </w:rPr>
        <w:t xml:space="preserve">кою і отримання значного притоку капіталу </w:t>
      </w:r>
      <w:r w:rsidR="00E81F0F" w:rsidRPr="00334A0A">
        <w:rPr>
          <w:rFonts w:ascii="Times New Roman" w:hAnsi="Times New Roman" w:cs="Times New Roman"/>
          <w:sz w:val="28"/>
          <w:szCs w:val="28"/>
          <w:lang w:val="uk-UA"/>
        </w:rPr>
        <w:t>[</w:t>
      </w:r>
      <w:r w:rsidR="00E81F0F">
        <w:rPr>
          <w:rFonts w:ascii="Times New Roman" w:hAnsi="Times New Roman" w:cs="Times New Roman"/>
          <w:sz w:val="28"/>
          <w:szCs w:val="28"/>
          <w:lang w:val="uk-UA"/>
        </w:rPr>
        <w:t>14</w:t>
      </w:r>
      <w:r w:rsidR="00E81F0F" w:rsidRPr="00334A0A">
        <w:rPr>
          <w:rFonts w:ascii="Times New Roman" w:hAnsi="Times New Roman" w:cs="Times New Roman"/>
          <w:sz w:val="28"/>
          <w:szCs w:val="28"/>
          <w:lang w:val="uk-UA"/>
        </w:rPr>
        <w:t>]</w:t>
      </w:r>
      <w:r w:rsidR="00E81F0F">
        <w:rPr>
          <w:rFonts w:ascii="Times New Roman" w:hAnsi="Times New Roman" w:cs="Times New Roman"/>
          <w:sz w:val="28"/>
          <w:szCs w:val="28"/>
          <w:lang w:val="uk-UA"/>
        </w:rPr>
        <w:t>.</w:t>
      </w:r>
    </w:p>
    <w:p w:rsidR="00334A0A" w:rsidRDefault="00334A0A"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F46DF1">
        <w:rPr>
          <w:rFonts w:ascii="Times New Roman" w:hAnsi="Times New Roman" w:cs="Times New Roman"/>
          <w:sz w:val="28"/>
          <w:szCs w:val="28"/>
          <w:lang w:val="uk-UA"/>
        </w:rPr>
        <w:t>н</w:t>
      </w:r>
      <w:r w:rsidR="00F46DF1" w:rsidRPr="00F46DF1">
        <w:rPr>
          <w:rFonts w:ascii="Times New Roman" w:hAnsi="Times New Roman" w:cs="Times New Roman"/>
          <w:sz w:val="28"/>
          <w:szCs w:val="28"/>
          <w:lang w:val="uk-UA"/>
        </w:rPr>
        <w:t>евизначеність може мати значний вплив на економіку</w:t>
      </w:r>
      <w:r w:rsidR="00F46DF1">
        <w:rPr>
          <w:rFonts w:ascii="Times New Roman" w:hAnsi="Times New Roman" w:cs="Times New Roman"/>
          <w:sz w:val="28"/>
          <w:szCs w:val="28"/>
          <w:lang w:val="uk-UA"/>
        </w:rPr>
        <w:t xml:space="preserve"> та зовнішньоекономічні зв’язки країни. Окрім того, за рахунок значного рівня глобалізації та поглиблення зв’язків між країнами періоди невизначеності в одних країнах та регіонах мають вплив на інші. Н</w:t>
      </w:r>
      <w:r w:rsidR="00F46DF1" w:rsidRPr="00F46DF1">
        <w:rPr>
          <w:rFonts w:ascii="Times New Roman" w:hAnsi="Times New Roman" w:cs="Times New Roman"/>
          <w:sz w:val="28"/>
          <w:szCs w:val="28"/>
          <w:lang w:val="uk-UA"/>
        </w:rPr>
        <w:t xml:space="preserve">евизначеність може </w:t>
      </w:r>
      <w:r w:rsidR="00F46DF1">
        <w:rPr>
          <w:rFonts w:ascii="Times New Roman" w:hAnsi="Times New Roman" w:cs="Times New Roman"/>
          <w:sz w:val="28"/>
          <w:szCs w:val="28"/>
          <w:lang w:val="uk-UA"/>
        </w:rPr>
        <w:t>впливати</w:t>
      </w:r>
      <w:r w:rsidR="00F46DF1" w:rsidRPr="00F46DF1">
        <w:rPr>
          <w:rFonts w:ascii="Times New Roman" w:hAnsi="Times New Roman" w:cs="Times New Roman"/>
          <w:sz w:val="28"/>
          <w:szCs w:val="28"/>
          <w:lang w:val="uk-UA"/>
        </w:rPr>
        <w:t xml:space="preserve"> на інвестиційні рішення</w:t>
      </w:r>
      <w:r w:rsidR="00F46DF1">
        <w:rPr>
          <w:rFonts w:ascii="Times New Roman" w:hAnsi="Times New Roman" w:cs="Times New Roman"/>
          <w:sz w:val="28"/>
          <w:szCs w:val="28"/>
          <w:lang w:val="uk-UA"/>
        </w:rPr>
        <w:t xml:space="preserve"> підприємств та домогосподарств. Оскільки при </w:t>
      </w:r>
      <w:r w:rsidR="00F46DF1" w:rsidRPr="00F46DF1">
        <w:rPr>
          <w:rFonts w:ascii="Times New Roman" w:hAnsi="Times New Roman" w:cs="Times New Roman"/>
          <w:sz w:val="28"/>
          <w:szCs w:val="28"/>
          <w:lang w:val="uk-UA"/>
        </w:rPr>
        <w:t>висок</w:t>
      </w:r>
      <w:r w:rsidR="00F46DF1">
        <w:rPr>
          <w:rFonts w:ascii="Times New Roman" w:hAnsi="Times New Roman" w:cs="Times New Roman"/>
          <w:sz w:val="28"/>
          <w:szCs w:val="28"/>
          <w:lang w:val="uk-UA"/>
        </w:rPr>
        <w:t>ому рівні</w:t>
      </w:r>
      <w:r w:rsidR="00F46DF1" w:rsidRPr="00F46DF1">
        <w:rPr>
          <w:rFonts w:ascii="Times New Roman" w:hAnsi="Times New Roman" w:cs="Times New Roman"/>
          <w:sz w:val="28"/>
          <w:szCs w:val="28"/>
          <w:lang w:val="uk-UA"/>
        </w:rPr>
        <w:t xml:space="preserve"> невизначеності, таким як економічна нестабільність, політична нестабільність або непередбачувані нормативні зміни, </w:t>
      </w:r>
      <w:r w:rsidR="00F46DF1">
        <w:rPr>
          <w:rFonts w:ascii="Times New Roman" w:hAnsi="Times New Roman" w:cs="Times New Roman"/>
          <w:sz w:val="28"/>
          <w:szCs w:val="28"/>
          <w:lang w:val="uk-UA"/>
        </w:rPr>
        <w:t xml:space="preserve">інвестиційні плани </w:t>
      </w:r>
      <w:r w:rsidR="00F46DF1" w:rsidRPr="00F46DF1">
        <w:rPr>
          <w:rFonts w:ascii="Times New Roman" w:hAnsi="Times New Roman" w:cs="Times New Roman"/>
          <w:sz w:val="28"/>
          <w:szCs w:val="28"/>
          <w:lang w:val="uk-UA"/>
        </w:rPr>
        <w:t xml:space="preserve">можуть </w:t>
      </w:r>
      <w:r w:rsidR="00F46DF1">
        <w:rPr>
          <w:rFonts w:ascii="Times New Roman" w:hAnsi="Times New Roman" w:cs="Times New Roman"/>
          <w:sz w:val="28"/>
          <w:szCs w:val="28"/>
          <w:lang w:val="uk-UA"/>
        </w:rPr>
        <w:t>бути відкладеними або зміненими</w:t>
      </w:r>
      <w:r w:rsidR="00F46DF1" w:rsidRPr="00F46DF1">
        <w:rPr>
          <w:rFonts w:ascii="Times New Roman" w:hAnsi="Times New Roman" w:cs="Times New Roman"/>
          <w:sz w:val="28"/>
          <w:szCs w:val="28"/>
          <w:lang w:val="uk-UA"/>
        </w:rPr>
        <w:t xml:space="preserve">. </w:t>
      </w:r>
      <w:r w:rsidR="00F46DF1">
        <w:rPr>
          <w:rFonts w:ascii="Times New Roman" w:hAnsi="Times New Roman" w:cs="Times New Roman"/>
          <w:sz w:val="28"/>
          <w:szCs w:val="28"/>
          <w:lang w:val="uk-UA"/>
        </w:rPr>
        <w:t>Зменшення або зміна потоків капіталу</w:t>
      </w:r>
      <w:r w:rsidR="00F46DF1" w:rsidRPr="00F46DF1">
        <w:rPr>
          <w:rFonts w:ascii="Times New Roman" w:hAnsi="Times New Roman" w:cs="Times New Roman"/>
          <w:sz w:val="28"/>
          <w:szCs w:val="28"/>
          <w:lang w:val="uk-UA"/>
        </w:rPr>
        <w:t xml:space="preserve"> призвести до зниження капітальних витрат, скорочення розширення бізнесу та уповільнення економічного зростання.</w:t>
      </w:r>
      <w:r w:rsidR="00F94174">
        <w:rPr>
          <w:rFonts w:ascii="Times New Roman" w:hAnsi="Times New Roman" w:cs="Times New Roman"/>
          <w:sz w:val="28"/>
          <w:szCs w:val="28"/>
          <w:lang w:val="uk-UA"/>
        </w:rPr>
        <w:t xml:space="preserve"> Н</w:t>
      </w:r>
      <w:r w:rsidR="00F94174" w:rsidRPr="00F94174">
        <w:rPr>
          <w:rFonts w:ascii="Times New Roman" w:hAnsi="Times New Roman" w:cs="Times New Roman"/>
          <w:sz w:val="28"/>
          <w:szCs w:val="28"/>
          <w:lang w:val="uk-UA"/>
        </w:rPr>
        <w:t>евизначеність може вплинути на поведінку споживачів</w:t>
      </w:r>
      <w:r w:rsidR="00F94174">
        <w:rPr>
          <w:rFonts w:ascii="Times New Roman" w:hAnsi="Times New Roman" w:cs="Times New Roman"/>
          <w:sz w:val="28"/>
          <w:szCs w:val="28"/>
          <w:lang w:val="uk-UA"/>
        </w:rPr>
        <w:t xml:space="preserve"> та змусити їх скоротити витрати</w:t>
      </w:r>
      <w:r w:rsidR="00F94174" w:rsidRPr="00F94174">
        <w:rPr>
          <w:rFonts w:ascii="Times New Roman" w:hAnsi="Times New Roman" w:cs="Times New Roman"/>
          <w:sz w:val="28"/>
          <w:szCs w:val="28"/>
          <w:lang w:val="uk-UA"/>
        </w:rPr>
        <w:t>, які є значним рушієм економічної активності. Зменшення споживчих витрат може негативно вплинути на бізнес, призвести до зниження продажів, скорочення виробництва та потенційної втрати робочих місць.</w:t>
      </w:r>
      <w:r w:rsidR="007D5BCA">
        <w:rPr>
          <w:rFonts w:ascii="Times New Roman" w:hAnsi="Times New Roman" w:cs="Times New Roman"/>
          <w:sz w:val="28"/>
          <w:szCs w:val="28"/>
          <w:lang w:val="uk-UA"/>
        </w:rPr>
        <w:t xml:space="preserve"> </w:t>
      </w:r>
    </w:p>
    <w:p w:rsidR="007D5BCA" w:rsidRDefault="007D5BCA"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Окрім того, </w:t>
      </w:r>
      <w:r w:rsidRPr="007D5BCA">
        <w:rPr>
          <w:rFonts w:ascii="Times New Roman" w:hAnsi="Times New Roman" w:cs="Times New Roman"/>
          <w:sz w:val="28"/>
          <w:szCs w:val="28"/>
          <w:lang w:val="uk-UA"/>
        </w:rPr>
        <w:t>невизначеність часто призводить до підвищення волатильності на фінансових ринках. Коливання цін на акції, обмінних курсів і процентних ставок можуть відбуватися, коли інвестори та учасники ринку реагують на невизначені події чи новини. Високий рівень волатильності може порушити фінансові ринки, вплинути на довіру інвесторів і вплинути на інвестиційні рішення. Це може мати ширші наслідки для доступності кредитів, вартості запозичень і за</w:t>
      </w:r>
      <w:r>
        <w:rPr>
          <w:rFonts w:ascii="Times New Roman" w:hAnsi="Times New Roman" w:cs="Times New Roman"/>
          <w:sz w:val="28"/>
          <w:szCs w:val="28"/>
          <w:lang w:val="uk-UA"/>
        </w:rPr>
        <w:t xml:space="preserve">гальної фінансової стабільності для країни. Тому в періоди невизначеності важливо коректним чином сформувати політику для лімітування поширення шоків та нестабільності, які можуть негативно вплинути на стабільність та економічний розвиток. </w:t>
      </w:r>
    </w:p>
    <w:p w:rsidR="00334A0A" w:rsidRDefault="00334A0A" w:rsidP="00DC3991">
      <w:pPr>
        <w:spacing w:after="0" w:line="360" w:lineRule="auto"/>
        <w:ind w:firstLine="680"/>
        <w:jc w:val="both"/>
        <w:rPr>
          <w:rFonts w:ascii="Times New Roman" w:hAnsi="Times New Roman" w:cs="Times New Roman"/>
          <w:sz w:val="28"/>
          <w:szCs w:val="28"/>
          <w:lang w:val="uk-UA"/>
        </w:rPr>
      </w:pPr>
    </w:p>
    <w:p w:rsidR="00000AF8" w:rsidRDefault="00000AF8" w:rsidP="00DC3991">
      <w:pPr>
        <w:pStyle w:val="2"/>
        <w:rPr>
          <w:lang w:val="uk-UA"/>
        </w:rPr>
      </w:pPr>
      <w:bookmarkStart w:id="6" w:name="_Toc168123004"/>
      <w:r>
        <w:rPr>
          <w:lang w:val="uk-UA"/>
        </w:rPr>
        <w:t xml:space="preserve">1.2. </w:t>
      </w:r>
      <w:r w:rsidR="005C4747">
        <w:rPr>
          <w:lang w:val="uk-UA"/>
        </w:rPr>
        <w:t>Аналіз теоретичних</w:t>
      </w:r>
      <w:r>
        <w:rPr>
          <w:lang w:val="uk-UA"/>
        </w:rPr>
        <w:t xml:space="preserve"> досліджень </w:t>
      </w:r>
      <w:r w:rsidR="004142CA">
        <w:rPr>
          <w:lang w:val="uk-UA"/>
        </w:rPr>
        <w:t>розвитку</w:t>
      </w:r>
      <w:r w:rsidR="004142CA" w:rsidRPr="004142CA">
        <w:rPr>
          <w:lang w:val="uk-UA"/>
        </w:rPr>
        <w:t xml:space="preserve"> зовнішньоекономічних </w:t>
      </w:r>
      <w:r w:rsidR="004142CA">
        <w:rPr>
          <w:lang w:val="uk-UA"/>
        </w:rPr>
        <w:t>зв’язків</w:t>
      </w:r>
      <w:r w:rsidR="004142CA" w:rsidRPr="004142CA">
        <w:rPr>
          <w:lang w:val="uk-UA"/>
        </w:rPr>
        <w:t xml:space="preserve"> </w:t>
      </w:r>
      <w:r w:rsidR="004142CA">
        <w:rPr>
          <w:lang w:val="uk-UA"/>
        </w:rPr>
        <w:t>Португалії та Греції</w:t>
      </w:r>
      <w:r w:rsidR="004142CA" w:rsidRPr="004142CA">
        <w:rPr>
          <w:lang w:val="uk-UA"/>
        </w:rPr>
        <w:t xml:space="preserve"> в умовах невизначеності</w:t>
      </w:r>
      <w:bookmarkEnd w:id="6"/>
    </w:p>
    <w:p w:rsidR="00DC3991" w:rsidRDefault="00DC3991" w:rsidP="00DC3991">
      <w:pPr>
        <w:tabs>
          <w:tab w:val="left" w:pos="3700"/>
        </w:tabs>
        <w:spacing w:after="0" w:line="360" w:lineRule="auto"/>
        <w:ind w:firstLine="680"/>
        <w:jc w:val="both"/>
        <w:rPr>
          <w:rFonts w:ascii="Times New Roman" w:hAnsi="Times New Roman" w:cs="Times New Roman"/>
          <w:sz w:val="28"/>
          <w:szCs w:val="28"/>
          <w:lang w:val="uk-UA"/>
        </w:rPr>
      </w:pPr>
    </w:p>
    <w:p w:rsidR="00032BD5" w:rsidRPr="00032BD5" w:rsidRDefault="00032BD5"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Періоди невизначеності в Португалії та Греції були викликані декількома факторами протягом історичного розвитку даних країн: політична нестабільність, стагнація економічного розвитку, криза суверенного боргу. Розглянемо дослідження, які присвячені трансформації Португалії та Греції під час періодів невизначеності. </w:t>
      </w:r>
    </w:p>
    <w:p w:rsidR="00EA0FB0" w:rsidRDefault="00E6666D" w:rsidP="00EA0FB0">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Трансформацію Португалії розглядає в своїй праці </w:t>
      </w:r>
      <w:r w:rsidR="00F00A11">
        <w:rPr>
          <w:rFonts w:ascii="Times New Roman" w:hAnsi="Times New Roman" w:cs="Times New Roman"/>
          <w:sz w:val="28"/>
          <w:szCs w:val="28"/>
          <w:lang w:val="uk-UA"/>
        </w:rPr>
        <w:t>Лусіо Віньяс де Соуза</w:t>
      </w:r>
      <w:r w:rsidR="00F00A11" w:rsidRPr="00F00A11">
        <w:rPr>
          <w:rFonts w:ascii="Times New Roman" w:hAnsi="Times New Roman" w:cs="Times New Roman"/>
          <w:sz w:val="28"/>
          <w:szCs w:val="28"/>
          <w:lang w:val="uk-UA"/>
        </w:rPr>
        <w:t xml:space="preserve"> </w:t>
      </w:r>
      <w:r w:rsidR="00F00A11">
        <w:rPr>
          <w:rFonts w:ascii="Times New Roman" w:hAnsi="Times New Roman" w:cs="Times New Roman"/>
          <w:sz w:val="28"/>
          <w:szCs w:val="28"/>
          <w:lang w:val="uk-UA"/>
        </w:rPr>
        <w:t>«</w:t>
      </w:r>
      <w:r w:rsidR="00F00A11" w:rsidRPr="00F00A11">
        <w:rPr>
          <w:rFonts w:ascii="Times New Roman" w:hAnsi="Times New Roman" w:cs="Times New Roman"/>
          <w:sz w:val="28"/>
          <w:szCs w:val="28"/>
          <w:lang w:val="uk-UA"/>
        </w:rPr>
        <w:t>Нещасна річниця: втрачені можливості для зростання та зближення в Португалії</w:t>
      </w:r>
      <w:r w:rsidR="00F00A11">
        <w:rPr>
          <w:rFonts w:ascii="Times New Roman" w:hAnsi="Times New Roman" w:cs="Times New Roman"/>
          <w:sz w:val="28"/>
          <w:szCs w:val="28"/>
          <w:lang w:val="uk-UA"/>
        </w:rPr>
        <w:t xml:space="preserve">» (2024). </w:t>
      </w:r>
      <w:r w:rsidR="00032BD5" w:rsidRPr="00032BD5">
        <w:rPr>
          <w:rFonts w:ascii="Times New Roman" w:hAnsi="Times New Roman" w:cs="Times New Roman"/>
          <w:sz w:val="28"/>
          <w:szCs w:val="28"/>
          <w:lang w:val="uk-UA"/>
        </w:rPr>
        <w:t xml:space="preserve">Португалія перебувала під диктаторським режимом з 1926 до 1974 року. Протягом більшої частини періоду диктатури Португалія перебувала під статусом «Estado Novo» («Нова держава»), націоналістичним режимом, який, однак, запровадив низку заходів економічної лібералізації та інтеграції, особливо після закінчення Другої світової війни. Країна отримала фінансову підтримку в рамках Плану Маршалла, приєдналася до Європейської асоціації вільної торгівлі та ОЕСР у 1960 році, а в 1972 році підписала угоду про вільну торгівлю з Європейським економічним співтовариством (ЄЕС), попередником ЄС. Результатом цього стало те, що в Португалії був зареєстрований потужний процес лібералізації та економічної </w:t>
      </w:r>
      <w:r w:rsidR="00032BD5" w:rsidRPr="00032BD5">
        <w:rPr>
          <w:rFonts w:ascii="Times New Roman" w:hAnsi="Times New Roman" w:cs="Times New Roman"/>
          <w:sz w:val="28"/>
          <w:szCs w:val="28"/>
          <w:lang w:val="uk-UA"/>
        </w:rPr>
        <w:lastRenderedPageBreak/>
        <w:t>інтеграції. Середні темпи зростання ВВП і ВВП на душу населення в період між серединою 1950-х років і вступом Португалії до ЄС у 1986 році були фактично вдвічі вищими, ніж у період після вступу в ЄС: відповідно 3,9 % проти 2,0 % відповідно для ВВП зростання ВВП на душу населення – 3,4% проти 1,9%. Португалія не змогла використати можливості, надані вступом до ЄС, і за останні майже чверть століття зазнала занепаду в економічному розвитку. У цій статті стверджується, що цей невтішний результат значною мірою зумовлений політикою, спрямованою на поточне споживання, а не на розвиток</w:t>
      </w:r>
      <w:r>
        <w:rPr>
          <w:rFonts w:ascii="Times New Roman" w:hAnsi="Times New Roman" w:cs="Times New Roman"/>
          <w:sz w:val="28"/>
          <w:szCs w:val="28"/>
          <w:lang w:val="uk-UA"/>
        </w:rPr>
        <w:t xml:space="preserve"> приватного сектору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15</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F00A11" w:rsidRDefault="001B3E14" w:rsidP="00F00A11">
      <w:pPr>
        <w:tabs>
          <w:tab w:val="left" w:pos="3700"/>
        </w:tabs>
        <w:spacing w:after="0" w:line="360" w:lineRule="auto"/>
        <w:ind w:firstLine="680"/>
        <w:jc w:val="both"/>
        <w:rPr>
          <w:rFonts w:ascii="Times New Roman" w:hAnsi="Times New Roman" w:cs="Times New Roman"/>
          <w:sz w:val="28"/>
          <w:szCs w:val="28"/>
          <w:lang w:val="uk-UA"/>
        </w:rPr>
      </w:pPr>
      <w:r w:rsidRPr="001B3E14">
        <w:rPr>
          <w:rFonts w:ascii="Times New Roman" w:hAnsi="Times New Roman" w:cs="Times New Roman"/>
          <w:sz w:val="28"/>
          <w:szCs w:val="28"/>
          <w:lang w:val="uk-UA"/>
        </w:rPr>
        <w:t>Руї Гама</w:t>
      </w:r>
      <w:r>
        <w:rPr>
          <w:rFonts w:ascii="Times New Roman" w:hAnsi="Times New Roman" w:cs="Times New Roman"/>
          <w:sz w:val="28"/>
          <w:szCs w:val="28"/>
          <w:lang w:val="uk-UA"/>
        </w:rPr>
        <w:t xml:space="preserve"> та інш. в роботі</w:t>
      </w:r>
      <w:r w:rsidRPr="001B3E1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B3E14">
        <w:rPr>
          <w:rFonts w:ascii="Times New Roman" w:hAnsi="Times New Roman" w:cs="Times New Roman"/>
          <w:sz w:val="28"/>
          <w:szCs w:val="28"/>
          <w:lang w:val="uk-UA"/>
        </w:rPr>
        <w:t>Європейська інтеграція, криза, глобалізація та соціально-економічна динаміка в Португалії</w:t>
      </w:r>
      <w:r>
        <w:rPr>
          <w:rFonts w:ascii="Times New Roman" w:hAnsi="Times New Roman" w:cs="Times New Roman"/>
          <w:sz w:val="28"/>
          <w:szCs w:val="28"/>
          <w:lang w:val="uk-UA"/>
        </w:rPr>
        <w:t>» (2018) стверджують, що н</w:t>
      </w:r>
      <w:r w:rsidRPr="001B3E14">
        <w:rPr>
          <w:rFonts w:ascii="Times New Roman" w:hAnsi="Times New Roman" w:cs="Times New Roman"/>
          <w:sz w:val="28"/>
          <w:szCs w:val="28"/>
          <w:lang w:val="uk-UA"/>
        </w:rPr>
        <w:t>едавній занепад португальської економіки</w:t>
      </w:r>
      <w:r>
        <w:rPr>
          <w:rFonts w:ascii="Times New Roman" w:hAnsi="Times New Roman" w:cs="Times New Roman"/>
          <w:sz w:val="28"/>
          <w:szCs w:val="28"/>
          <w:lang w:val="uk-UA"/>
        </w:rPr>
        <w:t xml:space="preserve"> та протяжний період невизначеності</w:t>
      </w:r>
      <w:r w:rsidRPr="001B3E14">
        <w:rPr>
          <w:rFonts w:ascii="Times New Roman" w:hAnsi="Times New Roman" w:cs="Times New Roman"/>
          <w:sz w:val="28"/>
          <w:szCs w:val="28"/>
          <w:lang w:val="uk-UA"/>
        </w:rPr>
        <w:t xml:space="preserve"> слід розуміти в контексті тривалого історичного циклу. Португалія увійшла в другу половину 20 століття переважно як сільськогосподарська країна та центр агонізуючої імперії з надзвичайно бідним населенням. Починаючи з початку 1930-х авторитарний </w:t>
      </w:r>
      <w:r>
        <w:rPr>
          <w:rFonts w:ascii="Times New Roman" w:hAnsi="Times New Roman" w:cs="Times New Roman"/>
          <w:sz w:val="28"/>
          <w:szCs w:val="28"/>
          <w:lang w:val="uk-UA"/>
        </w:rPr>
        <w:t xml:space="preserve">режим </w:t>
      </w:r>
      <w:r w:rsidRPr="001B3E14">
        <w:rPr>
          <w:rFonts w:ascii="Times New Roman" w:hAnsi="Times New Roman" w:cs="Times New Roman"/>
          <w:sz w:val="28"/>
          <w:szCs w:val="28"/>
          <w:lang w:val="uk-UA"/>
        </w:rPr>
        <w:t xml:space="preserve">встановив авторитарну корпоративну модель, за якою держава здійснювала жорсткий контроль над усіма аспектами виробничої організації, від капіталовкладень до репресивної дисципліни праці, одночасно підтримуючи приватне накопичення. Наприкінці 1950-х років режим спонсорував амбітний процес індустріалізації переважно у висококапіталомістких «стратегічних» галузях, таких як сталеливарна, суднобудівна, паперова фабрики та автомобільна промисловість. Це був час початкових змін, коли нова група технократів в адміністрації Салазара під тиском Сполучених Штатів і Сполученого Королівства поглибила лібералізацію економіки та відкрила країну для іноземних інвестицій. Європейська асоціація вільної торгівлі була заснована в 1959 році (ЄАВТ) і включала Великобританію, Швецію, Австрію, Данію, Норвегію, Швейцарію та Португалію. Це стало відповіддю на підписання Римського договору (1957 р.), який заснував Європейське економічне співтовариство. Однак Велика Британія подала заявку на членство в ЄЕС у 1961 році, а Португалія наслідувала цей приклад у 1962 році, але </w:t>
      </w:r>
      <w:r>
        <w:rPr>
          <w:rFonts w:ascii="Times New Roman" w:hAnsi="Times New Roman" w:cs="Times New Roman"/>
          <w:sz w:val="28"/>
          <w:szCs w:val="28"/>
          <w:lang w:val="uk-UA"/>
        </w:rPr>
        <w:t xml:space="preserve">на той час заявка була </w:t>
      </w:r>
      <w:r>
        <w:rPr>
          <w:rFonts w:ascii="Times New Roman" w:hAnsi="Times New Roman" w:cs="Times New Roman"/>
          <w:sz w:val="28"/>
          <w:szCs w:val="28"/>
          <w:lang w:val="uk-UA"/>
        </w:rPr>
        <w:lastRenderedPageBreak/>
        <w:t>безуспішна</w:t>
      </w:r>
      <w:r w:rsidRPr="001B3E14">
        <w:rPr>
          <w:rFonts w:ascii="Times New Roman" w:hAnsi="Times New Roman" w:cs="Times New Roman"/>
          <w:sz w:val="28"/>
          <w:szCs w:val="28"/>
          <w:lang w:val="uk-UA"/>
        </w:rPr>
        <w:t>, хоча торгова угода була підписана в 1972 році. В результаті цих нових орієнтацій торгові відносини П</w:t>
      </w:r>
      <w:r>
        <w:rPr>
          <w:rFonts w:ascii="Times New Roman" w:hAnsi="Times New Roman" w:cs="Times New Roman"/>
          <w:sz w:val="28"/>
          <w:szCs w:val="28"/>
          <w:lang w:val="uk-UA"/>
        </w:rPr>
        <w:t xml:space="preserve">ортугалії з Європою розширилися, що допомогло перейти від періоду невизначеності до ясності в розвитку країни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16</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EA0FB0" w:rsidRPr="00EA0FB0" w:rsidRDefault="00EA0FB0" w:rsidP="00EA0FB0">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Трансформацію зовнішньоекономічних зв’язків Португалії розглядає </w:t>
      </w:r>
      <w:r w:rsidRPr="00EA0FB0">
        <w:rPr>
          <w:rFonts w:ascii="Times New Roman" w:hAnsi="Times New Roman" w:cs="Times New Roman"/>
          <w:sz w:val="28"/>
          <w:szCs w:val="28"/>
          <w:lang w:val="uk-UA"/>
        </w:rPr>
        <w:t xml:space="preserve">Тереза ​​Віоланте </w:t>
      </w:r>
      <w:r>
        <w:rPr>
          <w:rFonts w:ascii="Times New Roman" w:hAnsi="Times New Roman" w:cs="Times New Roman"/>
          <w:sz w:val="28"/>
          <w:szCs w:val="28"/>
          <w:lang w:val="uk-UA"/>
        </w:rPr>
        <w:t>у роботі «</w:t>
      </w:r>
      <w:r w:rsidRPr="00EA0FB0">
        <w:rPr>
          <w:rFonts w:ascii="Times New Roman" w:hAnsi="Times New Roman" w:cs="Times New Roman"/>
          <w:sz w:val="28"/>
          <w:szCs w:val="28"/>
          <w:lang w:val="uk-UA"/>
        </w:rPr>
        <w:t>Португалія: від трансформаційного до відкритого конституціоналізму</w:t>
      </w:r>
      <w:r>
        <w:rPr>
          <w:rFonts w:ascii="Times New Roman" w:hAnsi="Times New Roman" w:cs="Times New Roman"/>
          <w:sz w:val="28"/>
          <w:szCs w:val="28"/>
          <w:lang w:val="uk-UA"/>
        </w:rPr>
        <w:t>» (2023). Згідно з автором, 1</w:t>
      </w:r>
      <w:r w:rsidRPr="00EA0FB0">
        <w:rPr>
          <w:rFonts w:ascii="Times New Roman" w:hAnsi="Times New Roman" w:cs="Times New Roman"/>
          <w:sz w:val="28"/>
          <w:szCs w:val="28"/>
          <w:lang w:val="uk-UA"/>
        </w:rPr>
        <w:t>960-ті роки були періодом швидкої трансформації, з появою величезного фінансово-промислового комплексу та безпрецедентними темпами економічного зростання, хоча це також був період останньої колоніальної війни. У результаті торгівля була переорієнтована на ЄЕС та Сполучені Штати, що швидко замінило історичну важливість комерційних відносин між Португалією та її африканськими колоніями. Швидка індустріалізація Португалії ґрунтувалася на іноземних інвестиціях і розміщенні транснаціональних компаній у промисловості та секторах послуг, що розвиваються (сталь, механіка, автомобільна промисловість, електроніка, хімічна промисловість, енергетика, телекомунікації, агропромисловість), тоді як традиційні текстильна та взуттєва промисловість залишалися важливими. Але справжнім двигуном цього розвитку, конкурентною перевагою Португалії, була низька вартість робочої сили. Зокрема, розширення масового у поєднанні з появою будівельного сектору забезпечили одну з найприбутковіших баз для португальського капіталу та стали одним із го</w:t>
      </w:r>
      <w:r>
        <w:rPr>
          <w:rFonts w:ascii="Times New Roman" w:hAnsi="Times New Roman" w:cs="Times New Roman"/>
          <w:sz w:val="28"/>
          <w:szCs w:val="28"/>
          <w:lang w:val="uk-UA"/>
        </w:rPr>
        <w:t xml:space="preserve">ловних джерел працевлаштування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17</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EA0FB0" w:rsidRDefault="00EA0FB0" w:rsidP="00020BB4">
      <w:pPr>
        <w:tabs>
          <w:tab w:val="left" w:pos="3700"/>
        </w:tabs>
        <w:spacing w:after="0" w:line="360" w:lineRule="auto"/>
        <w:ind w:firstLine="680"/>
        <w:jc w:val="both"/>
        <w:rPr>
          <w:rFonts w:ascii="Times New Roman" w:hAnsi="Times New Roman" w:cs="Times New Roman"/>
          <w:sz w:val="28"/>
          <w:szCs w:val="28"/>
          <w:lang w:val="uk-UA"/>
        </w:rPr>
      </w:pPr>
      <w:r w:rsidRPr="00EA0FB0">
        <w:rPr>
          <w:rFonts w:ascii="Times New Roman" w:hAnsi="Times New Roman" w:cs="Times New Roman"/>
          <w:sz w:val="28"/>
          <w:szCs w:val="28"/>
          <w:lang w:val="uk-UA"/>
        </w:rPr>
        <w:t xml:space="preserve">З 1977 року після вступу до Європейського економічного співтовариства та виконання вимог Маастрихтської угоди (фіскальний контроль) стало першочерговим для наступних урядів. Пріоритет боротьби з інфляцією та контролю над дефіцитом бюджету були центральними, але трансформація конституції, щоб дозволити реприватизацію націоналізованих активів і подальша лібералізація економіки були важливими цілями. Проте економіка Португалії залишалася значною мірою залежною від промислових секторів, заснованих на низьких технологіях і дешевій робочій силі. Відкриття торговельних відносин ЄС із країнами Центрально-Східної </w:t>
      </w:r>
      <w:r w:rsidRPr="00EA0FB0">
        <w:rPr>
          <w:rFonts w:ascii="Times New Roman" w:hAnsi="Times New Roman" w:cs="Times New Roman"/>
          <w:sz w:val="28"/>
          <w:szCs w:val="28"/>
          <w:lang w:val="uk-UA"/>
        </w:rPr>
        <w:lastRenderedPageBreak/>
        <w:t>Європи, які мали порівняно нижчу вартість робочої сили та кваліфіковану робочу силу разом із посиленням міжнародної конкуренції з боку країн з нижчими витратами, стало ударом по португальській економіці, оскільки провідний текстильний сектор на півночі пот</w:t>
      </w:r>
      <w:r>
        <w:rPr>
          <w:rFonts w:ascii="Times New Roman" w:hAnsi="Times New Roman" w:cs="Times New Roman"/>
          <w:sz w:val="28"/>
          <w:szCs w:val="28"/>
          <w:lang w:val="uk-UA"/>
        </w:rPr>
        <w:t xml:space="preserve">ерпав від невпинного скорочення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17</w:t>
      </w:r>
      <w:r w:rsidRPr="00334A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20BB4" w:rsidRPr="00020BB4" w:rsidRDefault="00020BB4" w:rsidP="00020BB4">
      <w:pPr>
        <w:tabs>
          <w:tab w:val="left" w:pos="3700"/>
        </w:tabs>
        <w:spacing w:after="0" w:line="360" w:lineRule="auto"/>
        <w:ind w:firstLine="680"/>
        <w:jc w:val="both"/>
        <w:rPr>
          <w:rFonts w:ascii="Times New Roman" w:hAnsi="Times New Roman" w:cs="Times New Roman"/>
          <w:sz w:val="28"/>
          <w:szCs w:val="28"/>
          <w:lang w:val="uk-UA"/>
        </w:rPr>
      </w:pPr>
      <w:r w:rsidRPr="00020BB4">
        <w:rPr>
          <w:rFonts w:ascii="Times New Roman" w:hAnsi="Times New Roman" w:cs="Times New Roman"/>
          <w:sz w:val="28"/>
          <w:szCs w:val="28"/>
          <w:lang w:val="uk-UA"/>
        </w:rPr>
        <w:t>За винятком 2007 року, 2000-ті були втраченим десятиліттям для португальської економіки. Лу</w:t>
      </w:r>
      <w:r>
        <w:rPr>
          <w:rFonts w:ascii="Times New Roman" w:hAnsi="Times New Roman" w:cs="Times New Roman"/>
          <w:sz w:val="28"/>
          <w:szCs w:val="28"/>
          <w:lang w:val="uk-UA"/>
        </w:rPr>
        <w:t>їс Телес Морайс у статті</w:t>
      </w:r>
      <w:r w:rsidRPr="00020BB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20BB4">
        <w:rPr>
          <w:rFonts w:ascii="Times New Roman" w:hAnsi="Times New Roman" w:cs="Times New Roman"/>
          <w:sz w:val="28"/>
          <w:szCs w:val="28"/>
          <w:lang w:val="uk-UA"/>
        </w:rPr>
        <w:t>Економічні перспективи Португалії: чи було причиною економічного дива політичне диво?</w:t>
      </w:r>
      <w:r>
        <w:rPr>
          <w:rFonts w:ascii="Times New Roman" w:hAnsi="Times New Roman" w:cs="Times New Roman"/>
          <w:sz w:val="28"/>
          <w:szCs w:val="28"/>
          <w:lang w:val="uk-UA"/>
        </w:rPr>
        <w:t>» (2018) стверджує, що е</w:t>
      </w:r>
      <w:r w:rsidRPr="00020BB4">
        <w:rPr>
          <w:rFonts w:ascii="Times New Roman" w:hAnsi="Times New Roman" w:cs="Times New Roman"/>
          <w:sz w:val="28"/>
          <w:szCs w:val="28"/>
          <w:lang w:val="uk-UA"/>
        </w:rPr>
        <w:t xml:space="preserve">кспансіоністська фіскальна політика швидко поставила економіку на ноги після глобальної рецесії. Але </w:t>
      </w:r>
      <w:r>
        <w:rPr>
          <w:rFonts w:ascii="Times New Roman" w:hAnsi="Times New Roman" w:cs="Times New Roman"/>
          <w:sz w:val="28"/>
          <w:szCs w:val="28"/>
          <w:lang w:val="uk-UA"/>
        </w:rPr>
        <w:t>через кризу Єврозони</w:t>
      </w:r>
      <w:r w:rsidRPr="00020BB4">
        <w:rPr>
          <w:rFonts w:ascii="Times New Roman" w:hAnsi="Times New Roman" w:cs="Times New Roman"/>
          <w:sz w:val="28"/>
          <w:szCs w:val="28"/>
          <w:lang w:val="uk-UA"/>
        </w:rPr>
        <w:t xml:space="preserve"> </w:t>
      </w:r>
      <w:r>
        <w:rPr>
          <w:rFonts w:ascii="Times New Roman" w:hAnsi="Times New Roman" w:cs="Times New Roman"/>
          <w:sz w:val="28"/>
          <w:szCs w:val="28"/>
          <w:lang w:val="uk-UA"/>
        </w:rPr>
        <w:t>зупинилась</w:t>
      </w:r>
      <w:r w:rsidRPr="00020BB4">
        <w:rPr>
          <w:rFonts w:ascii="Times New Roman" w:hAnsi="Times New Roman" w:cs="Times New Roman"/>
          <w:sz w:val="28"/>
          <w:szCs w:val="28"/>
          <w:lang w:val="uk-UA"/>
        </w:rPr>
        <w:t xml:space="preserve"> тенденці</w:t>
      </w:r>
      <w:r>
        <w:rPr>
          <w:rFonts w:ascii="Times New Roman" w:hAnsi="Times New Roman" w:cs="Times New Roman"/>
          <w:sz w:val="28"/>
          <w:szCs w:val="28"/>
          <w:lang w:val="uk-UA"/>
        </w:rPr>
        <w:t>я</w:t>
      </w:r>
      <w:r w:rsidRPr="00020BB4">
        <w:rPr>
          <w:rFonts w:ascii="Times New Roman" w:hAnsi="Times New Roman" w:cs="Times New Roman"/>
          <w:sz w:val="28"/>
          <w:szCs w:val="28"/>
          <w:lang w:val="uk-UA"/>
        </w:rPr>
        <w:t xml:space="preserve"> масового припливу капіталу. Далі була глибока рецесія в ході програми фінансової допомоги з суворими умовами щодо «попередньої» фіскальної консолідації та структурних реформ. Після успішного виходу з програми в 2014 році економіка поступово набирала обертів відповідно до покращення середовища в Єврозоні, таким чином почавши потужний процес прискорення </w:t>
      </w:r>
      <w:r>
        <w:rPr>
          <w:rFonts w:ascii="Times New Roman" w:hAnsi="Times New Roman" w:cs="Times New Roman"/>
          <w:sz w:val="28"/>
          <w:szCs w:val="28"/>
          <w:lang w:val="uk-UA"/>
        </w:rPr>
        <w:t xml:space="preserve">зростання </w:t>
      </w:r>
      <w:r w:rsidRPr="00020BB4">
        <w:rPr>
          <w:rFonts w:ascii="Times New Roman" w:hAnsi="Times New Roman" w:cs="Times New Roman"/>
          <w:sz w:val="28"/>
          <w:szCs w:val="28"/>
          <w:lang w:val="uk-UA"/>
        </w:rPr>
        <w:t>наприкінці 2016 року. Беручи до уваги обидва ці періоди, показники португальської економіки між 2000 і 2012 роками був одним із найгірших за в</w:t>
      </w:r>
      <w:r>
        <w:rPr>
          <w:rFonts w:ascii="Times New Roman" w:hAnsi="Times New Roman" w:cs="Times New Roman"/>
          <w:sz w:val="28"/>
          <w:szCs w:val="28"/>
          <w:lang w:val="uk-UA"/>
        </w:rPr>
        <w:t>сю історію розвиненої економіки</w:t>
      </w:r>
      <w:r w:rsidRPr="00020BB4">
        <w:rPr>
          <w:rFonts w:ascii="Times New Roman" w:hAnsi="Times New Roman" w:cs="Times New Roman"/>
          <w:sz w:val="28"/>
          <w:szCs w:val="28"/>
          <w:lang w:val="uk-UA"/>
        </w:rPr>
        <w:t xml:space="preserve">. Протягом цього періоду стагнації </w:t>
      </w:r>
      <w:r>
        <w:rPr>
          <w:rFonts w:ascii="Times New Roman" w:hAnsi="Times New Roman" w:cs="Times New Roman"/>
          <w:sz w:val="28"/>
          <w:szCs w:val="28"/>
          <w:lang w:val="uk-UA"/>
        </w:rPr>
        <w:t xml:space="preserve">та невизначеності </w:t>
      </w:r>
      <w:r w:rsidRPr="00020BB4">
        <w:rPr>
          <w:rFonts w:ascii="Times New Roman" w:hAnsi="Times New Roman" w:cs="Times New Roman"/>
          <w:sz w:val="28"/>
          <w:szCs w:val="28"/>
          <w:lang w:val="uk-UA"/>
        </w:rPr>
        <w:t>Португалія накопичила зовнішні дисбаланси, значною мірою фінансовані зовнішнім боргом, який суттєво зріс за ці роки. Приплив капіталу</w:t>
      </w:r>
      <w:r>
        <w:rPr>
          <w:rFonts w:ascii="Times New Roman" w:hAnsi="Times New Roman" w:cs="Times New Roman"/>
          <w:sz w:val="28"/>
          <w:szCs w:val="28"/>
          <w:lang w:val="uk-UA"/>
        </w:rPr>
        <w:t xml:space="preserve"> для фінансування боргу</w:t>
      </w:r>
      <w:r w:rsidRPr="00020BB4">
        <w:rPr>
          <w:rFonts w:ascii="Times New Roman" w:hAnsi="Times New Roman" w:cs="Times New Roman"/>
          <w:sz w:val="28"/>
          <w:szCs w:val="28"/>
          <w:lang w:val="uk-UA"/>
        </w:rPr>
        <w:t xml:space="preserve"> в поєднанні з дедалі міцнішим євро призвели до сильного підвищення реальних</w:t>
      </w:r>
      <w:r>
        <w:rPr>
          <w:rFonts w:ascii="Times New Roman" w:hAnsi="Times New Roman" w:cs="Times New Roman"/>
          <w:sz w:val="28"/>
          <w:szCs w:val="28"/>
          <w:lang w:val="uk-UA"/>
        </w:rPr>
        <w:t xml:space="preserve"> обмінних курсів Португалії та</w:t>
      </w:r>
      <w:r w:rsidRPr="00020BB4">
        <w:rPr>
          <w:rFonts w:ascii="Times New Roman" w:hAnsi="Times New Roman" w:cs="Times New Roman"/>
          <w:sz w:val="28"/>
          <w:szCs w:val="28"/>
          <w:lang w:val="uk-UA"/>
        </w:rPr>
        <w:t xml:space="preserve"> реальних обмінних курсів євро всередині </w:t>
      </w:r>
      <w:r>
        <w:rPr>
          <w:rFonts w:ascii="Times New Roman" w:hAnsi="Times New Roman" w:cs="Times New Roman"/>
          <w:sz w:val="28"/>
          <w:szCs w:val="28"/>
          <w:lang w:val="uk-UA"/>
        </w:rPr>
        <w:t>регіону</w:t>
      </w:r>
      <w:r w:rsidRPr="00020BB4">
        <w:rPr>
          <w:rFonts w:ascii="Times New Roman" w:hAnsi="Times New Roman" w:cs="Times New Roman"/>
          <w:sz w:val="28"/>
          <w:szCs w:val="28"/>
          <w:lang w:val="uk-UA"/>
        </w:rPr>
        <w:t xml:space="preserve">. Оскільки переважна більшість напрямків експорту Португалії </w:t>
      </w:r>
      <w:r>
        <w:rPr>
          <w:rFonts w:ascii="Times New Roman" w:hAnsi="Times New Roman" w:cs="Times New Roman"/>
          <w:sz w:val="28"/>
          <w:szCs w:val="28"/>
          <w:lang w:val="uk-UA"/>
        </w:rPr>
        <w:t>направлена</w:t>
      </w:r>
      <w:r w:rsidRPr="00020BB4">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 країн</w:t>
      </w:r>
      <w:r w:rsidRPr="00020BB4">
        <w:rPr>
          <w:rFonts w:ascii="Times New Roman" w:hAnsi="Times New Roman" w:cs="Times New Roman"/>
          <w:sz w:val="28"/>
          <w:szCs w:val="28"/>
          <w:lang w:val="uk-UA"/>
        </w:rPr>
        <w:t xml:space="preserve"> валютного союзу, продавати за кордон стало менш привабливим, а внутрішній ринок став більш привабливим. Подібно до ефекту інших країн-боржників євро, португальська економіка стала більш «егоцентричною»: більшість свіжих інвестицій, не кажучи вже про реконфігурацію портфеля існуючого капіталу, було спрямовано до неторгівельних секторів, а саме до нерухомості. і будівництво, а також </w:t>
      </w:r>
      <w:r w:rsidR="00053CF6">
        <w:rPr>
          <w:rFonts w:ascii="Times New Roman" w:hAnsi="Times New Roman" w:cs="Times New Roman"/>
          <w:sz w:val="28"/>
          <w:szCs w:val="28"/>
          <w:lang w:val="uk-UA"/>
        </w:rPr>
        <w:t xml:space="preserve">на </w:t>
      </w:r>
      <w:r w:rsidRPr="00020BB4">
        <w:rPr>
          <w:rFonts w:ascii="Times New Roman" w:hAnsi="Times New Roman" w:cs="Times New Roman"/>
          <w:sz w:val="28"/>
          <w:szCs w:val="28"/>
          <w:lang w:val="uk-UA"/>
        </w:rPr>
        <w:t>комун</w:t>
      </w:r>
      <w:r>
        <w:rPr>
          <w:rFonts w:ascii="Times New Roman" w:hAnsi="Times New Roman" w:cs="Times New Roman"/>
          <w:sz w:val="28"/>
          <w:szCs w:val="28"/>
          <w:lang w:val="uk-UA"/>
        </w:rPr>
        <w:t>альні послуги та інфраструктур</w:t>
      </w:r>
      <w:r w:rsidR="00053CF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18</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25425E" w:rsidRPr="0025425E" w:rsidRDefault="00595629" w:rsidP="00595629">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Трансформацію Португалії протягом останніх двох десятиліть аналізують </w:t>
      </w:r>
      <w:r w:rsidRPr="00595629">
        <w:rPr>
          <w:rFonts w:ascii="Times New Roman" w:hAnsi="Times New Roman" w:cs="Times New Roman"/>
          <w:sz w:val="28"/>
          <w:szCs w:val="28"/>
          <w:lang w:val="uk-UA"/>
        </w:rPr>
        <w:t>Маріо Сентено</w:t>
      </w:r>
      <w:r>
        <w:rPr>
          <w:rFonts w:ascii="Times New Roman" w:hAnsi="Times New Roman" w:cs="Times New Roman"/>
          <w:sz w:val="28"/>
          <w:szCs w:val="28"/>
          <w:lang w:val="uk-UA"/>
        </w:rPr>
        <w:t xml:space="preserve"> та Мігель Кастро Коельо у роботі</w:t>
      </w:r>
      <w:r w:rsidRPr="0059562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95629">
        <w:rPr>
          <w:rFonts w:ascii="Times New Roman" w:hAnsi="Times New Roman" w:cs="Times New Roman"/>
          <w:sz w:val="28"/>
          <w:szCs w:val="28"/>
          <w:lang w:val="uk-UA"/>
        </w:rPr>
        <w:t>Поворот португальської економіки: д</w:t>
      </w:r>
      <w:r>
        <w:rPr>
          <w:rFonts w:ascii="Times New Roman" w:hAnsi="Times New Roman" w:cs="Times New Roman"/>
          <w:sz w:val="28"/>
          <w:szCs w:val="28"/>
          <w:lang w:val="uk-UA"/>
        </w:rPr>
        <w:t xml:space="preserve">ва десятиліття структурних змін» (2018). </w:t>
      </w:r>
      <w:r w:rsidR="0025425E" w:rsidRPr="0025425E">
        <w:rPr>
          <w:rFonts w:ascii="Times New Roman" w:hAnsi="Times New Roman" w:cs="Times New Roman"/>
          <w:sz w:val="28"/>
          <w:szCs w:val="28"/>
          <w:lang w:val="uk-UA"/>
        </w:rPr>
        <w:t>Напередодні введення євро в 2002 році уявлення про економічні перспективи Португалії та інвестиційний ризик змінилися, що призвело до значного збільшення приватного боргу та помірного буму внутрішнього попиту. Бум змінився у 2000-х роках десятиліттям тривалого зростання, погіршенням умов ринку праці, постійним накопиченням зовнішніх дисбалансів і зростанням боргу. На думку авторів, після кризи суверенного боргу та протяжного періоду невизначеності розпочалась «програма коригування» в країні. Постійне, стабільне відновлення португальської економіки фактично ґрунтується на тривалих структурних змінах у навичках, інвестиціях, експортній орієнтації та на ринку праці, які поширилися протягом останніх двох десятиліть. Ці зміни були доповнені нещодавніми політичними ініціативами, спрямованими на відновлення довіри бізнесу та споживачів, включаючи заходи з відновлення португальської фінансової системи, політику підтримки внутрішнього попиту та антициклічне, суворе та розумне управління державними фінансами. Усі разом вони досягли значних успіхів у подоланні ключових структурних недоліків португальської економіки і, таким чином, допомогли закласти основи для більш стій</w:t>
      </w:r>
      <w:r w:rsidR="0025425E">
        <w:rPr>
          <w:rFonts w:ascii="Times New Roman" w:hAnsi="Times New Roman" w:cs="Times New Roman"/>
          <w:sz w:val="28"/>
          <w:szCs w:val="28"/>
          <w:lang w:val="uk-UA"/>
        </w:rPr>
        <w:t xml:space="preserve">кої та процвітаючої економіки </w:t>
      </w:r>
      <w:r w:rsidR="0025425E" w:rsidRPr="00334A0A">
        <w:rPr>
          <w:rFonts w:ascii="Times New Roman" w:hAnsi="Times New Roman" w:cs="Times New Roman"/>
          <w:sz w:val="28"/>
          <w:szCs w:val="28"/>
          <w:lang w:val="uk-UA"/>
        </w:rPr>
        <w:t>[</w:t>
      </w:r>
      <w:r w:rsidR="0025425E">
        <w:rPr>
          <w:rFonts w:ascii="Times New Roman" w:hAnsi="Times New Roman" w:cs="Times New Roman"/>
          <w:sz w:val="28"/>
          <w:szCs w:val="28"/>
          <w:lang w:val="uk-UA"/>
        </w:rPr>
        <w:t>19</w:t>
      </w:r>
      <w:r w:rsidR="0025425E" w:rsidRPr="00334A0A">
        <w:rPr>
          <w:rFonts w:ascii="Times New Roman" w:hAnsi="Times New Roman" w:cs="Times New Roman"/>
          <w:sz w:val="28"/>
          <w:szCs w:val="28"/>
          <w:lang w:val="uk-UA"/>
        </w:rPr>
        <w:t>]</w:t>
      </w:r>
      <w:r w:rsidR="0025425E">
        <w:rPr>
          <w:rFonts w:ascii="Times New Roman" w:hAnsi="Times New Roman" w:cs="Times New Roman"/>
          <w:sz w:val="28"/>
          <w:szCs w:val="28"/>
          <w:lang w:val="uk-UA"/>
        </w:rPr>
        <w:t>.</w:t>
      </w:r>
    </w:p>
    <w:p w:rsidR="001B3E14" w:rsidRDefault="0025425E" w:rsidP="0025425E">
      <w:pPr>
        <w:tabs>
          <w:tab w:val="left" w:pos="3700"/>
        </w:tabs>
        <w:spacing w:after="0" w:line="360" w:lineRule="auto"/>
        <w:ind w:firstLine="680"/>
        <w:jc w:val="both"/>
        <w:rPr>
          <w:rFonts w:ascii="Times New Roman" w:hAnsi="Times New Roman" w:cs="Times New Roman"/>
          <w:sz w:val="28"/>
          <w:szCs w:val="28"/>
          <w:lang w:val="uk-UA"/>
        </w:rPr>
      </w:pPr>
      <w:r w:rsidRPr="0025425E">
        <w:rPr>
          <w:rFonts w:ascii="Times New Roman" w:hAnsi="Times New Roman" w:cs="Times New Roman"/>
          <w:sz w:val="28"/>
          <w:szCs w:val="28"/>
          <w:lang w:val="uk-UA"/>
        </w:rPr>
        <w:t>Нещодавно зусилля, спрямовані на стабілізацію португальської банківської системи та реформування її управління, зіграли вирішальну роль у відновленні зростання після кризи. Зміцнення банківської системи було ключовим фактором для збільшення кредитних потоків і підвищення ефективності розміщення капіталу. Ці зусилля включали зміцнення капітальної бази банків, зміну структури акціонерів, роз’яснення механізмів процедур урегулювання та сприяння створенню належних умов для повернення операційних результ</w:t>
      </w:r>
      <w:r>
        <w:rPr>
          <w:rFonts w:ascii="Times New Roman" w:hAnsi="Times New Roman" w:cs="Times New Roman"/>
          <w:sz w:val="28"/>
          <w:szCs w:val="28"/>
          <w:lang w:val="uk-UA"/>
        </w:rPr>
        <w:t xml:space="preserve">атів банку на позитивний рівень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19</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595629" w:rsidRDefault="0053775B" w:rsidP="0053775B">
      <w:pPr>
        <w:tabs>
          <w:tab w:val="left" w:pos="3700"/>
        </w:tabs>
        <w:spacing w:after="0" w:line="360" w:lineRule="auto"/>
        <w:ind w:firstLine="680"/>
        <w:jc w:val="both"/>
        <w:rPr>
          <w:rFonts w:ascii="Times New Roman" w:hAnsi="Times New Roman" w:cs="Times New Roman"/>
          <w:sz w:val="28"/>
          <w:szCs w:val="28"/>
          <w:lang w:val="uk-UA"/>
        </w:rPr>
      </w:pPr>
      <w:r w:rsidRPr="0053775B">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роботі </w:t>
      </w:r>
      <w:r w:rsidRPr="0053775B">
        <w:rPr>
          <w:rFonts w:ascii="Times New Roman" w:hAnsi="Times New Roman" w:cs="Times New Roman"/>
          <w:sz w:val="28"/>
          <w:szCs w:val="28"/>
          <w:lang w:val="uk-UA"/>
        </w:rPr>
        <w:t>Крістін</w:t>
      </w:r>
      <w:r>
        <w:rPr>
          <w:rFonts w:ascii="Times New Roman" w:hAnsi="Times New Roman" w:cs="Times New Roman"/>
          <w:sz w:val="28"/>
          <w:szCs w:val="28"/>
          <w:lang w:val="uk-UA"/>
        </w:rPr>
        <w:t>и</w:t>
      </w:r>
      <w:r w:rsidRPr="0053775B">
        <w:rPr>
          <w:rFonts w:ascii="Times New Roman" w:hAnsi="Times New Roman" w:cs="Times New Roman"/>
          <w:sz w:val="28"/>
          <w:szCs w:val="28"/>
          <w:lang w:val="uk-UA"/>
        </w:rPr>
        <w:t xml:space="preserve"> Мантеу</w:t>
      </w:r>
      <w:r>
        <w:rPr>
          <w:rFonts w:ascii="Times New Roman" w:hAnsi="Times New Roman" w:cs="Times New Roman"/>
          <w:sz w:val="28"/>
          <w:szCs w:val="28"/>
          <w:lang w:val="uk-UA"/>
        </w:rPr>
        <w:t xml:space="preserve"> та</w:t>
      </w:r>
      <w:r w:rsidRPr="0053775B">
        <w:rPr>
          <w:rFonts w:ascii="Times New Roman" w:hAnsi="Times New Roman" w:cs="Times New Roman"/>
          <w:sz w:val="28"/>
          <w:szCs w:val="28"/>
          <w:lang w:val="uk-UA"/>
        </w:rPr>
        <w:t xml:space="preserve"> Сар</w:t>
      </w:r>
      <w:r>
        <w:rPr>
          <w:rFonts w:ascii="Times New Roman" w:hAnsi="Times New Roman" w:cs="Times New Roman"/>
          <w:sz w:val="28"/>
          <w:szCs w:val="28"/>
          <w:lang w:val="uk-UA"/>
        </w:rPr>
        <w:t>и</w:t>
      </w:r>
      <w:r w:rsidRPr="0053775B">
        <w:rPr>
          <w:rFonts w:ascii="Times New Roman" w:hAnsi="Times New Roman" w:cs="Times New Roman"/>
          <w:sz w:val="28"/>
          <w:szCs w:val="28"/>
          <w:lang w:val="uk-UA"/>
        </w:rPr>
        <w:t xml:space="preserve"> Серр</w:t>
      </w:r>
      <w:r>
        <w:rPr>
          <w:rFonts w:ascii="Times New Roman" w:hAnsi="Times New Roman" w:cs="Times New Roman"/>
          <w:sz w:val="28"/>
          <w:szCs w:val="28"/>
          <w:lang w:val="uk-UA"/>
        </w:rPr>
        <w:t>и</w:t>
      </w:r>
      <w:r w:rsidRPr="0053775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3775B">
        <w:rPr>
          <w:rFonts w:ascii="Times New Roman" w:hAnsi="Times New Roman" w:cs="Times New Roman"/>
          <w:sz w:val="28"/>
          <w:szCs w:val="28"/>
          <w:lang w:val="uk-UA"/>
        </w:rPr>
        <w:t>Вплив заходів невизначеності на економіку Португалії</w:t>
      </w:r>
      <w:r>
        <w:rPr>
          <w:rFonts w:ascii="Times New Roman" w:hAnsi="Times New Roman" w:cs="Times New Roman"/>
          <w:sz w:val="28"/>
          <w:szCs w:val="28"/>
          <w:lang w:val="uk-UA"/>
        </w:rPr>
        <w:t xml:space="preserve">» (2017) </w:t>
      </w:r>
      <w:r w:rsidRPr="0053775B">
        <w:rPr>
          <w:rFonts w:ascii="Times New Roman" w:hAnsi="Times New Roman" w:cs="Times New Roman"/>
          <w:sz w:val="28"/>
          <w:szCs w:val="28"/>
          <w:lang w:val="uk-UA"/>
        </w:rPr>
        <w:t xml:space="preserve">представлено набір показників невизначеності для </w:t>
      </w:r>
      <w:r w:rsidRPr="0053775B">
        <w:rPr>
          <w:rFonts w:ascii="Times New Roman" w:hAnsi="Times New Roman" w:cs="Times New Roman"/>
          <w:sz w:val="28"/>
          <w:szCs w:val="28"/>
          <w:lang w:val="uk-UA"/>
        </w:rPr>
        <w:lastRenderedPageBreak/>
        <w:t xml:space="preserve">португальської економіки, що охоплює декілька типів підходів до вимірювання цієї змінної. Аналіз, заснований на моделях BVAR, підтверджує негативний вплив зростання невизначеності на економічний розвиток. Результати свідчать про те, що ці показники, самі по собі або разом із показниками левериджу, допомагають пояснити зниження макроекономічних агрегатів через фінансову кризу та кризу державного боргу та слабкість наступного </w:t>
      </w:r>
      <w:r w:rsidR="0053450C">
        <w:rPr>
          <w:rFonts w:ascii="Times New Roman" w:hAnsi="Times New Roman" w:cs="Times New Roman"/>
          <w:sz w:val="28"/>
          <w:szCs w:val="28"/>
          <w:lang w:val="uk-UA"/>
        </w:rPr>
        <w:t xml:space="preserve">економічного </w:t>
      </w:r>
      <w:r w:rsidRPr="0053775B">
        <w:rPr>
          <w:rFonts w:ascii="Times New Roman" w:hAnsi="Times New Roman" w:cs="Times New Roman"/>
          <w:sz w:val="28"/>
          <w:szCs w:val="28"/>
          <w:lang w:val="uk-UA"/>
        </w:rPr>
        <w:t>відновлення. Результати щодо ВВП є дуже послідовними за всіма показниками та вказують на відповідний негативний вплив невизначеності під час останніх двох рецесій та позитивний вплив після завершення програми фінансової допомоги. З кінця 2008 року до середини 2012 року невизначеність мала негативний вплив на зростання ВВП у розмірі від 1 до 2 процентних пунктів (п.п.), починаючи з того часу зменшуватися. Однак найбільший вплив невизначеності в цей період є позитивним у порівнянні з 2014 роком, пов’язаним із закінченням програми економічної та фінансової допомоги для Португалії. Протягом 2016 року позитивний вплив невизначеності на ВВП почав зникати, ставши негативним у другій половині року. Дек</w:t>
      </w:r>
      <w:r w:rsidR="0053450C">
        <w:rPr>
          <w:rFonts w:ascii="Times New Roman" w:hAnsi="Times New Roman" w:cs="Times New Roman"/>
          <w:sz w:val="28"/>
          <w:szCs w:val="28"/>
          <w:lang w:val="uk-UA"/>
        </w:rPr>
        <w:t>ілька подій могли сприяти цьому</w:t>
      </w:r>
      <w:r w:rsidRPr="0053775B">
        <w:rPr>
          <w:rFonts w:ascii="Times New Roman" w:hAnsi="Times New Roman" w:cs="Times New Roman"/>
          <w:sz w:val="28"/>
          <w:szCs w:val="28"/>
          <w:lang w:val="uk-UA"/>
        </w:rPr>
        <w:t>, включно з імміграційною кризою в Європі, відносно негативним оглядом її банківського сектора та періодом, що передував референдуму В</w:t>
      </w:r>
      <w:r w:rsidR="0053450C">
        <w:rPr>
          <w:rFonts w:ascii="Times New Roman" w:hAnsi="Times New Roman" w:cs="Times New Roman"/>
          <w:sz w:val="28"/>
          <w:szCs w:val="28"/>
          <w:lang w:val="uk-UA"/>
        </w:rPr>
        <w:t xml:space="preserve">еликобританії щодо виходу з участі в ЄС </w:t>
      </w:r>
      <w:r>
        <w:rPr>
          <w:rFonts w:ascii="Times New Roman" w:hAnsi="Times New Roman" w:cs="Times New Roman"/>
          <w:sz w:val="28"/>
          <w:szCs w:val="28"/>
          <w:lang w:val="uk-UA"/>
        </w:rPr>
        <w:t xml:space="preserve">і після </w:t>
      </w:r>
      <w:r w:rsidR="0053450C">
        <w:rPr>
          <w:rFonts w:ascii="Times New Roman" w:hAnsi="Times New Roman" w:cs="Times New Roman"/>
          <w:sz w:val="28"/>
          <w:szCs w:val="28"/>
          <w:lang w:val="uk-UA"/>
        </w:rPr>
        <w:t>даного періоду</w:t>
      </w:r>
      <w:r>
        <w:rPr>
          <w:rFonts w:ascii="Times New Roman" w:hAnsi="Times New Roman" w:cs="Times New Roman"/>
          <w:sz w:val="28"/>
          <w:szCs w:val="28"/>
          <w:lang w:val="uk-UA"/>
        </w:rPr>
        <w:t xml:space="preserve">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20</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1B6E6C" w:rsidRPr="001B6E6C" w:rsidRDefault="00304AA6" w:rsidP="00304AA6">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статті </w:t>
      </w:r>
      <w:r w:rsidRPr="00304AA6">
        <w:rPr>
          <w:rFonts w:ascii="Times New Roman" w:hAnsi="Times New Roman" w:cs="Times New Roman"/>
          <w:sz w:val="28"/>
          <w:szCs w:val="28"/>
          <w:lang w:val="uk-UA"/>
        </w:rPr>
        <w:t>Георгі</w:t>
      </w:r>
      <w:r>
        <w:rPr>
          <w:rFonts w:ascii="Times New Roman" w:hAnsi="Times New Roman" w:cs="Times New Roman"/>
          <w:sz w:val="28"/>
          <w:szCs w:val="28"/>
          <w:lang w:val="uk-UA"/>
        </w:rPr>
        <w:t>я Алогоскуфіса «</w:t>
      </w:r>
      <w:r w:rsidRPr="00304AA6">
        <w:rPr>
          <w:rFonts w:ascii="Times New Roman" w:hAnsi="Times New Roman" w:cs="Times New Roman"/>
          <w:sz w:val="28"/>
          <w:szCs w:val="28"/>
          <w:lang w:val="uk-UA"/>
        </w:rPr>
        <w:t>Греція та євро: трагедія Манделлія</w:t>
      </w:r>
      <w:r>
        <w:rPr>
          <w:rFonts w:ascii="Times New Roman" w:hAnsi="Times New Roman" w:cs="Times New Roman"/>
          <w:sz w:val="28"/>
          <w:szCs w:val="28"/>
          <w:lang w:val="uk-UA"/>
        </w:rPr>
        <w:t xml:space="preserve">» (2019) </w:t>
      </w:r>
      <w:r w:rsidR="001B6E6C" w:rsidRPr="001B6E6C">
        <w:rPr>
          <w:rFonts w:ascii="Times New Roman" w:hAnsi="Times New Roman" w:cs="Times New Roman"/>
          <w:sz w:val="28"/>
          <w:szCs w:val="28"/>
          <w:lang w:val="uk-UA"/>
        </w:rPr>
        <w:t>проаналізовано процес</w:t>
      </w:r>
      <w:r>
        <w:rPr>
          <w:rFonts w:ascii="Times New Roman" w:hAnsi="Times New Roman" w:cs="Times New Roman"/>
          <w:sz w:val="28"/>
          <w:szCs w:val="28"/>
          <w:lang w:val="uk-UA"/>
        </w:rPr>
        <w:t>и невизначеності та</w:t>
      </w:r>
      <w:r w:rsidR="001B6E6C" w:rsidRPr="001B6E6C">
        <w:rPr>
          <w:rFonts w:ascii="Times New Roman" w:hAnsi="Times New Roman" w:cs="Times New Roman"/>
          <w:sz w:val="28"/>
          <w:szCs w:val="28"/>
          <w:lang w:val="uk-UA"/>
        </w:rPr>
        <w:t xml:space="preserve"> дестабілізації, кризи та адаптації в грецькій економіці з моменту вступу країни до Європейського Союзу та, згодом, до зони євро. Після вступу Греції до ЄС у 1981 році було чотири чіткі 10-річні цикли економічної політики. Перший цикл, цикл дестабілізації, невизначеності та стагфляції, охопив 1980-ті роки. Багато поточних проблем грецької економіки, такі як низька міжнародна конкурентоспроможність і високий державний борг, є спадщиною того десятиліття. Другий цикл, цикл неповної та однобічної адаптації, охоплював 1990-ті роки. Фіскальна та структурна адаптація була недостатньою, і вступ до зони євро був досягнутий головним чином завдяки значному посиленню </w:t>
      </w:r>
      <w:r w:rsidR="001B6E6C" w:rsidRPr="001B6E6C">
        <w:rPr>
          <w:rFonts w:ascii="Times New Roman" w:hAnsi="Times New Roman" w:cs="Times New Roman"/>
          <w:sz w:val="28"/>
          <w:szCs w:val="28"/>
          <w:lang w:val="uk-UA"/>
        </w:rPr>
        <w:lastRenderedPageBreak/>
        <w:t>монетарної політики. У результаті Греція увійшла до зони євро з низькою міжнародною конкурентоспроможністю та значними фіскал</w:t>
      </w:r>
      <w:r w:rsidR="001B6E6C">
        <w:rPr>
          <w:rFonts w:ascii="Times New Roman" w:hAnsi="Times New Roman" w:cs="Times New Roman"/>
          <w:sz w:val="28"/>
          <w:szCs w:val="28"/>
          <w:lang w:val="uk-UA"/>
        </w:rPr>
        <w:t xml:space="preserve">ьними дисбалансами </w:t>
      </w:r>
      <w:r w:rsidR="001B6E6C" w:rsidRPr="00334A0A">
        <w:rPr>
          <w:rFonts w:ascii="Times New Roman" w:hAnsi="Times New Roman" w:cs="Times New Roman"/>
          <w:sz w:val="28"/>
          <w:szCs w:val="28"/>
          <w:lang w:val="uk-UA"/>
        </w:rPr>
        <w:t>[</w:t>
      </w:r>
      <w:r w:rsidR="001B6E6C">
        <w:rPr>
          <w:rFonts w:ascii="Times New Roman" w:hAnsi="Times New Roman" w:cs="Times New Roman"/>
          <w:sz w:val="28"/>
          <w:szCs w:val="28"/>
          <w:lang w:val="uk-UA"/>
        </w:rPr>
        <w:t>21</w:t>
      </w:r>
      <w:r w:rsidR="001B6E6C" w:rsidRPr="00334A0A">
        <w:rPr>
          <w:rFonts w:ascii="Times New Roman" w:hAnsi="Times New Roman" w:cs="Times New Roman"/>
          <w:sz w:val="28"/>
          <w:szCs w:val="28"/>
          <w:lang w:val="uk-UA"/>
        </w:rPr>
        <w:t>]</w:t>
      </w:r>
      <w:r w:rsidR="001B6E6C">
        <w:rPr>
          <w:rFonts w:ascii="Times New Roman" w:hAnsi="Times New Roman" w:cs="Times New Roman"/>
          <w:sz w:val="28"/>
          <w:szCs w:val="28"/>
          <w:lang w:val="uk-UA"/>
        </w:rPr>
        <w:t xml:space="preserve">. </w:t>
      </w:r>
    </w:p>
    <w:p w:rsidR="00597E20" w:rsidRDefault="001B6E6C" w:rsidP="00D27536">
      <w:pPr>
        <w:tabs>
          <w:tab w:val="left" w:pos="3700"/>
        </w:tabs>
        <w:spacing w:after="0" w:line="360" w:lineRule="auto"/>
        <w:ind w:firstLine="680"/>
        <w:jc w:val="both"/>
        <w:rPr>
          <w:rFonts w:ascii="Times New Roman" w:hAnsi="Times New Roman" w:cs="Times New Roman"/>
          <w:sz w:val="28"/>
          <w:szCs w:val="28"/>
          <w:lang w:val="uk-UA"/>
        </w:rPr>
      </w:pPr>
      <w:r w:rsidRPr="001B6E6C">
        <w:rPr>
          <w:rFonts w:ascii="Times New Roman" w:hAnsi="Times New Roman" w:cs="Times New Roman"/>
          <w:sz w:val="28"/>
          <w:szCs w:val="28"/>
          <w:lang w:val="uk-UA"/>
        </w:rPr>
        <w:t xml:space="preserve">Третій цикл, цикл «євроейфорії», розпочався на початку нового тисячоліття після вступу до Єврозони. Він відзначався низькою інфляцією та умовами процентної ставки та негайним подальшим послабленням фіскальної політики. Це призвело до десятиліття високих темпів зростання та падіння безробіття, тоді як інфляція залишалася низькою. На жаль, ейфорія залежала від зовнішніх запозичень через низьку міжнародну конкурентоспроможність Греції на момент вступу до Єврозони. Швидке зниження реальних процентних ставок, що відбулося після вступу, спричинило збільшення розриву між сукупними інвестиціями та заощадженнями та тривале погіршення рахунку поточних операцій. Грецькі уряди, які змінювали один одного, опинившись у пастці дилеми Манделліа між внутрішнім і зовнішнім балансом, не використовували свій єдиний інструмент, що залишився, фіскальну політику, щоб усунути зовнішні дисбаланси, оскільки це спровокувало б рецесію та знищило «ейфорію». Зрештою, накопичення зовнішнього боргу призвело до «раптової зупинки» міжнародного кредитування Греції, спровокованого міжнародною фінансовою кризою 2008-09 років. Зміна політики, яка була нав’язана Греції з 2010 року, стала четвертим циклом політики, «раптовою зупинкою» та великою рецесією. Він характеризувався програмою фіскального коригування з початковим навантаженням, а також скороченнями номінальної та реальної заробітної плати в умовах фінансових репресій. Це призвело до найдовшої та найглибшої рецесії в післявоєнній історії Греції. Після трьох послідовних </w:t>
      </w:r>
      <w:r w:rsidR="005F4C60">
        <w:rPr>
          <w:rFonts w:ascii="Times New Roman" w:hAnsi="Times New Roman" w:cs="Times New Roman"/>
          <w:sz w:val="28"/>
          <w:szCs w:val="28"/>
          <w:lang w:val="uk-UA"/>
        </w:rPr>
        <w:t>циклів</w:t>
      </w:r>
      <w:r w:rsidRPr="001B6E6C">
        <w:rPr>
          <w:rFonts w:ascii="Times New Roman" w:hAnsi="Times New Roman" w:cs="Times New Roman"/>
          <w:sz w:val="28"/>
          <w:szCs w:val="28"/>
          <w:lang w:val="uk-UA"/>
        </w:rPr>
        <w:t xml:space="preserve"> «жорсткої економії» протягом восьми років зовнішні дисбаланси нарешті були усунені, але ціною величезної ціни у вигляді втра</w:t>
      </w:r>
      <w:r>
        <w:rPr>
          <w:rFonts w:ascii="Times New Roman" w:hAnsi="Times New Roman" w:cs="Times New Roman"/>
          <w:sz w:val="28"/>
          <w:szCs w:val="28"/>
          <w:lang w:val="uk-UA"/>
        </w:rPr>
        <w:t xml:space="preserve">ти виробництва та робочих місць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21</w:t>
      </w:r>
      <w:r w:rsidRPr="00334A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DC2CB1" w:rsidRDefault="002C6241" w:rsidP="00223B7B">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2C6241">
        <w:rPr>
          <w:rFonts w:ascii="Times New Roman" w:hAnsi="Times New Roman" w:cs="Times New Roman"/>
          <w:sz w:val="28"/>
          <w:szCs w:val="28"/>
          <w:lang w:val="uk-UA"/>
        </w:rPr>
        <w:t>ослідження</w:t>
      </w:r>
      <w:r>
        <w:rPr>
          <w:rFonts w:ascii="Times New Roman" w:hAnsi="Times New Roman" w:cs="Times New Roman"/>
          <w:sz w:val="28"/>
          <w:szCs w:val="28"/>
          <w:lang w:val="uk-UA"/>
        </w:rPr>
        <w:t xml:space="preserve"> </w:t>
      </w:r>
      <w:r w:rsidRPr="002C6241">
        <w:rPr>
          <w:rFonts w:ascii="Times New Roman" w:hAnsi="Times New Roman" w:cs="Times New Roman"/>
          <w:sz w:val="28"/>
          <w:szCs w:val="28"/>
          <w:lang w:val="uk-UA"/>
        </w:rPr>
        <w:t>Хіона Бальфусія</w:t>
      </w:r>
      <w:r>
        <w:rPr>
          <w:rFonts w:ascii="Times New Roman" w:hAnsi="Times New Roman" w:cs="Times New Roman"/>
          <w:sz w:val="28"/>
          <w:szCs w:val="28"/>
          <w:lang w:val="uk-UA"/>
        </w:rPr>
        <w:t xml:space="preserve"> та Дімітріоса П. Лузіса «</w:t>
      </w:r>
      <w:r w:rsidRPr="002C6241">
        <w:rPr>
          <w:rFonts w:ascii="Times New Roman" w:hAnsi="Times New Roman" w:cs="Times New Roman"/>
          <w:sz w:val="28"/>
          <w:szCs w:val="28"/>
          <w:lang w:val="uk-UA"/>
        </w:rPr>
        <w:t>Вплив економічної невизначеності та невизначеност</w:t>
      </w:r>
      <w:r>
        <w:rPr>
          <w:rFonts w:ascii="Times New Roman" w:hAnsi="Times New Roman" w:cs="Times New Roman"/>
          <w:sz w:val="28"/>
          <w:szCs w:val="28"/>
          <w:lang w:val="uk-UA"/>
        </w:rPr>
        <w:t>і інфляції на грецьку економіку» (2021)</w:t>
      </w:r>
      <w:r w:rsidRPr="002C6241">
        <w:rPr>
          <w:rFonts w:ascii="Times New Roman" w:hAnsi="Times New Roman" w:cs="Times New Roman"/>
          <w:sz w:val="28"/>
          <w:szCs w:val="28"/>
          <w:lang w:val="uk-UA"/>
        </w:rPr>
        <w:t xml:space="preserve"> надає </w:t>
      </w:r>
      <w:r w:rsidRPr="002C6241">
        <w:rPr>
          <w:rFonts w:ascii="Times New Roman" w:hAnsi="Times New Roman" w:cs="Times New Roman"/>
          <w:sz w:val="28"/>
          <w:szCs w:val="28"/>
          <w:lang w:val="uk-UA"/>
        </w:rPr>
        <w:lastRenderedPageBreak/>
        <w:t>оцінк</w:t>
      </w:r>
      <w:r>
        <w:rPr>
          <w:rFonts w:ascii="Times New Roman" w:hAnsi="Times New Roman" w:cs="Times New Roman"/>
          <w:sz w:val="28"/>
          <w:szCs w:val="28"/>
          <w:lang w:val="uk-UA"/>
        </w:rPr>
        <w:t>у</w:t>
      </w:r>
      <w:r w:rsidRPr="002C6241">
        <w:rPr>
          <w:rFonts w:ascii="Times New Roman" w:hAnsi="Times New Roman" w:cs="Times New Roman"/>
          <w:sz w:val="28"/>
          <w:szCs w:val="28"/>
          <w:lang w:val="uk-UA"/>
        </w:rPr>
        <w:t xml:space="preserve"> економічної невизначеності та інфляційної невизначеності для грецької економіки та розглядає їхній змінний у часі вплив на відповідні макроекономічні змінні, тобто зростання ВВП та інфляцію. Автори виявили, що в обох випадках ступінь невизначеності змінюється з часом. </w:t>
      </w:r>
      <w:r>
        <w:rPr>
          <w:rFonts w:ascii="Times New Roman" w:hAnsi="Times New Roman" w:cs="Times New Roman"/>
          <w:sz w:val="28"/>
          <w:szCs w:val="28"/>
          <w:lang w:val="uk-UA"/>
        </w:rPr>
        <w:t>ЇЇ</w:t>
      </w:r>
      <w:r w:rsidRPr="002C6241">
        <w:rPr>
          <w:rFonts w:ascii="Times New Roman" w:hAnsi="Times New Roman" w:cs="Times New Roman"/>
          <w:sz w:val="28"/>
          <w:szCs w:val="28"/>
          <w:lang w:val="uk-UA"/>
        </w:rPr>
        <w:t xml:space="preserve"> вплив на базові змінні також коливається і є статистично значущим і негативним як під час глобальної фінансової кризи, так і під час кризи державного боргу Греції, а також під час пандемії COVID-19. Таким чином, у ці періоди невизначеність тисне на основи економіки. Результати дослідження мають низку політичних наслідків, зокрема те, що надзвичайні політичні заходи, вжиті для стримування </w:t>
      </w:r>
      <w:r>
        <w:rPr>
          <w:rFonts w:ascii="Times New Roman" w:hAnsi="Times New Roman" w:cs="Times New Roman"/>
          <w:sz w:val="28"/>
          <w:szCs w:val="28"/>
          <w:lang w:val="uk-UA"/>
        </w:rPr>
        <w:t>економічних процесів</w:t>
      </w:r>
      <w:r w:rsidRPr="002C6241">
        <w:rPr>
          <w:rFonts w:ascii="Times New Roman" w:hAnsi="Times New Roman" w:cs="Times New Roman"/>
          <w:sz w:val="28"/>
          <w:szCs w:val="28"/>
          <w:lang w:val="uk-UA"/>
        </w:rPr>
        <w:t>, слід скасовувати поступово та з належною обережністю, оскільки будь-яке збільшення невизначеності може мати негативний вплив на економічн</w:t>
      </w:r>
      <w:r>
        <w:rPr>
          <w:rFonts w:ascii="Times New Roman" w:hAnsi="Times New Roman" w:cs="Times New Roman"/>
          <w:sz w:val="28"/>
          <w:szCs w:val="28"/>
          <w:lang w:val="uk-UA"/>
        </w:rPr>
        <w:t>у</w:t>
      </w:r>
      <w:r w:rsidRPr="002C6241">
        <w:rPr>
          <w:rFonts w:ascii="Times New Roman" w:hAnsi="Times New Roman" w:cs="Times New Roman"/>
          <w:sz w:val="28"/>
          <w:szCs w:val="28"/>
          <w:lang w:val="uk-UA"/>
        </w:rPr>
        <w:t xml:space="preserve"> активні</w:t>
      </w:r>
      <w:r>
        <w:rPr>
          <w:rFonts w:ascii="Times New Roman" w:hAnsi="Times New Roman" w:cs="Times New Roman"/>
          <w:sz w:val="28"/>
          <w:szCs w:val="28"/>
          <w:lang w:val="uk-UA"/>
        </w:rPr>
        <w:t xml:space="preserve">сть і дефляційний вплив на ціни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2</w:t>
      </w:r>
      <w:r w:rsidR="00D27536">
        <w:rPr>
          <w:rFonts w:ascii="Times New Roman" w:hAnsi="Times New Roman" w:cs="Times New Roman"/>
          <w:sz w:val="28"/>
          <w:szCs w:val="28"/>
          <w:lang w:val="uk-UA"/>
        </w:rPr>
        <w:t>2</w:t>
      </w:r>
      <w:r w:rsidRPr="00334A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C6241" w:rsidRDefault="00597E20" w:rsidP="00223B7B">
      <w:pPr>
        <w:tabs>
          <w:tab w:val="left" w:pos="3700"/>
        </w:tabs>
        <w:spacing w:after="0" w:line="360" w:lineRule="auto"/>
        <w:ind w:firstLine="680"/>
        <w:jc w:val="both"/>
        <w:rPr>
          <w:rFonts w:ascii="Times New Roman" w:hAnsi="Times New Roman" w:cs="Times New Roman"/>
          <w:sz w:val="28"/>
          <w:szCs w:val="28"/>
          <w:lang w:val="uk-UA"/>
        </w:rPr>
      </w:pPr>
      <w:r w:rsidRPr="00597E20">
        <w:rPr>
          <w:rFonts w:ascii="Times New Roman" w:hAnsi="Times New Roman" w:cs="Times New Roman"/>
          <w:sz w:val="28"/>
          <w:szCs w:val="28"/>
          <w:lang w:val="uk-UA"/>
        </w:rPr>
        <w:t xml:space="preserve">Дотримуючись новітньої тенденції в макроекономіці пов’язувати аналіз ділового циклу та економічного зростання, а також враховуючи стверджувану роль невизначеності в перешкоджанні та уповільненні економічного відновлення в Греції, у статті </w:t>
      </w:r>
      <w:r w:rsidR="00223B7B">
        <w:rPr>
          <w:rFonts w:ascii="Times New Roman" w:hAnsi="Times New Roman" w:cs="Times New Roman"/>
          <w:sz w:val="28"/>
          <w:szCs w:val="28"/>
          <w:lang w:val="uk-UA"/>
        </w:rPr>
        <w:t>«</w:t>
      </w:r>
      <w:r w:rsidR="00223B7B" w:rsidRPr="00223B7B">
        <w:rPr>
          <w:rFonts w:ascii="Times New Roman" w:hAnsi="Times New Roman" w:cs="Times New Roman"/>
          <w:sz w:val="28"/>
          <w:szCs w:val="28"/>
          <w:lang w:val="uk-UA"/>
        </w:rPr>
        <w:t>Зв’язок між зростанням виробництва та реальною невизначеністю в Греції: інструмент для прискорення економічного відновлення</w:t>
      </w:r>
      <w:r w:rsidR="00223B7B">
        <w:rPr>
          <w:rFonts w:ascii="Times New Roman" w:hAnsi="Times New Roman" w:cs="Times New Roman"/>
          <w:sz w:val="28"/>
          <w:szCs w:val="28"/>
          <w:lang w:val="uk-UA"/>
        </w:rPr>
        <w:t>»</w:t>
      </w:r>
      <w:r w:rsidR="00223B7B" w:rsidRPr="00223B7B">
        <w:rPr>
          <w:rFonts w:ascii="Times New Roman" w:hAnsi="Times New Roman" w:cs="Times New Roman"/>
          <w:sz w:val="28"/>
          <w:szCs w:val="28"/>
          <w:lang w:val="uk-UA"/>
        </w:rPr>
        <w:t xml:space="preserve"> </w:t>
      </w:r>
      <w:r w:rsidR="00223B7B">
        <w:rPr>
          <w:rFonts w:ascii="Times New Roman" w:hAnsi="Times New Roman" w:cs="Times New Roman"/>
          <w:sz w:val="28"/>
          <w:szCs w:val="28"/>
          <w:lang w:val="uk-UA"/>
        </w:rPr>
        <w:t xml:space="preserve">(2016) автор </w:t>
      </w:r>
      <w:r w:rsidR="00223B7B" w:rsidRPr="00223B7B">
        <w:rPr>
          <w:rFonts w:ascii="Times New Roman" w:hAnsi="Times New Roman" w:cs="Times New Roman"/>
          <w:sz w:val="28"/>
          <w:szCs w:val="28"/>
          <w:lang w:val="uk-UA"/>
        </w:rPr>
        <w:t>Екатеріні Цума</w:t>
      </w:r>
      <w:r w:rsidR="00223B7B">
        <w:rPr>
          <w:rFonts w:ascii="Times New Roman" w:hAnsi="Times New Roman" w:cs="Times New Roman"/>
          <w:sz w:val="28"/>
          <w:szCs w:val="28"/>
          <w:lang w:val="uk-UA"/>
        </w:rPr>
        <w:t xml:space="preserve"> намагається </w:t>
      </w:r>
      <w:r w:rsidRPr="00597E20">
        <w:rPr>
          <w:rFonts w:ascii="Times New Roman" w:hAnsi="Times New Roman" w:cs="Times New Roman"/>
          <w:sz w:val="28"/>
          <w:szCs w:val="28"/>
          <w:lang w:val="uk-UA"/>
        </w:rPr>
        <w:t xml:space="preserve">емпірично дослідити існування зв’язку між реальною невизначеністю та економічним зростанням. На тлі відсутності достатніх доказів потенційної двонаправленої залежності у випадку Греції </w:t>
      </w:r>
      <w:r w:rsidR="00223B7B">
        <w:rPr>
          <w:rFonts w:ascii="Times New Roman" w:hAnsi="Times New Roman" w:cs="Times New Roman"/>
          <w:sz w:val="28"/>
          <w:szCs w:val="28"/>
          <w:lang w:val="uk-UA"/>
        </w:rPr>
        <w:t>автор покладався</w:t>
      </w:r>
      <w:r w:rsidRPr="00597E20">
        <w:rPr>
          <w:rFonts w:ascii="Times New Roman" w:hAnsi="Times New Roman" w:cs="Times New Roman"/>
          <w:sz w:val="28"/>
          <w:szCs w:val="28"/>
          <w:lang w:val="uk-UA"/>
        </w:rPr>
        <w:t xml:space="preserve"> на розширену модель GARCH-M, яка побудована таким чином, щоб уможливити одночасне дослідження двох напрямків залежності. Найважливіше те, що </w:t>
      </w:r>
      <w:r w:rsidR="00223B7B">
        <w:rPr>
          <w:rFonts w:ascii="Times New Roman" w:hAnsi="Times New Roman" w:cs="Times New Roman"/>
          <w:sz w:val="28"/>
          <w:szCs w:val="28"/>
          <w:lang w:val="uk-UA"/>
        </w:rPr>
        <w:t>було включено</w:t>
      </w:r>
      <w:r w:rsidRPr="00597E20">
        <w:rPr>
          <w:rFonts w:ascii="Times New Roman" w:hAnsi="Times New Roman" w:cs="Times New Roman"/>
          <w:sz w:val="28"/>
          <w:szCs w:val="28"/>
          <w:lang w:val="uk-UA"/>
        </w:rPr>
        <w:t xml:space="preserve"> останній період рецесії (який ще не закінчився для грецької економіки), щоб врахувати зміни, що відбулися після останнього особливо тривалого періоду розширення, який почався в 1993 році і закінчився в 2008 році. Виявлені значні ефекти в обох напрямках пропонують чітке обґрунтування необхідності розгляду аналізу бізнес-циклу поряд з аналізом зростання. Водночас надані докази свідчать про те, що у випадку Греції реальна невизначеність негативно впливає на зростання, тоді як зростання також є </w:t>
      </w:r>
      <w:r w:rsidRPr="00597E20">
        <w:rPr>
          <w:rFonts w:ascii="Times New Roman" w:hAnsi="Times New Roman" w:cs="Times New Roman"/>
          <w:sz w:val="28"/>
          <w:szCs w:val="28"/>
          <w:lang w:val="uk-UA"/>
        </w:rPr>
        <w:lastRenderedPageBreak/>
        <w:t xml:space="preserve">негативним визначником реальної невизначеності. Ці висновки видаються особливо важливими для економічної політики в країні, спрямованої на вихід із рецесії та забезпечення стабільного шляху до стабільних умов зростання. Вони вказують на те, що встановлені зв’язки можуть сприяти просуванню стратегій зростання через функцію спіралі «знижена реальна невизначеність веде до вищого економічного зростання, а вищий економічний ріст веде до </w:t>
      </w:r>
      <w:r>
        <w:rPr>
          <w:rFonts w:ascii="Times New Roman" w:hAnsi="Times New Roman" w:cs="Times New Roman"/>
          <w:sz w:val="28"/>
          <w:szCs w:val="28"/>
          <w:lang w:val="uk-UA"/>
        </w:rPr>
        <w:t xml:space="preserve">нижчої реальної невизначеності» </w:t>
      </w:r>
      <w:r w:rsidRPr="00334A0A">
        <w:rPr>
          <w:rFonts w:ascii="Times New Roman" w:hAnsi="Times New Roman" w:cs="Times New Roman"/>
          <w:sz w:val="28"/>
          <w:szCs w:val="28"/>
          <w:lang w:val="uk-UA"/>
        </w:rPr>
        <w:t>[</w:t>
      </w:r>
      <w:r>
        <w:rPr>
          <w:rFonts w:ascii="Times New Roman" w:hAnsi="Times New Roman" w:cs="Times New Roman"/>
          <w:sz w:val="28"/>
          <w:szCs w:val="28"/>
          <w:lang w:val="uk-UA"/>
        </w:rPr>
        <w:t>2</w:t>
      </w:r>
      <w:r w:rsidR="00D27536">
        <w:rPr>
          <w:rFonts w:ascii="Times New Roman" w:hAnsi="Times New Roman" w:cs="Times New Roman"/>
          <w:sz w:val="28"/>
          <w:szCs w:val="28"/>
          <w:lang w:val="uk-UA"/>
        </w:rPr>
        <w:t>3</w:t>
      </w:r>
      <w:r w:rsidRPr="00334A0A">
        <w:rPr>
          <w:rFonts w:ascii="Times New Roman" w:hAnsi="Times New Roman" w:cs="Times New Roman"/>
          <w:sz w:val="28"/>
          <w:szCs w:val="28"/>
          <w:lang w:val="uk-UA"/>
        </w:rPr>
        <w:t>]</w:t>
      </w:r>
      <w:r>
        <w:rPr>
          <w:rFonts w:ascii="Times New Roman" w:hAnsi="Times New Roman" w:cs="Times New Roman"/>
          <w:sz w:val="28"/>
          <w:szCs w:val="28"/>
          <w:lang w:val="uk-UA"/>
        </w:rPr>
        <w:t>.</w:t>
      </w:r>
    </w:p>
    <w:p w:rsidR="00DC3991" w:rsidRDefault="00223B7B" w:rsidP="00223B7B">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Гікас А. Хардувеліс та інш. в роботі «</w:t>
      </w:r>
      <w:r w:rsidRPr="00223B7B">
        <w:rPr>
          <w:rFonts w:ascii="Times New Roman" w:hAnsi="Times New Roman" w:cs="Times New Roman"/>
          <w:sz w:val="28"/>
          <w:szCs w:val="28"/>
          <w:lang w:val="uk-UA"/>
        </w:rPr>
        <w:t>Невизначеність економічної політики, політична невизначеність і грецька економічна криза</w:t>
      </w:r>
      <w:r>
        <w:rPr>
          <w:rFonts w:ascii="Times New Roman" w:hAnsi="Times New Roman" w:cs="Times New Roman"/>
          <w:sz w:val="28"/>
          <w:szCs w:val="28"/>
          <w:lang w:val="uk-UA"/>
        </w:rPr>
        <w:t>» (2018) побудували</w:t>
      </w:r>
      <w:r w:rsidR="00597E20" w:rsidRPr="00597E20">
        <w:rPr>
          <w:rFonts w:ascii="Times New Roman" w:hAnsi="Times New Roman" w:cs="Times New Roman"/>
          <w:sz w:val="28"/>
          <w:szCs w:val="28"/>
          <w:lang w:val="uk-UA"/>
        </w:rPr>
        <w:t xml:space="preserve"> індекс невизначеності економічної політики для Греції з 1/1998 по 12/2017, подібного до інших міжнародних індексів. </w:t>
      </w:r>
      <w:r>
        <w:rPr>
          <w:rFonts w:ascii="Times New Roman" w:hAnsi="Times New Roman" w:cs="Times New Roman"/>
          <w:sz w:val="28"/>
          <w:szCs w:val="28"/>
          <w:lang w:val="uk-UA"/>
        </w:rPr>
        <w:t>Авторами також було розроблено</w:t>
      </w:r>
      <w:r w:rsidR="00597E20" w:rsidRPr="00597E20">
        <w:rPr>
          <w:rFonts w:ascii="Times New Roman" w:hAnsi="Times New Roman" w:cs="Times New Roman"/>
          <w:sz w:val="28"/>
          <w:szCs w:val="28"/>
          <w:lang w:val="uk-UA"/>
        </w:rPr>
        <w:t xml:space="preserve"> індекси політичної невизначеності та економічної невизначеності, а також субіндекси, пов’язані з фіскальною політикою, монетарною політикою, банківською діяльністю</w:t>
      </w:r>
      <w:r>
        <w:rPr>
          <w:rFonts w:ascii="Times New Roman" w:hAnsi="Times New Roman" w:cs="Times New Roman"/>
          <w:sz w:val="28"/>
          <w:szCs w:val="28"/>
          <w:lang w:val="uk-UA"/>
        </w:rPr>
        <w:t xml:space="preserve">, </w:t>
      </w:r>
      <w:r w:rsidR="00597E20" w:rsidRPr="00597E20">
        <w:rPr>
          <w:rFonts w:ascii="Times New Roman" w:hAnsi="Times New Roman" w:cs="Times New Roman"/>
          <w:sz w:val="28"/>
          <w:szCs w:val="28"/>
          <w:lang w:val="uk-UA"/>
        </w:rPr>
        <w:t>валютою чи можливістю виходу з ЄС та пенсійн</w:t>
      </w:r>
      <w:r>
        <w:rPr>
          <w:rFonts w:ascii="Times New Roman" w:hAnsi="Times New Roman" w:cs="Times New Roman"/>
          <w:sz w:val="28"/>
          <w:szCs w:val="28"/>
          <w:lang w:val="uk-UA"/>
        </w:rPr>
        <w:t>ою політикою</w:t>
      </w:r>
      <w:r w:rsidR="00597E20" w:rsidRPr="00597E20">
        <w:rPr>
          <w:rFonts w:ascii="Times New Roman" w:hAnsi="Times New Roman" w:cs="Times New Roman"/>
          <w:sz w:val="28"/>
          <w:szCs w:val="28"/>
          <w:lang w:val="uk-UA"/>
        </w:rPr>
        <w:t xml:space="preserve">. Індекси позитивно корелюють, але зберігають значну ідіосинкратичну варіабельність. За винятком </w:t>
      </w:r>
      <w:r>
        <w:rPr>
          <w:rFonts w:ascii="Times New Roman" w:hAnsi="Times New Roman" w:cs="Times New Roman"/>
          <w:sz w:val="28"/>
          <w:szCs w:val="28"/>
          <w:lang w:val="uk-UA"/>
        </w:rPr>
        <w:t>індексу монетарної політики</w:t>
      </w:r>
      <w:r w:rsidR="00597E20" w:rsidRPr="00597E20">
        <w:rPr>
          <w:rFonts w:ascii="Times New Roman" w:hAnsi="Times New Roman" w:cs="Times New Roman"/>
          <w:sz w:val="28"/>
          <w:szCs w:val="28"/>
          <w:lang w:val="uk-UA"/>
        </w:rPr>
        <w:t xml:space="preserve">, усі вони зросли під час міжнародної та подальшої грецької кризи. Також існує позитивна кореляція </w:t>
      </w:r>
      <w:r>
        <w:rPr>
          <w:rFonts w:ascii="Times New Roman" w:hAnsi="Times New Roman" w:cs="Times New Roman"/>
          <w:sz w:val="28"/>
          <w:szCs w:val="28"/>
          <w:lang w:val="uk-UA"/>
        </w:rPr>
        <w:t>індексу економічної невизначеності Греції</w:t>
      </w:r>
      <w:r w:rsidR="00597E20" w:rsidRPr="00597E20">
        <w:rPr>
          <w:rFonts w:ascii="Times New Roman" w:hAnsi="Times New Roman" w:cs="Times New Roman"/>
          <w:sz w:val="28"/>
          <w:szCs w:val="28"/>
          <w:lang w:val="uk-UA"/>
        </w:rPr>
        <w:t xml:space="preserve"> з міжнародними індексами </w:t>
      </w:r>
      <w:r>
        <w:rPr>
          <w:rFonts w:ascii="Times New Roman" w:hAnsi="Times New Roman" w:cs="Times New Roman"/>
          <w:sz w:val="28"/>
          <w:szCs w:val="28"/>
          <w:lang w:val="uk-UA"/>
        </w:rPr>
        <w:t>невизначеності</w:t>
      </w:r>
      <w:r w:rsidR="00597E20" w:rsidRPr="00597E20">
        <w:rPr>
          <w:rFonts w:ascii="Times New Roman" w:hAnsi="Times New Roman" w:cs="Times New Roman"/>
          <w:sz w:val="28"/>
          <w:szCs w:val="28"/>
          <w:lang w:val="uk-UA"/>
        </w:rPr>
        <w:t xml:space="preserve">, які зросли під час міжнародної кризи, але, як і очікувалося, знизилися під час грецької кризи. Позитивні шоки для </w:t>
      </w:r>
      <w:r>
        <w:rPr>
          <w:rFonts w:ascii="Times New Roman" w:hAnsi="Times New Roman" w:cs="Times New Roman"/>
          <w:sz w:val="28"/>
          <w:szCs w:val="28"/>
          <w:lang w:val="uk-UA"/>
        </w:rPr>
        <w:t xml:space="preserve">економічної невизначеності </w:t>
      </w:r>
      <w:r w:rsidR="00597E20" w:rsidRPr="00597E20">
        <w:rPr>
          <w:rFonts w:ascii="Times New Roman" w:hAnsi="Times New Roman" w:cs="Times New Roman"/>
          <w:sz w:val="28"/>
          <w:szCs w:val="28"/>
          <w:lang w:val="uk-UA"/>
        </w:rPr>
        <w:t xml:space="preserve">та інших індексів пов’язані з подальшим падінням інвестицій, промислового виробництва, ВВП, зайнятості, вкладів домогосподарств, економічних настроїв та фондового ринку, а також зі збільшенням прибутковості облігацій. Ці потрясіння значною мірою пояснюють не лише напрямок, але й величину змін макро- та фінансових змінних під час кризи. Декомпозиція дисперсії помилки прогнозу VAR за трирічний горизонт припускає, що невизначеність разом із прибутковістю облігацій може пояснити не лише </w:t>
      </w:r>
      <w:r w:rsidR="00597E20">
        <w:rPr>
          <w:rFonts w:ascii="Times New Roman" w:hAnsi="Times New Roman" w:cs="Times New Roman"/>
          <w:sz w:val="28"/>
          <w:szCs w:val="28"/>
          <w:lang w:val="uk-UA"/>
        </w:rPr>
        <w:t xml:space="preserve">глибину, але й тривалість кризи </w:t>
      </w:r>
      <w:r w:rsidR="00597E20" w:rsidRPr="00334A0A">
        <w:rPr>
          <w:rFonts w:ascii="Times New Roman" w:hAnsi="Times New Roman" w:cs="Times New Roman"/>
          <w:sz w:val="28"/>
          <w:szCs w:val="28"/>
          <w:lang w:val="uk-UA"/>
        </w:rPr>
        <w:t>[</w:t>
      </w:r>
      <w:r w:rsidR="00597E20">
        <w:rPr>
          <w:rFonts w:ascii="Times New Roman" w:hAnsi="Times New Roman" w:cs="Times New Roman"/>
          <w:sz w:val="28"/>
          <w:szCs w:val="28"/>
          <w:lang w:val="uk-UA"/>
        </w:rPr>
        <w:t>2</w:t>
      </w:r>
      <w:r w:rsidR="00D27536">
        <w:rPr>
          <w:rFonts w:ascii="Times New Roman" w:hAnsi="Times New Roman" w:cs="Times New Roman"/>
          <w:sz w:val="28"/>
          <w:szCs w:val="28"/>
          <w:lang w:val="uk-UA"/>
        </w:rPr>
        <w:t>4</w:t>
      </w:r>
      <w:r w:rsidR="00597E20" w:rsidRPr="00334A0A">
        <w:rPr>
          <w:rFonts w:ascii="Times New Roman" w:hAnsi="Times New Roman" w:cs="Times New Roman"/>
          <w:sz w:val="28"/>
          <w:szCs w:val="28"/>
          <w:lang w:val="uk-UA"/>
        </w:rPr>
        <w:t>]</w:t>
      </w:r>
      <w:r w:rsidR="00597E20">
        <w:rPr>
          <w:rFonts w:ascii="Times New Roman" w:hAnsi="Times New Roman" w:cs="Times New Roman"/>
          <w:sz w:val="28"/>
          <w:szCs w:val="28"/>
          <w:lang w:val="uk-UA"/>
        </w:rPr>
        <w:t>.</w:t>
      </w:r>
    </w:p>
    <w:p w:rsidR="00DC3991" w:rsidRDefault="00597E20"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E75AB0">
        <w:rPr>
          <w:rFonts w:ascii="Times New Roman" w:hAnsi="Times New Roman" w:cs="Times New Roman"/>
          <w:sz w:val="28"/>
          <w:szCs w:val="28"/>
          <w:lang w:val="uk-UA"/>
        </w:rPr>
        <w:t xml:space="preserve">Португалія та Греція в своєму розвитку обидві зіштовхнулись із протяжними періодами невизначеності, які були викликані декількома факторами. </w:t>
      </w:r>
      <w:r w:rsidR="00C072C3">
        <w:rPr>
          <w:rFonts w:ascii="Times New Roman" w:hAnsi="Times New Roman" w:cs="Times New Roman"/>
          <w:sz w:val="28"/>
          <w:szCs w:val="28"/>
          <w:lang w:val="uk-UA"/>
        </w:rPr>
        <w:lastRenderedPageBreak/>
        <w:t xml:space="preserve">Важливу роль зіграли особливості історичного розвитку та некоректна політика економічного розвитку та розвитку зовнішньоекономічних секторів в 2000-х роках, що призвело до зменшення конкурентоспроможності даних країн та викликало необхідність у зовнішньому фінансуванні внутрішніх потреб і, як наслідок, значне збільшення заборгованості країн.  </w:t>
      </w:r>
    </w:p>
    <w:p w:rsidR="00DC3991" w:rsidRDefault="00DC3991" w:rsidP="00DC3991">
      <w:pPr>
        <w:tabs>
          <w:tab w:val="left" w:pos="3700"/>
        </w:tabs>
        <w:spacing w:after="0" w:line="360" w:lineRule="auto"/>
        <w:ind w:firstLine="680"/>
        <w:jc w:val="both"/>
        <w:rPr>
          <w:rFonts w:ascii="Times New Roman" w:hAnsi="Times New Roman" w:cs="Times New Roman"/>
          <w:sz w:val="28"/>
          <w:szCs w:val="28"/>
          <w:lang w:val="uk-UA"/>
        </w:rPr>
      </w:pPr>
    </w:p>
    <w:p w:rsidR="00DC3991" w:rsidRDefault="00DC3991"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C3991" w:rsidRDefault="00DC3991" w:rsidP="00DC3991">
      <w:pPr>
        <w:pStyle w:val="1"/>
        <w:rPr>
          <w:lang w:val="uk-UA"/>
        </w:rPr>
      </w:pPr>
      <w:bookmarkStart w:id="7" w:name="_Toc162975077"/>
      <w:bookmarkStart w:id="8" w:name="_Toc168123005"/>
      <w:r>
        <w:rPr>
          <w:lang w:val="uk-UA"/>
        </w:rPr>
        <w:lastRenderedPageBreak/>
        <w:t>РОЗДІЛ 2</w:t>
      </w:r>
      <w:bookmarkEnd w:id="7"/>
      <w:bookmarkEnd w:id="8"/>
      <w:r w:rsidR="00000AF8">
        <w:rPr>
          <w:lang w:val="uk-UA"/>
        </w:rPr>
        <w:t xml:space="preserve"> </w:t>
      </w:r>
    </w:p>
    <w:p w:rsidR="00000AF8" w:rsidRDefault="00873C86" w:rsidP="00DC3991">
      <w:pPr>
        <w:pStyle w:val="1"/>
        <w:rPr>
          <w:lang w:val="uk-UA"/>
        </w:rPr>
      </w:pPr>
      <w:bookmarkStart w:id="9" w:name="_Toc168123006"/>
      <w:r>
        <w:rPr>
          <w:lang w:val="uk-UA"/>
        </w:rPr>
        <w:t>АНАЛІЗ ДИНАМІКИ ТА СТРУКТУРИ</w:t>
      </w:r>
      <w:r w:rsidR="00DE6A64">
        <w:rPr>
          <w:lang w:val="uk-UA"/>
        </w:rPr>
        <w:t xml:space="preserve"> </w:t>
      </w:r>
      <w:r w:rsidRPr="00873C86">
        <w:rPr>
          <w:lang w:val="uk-UA"/>
        </w:rPr>
        <w:t>ЗОВНІШНЬОЕКОНОМІЧНИХ ЗВ’ЯЗКІВ ПОРТУГАЛІЇ ТА ГРЕЦІЇ В УМОВАХ НЕВИЗНАЧЕНОСТІ</w:t>
      </w:r>
      <w:bookmarkEnd w:id="9"/>
    </w:p>
    <w:p w:rsidR="00DC3991" w:rsidRDefault="00DC3991" w:rsidP="00DC3991">
      <w:pPr>
        <w:tabs>
          <w:tab w:val="left" w:pos="3700"/>
        </w:tabs>
        <w:spacing w:after="0" w:line="360" w:lineRule="auto"/>
        <w:ind w:firstLine="680"/>
        <w:jc w:val="both"/>
        <w:rPr>
          <w:rFonts w:ascii="Times New Roman" w:hAnsi="Times New Roman" w:cs="Times New Roman"/>
          <w:sz w:val="28"/>
          <w:szCs w:val="28"/>
          <w:lang w:val="uk-UA"/>
        </w:rPr>
      </w:pPr>
    </w:p>
    <w:p w:rsidR="00DC3991" w:rsidRDefault="00DC3991" w:rsidP="00DC3991">
      <w:pPr>
        <w:tabs>
          <w:tab w:val="left" w:pos="3700"/>
        </w:tabs>
        <w:spacing w:after="0" w:line="360" w:lineRule="auto"/>
        <w:ind w:firstLine="680"/>
        <w:jc w:val="both"/>
        <w:rPr>
          <w:rFonts w:ascii="Times New Roman" w:hAnsi="Times New Roman" w:cs="Times New Roman"/>
          <w:sz w:val="28"/>
          <w:szCs w:val="28"/>
          <w:lang w:val="uk-UA"/>
        </w:rPr>
      </w:pPr>
    </w:p>
    <w:p w:rsidR="00000AF8" w:rsidRDefault="00000AF8" w:rsidP="00C02C14">
      <w:pPr>
        <w:pStyle w:val="2"/>
        <w:rPr>
          <w:lang w:val="uk-UA"/>
        </w:rPr>
      </w:pPr>
      <w:bookmarkStart w:id="10" w:name="_Toc168123007"/>
      <w:r>
        <w:rPr>
          <w:lang w:val="uk-UA"/>
        </w:rPr>
        <w:t>2.1.</w:t>
      </w:r>
      <w:r w:rsidR="00873C86">
        <w:rPr>
          <w:lang w:val="uk-UA"/>
        </w:rPr>
        <w:t xml:space="preserve"> Порівняльний аналіз </w:t>
      </w:r>
      <w:r w:rsidR="00C072C3">
        <w:rPr>
          <w:lang w:val="uk-UA"/>
        </w:rPr>
        <w:t>зовнішньої торгівлі</w:t>
      </w:r>
      <w:r w:rsidR="00873C86">
        <w:rPr>
          <w:lang w:val="uk-UA"/>
        </w:rPr>
        <w:t xml:space="preserve"> Португалії та Греції</w:t>
      </w:r>
      <w:bookmarkEnd w:id="10"/>
    </w:p>
    <w:p w:rsidR="00DC3991" w:rsidRDefault="00DC3991" w:rsidP="00DC3991">
      <w:pPr>
        <w:tabs>
          <w:tab w:val="left" w:pos="3700"/>
        </w:tabs>
        <w:spacing w:after="0" w:line="360" w:lineRule="auto"/>
        <w:ind w:firstLine="680"/>
        <w:jc w:val="both"/>
        <w:rPr>
          <w:rFonts w:ascii="Times New Roman" w:hAnsi="Times New Roman" w:cs="Times New Roman"/>
          <w:sz w:val="28"/>
          <w:szCs w:val="28"/>
          <w:lang w:val="uk-UA"/>
        </w:rPr>
      </w:pPr>
    </w:p>
    <w:p w:rsidR="00681002" w:rsidRDefault="002D48F8"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Зовнішня т</w:t>
      </w:r>
      <w:r w:rsidRPr="002D48F8">
        <w:rPr>
          <w:rFonts w:ascii="Times New Roman" w:hAnsi="Times New Roman" w:cs="Times New Roman"/>
          <w:sz w:val="28"/>
          <w:szCs w:val="28"/>
          <w:lang w:val="uk-UA"/>
        </w:rPr>
        <w:t xml:space="preserve">оргівля відіграє вирішальну роль у зовнішньоекономічних відносинах між країнами. Це стосується обміну товарами, послугами та капіталом через національні кордони. Торгівля може сприяти економічному зростанню та розвитку. Беручи участь у світовій торгівлі, країни можуть залучати іноземні інвестиції, отримувати доступ до технологій і ноу-хау, </w:t>
      </w:r>
      <w:r>
        <w:rPr>
          <w:rFonts w:ascii="Times New Roman" w:hAnsi="Times New Roman" w:cs="Times New Roman"/>
          <w:sz w:val="28"/>
          <w:szCs w:val="28"/>
          <w:lang w:val="uk-UA"/>
        </w:rPr>
        <w:t>що у свою чергу сприяє</w:t>
      </w:r>
      <w:r w:rsidRPr="002D48F8">
        <w:rPr>
          <w:rFonts w:ascii="Times New Roman" w:hAnsi="Times New Roman" w:cs="Times New Roman"/>
          <w:sz w:val="28"/>
          <w:szCs w:val="28"/>
          <w:lang w:val="uk-UA"/>
        </w:rPr>
        <w:t xml:space="preserve"> інноваціям</w:t>
      </w:r>
      <w:r>
        <w:rPr>
          <w:rFonts w:ascii="Times New Roman" w:hAnsi="Times New Roman" w:cs="Times New Roman"/>
          <w:sz w:val="28"/>
          <w:szCs w:val="28"/>
          <w:lang w:val="uk-UA"/>
        </w:rPr>
        <w:t xml:space="preserve"> та зростанню продуктивності</w:t>
      </w:r>
      <w:r w:rsidRPr="002D48F8">
        <w:rPr>
          <w:rFonts w:ascii="Times New Roman" w:hAnsi="Times New Roman" w:cs="Times New Roman"/>
          <w:sz w:val="28"/>
          <w:szCs w:val="28"/>
          <w:lang w:val="uk-UA"/>
        </w:rPr>
        <w:t>. Торгівля може стимулювати конкуренцію, заохочувати ефективність і диверсифікацію економіки, що є важливим для довгострокового економічного зростання.</w:t>
      </w:r>
    </w:p>
    <w:p w:rsidR="002D48F8" w:rsidRDefault="00D22134"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обсяги експорту та імпорту товарів та послуг Португалії та Греції</w:t>
      </w:r>
      <w:r w:rsidR="00CB25EF">
        <w:rPr>
          <w:rFonts w:ascii="Times New Roman" w:hAnsi="Times New Roman" w:cs="Times New Roman"/>
          <w:sz w:val="28"/>
          <w:szCs w:val="28"/>
          <w:lang w:val="uk-UA"/>
        </w:rPr>
        <w:t xml:space="preserve"> протягом 2000-2023 рр.</w:t>
      </w:r>
      <w:r>
        <w:rPr>
          <w:rFonts w:ascii="Times New Roman" w:hAnsi="Times New Roman" w:cs="Times New Roman"/>
          <w:sz w:val="28"/>
          <w:szCs w:val="28"/>
          <w:lang w:val="uk-UA"/>
        </w:rPr>
        <w:t>, які надаються МВФ у платіжному балансі даних країн.</w:t>
      </w:r>
    </w:p>
    <w:p w:rsidR="00D22134" w:rsidRPr="00972F94" w:rsidRDefault="008A1D5F"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Обсяги експорту товарів Португалії значно перевищували аналогічний показник Греції протягом усього розглянутого періоду. У 2000 р. експорт товарів Португалії становив 24,2 млрд. дол. США або 20,4% від ВВП країни. У 2023 р. даний показник оцінювався у 80,6 млрд. дол. США або 28,4% від ВВП. Обсяг експорту товарів Греції за даний період збільшився з 10,1 млрд. дол. США або 7,8% від ВВП у 2000 р. до 53,5 млрд. дол. США або 23,4% від ВВП у 2023 р. Варто відзначити, що темпи збільшення обсягу експорту товарів були значно більшими в Греції, при цьому значно зросла й частка експорту товарів від ВВП в даній країні. Протягом розглянутого періоду можна побачити як періоди стабільного зростання експорту товарів, так і падіння його обсягів. Протягом 2003-2008 рр. рівень експорту товарів в Португалії та Греції збільшився на 116,1% та 195,4% відповідно. </w:t>
      </w:r>
      <w:r w:rsidR="00972F94">
        <w:rPr>
          <w:rFonts w:ascii="Times New Roman" w:hAnsi="Times New Roman" w:cs="Times New Roman"/>
          <w:sz w:val="28"/>
          <w:szCs w:val="28"/>
          <w:lang w:val="uk-UA"/>
        </w:rPr>
        <w:t xml:space="preserve">На даний результат </w:t>
      </w:r>
      <w:r w:rsidR="00972F94">
        <w:rPr>
          <w:rFonts w:ascii="Times New Roman" w:hAnsi="Times New Roman" w:cs="Times New Roman"/>
          <w:sz w:val="28"/>
          <w:szCs w:val="28"/>
          <w:lang w:val="uk-UA"/>
        </w:rPr>
        <w:lastRenderedPageBreak/>
        <w:t xml:space="preserve">вплинуло декілька факторів. Визначальним було членство в Єврозоні, ринок якої мав стабільний економічний розвиток та зростаючий попит в даний період. Окрім того, в дані роки обидві країни здійснили успішні </w:t>
      </w:r>
      <w:r w:rsidR="00EA04B2">
        <w:rPr>
          <w:rFonts w:ascii="Times New Roman" w:hAnsi="Times New Roman" w:cs="Times New Roman"/>
          <w:sz w:val="28"/>
          <w:szCs w:val="28"/>
          <w:lang w:val="uk-UA"/>
        </w:rPr>
        <w:t>структурні</w:t>
      </w:r>
      <w:r w:rsidR="00972F94">
        <w:rPr>
          <w:rFonts w:ascii="Times New Roman" w:hAnsi="Times New Roman" w:cs="Times New Roman"/>
          <w:sz w:val="28"/>
          <w:szCs w:val="28"/>
          <w:lang w:val="uk-UA"/>
        </w:rPr>
        <w:t xml:space="preserve"> реформи, </w:t>
      </w:r>
      <w:r w:rsidR="00EA04B2" w:rsidRPr="00EA04B2">
        <w:rPr>
          <w:rFonts w:ascii="Times New Roman" w:hAnsi="Times New Roman" w:cs="Times New Roman"/>
          <w:sz w:val="28"/>
          <w:szCs w:val="28"/>
          <w:lang w:val="uk-UA"/>
        </w:rPr>
        <w:t>спрямовані на підвищення конкурентоспроможності та залучення іноземних інвестицій. Ці реформи включали гнучкість ринку праці, дерегуляцію та зусилля щодо покращення бізнес-середовища.</w:t>
      </w:r>
      <w:r w:rsidR="00EA04B2">
        <w:rPr>
          <w:rFonts w:ascii="Times New Roman" w:hAnsi="Times New Roman" w:cs="Times New Roman"/>
          <w:sz w:val="28"/>
          <w:szCs w:val="28"/>
          <w:lang w:val="uk-UA"/>
        </w:rPr>
        <w:t xml:space="preserve"> Проте криза 2008-2009 рр. негативно відобразилась на експорті товарів, який у 2009 р. зменшився на 22,9% в Португалії та на 27,3% в Греції (рис. 2.1).</w:t>
      </w:r>
    </w:p>
    <w:p w:rsidR="00E3444B" w:rsidRDefault="00681002" w:rsidP="00681002">
      <w:pPr>
        <w:tabs>
          <w:tab w:val="left" w:pos="3700"/>
        </w:tabs>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1E7CFC4C" wp14:editId="7ED029AC">
            <wp:extent cx="6480000" cy="2880000"/>
            <wp:effectExtent l="0" t="0" r="16510" b="1587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3444B" w:rsidRPr="00681002" w:rsidRDefault="00681002" w:rsidP="00DC3991">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 xml:space="preserve">Рис. 2.1. Експорт товарів Португалії та Греції у млн. дол. США та у % від ВВП в 2000-2023 рр. </w:t>
      </w:r>
    </w:p>
    <w:p w:rsidR="00681002" w:rsidRPr="00681002" w:rsidRDefault="00681002"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25, 26</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E3444B" w:rsidRDefault="00216890"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 2010-2014 рр. знову простежувалось зростання експорту товарів, що були викликано відновленням попиту та економі</w:t>
      </w:r>
      <w:r w:rsidR="00E057C6">
        <w:rPr>
          <w:rFonts w:ascii="Times New Roman" w:hAnsi="Times New Roman" w:cs="Times New Roman"/>
          <w:sz w:val="28"/>
          <w:szCs w:val="28"/>
          <w:lang w:val="uk-UA"/>
        </w:rPr>
        <w:t>ч</w:t>
      </w:r>
      <w:r>
        <w:rPr>
          <w:rFonts w:ascii="Times New Roman" w:hAnsi="Times New Roman" w:cs="Times New Roman"/>
          <w:sz w:val="28"/>
          <w:szCs w:val="28"/>
          <w:lang w:val="uk-UA"/>
        </w:rPr>
        <w:t xml:space="preserve">ного зростання в країнах ЄС, які складають більшу частину </w:t>
      </w:r>
      <w:r w:rsidR="00E057C6">
        <w:rPr>
          <w:rFonts w:ascii="Times New Roman" w:hAnsi="Times New Roman" w:cs="Times New Roman"/>
          <w:sz w:val="28"/>
          <w:szCs w:val="28"/>
          <w:lang w:val="uk-UA"/>
        </w:rPr>
        <w:t xml:space="preserve">ринку експорту товарів для Португалії та Греції. </w:t>
      </w:r>
      <w:r w:rsidR="00B50B94">
        <w:rPr>
          <w:rFonts w:ascii="Times New Roman" w:hAnsi="Times New Roman" w:cs="Times New Roman"/>
          <w:sz w:val="28"/>
          <w:szCs w:val="28"/>
          <w:lang w:val="uk-UA"/>
        </w:rPr>
        <w:t>Проте криза 2015 р., пов’язана зі значними борг</w:t>
      </w:r>
      <w:r w:rsidR="00ED0755">
        <w:rPr>
          <w:rFonts w:ascii="Times New Roman" w:hAnsi="Times New Roman" w:cs="Times New Roman"/>
          <w:sz w:val="28"/>
          <w:szCs w:val="28"/>
          <w:lang w:val="uk-UA"/>
        </w:rPr>
        <w:t xml:space="preserve">овими навантаженнями на країни Південної Європи, призвела до падіння обсягів експорту товарів, а також погіршення обмінного курсу євро. Наступне падіння можна було спостерігати в 2020 р., що було наслідком кризи пандемії, зупинкою частини виробничих потужностей та падінням </w:t>
      </w:r>
      <w:r w:rsidR="00ED0755">
        <w:rPr>
          <w:rFonts w:ascii="Times New Roman" w:hAnsi="Times New Roman" w:cs="Times New Roman"/>
          <w:sz w:val="28"/>
          <w:szCs w:val="28"/>
          <w:lang w:val="uk-UA"/>
        </w:rPr>
        <w:lastRenderedPageBreak/>
        <w:t>попиту. Однак, у 2021-2023 рр. відбулось відновлення зростання обсягів експорту товарів.</w:t>
      </w:r>
    </w:p>
    <w:p w:rsidR="00ED0755" w:rsidRDefault="0051661E"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структуру експорту товарів Португалії та Греції в розрізі країн та видів товарів. Найбільшими ринками експорту товарів для даних країн є держави Європи (табл. 2.1). З континентального огляду, на Європейський континент загалом прийшлось 78% від експорту товарів Португалії та 72,1% від експорту товарів Греції.</w:t>
      </w:r>
    </w:p>
    <w:p w:rsidR="0051661E" w:rsidRPr="0051661E" w:rsidRDefault="0051661E" w:rsidP="0051661E">
      <w:pPr>
        <w:tabs>
          <w:tab w:val="left" w:pos="3700"/>
        </w:tabs>
        <w:spacing w:after="0" w:line="360" w:lineRule="auto"/>
        <w:ind w:firstLine="680"/>
        <w:jc w:val="right"/>
        <w:rPr>
          <w:rFonts w:ascii="Times New Roman" w:hAnsi="Times New Roman" w:cs="Times New Roman"/>
          <w:i/>
          <w:sz w:val="28"/>
          <w:szCs w:val="28"/>
          <w:lang w:val="uk-UA"/>
        </w:rPr>
      </w:pPr>
      <w:r w:rsidRPr="0051661E">
        <w:rPr>
          <w:rFonts w:ascii="Times New Roman" w:hAnsi="Times New Roman" w:cs="Times New Roman"/>
          <w:i/>
          <w:sz w:val="28"/>
          <w:szCs w:val="28"/>
          <w:lang w:val="uk-UA"/>
        </w:rPr>
        <w:t>Таблиця 2.1</w:t>
      </w:r>
    </w:p>
    <w:p w:rsidR="0051661E" w:rsidRPr="0051661E" w:rsidRDefault="0051661E" w:rsidP="0051661E">
      <w:pPr>
        <w:tabs>
          <w:tab w:val="left" w:pos="3700"/>
        </w:tabs>
        <w:spacing w:after="0" w:line="360" w:lineRule="auto"/>
        <w:ind w:firstLine="680"/>
        <w:jc w:val="right"/>
        <w:rPr>
          <w:rFonts w:ascii="Times New Roman" w:hAnsi="Times New Roman" w:cs="Times New Roman"/>
          <w:i/>
          <w:sz w:val="28"/>
          <w:szCs w:val="28"/>
          <w:lang w:val="uk-UA"/>
        </w:rPr>
      </w:pPr>
      <w:r w:rsidRPr="0051661E">
        <w:rPr>
          <w:rFonts w:ascii="Times New Roman" w:hAnsi="Times New Roman" w:cs="Times New Roman"/>
          <w:i/>
          <w:sz w:val="28"/>
          <w:szCs w:val="28"/>
          <w:lang w:val="uk-UA"/>
        </w:rPr>
        <w:t xml:space="preserve">Найбільші країни-експортери товарів Португалії та Греції </w:t>
      </w:r>
    </w:p>
    <w:tbl>
      <w:tblPr>
        <w:tblW w:w="6720" w:type="dxa"/>
        <w:jc w:val="center"/>
        <w:tblLook w:val="04A0" w:firstRow="1" w:lastRow="0" w:firstColumn="1" w:lastColumn="0" w:noHBand="0" w:noVBand="1"/>
      </w:tblPr>
      <w:tblGrid>
        <w:gridCol w:w="2418"/>
        <w:gridCol w:w="942"/>
        <w:gridCol w:w="2136"/>
        <w:gridCol w:w="1224"/>
      </w:tblGrid>
      <w:tr w:rsidR="0051661E" w:rsidRPr="0051661E" w:rsidTr="0051661E">
        <w:trPr>
          <w:trHeight w:val="315"/>
          <w:jc w:val="center"/>
        </w:trPr>
        <w:tc>
          <w:tcPr>
            <w:tcW w:w="33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center"/>
              <w:rPr>
                <w:rFonts w:ascii="Times New Roman" w:eastAsia="Times New Roman" w:hAnsi="Times New Roman" w:cs="Times New Roman"/>
                <w:b/>
                <w:bCs/>
                <w:color w:val="000000"/>
                <w:sz w:val="24"/>
                <w:szCs w:val="24"/>
                <w:lang w:val="uk-UA"/>
              </w:rPr>
            </w:pPr>
            <w:r w:rsidRPr="0051661E">
              <w:rPr>
                <w:rFonts w:ascii="Times New Roman" w:eastAsia="Times New Roman" w:hAnsi="Times New Roman" w:cs="Times New Roman"/>
                <w:b/>
                <w:bCs/>
                <w:color w:val="000000"/>
                <w:sz w:val="24"/>
                <w:szCs w:val="24"/>
                <w:lang w:val="uk-UA"/>
              </w:rPr>
              <w:t>Португалія</w:t>
            </w:r>
          </w:p>
        </w:tc>
        <w:tc>
          <w:tcPr>
            <w:tcW w:w="3360" w:type="dxa"/>
            <w:gridSpan w:val="2"/>
            <w:tcBorders>
              <w:top w:val="single" w:sz="4" w:space="0" w:color="auto"/>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center"/>
              <w:rPr>
                <w:rFonts w:ascii="Times New Roman" w:eastAsia="Times New Roman" w:hAnsi="Times New Roman" w:cs="Times New Roman"/>
                <w:b/>
                <w:bCs/>
                <w:color w:val="000000"/>
                <w:sz w:val="24"/>
                <w:szCs w:val="24"/>
                <w:lang w:val="uk-UA"/>
              </w:rPr>
            </w:pPr>
            <w:r w:rsidRPr="0051661E">
              <w:rPr>
                <w:rFonts w:ascii="Times New Roman" w:eastAsia="Times New Roman" w:hAnsi="Times New Roman" w:cs="Times New Roman"/>
                <w:b/>
                <w:bCs/>
                <w:color w:val="000000"/>
                <w:sz w:val="24"/>
                <w:szCs w:val="24"/>
                <w:lang w:val="uk-UA"/>
              </w:rPr>
              <w:t>Греція</w:t>
            </w:r>
          </w:p>
        </w:tc>
      </w:tr>
      <w:tr w:rsidR="0051661E" w:rsidRPr="0051661E" w:rsidTr="0051661E">
        <w:trPr>
          <w:trHeight w:val="315"/>
          <w:jc w:val="center"/>
        </w:trPr>
        <w:tc>
          <w:tcPr>
            <w:tcW w:w="2418" w:type="dxa"/>
            <w:tcBorders>
              <w:top w:val="nil"/>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Іспанія</w:t>
            </w:r>
          </w:p>
        </w:tc>
        <w:tc>
          <w:tcPr>
            <w:tcW w:w="942"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25,8%</w:t>
            </w:r>
          </w:p>
        </w:tc>
        <w:tc>
          <w:tcPr>
            <w:tcW w:w="21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Італія</w:t>
            </w:r>
          </w:p>
        </w:tc>
        <w:tc>
          <w:tcPr>
            <w:tcW w:w="1224"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11,6%</w:t>
            </w:r>
          </w:p>
        </w:tc>
      </w:tr>
      <w:tr w:rsidR="0051661E" w:rsidRPr="0051661E" w:rsidTr="0051661E">
        <w:trPr>
          <w:trHeight w:val="315"/>
          <w:jc w:val="center"/>
        </w:trPr>
        <w:tc>
          <w:tcPr>
            <w:tcW w:w="2418" w:type="dxa"/>
            <w:tcBorders>
              <w:top w:val="nil"/>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Франція</w:t>
            </w:r>
          </w:p>
        </w:tc>
        <w:tc>
          <w:tcPr>
            <w:tcW w:w="942"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13,0%</w:t>
            </w:r>
          </w:p>
        </w:tc>
        <w:tc>
          <w:tcPr>
            <w:tcW w:w="21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Болгарія</w:t>
            </w:r>
          </w:p>
        </w:tc>
        <w:tc>
          <w:tcPr>
            <w:tcW w:w="1224"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6,9%</w:t>
            </w:r>
          </w:p>
        </w:tc>
      </w:tr>
      <w:tr w:rsidR="0051661E" w:rsidRPr="0051661E" w:rsidTr="0051661E">
        <w:trPr>
          <w:trHeight w:val="315"/>
          <w:jc w:val="center"/>
        </w:trPr>
        <w:tc>
          <w:tcPr>
            <w:tcW w:w="2418" w:type="dxa"/>
            <w:tcBorders>
              <w:top w:val="nil"/>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Німеччина</w:t>
            </w:r>
          </w:p>
        </w:tc>
        <w:tc>
          <w:tcPr>
            <w:tcW w:w="942"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10,8%</w:t>
            </w:r>
          </w:p>
        </w:tc>
        <w:tc>
          <w:tcPr>
            <w:tcW w:w="21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Німеччина</w:t>
            </w:r>
          </w:p>
        </w:tc>
        <w:tc>
          <w:tcPr>
            <w:tcW w:w="1224"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6,7%</w:t>
            </w:r>
          </w:p>
        </w:tc>
      </w:tr>
      <w:tr w:rsidR="0051661E" w:rsidRPr="0051661E" w:rsidTr="0051661E">
        <w:trPr>
          <w:trHeight w:val="315"/>
          <w:jc w:val="center"/>
        </w:trPr>
        <w:tc>
          <w:tcPr>
            <w:tcW w:w="2418" w:type="dxa"/>
            <w:tcBorders>
              <w:top w:val="nil"/>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США</w:t>
            </w:r>
          </w:p>
        </w:tc>
        <w:tc>
          <w:tcPr>
            <w:tcW w:w="942"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6,8%</w:t>
            </w:r>
          </w:p>
        </w:tc>
        <w:tc>
          <w:tcPr>
            <w:tcW w:w="21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Кіпр</w:t>
            </w:r>
          </w:p>
        </w:tc>
        <w:tc>
          <w:tcPr>
            <w:tcW w:w="1224"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6,5%</w:t>
            </w:r>
          </w:p>
        </w:tc>
      </w:tr>
      <w:tr w:rsidR="0051661E" w:rsidRPr="0051661E" w:rsidTr="0051661E">
        <w:trPr>
          <w:trHeight w:val="315"/>
          <w:jc w:val="center"/>
        </w:trPr>
        <w:tc>
          <w:tcPr>
            <w:tcW w:w="2418" w:type="dxa"/>
            <w:tcBorders>
              <w:top w:val="nil"/>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Великобританія</w:t>
            </w:r>
          </w:p>
        </w:tc>
        <w:tc>
          <w:tcPr>
            <w:tcW w:w="942"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4,7%</w:t>
            </w:r>
          </w:p>
        </w:tc>
        <w:tc>
          <w:tcPr>
            <w:tcW w:w="21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Іспанія</w:t>
            </w:r>
          </w:p>
        </w:tc>
        <w:tc>
          <w:tcPr>
            <w:tcW w:w="1224"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4,1%</w:t>
            </w:r>
          </w:p>
        </w:tc>
      </w:tr>
    </w:tbl>
    <w:p w:rsidR="0051661E" w:rsidRDefault="0051661E" w:rsidP="0051661E">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27, 28</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51661E" w:rsidRPr="00681002" w:rsidRDefault="0051661E" w:rsidP="0051661E">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Також схожість можна побачити в структурі експорту товарів за видами дял обох країн: найбільші обсяги мали мінеральні палива та нафта, обладнання та машини, техніка та комп’ютери. При цьому значні обсяги експорту в Португалії мають транспортні засоби та пластмаса; а в Греції – фармацевтика та алюміній (табл. 2.2).</w:t>
      </w:r>
    </w:p>
    <w:p w:rsidR="0051661E" w:rsidRPr="0051661E" w:rsidRDefault="0051661E" w:rsidP="0051661E">
      <w:pPr>
        <w:tabs>
          <w:tab w:val="left" w:pos="3700"/>
        </w:tabs>
        <w:spacing w:after="0" w:line="360" w:lineRule="auto"/>
        <w:ind w:firstLine="680"/>
        <w:jc w:val="right"/>
        <w:rPr>
          <w:rFonts w:ascii="Times New Roman" w:hAnsi="Times New Roman" w:cs="Times New Roman"/>
          <w:i/>
          <w:sz w:val="28"/>
          <w:szCs w:val="28"/>
          <w:lang w:val="uk-UA"/>
        </w:rPr>
      </w:pPr>
      <w:r w:rsidRPr="0051661E">
        <w:rPr>
          <w:rFonts w:ascii="Times New Roman" w:hAnsi="Times New Roman" w:cs="Times New Roman"/>
          <w:i/>
          <w:sz w:val="28"/>
          <w:szCs w:val="28"/>
          <w:lang w:val="uk-UA"/>
        </w:rPr>
        <w:t>Таблиця 2.</w:t>
      </w:r>
      <w:r>
        <w:rPr>
          <w:rFonts w:ascii="Times New Roman" w:hAnsi="Times New Roman" w:cs="Times New Roman"/>
          <w:i/>
          <w:sz w:val="28"/>
          <w:szCs w:val="28"/>
          <w:lang w:val="uk-UA"/>
        </w:rPr>
        <w:t>2</w:t>
      </w:r>
    </w:p>
    <w:p w:rsidR="00216890" w:rsidRPr="0051661E" w:rsidRDefault="0051661E" w:rsidP="0051661E">
      <w:pPr>
        <w:tabs>
          <w:tab w:val="left" w:pos="3700"/>
        </w:tabs>
        <w:spacing w:after="0" w:line="360" w:lineRule="auto"/>
        <w:ind w:firstLine="680"/>
        <w:jc w:val="right"/>
        <w:rPr>
          <w:rFonts w:ascii="Times New Roman" w:hAnsi="Times New Roman" w:cs="Times New Roman"/>
          <w:i/>
          <w:sz w:val="28"/>
          <w:szCs w:val="28"/>
          <w:lang w:val="uk-UA"/>
        </w:rPr>
      </w:pPr>
      <w:r>
        <w:rPr>
          <w:rFonts w:ascii="Times New Roman" w:hAnsi="Times New Roman" w:cs="Times New Roman"/>
          <w:i/>
          <w:sz w:val="28"/>
          <w:szCs w:val="28"/>
          <w:lang w:val="uk-UA"/>
        </w:rPr>
        <w:t>Топ-5 товарів за обсягом експорту</w:t>
      </w:r>
      <w:r w:rsidRPr="0051661E">
        <w:rPr>
          <w:rFonts w:ascii="Times New Roman" w:hAnsi="Times New Roman" w:cs="Times New Roman"/>
          <w:i/>
          <w:sz w:val="28"/>
          <w:szCs w:val="28"/>
          <w:lang w:val="uk-UA"/>
        </w:rPr>
        <w:t xml:space="preserve"> Португалії та Греції </w:t>
      </w:r>
    </w:p>
    <w:tbl>
      <w:tblPr>
        <w:tblW w:w="9658" w:type="dxa"/>
        <w:jc w:val="center"/>
        <w:tblLook w:val="04A0" w:firstRow="1" w:lastRow="0" w:firstColumn="1" w:lastColumn="0" w:noHBand="0" w:noVBand="1"/>
      </w:tblPr>
      <w:tblGrid>
        <w:gridCol w:w="3993"/>
        <w:gridCol w:w="836"/>
        <w:gridCol w:w="3993"/>
        <w:gridCol w:w="836"/>
      </w:tblGrid>
      <w:tr w:rsidR="0051661E" w:rsidRPr="0051661E" w:rsidTr="0051661E">
        <w:trPr>
          <w:trHeight w:val="315"/>
          <w:jc w:val="center"/>
        </w:trPr>
        <w:tc>
          <w:tcPr>
            <w:tcW w:w="482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center"/>
              <w:rPr>
                <w:rFonts w:ascii="Times New Roman" w:eastAsia="Times New Roman" w:hAnsi="Times New Roman" w:cs="Times New Roman"/>
                <w:b/>
                <w:bCs/>
                <w:color w:val="000000"/>
                <w:sz w:val="24"/>
                <w:szCs w:val="24"/>
                <w:lang w:val="uk-UA"/>
              </w:rPr>
            </w:pPr>
            <w:r w:rsidRPr="0051661E">
              <w:rPr>
                <w:rFonts w:ascii="Times New Roman" w:eastAsia="Times New Roman" w:hAnsi="Times New Roman" w:cs="Times New Roman"/>
                <w:b/>
                <w:bCs/>
                <w:color w:val="000000"/>
                <w:sz w:val="24"/>
                <w:szCs w:val="24"/>
                <w:lang w:val="uk-UA"/>
              </w:rPr>
              <w:t>Португалія</w:t>
            </w:r>
          </w:p>
        </w:tc>
        <w:tc>
          <w:tcPr>
            <w:tcW w:w="4829" w:type="dxa"/>
            <w:gridSpan w:val="2"/>
            <w:tcBorders>
              <w:top w:val="single" w:sz="4" w:space="0" w:color="auto"/>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center"/>
              <w:rPr>
                <w:rFonts w:ascii="Times New Roman" w:eastAsia="Times New Roman" w:hAnsi="Times New Roman" w:cs="Times New Roman"/>
                <w:b/>
                <w:bCs/>
                <w:color w:val="000000"/>
                <w:sz w:val="24"/>
                <w:szCs w:val="24"/>
                <w:lang w:val="uk-UA"/>
              </w:rPr>
            </w:pPr>
            <w:r w:rsidRPr="0051661E">
              <w:rPr>
                <w:rFonts w:ascii="Times New Roman" w:eastAsia="Times New Roman" w:hAnsi="Times New Roman" w:cs="Times New Roman"/>
                <w:b/>
                <w:bCs/>
                <w:color w:val="000000"/>
                <w:sz w:val="24"/>
                <w:szCs w:val="24"/>
                <w:lang w:val="uk-UA"/>
              </w:rPr>
              <w:t>Греція</w:t>
            </w:r>
          </w:p>
        </w:tc>
      </w:tr>
      <w:tr w:rsidR="0051661E" w:rsidRPr="0051661E" w:rsidTr="0051661E">
        <w:trPr>
          <w:trHeight w:val="315"/>
          <w:jc w:val="center"/>
        </w:trPr>
        <w:tc>
          <w:tcPr>
            <w:tcW w:w="3993" w:type="dxa"/>
            <w:tcBorders>
              <w:top w:val="nil"/>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Транспортні засоби</w:t>
            </w:r>
          </w:p>
        </w:tc>
        <w:tc>
          <w:tcPr>
            <w:tcW w:w="8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12,4%</w:t>
            </w:r>
          </w:p>
        </w:tc>
        <w:tc>
          <w:tcPr>
            <w:tcW w:w="3993"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Мінеральне паливо, нафта</w:t>
            </w:r>
          </w:p>
        </w:tc>
        <w:tc>
          <w:tcPr>
            <w:tcW w:w="8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32,3%</w:t>
            </w:r>
          </w:p>
        </w:tc>
      </w:tr>
      <w:tr w:rsidR="0051661E" w:rsidRPr="0051661E" w:rsidTr="0051661E">
        <w:trPr>
          <w:trHeight w:val="315"/>
          <w:jc w:val="center"/>
        </w:trPr>
        <w:tc>
          <w:tcPr>
            <w:tcW w:w="3993" w:type="dxa"/>
            <w:tcBorders>
              <w:top w:val="nil"/>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Електричні машини, обладнання</w:t>
            </w:r>
          </w:p>
        </w:tc>
        <w:tc>
          <w:tcPr>
            <w:tcW w:w="8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8,6%</w:t>
            </w:r>
          </w:p>
        </w:tc>
        <w:tc>
          <w:tcPr>
            <w:tcW w:w="3993"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Фармацевтика</w:t>
            </w:r>
          </w:p>
        </w:tc>
        <w:tc>
          <w:tcPr>
            <w:tcW w:w="8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5,5%</w:t>
            </w:r>
          </w:p>
        </w:tc>
      </w:tr>
      <w:tr w:rsidR="0051661E" w:rsidRPr="0051661E" w:rsidTr="0051661E">
        <w:trPr>
          <w:trHeight w:val="315"/>
          <w:jc w:val="center"/>
        </w:trPr>
        <w:tc>
          <w:tcPr>
            <w:tcW w:w="3993" w:type="dxa"/>
            <w:tcBorders>
              <w:top w:val="nil"/>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Техніка, включаючи комп'ютери</w:t>
            </w:r>
          </w:p>
        </w:tc>
        <w:tc>
          <w:tcPr>
            <w:tcW w:w="8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6,8%</w:t>
            </w:r>
          </w:p>
        </w:tc>
        <w:tc>
          <w:tcPr>
            <w:tcW w:w="3993"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Алюміній</w:t>
            </w:r>
          </w:p>
        </w:tc>
        <w:tc>
          <w:tcPr>
            <w:tcW w:w="8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5,2%</w:t>
            </w:r>
          </w:p>
        </w:tc>
      </w:tr>
      <w:tr w:rsidR="0051661E" w:rsidRPr="0051661E" w:rsidTr="0051661E">
        <w:trPr>
          <w:trHeight w:val="315"/>
          <w:jc w:val="center"/>
        </w:trPr>
        <w:tc>
          <w:tcPr>
            <w:tcW w:w="3993" w:type="dxa"/>
            <w:tcBorders>
              <w:top w:val="nil"/>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Мінеральне паливо, нафта</w:t>
            </w:r>
          </w:p>
        </w:tc>
        <w:tc>
          <w:tcPr>
            <w:tcW w:w="8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6,7%</w:t>
            </w:r>
          </w:p>
        </w:tc>
        <w:tc>
          <w:tcPr>
            <w:tcW w:w="3993"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Техніка, включаючи комп'ютери</w:t>
            </w:r>
          </w:p>
        </w:tc>
        <w:tc>
          <w:tcPr>
            <w:tcW w:w="8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4,4%</w:t>
            </w:r>
          </w:p>
        </w:tc>
      </w:tr>
      <w:tr w:rsidR="0051661E" w:rsidRPr="0051661E" w:rsidTr="0051661E">
        <w:trPr>
          <w:trHeight w:val="315"/>
          <w:jc w:val="center"/>
        </w:trPr>
        <w:tc>
          <w:tcPr>
            <w:tcW w:w="3993" w:type="dxa"/>
            <w:tcBorders>
              <w:top w:val="nil"/>
              <w:left w:val="single" w:sz="4" w:space="0" w:color="auto"/>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Пластмаса, вироби з пластику</w:t>
            </w:r>
          </w:p>
        </w:tc>
        <w:tc>
          <w:tcPr>
            <w:tcW w:w="8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4,7%</w:t>
            </w:r>
          </w:p>
        </w:tc>
        <w:tc>
          <w:tcPr>
            <w:tcW w:w="3993"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Електричні машини, обладнання</w:t>
            </w:r>
          </w:p>
        </w:tc>
        <w:tc>
          <w:tcPr>
            <w:tcW w:w="836" w:type="dxa"/>
            <w:tcBorders>
              <w:top w:val="nil"/>
              <w:left w:val="nil"/>
              <w:bottom w:val="single" w:sz="4" w:space="0" w:color="auto"/>
              <w:right w:val="single" w:sz="4" w:space="0" w:color="auto"/>
            </w:tcBorders>
            <w:shd w:val="clear" w:color="auto" w:fill="auto"/>
            <w:noWrap/>
            <w:vAlign w:val="bottom"/>
            <w:hideMark/>
          </w:tcPr>
          <w:p w:rsidR="0051661E" w:rsidRPr="0051661E" w:rsidRDefault="0051661E" w:rsidP="0051661E">
            <w:pPr>
              <w:spacing w:after="0" w:line="240" w:lineRule="auto"/>
              <w:jc w:val="right"/>
              <w:rPr>
                <w:rFonts w:ascii="Times New Roman" w:eastAsia="Times New Roman" w:hAnsi="Times New Roman" w:cs="Times New Roman"/>
                <w:color w:val="000000"/>
                <w:sz w:val="24"/>
                <w:szCs w:val="24"/>
                <w:lang w:val="uk-UA"/>
              </w:rPr>
            </w:pPr>
            <w:r w:rsidRPr="0051661E">
              <w:rPr>
                <w:rFonts w:ascii="Times New Roman" w:eastAsia="Times New Roman" w:hAnsi="Times New Roman" w:cs="Times New Roman"/>
                <w:color w:val="000000"/>
                <w:sz w:val="24"/>
                <w:szCs w:val="24"/>
                <w:lang w:val="uk-UA"/>
              </w:rPr>
              <w:t>4,4%</w:t>
            </w:r>
          </w:p>
        </w:tc>
      </w:tr>
    </w:tbl>
    <w:p w:rsidR="0051661E" w:rsidRPr="00681002" w:rsidRDefault="0051661E" w:rsidP="0051661E">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27, 28</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51661E" w:rsidRDefault="00525F5B"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імпорт товарів Португалії та Греції, можна простежити схожі тренди </w:t>
      </w:r>
      <w:r w:rsidR="00715289">
        <w:rPr>
          <w:rFonts w:ascii="Times New Roman" w:hAnsi="Times New Roman" w:cs="Times New Roman"/>
          <w:sz w:val="28"/>
          <w:szCs w:val="28"/>
          <w:lang w:val="uk-UA"/>
        </w:rPr>
        <w:t xml:space="preserve">зі зміною обсягів експорту товарів </w:t>
      </w:r>
      <w:r>
        <w:rPr>
          <w:rFonts w:ascii="Times New Roman" w:hAnsi="Times New Roman" w:cs="Times New Roman"/>
          <w:sz w:val="28"/>
          <w:szCs w:val="28"/>
          <w:lang w:val="uk-UA"/>
        </w:rPr>
        <w:t>протягом</w:t>
      </w:r>
      <w:r w:rsidR="00715289">
        <w:rPr>
          <w:rFonts w:ascii="Times New Roman" w:hAnsi="Times New Roman" w:cs="Times New Roman"/>
          <w:sz w:val="28"/>
          <w:szCs w:val="28"/>
          <w:lang w:val="uk-UA"/>
        </w:rPr>
        <w:t xml:space="preserve"> 2000-2023 рр. Загалом, імпорт </w:t>
      </w:r>
      <w:r w:rsidR="00715289">
        <w:rPr>
          <w:rFonts w:ascii="Times New Roman" w:hAnsi="Times New Roman" w:cs="Times New Roman"/>
          <w:sz w:val="28"/>
          <w:szCs w:val="28"/>
          <w:lang w:val="uk-UA"/>
        </w:rPr>
        <w:lastRenderedPageBreak/>
        <w:t xml:space="preserve">товарів Португалії збільшився з 40,1 млрд. дол. США або 33,8% від ВВП у 200 р. до 107,4 млрд. дол. США або 37,8% від ВВП у 2023 р. Для Греції збільшення даного показника становило з 30,3 млрд. дол. США або 23,2% від ВВП до 88,5 млрд. дол. США або 38,8% від ВВП (рис. 2.2). Можна побачити, що імпорт товарів Греції збільшився більшими темпами аніж Португалії, а у відношенні до ВВП й перевищив її рівень. При цьому, також варто відзначити, що обсяг імпорту товарів перевищує обсяг експорту в обох країнах, що свідчить про хронічний дефіцит торгівлі товарами. Коливання обсягів імпорту товарів, як і у випадку експорту, залежало від економічної ситуації в країнах. Так, можна побачити, що обсяги значно зменшувались у 2009 р., 2012 р., 2015 р. та 2020 р., які були періодами нестабільності та невизначеності, що вплинуло на зменшення попиту та споживання в країнах.  </w:t>
      </w:r>
    </w:p>
    <w:p w:rsidR="00E3444B" w:rsidRDefault="003A1306" w:rsidP="003A1306">
      <w:pPr>
        <w:tabs>
          <w:tab w:val="left" w:pos="3700"/>
        </w:tabs>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0CFE7C45" wp14:editId="442E2F57">
            <wp:extent cx="6511925" cy="2708910"/>
            <wp:effectExtent l="0" t="0" r="3175"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81002" w:rsidRPr="00681002" w:rsidRDefault="00681002" w:rsidP="00681002">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Pr>
          <w:rFonts w:ascii="Times New Roman" w:hAnsi="Times New Roman" w:cs="Times New Roman"/>
          <w:i/>
          <w:sz w:val="28"/>
          <w:szCs w:val="28"/>
          <w:lang w:val="uk-UA"/>
        </w:rPr>
        <w:t>2</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Імпорт</w:t>
      </w:r>
      <w:r w:rsidRPr="00681002">
        <w:rPr>
          <w:rFonts w:ascii="Times New Roman" w:hAnsi="Times New Roman" w:cs="Times New Roman"/>
          <w:i/>
          <w:sz w:val="28"/>
          <w:szCs w:val="28"/>
          <w:lang w:val="uk-UA"/>
        </w:rPr>
        <w:t xml:space="preserve"> товарів Португалії та Греції у млн. дол. США та у % від ВВП в 2000-2023 рр. </w:t>
      </w:r>
    </w:p>
    <w:p w:rsidR="00681002" w:rsidRDefault="00681002" w:rsidP="00681002">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25, 26</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681002" w:rsidRDefault="004E797F" w:rsidP="00681002">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і у випадку експорту, найбільші обсяги імпорту товарів Португалії та Греції прийшлись на Європейські країни, загальна питома вага яких становила 72,1% для Португалії та 56,3% для Греції. Менша частка Європи у імпорту товарів Греції </w:t>
      </w:r>
      <w:r>
        <w:rPr>
          <w:rFonts w:ascii="Times New Roman" w:hAnsi="Times New Roman" w:cs="Times New Roman"/>
          <w:sz w:val="28"/>
          <w:szCs w:val="28"/>
          <w:lang w:val="uk-UA"/>
        </w:rPr>
        <w:lastRenderedPageBreak/>
        <w:t>пов’язана зі значним імпортом товарів з країн Азії, які склали 31,8% від валового імпорту товарів країни. При цьому, на топ-5 найбільших країн-імпортерів Португалії приходиться 55,4% від сумарного імпорту товарів; для Греції частка топ-5 імпортерів оцінювалась у 56,4% (табл. 2.3). Це свідчить про низьку диверсифікацію країн-походження імпортних товарів для Португалії та Греції і, як наслідок, високу залежність від даних країн та їх економічного та геополітичного стану.</w:t>
      </w:r>
    </w:p>
    <w:p w:rsidR="004E797F" w:rsidRPr="0051661E" w:rsidRDefault="004E797F" w:rsidP="004E797F">
      <w:pPr>
        <w:tabs>
          <w:tab w:val="left" w:pos="3700"/>
        </w:tabs>
        <w:spacing w:after="0" w:line="360" w:lineRule="auto"/>
        <w:ind w:firstLine="68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2.3</w:t>
      </w:r>
    </w:p>
    <w:p w:rsidR="004E797F" w:rsidRPr="004E797F" w:rsidRDefault="004E797F" w:rsidP="004E797F">
      <w:pPr>
        <w:tabs>
          <w:tab w:val="left" w:pos="3700"/>
        </w:tabs>
        <w:spacing w:after="0" w:line="360" w:lineRule="auto"/>
        <w:ind w:firstLine="680"/>
        <w:jc w:val="right"/>
        <w:rPr>
          <w:rFonts w:ascii="Times New Roman" w:hAnsi="Times New Roman" w:cs="Times New Roman"/>
          <w:i/>
          <w:sz w:val="28"/>
          <w:szCs w:val="28"/>
          <w:lang w:val="uk-UA"/>
        </w:rPr>
      </w:pPr>
      <w:r w:rsidRPr="0051661E">
        <w:rPr>
          <w:rFonts w:ascii="Times New Roman" w:hAnsi="Times New Roman" w:cs="Times New Roman"/>
          <w:i/>
          <w:sz w:val="28"/>
          <w:szCs w:val="28"/>
          <w:lang w:val="uk-UA"/>
        </w:rPr>
        <w:t>Найбільші країни-</w:t>
      </w:r>
      <w:r>
        <w:rPr>
          <w:rFonts w:ascii="Times New Roman" w:hAnsi="Times New Roman" w:cs="Times New Roman"/>
          <w:i/>
          <w:sz w:val="28"/>
          <w:szCs w:val="28"/>
          <w:lang w:val="uk-UA"/>
        </w:rPr>
        <w:t>імпортери</w:t>
      </w:r>
      <w:r w:rsidRPr="0051661E">
        <w:rPr>
          <w:rFonts w:ascii="Times New Roman" w:hAnsi="Times New Roman" w:cs="Times New Roman"/>
          <w:i/>
          <w:sz w:val="28"/>
          <w:szCs w:val="28"/>
          <w:lang w:val="uk-UA"/>
        </w:rPr>
        <w:t xml:space="preserve"> товарів Португалії та Греції </w:t>
      </w:r>
    </w:p>
    <w:tbl>
      <w:tblPr>
        <w:tblW w:w="6720" w:type="dxa"/>
        <w:jc w:val="center"/>
        <w:tblLook w:val="04A0" w:firstRow="1" w:lastRow="0" w:firstColumn="1" w:lastColumn="0" w:noHBand="0" w:noVBand="1"/>
      </w:tblPr>
      <w:tblGrid>
        <w:gridCol w:w="2195"/>
        <w:gridCol w:w="1165"/>
        <w:gridCol w:w="2136"/>
        <w:gridCol w:w="1224"/>
      </w:tblGrid>
      <w:tr w:rsidR="004E797F" w:rsidRPr="004E797F" w:rsidTr="004E797F">
        <w:trPr>
          <w:trHeight w:val="315"/>
          <w:jc w:val="center"/>
        </w:trPr>
        <w:tc>
          <w:tcPr>
            <w:tcW w:w="33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center"/>
              <w:rPr>
                <w:rFonts w:ascii="Times New Roman" w:eastAsia="Times New Roman" w:hAnsi="Times New Roman" w:cs="Times New Roman"/>
                <w:b/>
                <w:bCs/>
                <w:color w:val="000000"/>
                <w:sz w:val="24"/>
                <w:szCs w:val="24"/>
                <w:lang w:val="uk-UA"/>
              </w:rPr>
            </w:pPr>
            <w:r w:rsidRPr="004E797F">
              <w:rPr>
                <w:rFonts w:ascii="Times New Roman" w:eastAsia="Times New Roman" w:hAnsi="Times New Roman" w:cs="Times New Roman"/>
                <w:b/>
                <w:bCs/>
                <w:color w:val="000000"/>
                <w:sz w:val="24"/>
                <w:szCs w:val="24"/>
                <w:lang w:val="uk-UA"/>
              </w:rPr>
              <w:t>Португалія</w:t>
            </w:r>
          </w:p>
        </w:tc>
        <w:tc>
          <w:tcPr>
            <w:tcW w:w="3360" w:type="dxa"/>
            <w:gridSpan w:val="2"/>
            <w:tcBorders>
              <w:top w:val="single" w:sz="4" w:space="0" w:color="auto"/>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center"/>
              <w:rPr>
                <w:rFonts w:ascii="Times New Roman" w:eastAsia="Times New Roman" w:hAnsi="Times New Roman" w:cs="Times New Roman"/>
                <w:b/>
                <w:bCs/>
                <w:color w:val="000000"/>
                <w:sz w:val="24"/>
                <w:szCs w:val="24"/>
                <w:lang w:val="uk-UA"/>
              </w:rPr>
            </w:pPr>
            <w:r w:rsidRPr="004E797F">
              <w:rPr>
                <w:rFonts w:ascii="Times New Roman" w:eastAsia="Times New Roman" w:hAnsi="Times New Roman" w:cs="Times New Roman"/>
                <w:b/>
                <w:bCs/>
                <w:color w:val="000000"/>
                <w:sz w:val="24"/>
                <w:szCs w:val="24"/>
                <w:lang w:val="uk-UA"/>
              </w:rPr>
              <w:t>Греція</w:t>
            </w:r>
          </w:p>
        </w:tc>
      </w:tr>
      <w:tr w:rsidR="004E797F" w:rsidRPr="004E797F" w:rsidTr="004E797F">
        <w:trPr>
          <w:trHeight w:val="315"/>
          <w:jc w:val="center"/>
        </w:trPr>
        <w:tc>
          <w:tcPr>
            <w:tcW w:w="2195" w:type="dxa"/>
            <w:tcBorders>
              <w:top w:val="nil"/>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Іспанія</w:t>
            </w:r>
          </w:p>
        </w:tc>
        <w:tc>
          <w:tcPr>
            <w:tcW w:w="1165"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35,6%</w:t>
            </w:r>
          </w:p>
        </w:tc>
        <w:tc>
          <w:tcPr>
            <w:tcW w:w="21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Росія</w:t>
            </w:r>
          </w:p>
        </w:tc>
        <w:tc>
          <w:tcPr>
            <w:tcW w:w="1224"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33,6%</w:t>
            </w:r>
          </w:p>
        </w:tc>
      </w:tr>
      <w:tr w:rsidR="004E797F" w:rsidRPr="004E797F" w:rsidTr="004E797F">
        <w:trPr>
          <w:trHeight w:val="315"/>
          <w:jc w:val="center"/>
        </w:trPr>
        <w:tc>
          <w:tcPr>
            <w:tcW w:w="2195" w:type="dxa"/>
            <w:tcBorders>
              <w:top w:val="nil"/>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Німеччина</w:t>
            </w:r>
          </w:p>
        </w:tc>
        <w:tc>
          <w:tcPr>
            <w:tcW w:w="1165"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7,5%</w:t>
            </w:r>
          </w:p>
        </w:tc>
        <w:tc>
          <w:tcPr>
            <w:tcW w:w="21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Німеччина</w:t>
            </w:r>
          </w:p>
        </w:tc>
        <w:tc>
          <w:tcPr>
            <w:tcW w:w="1224"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8,5%</w:t>
            </w:r>
          </w:p>
        </w:tc>
      </w:tr>
      <w:tr w:rsidR="004E797F" w:rsidRPr="004E797F" w:rsidTr="004E797F">
        <w:trPr>
          <w:trHeight w:val="315"/>
          <w:jc w:val="center"/>
        </w:trPr>
        <w:tc>
          <w:tcPr>
            <w:tcW w:w="2195" w:type="dxa"/>
            <w:tcBorders>
              <w:top w:val="nil"/>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Франція</w:t>
            </w:r>
          </w:p>
        </w:tc>
        <w:tc>
          <w:tcPr>
            <w:tcW w:w="1165"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5,2%</w:t>
            </w:r>
          </w:p>
        </w:tc>
        <w:tc>
          <w:tcPr>
            <w:tcW w:w="21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Китай</w:t>
            </w:r>
          </w:p>
        </w:tc>
        <w:tc>
          <w:tcPr>
            <w:tcW w:w="1224"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6,2%</w:t>
            </w:r>
          </w:p>
        </w:tc>
      </w:tr>
      <w:tr w:rsidR="004E797F" w:rsidRPr="004E797F" w:rsidTr="004E797F">
        <w:trPr>
          <w:trHeight w:val="315"/>
          <w:jc w:val="center"/>
        </w:trPr>
        <w:tc>
          <w:tcPr>
            <w:tcW w:w="2195" w:type="dxa"/>
            <w:tcBorders>
              <w:top w:val="nil"/>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Китай</w:t>
            </w:r>
          </w:p>
        </w:tc>
        <w:tc>
          <w:tcPr>
            <w:tcW w:w="1165"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5,1%</w:t>
            </w:r>
          </w:p>
        </w:tc>
        <w:tc>
          <w:tcPr>
            <w:tcW w:w="21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Ірак</w:t>
            </w:r>
          </w:p>
        </w:tc>
        <w:tc>
          <w:tcPr>
            <w:tcW w:w="1224"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4,1%</w:t>
            </w:r>
          </w:p>
        </w:tc>
      </w:tr>
      <w:tr w:rsidR="004E797F" w:rsidRPr="004E797F" w:rsidTr="004E797F">
        <w:trPr>
          <w:trHeight w:val="315"/>
          <w:jc w:val="center"/>
        </w:trPr>
        <w:tc>
          <w:tcPr>
            <w:tcW w:w="2195" w:type="dxa"/>
            <w:tcBorders>
              <w:top w:val="nil"/>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Нідерланди</w:t>
            </w:r>
          </w:p>
        </w:tc>
        <w:tc>
          <w:tcPr>
            <w:tcW w:w="1165"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4,0%</w:t>
            </w:r>
          </w:p>
        </w:tc>
        <w:tc>
          <w:tcPr>
            <w:tcW w:w="21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Італія</w:t>
            </w:r>
          </w:p>
        </w:tc>
        <w:tc>
          <w:tcPr>
            <w:tcW w:w="1224"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4,0%</w:t>
            </w:r>
          </w:p>
        </w:tc>
      </w:tr>
    </w:tbl>
    <w:p w:rsidR="00715289" w:rsidRDefault="004E797F" w:rsidP="004E797F">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29, 30</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4E797F" w:rsidRDefault="004E797F" w:rsidP="004E797F">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Найбільшу питому вагу в імпорті товарів займають мінеральні палива та нафта для обох країн. Особливо значними обсягами даного товару є для Греції, де його частка дорівнює 34,7%. При цьому також значними в обох країнах були електричні машини та обладнання, транспортні засоби та техніка, включаючи комп’ютери (табл. 2.4). Таким чином, можна побачити схожість в структурах експорту та імпорту між Португалією та Грецією в розрізі товарів.</w:t>
      </w:r>
    </w:p>
    <w:p w:rsidR="004E797F" w:rsidRPr="0051661E" w:rsidRDefault="004E797F" w:rsidP="004E797F">
      <w:pPr>
        <w:tabs>
          <w:tab w:val="left" w:pos="3700"/>
        </w:tabs>
        <w:spacing w:after="0" w:line="360" w:lineRule="auto"/>
        <w:ind w:firstLine="680"/>
        <w:jc w:val="right"/>
        <w:rPr>
          <w:rFonts w:ascii="Times New Roman" w:hAnsi="Times New Roman" w:cs="Times New Roman"/>
          <w:i/>
          <w:sz w:val="28"/>
          <w:szCs w:val="28"/>
          <w:lang w:val="uk-UA"/>
        </w:rPr>
      </w:pPr>
      <w:r w:rsidRPr="0051661E">
        <w:rPr>
          <w:rFonts w:ascii="Times New Roman" w:hAnsi="Times New Roman" w:cs="Times New Roman"/>
          <w:i/>
          <w:sz w:val="28"/>
          <w:szCs w:val="28"/>
          <w:lang w:val="uk-UA"/>
        </w:rPr>
        <w:t>Таблиця 2.</w:t>
      </w:r>
      <w:r>
        <w:rPr>
          <w:rFonts w:ascii="Times New Roman" w:hAnsi="Times New Roman" w:cs="Times New Roman"/>
          <w:i/>
          <w:sz w:val="28"/>
          <w:szCs w:val="28"/>
          <w:lang w:val="uk-UA"/>
        </w:rPr>
        <w:t>4</w:t>
      </w:r>
    </w:p>
    <w:p w:rsidR="004E797F" w:rsidRPr="004E797F" w:rsidRDefault="004E797F" w:rsidP="004E797F">
      <w:pPr>
        <w:tabs>
          <w:tab w:val="left" w:pos="3700"/>
        </w:tabs>
        <w:spacing w:after="0" w:line="360" w:lineRule="auto"/>
        <w:ind w:firstLine="680"/>
        <w:jc w:val="right"/>
        <w:rPr>
          <w:rFonts w:ascii="Times New Roman" w:hAnsi="Times New Roman" w:cs="Times New Roman"/>
          <w:i/>
          <w:sz w:val="28"/>
          <w:szCs w:val="28"/>
          <w:lang w:val="uk-UA"/>
        </w:rPr>
      </w:pPr>
      <w:r>
        <w:rPr>
          <w:rFonts w:ascii="Times New Roman" w:hAnsi="Times New Roman" w:cs="Times New Roman"/>
          <w:i/>
          <w:sz w:val="28"/>
          <w:szCs w:val="28"/>
          <w:lang w:val="uk-UA"/>
        </w:rPr>
        <w:t>Топ-5 товарів за обсягом імпорту</w:t>
      </w:r>
      <w:r w:rsidRPr="0051661E">
        <w:rPr>
          <w:rFonts w:ascii="Times New Roman" w:hAnsi="Times New Roman" w:cs="Times New Roman"/>
          <w:i/>
          <w:sz w:val="28"/>
          <w:szCs w:val="28"/>
          <w:lang w:val="uk-UA"/>
        </w:rPr>
        <w:t xml:space="preserve"> Португалії та Греції </w:t>
      </w:r>
    </w:p>
    <w:tbl>
      <w:tblPr>
        <w:tblW w:w="9658" w:type="dxa"/>
        <w:jc w:val="center"/>
        <w:tblLook w:val="04A0" w:firstRow="1" w:lastRow="0" w:firstColumn="1" w:lastColumn="0" w:noHBand="0" w:noVBand="1"/>
      </w:tblPr>
      <w:tblGrid>
        <w:gridCol w:w="3993"/>
        <w:gridCol w:w="836"/>
        <w:gridCol w:w="3993"/>
        <w:gridCol w:w="836"/>
      </w:tblGrid>
      <w:tr w:rsidR="004E797F" w:rsidRPr="004E797F" w:rsidTr="004E797F">
        <w:trPr>
          <w:trHeight w:val="315"/>
          <w:jc w:val="center"/>
        </w:trPr>
        <w:tc>
          <w:tcPr>
            <w:tcW w:w="482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center"/>
              <w:rPr>
                <w:rFonts w:ascii="Times New Roman" w:eastAsia="Times New Roman" w:hAnsi="Times New Roman" w:cs="Times New Roman"/>
                <w:b/>
                <w:bCs/>
                <w:color w:val="000000"/>
                <w:sz w:val="24"/>
                <w:szCs w:val="24"/>
                <w:lang w:val="uk-UA"/>
              </w:rPr>
            </w:pPr>
            <w:r w:rsidRPr="004E797F">
              <w:rPr>
                <w:rFonts w:ascii="Times New Roman" w:eastAsia="Times New Roman" w:hAnsi="Times New Roman" w:cs="Times New Roman"/>
                <w:b/>
                <w:bCs/>
                <w:color w:val="000000"/>
                <w:sz w:val="24"/>
                <w:szCs w:val="24"/>
                <w:lang w:val="uk-UA"/>
              </w:rPr>
              <w:t>Португалія</w:t>
            </w:r>
          </w:p>
        </w:tc>
        <w:tc>
          <w:tcPr>
            <w:tcW w:w="4829" w:type="dxa"/>
            <w:gridSpan w:val="2"/>
            <w:tcBorders>
              <w:top w:val="single" w:sz="4" w:space="0" w:color="auto"/>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center"/>
              <w:rPr>
                <w:rFonts w:ascii="Times New Roman" w:eastAsia="Times New Roman" w:hAnsi="Times New Roman" w:cs="Times New Roman"/>
                <w:b/>
                <w:bCs/>
                <w:color w:val="000000"/>
                <w:sz w:val="24"/>
                <w:szCs w:val="24"/>
                <w:lang w:val="uk-UA"/>
              </w:rPr>
            </w:pPr>
            <w:r w:rsidRPr="004E797F">
              <w:rPr>
                <w:rFonts w:ascii="Times New Roman" w:eastAsia="Times New Roman" w:hAnsi="Times New Roman" w:cs="Times New Roman"/>
                <w:b/>
                <w:bCs/>
                <w:color w:val="000000"/>
                <w:sz w:val="24"/>
                <w:szCs w:val="24"/>
                <w:lang w:val="uk-UA"/>
              </w:rPr>
              <w:t>Греція</w:t>
            </w:r>
          </w:p>
        </w:tc>
      </w:tr>
      <w:tr w:rsidR="004E797F" w:rsidRPr="004E797F" w:rsidTr="004E797F">
        <w:trPr>
          <w:trHeight w:val="315"/>
          <w:jc w:val="center"/>
        </w:trPr>
        <w:tc>
          <w:tcPr>
            <w:tcW w:w="3993" w:type="dxa"/>
            <w:tcBorders>
              <w:top w:val="nil"/>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 xml:space="preserve">Мінеральне паливо, </w:t>
            </w:r>
            <w:r>
              <w:rPr>
                <w:rFonts w:ascii="Times New Roman" w:eastAsia="Times New Roman" w:hAnsi="Times New Roman" w:cs="Times New Roman"/>
                <w:color w:val="000000"/>
                <w:sz w:val="24"/>
                <w:szCs w:val="24"/>
                <w:lang w:val="uk-UA"/>
              </w:rPr>
              <w:t>нафта</w:t>
            </w:r>
          </w:p>
        </w:tc>
        <w:tc>
          <w:tcPr>
            <w:tcW w:w="8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16,7%</w:t>
            </w:r>
          </w:p>
        </w:tc>
        <w:tc>
          <w:tcPr>
            <w:tcW w:w="3993"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 xml:space="preserve">Мінеральне паливо, </w:t>
            </w:r>
            <w:r>
              <w:rPr>
                <w:rFonts w:ascii="Times New Roman" w:eastAsia="Times New Roman" w:hAnsi="Times New Roman" w:cs="Times New Roman"/>
                <w:color w:val="000000"/>
                <w:sz w:val="24"/>
                <w:szCs w:val="24"/>
                <w:lang w:val="uk-UA"/>
              </w:rPr>
              <w:t>нафта</w:t>
            </w:r>
          </w:p>
        </w:tc>
        <w:tc>
          <w:tcPr>
            <w:tcW w:w="8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34,7%</w:t>
            </w:r>
          </w:p>
        </w:tc>
      </w:tr>
      <w:tr w:rsidR="004E797F" w:rsidRPr="004E797F" w:rsidTr="004E797F">
        <w:trPr>
          <w:trHeight w:val="315"/>
          <w:jc w:val="center"/>
        </w:trPr>
        <w:tc>
          <w:tcPr>
            <w:tcW w:w="3993" w:type="dxa"/>
            <w:tcBorders>
              <w:top w:val="nil"/>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Електричні машини, обладнання</w:t>
            </w:r>
          </w:p>
        </w:tc>
        <w:tc>
          <w:tcPr>
            <w:tcW w:w="8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9,6%</w:t>
            </w:r>
          </w:p>
        </w:tc>
        <w:tc>
          <w:tcPr>
            <w:tcW w:w="3993"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Техніка, включаючи комп'ютери</w:t>
            </w:r>
          </w:p>
        </w:tc>
        <w:tc>
          <w:tcPr>
            <w:tcW w:w="8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6,2%</w:t>
            </w:r>
          </w:p>
        </w:tc>
      </w:tr>
      <w:tr w:rsidR="004E797F" w:rsidRPr="004E797F" w:rsidTr="004E797F">
        <w:trPr>
          <w:trHeight w:val="315"/>
          <w:jc w:val="center"/>
        </w:trPr>
        <w:tc>
          <w:tcPr>
            <w:tcW w:w="3993" w:type="dxa"/>
            <w:tcBorders>
              <w:top w:val="nil"/>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Транспортні засоби</w:t>
            </w:r>
          </w:p>
        </w:tc>
        <w:tc>
          <w:tcPr>
            <w:tcW w:w="8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9,4%</w:t>
            </w:r>
          </w:p>
        </w:tc>
        <w:tc>
          <w:tcPr>
            <w:tcW w:w="3993"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Електричні машини, обладнання</w:t>
            </w:r>
          </w:p>
        </w:tc>
        <w:tc>
          <w:tcPr>
            <w:tcW w:w="8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6,1%</w:t>
            </w:r>
          </w:p>
        </w:tc>
      </w:tr>
      <w:tr w:rsidR="004E797F" w:rsidRPr="004E797F" w:rsidTr="004E797F">
        <w:trPr>
          <w:trHeight w:val="315"/>
          <w:jc w:val="center"/>
        </w:trPr>
        <w:tc>
          <w:tcPr>
            <w:tcW w:w="3993" w:type="dxa"/>
            <w:tcBorders>
              <w:top w:val="nil"/>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Техніка, включаючи комп'ютери</w:t>
            </w:r>
          </w:p>
        </w:tc>
        <w:tc>
          <w:tcPr>
            <w:tcW w:w="8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7,3%</w:t>
            </w:r>
          </w:p>
        </w:tc>
        <w:tc>
          <w:tcPr>
            <w:tcW w:w="3993"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Фармацевтика</w:t>
            </w:r>
          </w:p>
        </w:tc>
        <w:tc>
          <w:tcPr>
            <w:tcW w:w="8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4,3%</w:t>
            </w:r>
          </w:p>
        </w:tc>
      </w:tr>
      <w:tr w:rsidR="004E797F" w:rsidRPr="004E797F" w:rsidTr="004E797F">
        <w:trPr>
          <w:trHeight w:val="315"/>
          <w:jc w:val="center"/>
        </w:trPr>
        <w:tc>
          <w:tcPr>
            <w:tcW w:w="3993" w:type="dxa"/>
            <w:tcBorders>
              <w:top w:val="nil"/>
              <w:left w:val="single" w:sz="4" w:space="0" w:color="auto"/>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Пластмаса, вироби з пластику</w:t>
            </w:r>
          </w:p>
        </w:tc>
        <w:tc>
          <w:tcPr>
            <w:tcW w:w="8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4,8%</w:t>
            </w:r>
          </w:p>
        </w:tc>
        <w:tc>
          <w:tcPr>
            <w:tcW w:w="3993"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Транспортні засоби</w:t>
            </w:r>
          </w:p>
        </w:tc>
        <w:tc>
          <w:tcPr>
            <w:tcW w:w="836" w:type="dxa"/>
            <w:tcBorders>
              <w:top w:val="nil"/>
              <w:left w:val="nil"/>
              <w:bottom w:val="single" w:sz="4" w:space="0" w:color="auto"/>
              <w:right w:val="single" w:sz="4" w:space="0" w:color="auto"/>
            </w:tcBorders>
            <w:shd w:val="clear" w:color="auto" w:fill="auto"/>
            <w:noWrap/>
            <w:vAlign w:val="bottom"/>
            <w:hideMark/>
          </w:tcPr>
          <w:p w:rsidR="004E797F" w:rsidRPr="004E797F" w:rsidRDefault="004E797F" w:rsidP="004E797F">
            <w:pPr>
              <w:spacing w:after="0" w:line="240" w:lineRule="auto"/>
              <w:jc w:val="right"/>
              <w:rPr>
                <w:rFonts w:ascii="Times New Roman" w:eastAsia="Times New Roman" w:hAnsi="Times New Roman" w:cs="Times New Roman"/>
                <w:color w:val="000000"/>
                <w:sz w:val="24"/>
                <w:szCs w:val="24"/>
                <w:lang w:val="uk-UA"/>
              </w:rPr>
            </w:pPr>
            <w:r w:rsidRPr="004E797F">
              <w:rPr>
                <w:rFonts w:ascii="Times New Roman" w:eastAsia="Times New Roman" w:hAnsi="Times New Roman" w:cs="Times New Roman"/>
                <w:color w:val="000000"/>
                <w:sz w:val="24"/>
                <w:szCs w:val="24"/>
                <w:lang w:val="uk-UA"/>
              </w:rPr>
              <w:t>3,9%</w:t>
            </w:r>
          </w:p>
        </w:tc>
      </w:tr>
    </w:tbl>
    <w:p w:rsidR="004E797F" w:rsidRDefault="004E797F" w:rsidP="004E797F">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29,30</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AE48F4" w:rsidRDefault="008D5B2C" w:rsidP="006606A4">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Надалі розглянемо торгівлю послугами Португалії та Греції. На відміну від експорту товарів, експорт послуг Греції є більшим, ніж в Португалії протягом 2000-</w:t>
      </w:r>
      <w:r>
        <w:rPr>
          <w:rFonts w:ascii="Times New Roman" w:hAnsi="Times New Roman" w:cs="Times New Roman"/>
          <w:sz w:val="28"/>
          <w:szCs w:val="28"/>
          <w:lang w:val="uk-UA"/>
        </w:rPr>
        <w:lastRenderedPageBreak/>
        <w:t>202</w:t>
      </w:r>
      <w:r w:rsidR="006606A4">
        <w:rPr>
          <w:rFonts w:ascii="Times New Roman" w:hAnsi="Times New Roman" w:cs="Times New Roman"/>
          <w:sz w:val="28"/>
          <w:szCs w:val="28"/>
          <w:lang w:val="uk-UA"/>
        </w:rPr>
        <w:t>2</w:t>
      </w:r>
      <w:r>
        <w:rPr>
          <w:rFonts w:ascii="Times New Roman" w:hAnsi="Times New Roman" w:cs="Times New Roman"/>
          <w:sz w:val="28"/>
          <w:szCs w:val="28"/>
          <w:lang w:val="uk-UA"/>
        </w:rPr>
        <w:t xml:space="preserve"> рр. </w:t>
      </w:r>
      <w:r w:rsidR="006606A4">
        <w:rPr>
          <w:rFonts w:ascii="Times New Roman" w:hAnsi="Times New Roman" w:cs="Times New Roman"/>
          <w:sz w:val="28"/>
          <w:szCs w:val="28"/>
          <w:lang w:val="uk-UA"/>
        </w:rPr>
        <w:t>У 2000 р. експорт послуг Греції оцінювався у 19,2 млрд. дол. США або 14,8% від ВВП; для Португалії даний показник в той час становив 9,3 млрд. дол. США або 7,9% від ВВП. Станом на 2023 р., обсяг експорту товарів Греції збільшився до 53,2 млрд. дол. США або 23,3% від ВВП. Португалія за даний рік експортувала послуг на вартість 55,9 млрд. дол. США або 19,7% від ВВП, що було єдиним роком, коли експорт послуг Португалії перевищив рівень Греції (рис. 2.3).</w:t>
      </w:r>
    </w:p>
    <w:p w:rsidR="00681002" w:rsidRDefault="003A1306" w:rsidP="003A1306">
      <w:pPr>
        <w:tabs>
          <w:tab w:val="left" w:pos="3700"/>
        </w:tabs>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14303D07" wp14:editId="537B435F">
            <wp:extent cx="6511925" cy="2691765"/>
            <wp:effectExtent l="0" t="0" r="3175" b="1333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81002" w:rsidRPr="00681002" w:rsidRDefault="00681002" w:rsidP="00681002">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Pr>
          <w:rFonts w:ascii="Times New Roman" w:hAnsi="Times New Roman" w:cs="Times New Roman"/>
          <w:i/>
          <w:sz w:val="28"/>
          <w:szCs w:val="28"/>
          <w:lang w:val="uk-UA"/>
        </w:rPr>
        <w:t>3</w:t>
      </w:r>
      <w:r w:rsidRPr="00681002">
        <w:rPr>
          <w:rFonts w:ascii="Times New Roman" w:hAnsi="Times New Roman" w:cs="Times New Roman"/>
          <w:i/>
          <w:sz w:val="28"/>
          <w:szCs w:val="28"/>
          <w:lang w:val="uk-UA"/>
        </w:rPr>
        <w:t xml:space="preserve">. Експорт </w:t>
      </w:r>
      <w:r>
        <w:rPr>
          <w:rFonts w:ascii="Times New Roman" w:hAnsi="Times New Roman" w:cs="Times New Roman"/>
          <w:i/>
          <w:sz w:val="28"/>
          <w:szCs w:val="28"/>
          <w:lang w:val="uk-UA"/>
        </w:rPr>
        <w:t>послуг</w:t>
      </w:r>
      <w:r w:rsidRPr="00681002">
        <w:rPr>
          <w:rFonts w:ascii="Times New Roman" w:hAnsi="Times New Roman" w:cs="Times New Roman"/>
          <w:i/>
          <w:sz w:val="28"/>
          <w:szCs w:val="28"/>
          <w:lang w:val="uk-UA"/>
        </w:rPr>
        <w:t xml:space="preserve"> Португалії та Греції у млн. дол. США та у % від ВВП в 2000-2023 рр. </w:t>
      </w:r>
    </w:p>
    <w:p w:rsidR="00681002" w:rsidRPr="00681002" w:rsidRDefault="00681002" w:rsidP="00681002">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25, 26</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681002" w:rsidRDefault="006606A4" w:rsidP="00681002">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Найбільшим падінням обсягу експорту послуг був 2020 р., коли даний показник зменшився на 36,2% в Португалії та на 42,1% в Греції. Дане падіння було обумовлено специфікою експорту послуг даних країн, переважна частина яких приходиться на туристичний сектор, який зазнав падіння у 2020 р. через карантинні обмеження. </w:t>
      </w:r>
    </w:p>
    <w:p w:rsidR="00681002" w:rsidRPr="006606A4" w:rsidRDefault="006606A4" w:rsidP="00681002">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Також значну частку в експорті послуг Греції становлять послуги морського транспорту, оскільки країна має досить розвинутий сектор морського транспортування та оренди даного виду транспорту. Для Португалії значними також є надходження від сектору професійних та технічних послуг.</w:t>
      </w:r>
    </w:p>
    <w:p w:rsidR="004E797F" w:rsidRDefault="006606A4" w:rsidP="00681002">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відміну від торгівлі товарами, де Португалія та Греція мали хронічний дефіцит, в торгівлі послугами даних країн обсяг імпорту є меншим за обсяг експорту, що дозволяє отримати профіцит протягом усього розглянутого періоду. </w:t>
      </w:r>
      <w:r w:rsidR="00D96B47">
        <w:rPr>
          <w:rFonts w:ascii="Times New Roman" w:hAnsi="Times New Roman" w:cs="Times New Roman"/>
          <w:sz w:val="28"/>
          <w:szCs w:val="28"/>
          <w:lang w:val="uk-UA"/>
        </w:rPr>
        <w:t xml:space="preserve">Як у випадку з експортом, імпорт послуг має більші обсяги в Греції. У 2000 р. даний показник дорівнював 11,4 млрд. дол. США або 8,7% від ВВП Греції; у 2023 р. країна імпортувала послуг на 29,2 млрд. дол. США або 12,9% від ВВП, У Португалії обсяги імпорту послуг збільшились з 6,4 млрд. дол. США або 5,4% у 2000 р. до 25,6 млрд. дол. США або 9% від ВВП (рис. 2.4). При цьому, падіння імпорту послуг у 2009 р. та 2020 р. в даних країнах було значно меншим за падіння експорту, що свідчить про меншу сезонність імпорту послуг та дещо меншу залежність від глобальних подій, що ставіть під ризик профіцит від даного виду торгівлі. </w:t>
      </w:r>
    </w:p>
    <w:p w:rsidR="00681002" w:rsidRPr="00681002" w:rsidRDefault="006B5E18" w:rsidP="006B5E18">
      <w:pPr>
        <w:tabs>
          <w:tab w:val="left" w:pos="3700"/>
        </w:tabs>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199ACF94" wp14:editId="73DFF3C2">
            <wp:extent cx="6511925" cy="2651125"/>
            <wp:effectExtent l="0" t="0" r="3175" b="1587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81002" w:rsidRPr="00681002" w:rsidRDefault="00681002" w:rsidP="00681002">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Pr>
          <w:rFonts w:ascii="Times New Roman" w:hAnsi="Times New Roman" w:cs="Times New Roman"/>
          <w:i/>
          <w:sz w:val="28"/>
          <w:szCs w:val="28"/>
          <w:lang w:val="uk-UA"/>
        </w:rPr>
        <w:t>4</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Імпорт</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послуг</w:t>
      </w:r>
      <w:r w:rsidRPr="00681002">
        <w:rPr>
          <w:rFonts w:ascii="Times New Roman" w:hAnsi="Times New Roman" w:cs="Times New Roman"/>
          <w:i/>
          <w:sz w:val="28"/>
          <w:szCs w:val="28"/>
          <w:lang w:val="uk-UA"/>
        </w:rPr>
        <w:t xml:space="preserve"> Португалії та Греції у млн. дол. США та у % від ВВП в 2000-2023 рр. </w:t>
      </w:r>
    </w:p>
    <w:p w:rsidR="00681002" w:rsidRPr="00681002" w:rsidRDefault="00681002" w:rsidP="00681002">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25, 26</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E3444B" w:rsidRDefault="00B32D97"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Найбільшу частку в імпорті послуг Португалії становлять ділові, професійні та технічні послуги, а також транспортні та туристичні послуги. Щодо Греції, то найбільші обсяги імпорту послуг належать послуги морського та іншого транспорту, </w:t>
      </w:r>
      <w:r w:rsidRPr="00B32D97">
        <w:rPr>
          <w:rFonts w:ascii="Times New Roman" w:hAnsi="Times New Roman" w:cs="Times New Roman"/>
          <w:sz w:val="28"/>
          <w:szCs w:val="28"/>
          <w:lang w:val="uk-UA"/>
        </w:rPr>
        <w:t>різні ділові, професійні</w:t>
      </w:r>
      <w:r>
        <w:rPr>
          <w:rFonts w:ascii="Times New Roman" w:hAnsi="Times New Roman" w:cs="Times New Roman"/>
          <w:sz w:val="28"/>
          <w:szCs w:val="28"/>
          <w:lang w:val="uk-UA"/>
        </w:rPr>
        <w:t>, страхові</w:t>
      </w:r>
      <w:r w:rsidRPr="00B32D97">
        <w:rPr>
          <w:rFonts w:ascii="Times New Roman" w:hAnsi="Times New Roman" w:cs="Times New Roman"/>
          <w:sz w:val="28"/>
          <w:szCs w:val="28"/>
          <w:lang w:val="uk-UA"/>
        </w:rPr>
        <w:t xml:space="preserve"> та технічні послуги</w:t>
      </w:r>
      <w:r>
        <w:rPr>
          <w:rFonts w:ascii="Times New Roman" w:hAnsi="Times New Roman" w:cs="Times New Roman"/>
          <w:sz w:val="28"/>
          <w:szCs w:val="28"/>
          <w:lang w:val="uk-UA"/>
        </w:rPr>
        <w:t>.</w:t>
      </w:r>
    </w:p>
    <w:p w:rsidR="004E797F" w:rsidRDefault="00B32D97" w:rsidP="005D5FC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Розглянемо баланс торгівлі Португалії та Греції. З рис. 2.5 можна побачити, що країні переважно мали дефіцит даної статті, який головним чином був спричинений дефіцитом торгівлі товарами. Португалія мала профіцит торгівлі у 2013-2019 рр.</w:t>
      </w:r>
      <w:r w:rsidR="005F1B63">
        <w:rPr>
          <w:rFonts w:ascii="Times New Roman" w:hAnsi="Times New Roman" w:cs="Times New Roman"/>
          <w:sz w:val="28"/>
          <w:szCs w:val="28"/>
          <w:lang w:val="uk-UA"/>
        </w:rPr>
        <w:t xml:space="preserve"> та у 2023 р.</w:t>
      </w:r>
      <w:r>
        <w:rPr>
          <w:rFonts w:ascii="Times New Roman" w:hAnsi="Times New Roman" w:cs="Times New Roman"/>
          <w:sz w:val="28"/>
          <w:szCs w:val="28"/>
          <w:lang w:val="uk-UA"/>
        </w:rPr>
        <w:t>, на що вплинув значний експорт послуг країни. Найбільше значення профіциту простежувалось у 2013 р., коли він становив 3,9 млрд. дол. США або 17% від ВВП країни. При цьому найбільший дефіцит</w:t>
      </w:r>
      <w:r w:rsidR="005D5FC1">
        <w:rPr>
          <w:rFonts w:ascii="Times New Roman" w:hAnsi="Times New Roman" w:cs="Times New Roman"/>
          <w:sz w:val="28"/>
          <w:szCs w:val="28"/>
          <w:lang w:val="uk-UA"/>
        </w:rPr>
        <w:t xml:space="preserve"> торгівлі</w:t>
      </w:r>
      <w:r>
        <w:rPr>
          <w:rFonts w:ascii="Times New Roman" w:hAnsi="Times New Roman" w:cs="Times New Roman"/>
          <w:sz w:val="28"/>
          <w:szCs w:val="28"/>
          <w:lang w:val="uk-UA"/>
        </w:rPr>
        <w:t xml:space="preserve"> в Португалії був у 2008 р.</w:t>
      </w:r>
      <w:r w:rsidR="005D5FC1">
        <w:rPr>
          <w:rFonts w:ascii="Times New Roman" w:hAnsi="Times New Roman" w:cs="Times New Roman"/>
          <w:sz w:val="28"/>
          <w:szCs w:val="28"/>
          <w:lang w:val="uk-UA"/>
        </w:rPr>
        <w:t xml:space="preserve"> в обсязі 24,4 млрд. дол. США або 9,2% від ВВП. Найбільшим дефіцит торгівлі в Греції також прийшовся на 2008 р., коли даний показник оцінювався у 39,5 млрд. дол. США або 11,1% від ВВП. Значні дефіцити в обох країнах в даний рік були наслідок зростаючого експорту товарів для вдоволення внутрішнього попиту перед фінансовою кризою. При цьому варто відзначити, що дефіцит торгівлі в Греції також зменшився у 2013-2019 рр., також переважно за рахунок збільшення експорту послуг. </w:t>
      </w:r>
    </w:p>
    <w:p w:rsidR="00925198" w:rsidRDefault="006B5E18" w:rsidP="006B5E18">
      <w:pPr>
        <w:tabs>
          <w:tab w:val="left" w:pos="3700"/>
        </w:tabs>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097EDE82" wp14:editId="2D3945AA">
            <wp:extent cx="6511925" cy="2598420"/>
            <wp:effectExtent l="0" t="0" r="3175" b="1143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25198" w:rsidRPr="00681002" w:rsidRDefault="00925198" w:rsidP="00925198">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Pr>
          <w:rFonts w:ascii="Times New Roman" w:hAnsi="Times New Roman" w:cs="Times New Roman"/>
          <w:i/>
          <w:sz w:val="28"/>
          <w:szCs w:val="28"/>
          <w:lang w:val="uk-UA"/>
        </w:rPr>
        <w:t>5</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Баланс торгівлі товарами та послугами</w:t>
      </w:r>
      <w:r w:rsidRPr="00681002">
        <w:rPr>
          <w:rFonts w:ascii="Times New Roman" w:hAnsi="Times New Roman" w:cs="Times New Roman"/>
          <w:i/>
          <w:sz w:val="28"/>
          <w:szCs w:val="28"/>
          <w:lang w:val="uk-UA"/>
        </w:rPr>
        <w:t xml:space="preserve"> Португалії та Греції у млн. дол. США та у % від ВВП в 2000-2023 рр. </w:t>
      </w:r>
    </w:p>
    <w:p w:rsidR="00925198" w:rsidRPr="00681002" w:rsidRDefault="00925198" w:rsidP="00925198">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25, 26</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E3444B" w:rsidRDefault="005F1B63"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обидві країни мали значні дефіцити зовнішньої торгівлі, що може призвести до значних ризиків в економічній стабільності країн. </w:t>
      </w:r>
      <w:r w:rsidRPr="005F1B63">
        <w:rPr>
          <w:rFonts w:ascii="Times New Roman" w:hAnsi="Times New Roman" w:cs="Times New Roman"/>
          <w:sz w:val="28"/>
          <w:szCs w:val="28"/>
          <w:lang w:val="uk-UA"/>
        </w:rPr>
        <w:t>Постійний торговий дефіцит може зробити економіку біль</w:t>
      </w:r>
      <w:r>
        <w:rPr>
          <w:rFonts w:ascii="Times New Roman" w:hAnsi="Times New Roman" w:cs="Times New Roman"/>
          <w:sz w:val="28"/>
          <w:szCs w:val="28"/>
          <w:lang w:val="uk-UA"/>
        </w:rPr>
        <w:t>ш вразливою до зовнішніх шоків, оскілки ц</w:t>
      </w:r>
      <w:r w:rsidRPr="005F1B63">
        <w:rPr>
          <w:rFonts w:ascii="Times New Roman" w:hAnsi="Times New Roman" w:cs="Times New Roman"/>
          <w:sz w:val="28"/>
          <w:szCs w:val="28"/>
          <w:lang w:val="uk-UA"/>
        </w:rPr>
        <w:t xml:space="preserve">е </w:t>
      </w:r>
      <w:r w:rsidRPr="005F1B63">
        <w:rPr>
          <w:rFonts w:ascii="Times New Roman" w:hAnsi="Times New Roman" w:cs="Times New Roman"/>
          <w:sz w:val="28"/>
          <w:szCs w:val="28"/>
          <w:lang w:val="uk-UA"/>
        </w:rPr>
        <w:lastRenderedPageBreak/>
        <w:t xml:space="preserve">означає, що країна значною мірою покладається на імпорт для </w:t>
      </w:r>
      <w:r>
        <w:rPr>
          <w:rFonts w:ascii="Times New Roman" w:hAnsi="Times New Roman" w:cs="Times New Roman"/>
          <w:sz w:val="28"/>
          <w:szCs w:val="28"/>
          <w:lang w:val="uk-UA"/>
        </w:rPr>
        <w:t>задоволення внутрішнього попиту</w:t>
      </w:r>
      <w:r w:rsidRPr="005F1B63">
        <w:rPr>
          <w:rFonts w:ascii="Times New Roman" w:hAnsi="Times New Roman" w:cs="Times New Roman"/>
          <w:sz w:val="28"/>
          <w:szCs w:val="28"/>
          <w:lang w:val="uk-UA"/>
        </w:rPr>
        <w:t>.</w:t>
      </w:r>
      <w:r>
        <w:rPr>
          <w:rFonts w:ascii="Times New Roman" w:hAnsi="Times New Roman" w:cs="Times New Roman"/>
          <w:sz w:val="28"/>
          <w:szCs w:val="28"/>
          <w:lang w:val="uk-UA"/>
        </w:rPr>
        <w:t xml:space="preserve"> Окрім того, щ</w:t>
      </w:r>
      <w:r w:rsidRPr="005F1B63">
        <w:rPr>
          <w:rFonts w:ascii="Times New Roman" w:hAnsi="Times New Roman" w:cs="Times New Roman"/>
          <w:sz w:val="28"/>
          <w:szCs w:val="28"/>
          <w:lang w:val="uk-UA"/>
        </w:rPr>
        <w:t>об фінансувати дефіцит, країна повинна покладатися на приплив капіталу та запозичення. Це може спричинити тиск на резе</w:t>
      </w:r>
      <w:r>
        <w:rPr>
          <w:rFonts w:ascii="Times New Roman" w:hAnsi="Times New Roman" w:cs="Times New Roman"/>
          <w:sz w:val="28"/>
          <w:szCs w:val="28"/>
          <w:lang w:val="uk-UA"/>
        </w:rPr>
        <w:t>рви та збільшити зовнішній борг, що є проблемою для Португалії та Греції.</w:t>
      </w:r>
      <w:r w:rsidRPr="005F1B63">
        <w:rPr>
          <w:rFonts w:ascii="Times New Roman" w:hAnsi="Times New Roman" w:cs="Times New Roman"/>
          <w:sz w:val="28"/>
          <w:szCs w:val="28"/>
          <w:lang w:val="uk-UA"/>
        </w:rPr>
        <w:t xml:space="preserve"> </w:t>
      </w:r>
    </w:p>
    <w:p w:rsidR="004E797F" w:rsidRDefault="004E797F" w:rsidP="00DC3991">
      <w:pPr>
        <w:tabs>
          <w:tab w:val="left" w:pos="3700"/>
        </w:tabs>
        <w:spacing w:after="0" w:line="360" w:lineRule="auto"/>
        <w:ind w:firstLine="680"/>
        <w:jc w:val="both"/>
        <w:rPr>
          <w:rFonts w:ascii="Times New Roman" w:hAnsi="Times New Roman" w:cs="Times New Roman"/>
          <w:sz w:val="28"/>
          <w:szCs w:val="28"/>
          <w:lang w:val="uk-UA"/>
        </w:rPr>
      </w:pPr>
      <w:r w:rsidRPr="004E797F">
        <w:rPr>
          <w:rFonts w:ascii="Times New Roman" w:hAnsi="Times New Roman" w:cs="Times New Roman"/>
          <w:sz w:val="28"/>
          <w:szCs w:val="28"/>
          <w:lang w:val="uk-UA"/>
        </w:rPr>
        <w:t xml:space="preserve">Незважаючи на те, що Португалія диверсифікувала свій експортний сектор за останні роки, вона все ще стикається з проблемами розширення своєї експортної бази. Країна історично відома такими галузями, як текстильна, одягова та взуттєва, які стикаються з сильною конкуренцією з боку дешевих виробників з інших країн. Хоча Португалія докладає зусиль для розвитку високотехнологічних галузей промисловості та послуг, загальна експортна база залишається відносно вузькою. </w:t>
      </w:r>
      <w:r w:rsidR="005F1B63">
        <w:rPr>
          <w:rFonts w:ascii="Times New Roman" w:hAnsi="Times New Roman" w:cs="Times New Roman"/>
          <w:sz w:val="28"/>
          <w:szCs w:val="28"/>
          <w:lang w:val="uk-UA"/>
        </w:rPr>
        <w:t xml:space="preserve">Також </w:t>
      </w:r>
      <w:r w:rsidRPr="004E797F">
        <w:rPr>
          <w:rFonts w:ascii="Times New Roman" w:hAnsi="Times New Roman" w:cs="Times New Roman"/>
          <w:sz w:val="28"/>
          <w:szCs w:val="28"/>
          <w:lang w:val="uk-UA"/>
        </w:rPr>
        <w:t xml:space="preserve">Португалія зіткнулася з проблемами конкурентоспроможності у своїх експортних секторах. Такі фактори, як висока вартість робочої сили, обмежені інновації та розрив у продуктивності, вплинули на здатність країни ефективно конкурувати на міжнародних ринках. Ці проблеми можуть </w:t>
      </w:r>
      <w:r w:rsidR="005F1B63">
        <w:rPr>
          <w:rFonts w:ascii="Times New Roman" w:hAnsi="Times New Roman" w:cs="Times New Roman"/>
          <w:sz w:val="28"/>
          <w:szCs w:val="28"/>
          <w:lang w:val="uk-UA"/>
        </w:rPr>
        <w:t>призвели</w:t>
      </w:r>
      <w:r w:rsidRPr="004E797F">
        <w:rPr>
          <w:rFonts w:ascii="Times New Roman" w:hAnsi="Times New Roman" w:cs="Times New Roman"/>
          <w:sz w:val="28"/>
          <w:szCs w:val="28"/>
          <w:lang w:val="uk-UA"/>
        </w:rPr>
        <w:t xml:space="preserve"> до труднощів у збі</w:t>
      </w:r>
      <w:r w:rsidR="005F1B63">
        <w:rPr>
          <w:rFonts w:ascii="Times New Roman" w:hAnsi="Times New Roman" w:cs="Times New Roman"/>
          <w:sz w:val="28"/>
          <w:szCs w:val="28"/>
          <w:lang w:val="uk-UA"/>
        </w:rPr>
        <w:t>льшенні обсягів експорту та, як наслідок</w:t>
      </w:r>
      <w:r w:rsidRPr="004E797F">
        <w:rPr>
          <w:rFonts w:ascii="Times New Roman" w:hAnsi="Times New Roman" w:cs="Times New Roman"/>
          <w:sz w:val="28"/>
          <w:szCs w:val="28"/>
          <w:lang w:val="uk-UA"/>
        </w:rPr>
        <w:t xml:space="preserve">, </w:t>
      </w:r>
      <w:r w:rsidR="005F1B63">
        <w:rPr>
          <w:rFonts w:ascii="Times New Roman" w:hAnsi="Times New Roman" w:cs="Times New Roman"/>
          <w:sz w:val="28"/>
          <w:szCs w:val="28"/>
          <w:lang w:val="uk-UA"/>
        </w:rPr>
        <w:t xml:space="preserve">сприяли </w:t>
      </w:r>
      <w:r w:rsidRPr="004E797F">
        <w:rPr>
          <w:rFonts w:ascii="Times New Roman" w:hAnsi="Times New Roman" w:cs="Times New Roman"/>
          <w:sz w:val="28"/>
          <w:szCs w:val="28"/>
          <w:lang w:val="uk-UA"/>
        </w:rPr>
        <w:t>торг</w:t>
      </w:r>
      <w:r w:rsidR="005F1B63">
        <w:rPr>
          <w:rFonts w:ascii="Times New Roman" w:hAnsi="Times New Roman" w:cs="Times New Roman"/>
          <w:sz w:val="28"/>
          <w:szCs w:val="28"/>
          <w:lang w:val="uk-UA"/>
        </w:rPr>
        <w:t xml:space="preserve">івельному дефіциту. </w:t>
      </w:r>
      <w:r w:rsidRPr="004E797F">
        <w:rPr>
          <w:rFonts w:ascii="Times New Roman" w:hAnsi="Times New Roman" w:cs="Times New Roman"/>
          <w:sz w:val="28"/>
          <w:szCs w:val="28"/>
          <w:lang w:val="uk-UA"/>
        </w:rPr>
        <w:t>Країна має відносно великий сектор послуг</w:t>
      </w:r>
      <w:r w:rsidR="005F1B63">
        <w:rPr>
          <w:rFonts w:ascii="Times New Roman" w:hAnsi="Times New Roman" w:cs="Times New Roman"/>
          <w:sz w:val="28"/>
          <w:szCs w:val="28"/>
          <w:lang w:val="uk-UA"/>
        </w:rPr>
        <w:t>, що допомогло навіть мати профіцит зовнішньої торгівлі в певний період</w:t>
      </w:r>
      <w:r w:rsidRPr="004E797F">
        <w:rPr>
          <w:rFonts w:ascii="Times New Roman" w:hAnsi="Times New Roman" w:cs="Times New Roman"/>
          <w:sz w:val="28"/>
          <w:szCs w:val="28"/>
          <w:lang w:val="uk-UA"/>
        </w:rPr>
        <w:t xml:space="preserve">, </w:t>
      </w:r>
      <w:r w:rsidR="005F1B63">
        <w:rPr>
          <w:rFonts w:ascii="Times New Roman" w:hAnsi="Times New Roman" w:cs="Times New Roman"/>
          <w:sz w:val="28"/>
          <w:szCs w:val="28"/>
          <w:lang w:val="uk-UA"/>
        </w:rPr>
        <w:t>проте даний сектор</w:t>
      </w:r>
      <w:r w:rsidRPr="004E797F">
        <w:rPr>
          <w:rFonts w:ascii="Times New Roman" w:hAnsi="Times New Roman" w:cs="Times New Roman"/>
          <w:sz w:val="28"/>
          <w:szCs w:val="28"/>
          <w:lang w:val="uk-UA"/>
        </w:rPr>
        <w:t xml:space="preserve"> має меншу експортоємність порівняно з виробничими секторами. </w:t>
      </w:r>
    </w:p>
    <w:p w:rsidR="00DC3991" w:rsidRDefault="004E797F" w:rsidP="005F1B63">
      <w:pPr>
        <w:tabs>
          <w:tab w:val="left" w:pos="3700"/>
        </w:tabs>
        <w:spacing w:after="0" w:line="360" w:lineRule="auto"/>
        <w:ind w:firstLine="680"/>
        <w:jc w:val="both"/>
        <w:rPr>
          <w:rFonts w:ascii="Times New Roman" w:hAnsi="Times New Roman" w:cs="Times New Roman"/>
          <w:sz w:val="28"/>
          <w:szCs w:val="28"/>
          <w:lang w:val="uk-UA"/>
        </w:rPr>
      </w:pPr>
      <w:r w:rsidRPr="004E797F">
        <w:rPr>
          <w:rFonts w:ascii="Times New Roman" w:hAnsi="Times New Roman" w:cs="Times New Roman"/>
          <w:sz w:val="28"/>
          <w:szCs w:val="28"/>
          <w:lang w:val="uk-UA"/>
        </w:rPr>
        <w:t xml:space="preserve">Греція </w:t>
      </w:r>
      <w:r w:rsidR="005F1B63">
        <w:rPr>
          <w:rFonts w:ascii="Times New Roman" w:hAnsi="Times New Roman" w:cs="Times New Roman"/>
          <w:sz w:val="28"/>
          <w:szCs w:val="28"/>
          <w:lang w:val="uk-UA"/>
        </w:rPr>
        <w:t xml:space="preserve">також </w:t>
      </w:r>
      <w:r w:rsidRPr="004E797F">
        <w:rPr>
          <w:rFonts w:ascii="Times New Roman" w:hAnsi="Times New Roman" w:cs="Times New Roman"/>
          <w:sz w:val="28"/>
          <w:szCs w:val="28"/>
          <w:lang w:val="uk-UA"/>
        </w:rPr>
        <w:t xml:space="preserve">стикається з проблемами диверсифікації своєї експортної бази та розширення експортних секторів. Хоча країна має сильні сторони в таких секторах, як судноплавство, туризм, сільськогосподарська продукція, її експортна база </w:t>
      </w:r>
      <w:r w:rsidR="005F1B63">
        <w:rPr>
          <w:rFonts w:ascii="Times New Roman" w:hAnsi="Times New Roman" w:cs="Times New Roman"/>
          <w:sz w:val="28"/>
          <w:szCs w:val="28"/>
          <w:lang w:val="uk-UA"/>
        </w:rPr>
        <w:t>є</w:t>
      </w:r>
      <w:r w:rsidRPr="004E797F">
        <w:rPr>
          <w:rFonts w:ascii="Times New Roman" w:hAnsi="Times New Roman" w:cs="Times New Roman"/>
          <w:sz w:val="28"/>
          <w:szCs w:val="28"/>
          <w:lang w:val="uk-UA"/>
        </w:rPr>
        <w:t xml:space="preserve"> відносно </w:t>
      </w:r>
      <w:r w:rsidR="005F1B63">
        <w:rPr>
          <w:rFonts w:ascii="Times New Roman" w:hAnsi="Times New Roman" w:cs="Times New Roman"/>
          <w:sz w:val="28"/>
          <w:szCs w:val="28"/>
          <w:lang w:val="uk-UA"/>
        </w:rPr>
        <w:t>обмеженою</w:t>
      </w:r>
      <w:r w:rsidRPr="004E797F">
        <w:rPr>
          <w:rFonts w:ascii="Times New Roman" w:hAnsi="Times New Roman" w:cs="Times New Roman"/>
          <w:sz w:val="28"/>
          <w:szCs w:val="28"/>
          <w:lang w:val="uk-UA"/>
        </w:rPr>
        <w:t>. Греція</w:t>
      </w:r>
      <w:r w:rsidR="005F1B63">
        <w:rPr>
          <w:rFonts w:ascii="Times New Roman" w:hAnsi="Times New Roman" w:cs="Times New Roman"/>
          <w:sz w:val="28"/>
          <w:szCs w:val="28"/>
          <w:lang w:val="uk-UA"/>
        </w:rPr>
        <w:t>, як і Португалія,</w:t>
      </w:r>
      <w:r w:rsidRPr="004E797F">
        <w:rPr>
          <w:rFonts w:ascii="Times New Roman" w:hAnsi="Times New Roman" w:cs="Times New Roman"/>
          <w:sz w:val="28"/>
          <w:szCs w:val="28"/>
          <w:lang w:val="uk-UA"/>
        </w:rPr>
        <w:t xml:space="preserve"> зіткнулася з проблемами конкурентоспроможності</w:t>
      </w:r>
      <w:r w:rsidR="005F1B63">
        <w:rPr>
          <w:rFonts w:ascii="Times New Roman" w:hAnsi="Times New Roman" w:cs="Times New Roman"/>
          <w:sz w:val="28"/>
          <w:szCs w:val="28"/>
          <w:lang w:val="uk-UA"/>
        </w:rPr>
        <w:t xml:space="preserve"> через</w:t>
      </w:r>
      <w:r w:rsidRPr="004E797F">
        <w:rPr>
          <w:rFonts w:ascii="Times New Roman" w:hAnsi="Times New Roman" w:cs="Times New Roman"/>
          <w:sz w:val="28"/>
          <w:szCs w:val="28"/>
          <w:lang w:val="uk-UA"/>
        </w:rPr>
        <w:t xml:space="preserve"> висок</w:t>
      </w:r>
      <w:r w:rsidR="005F1B63">
        <w:rPr>
          <w:rFonts w:ascii="Times New Roman" w:hAnsi="Times New Roman" w:cs="Times New Roman"/>
          <w:sz w:val="28"/>
          <w:szCs w:val="28"/>
          <w:lang w:val="uk-UA"/>
        </w:rPr>
        <w:t>у</w:t>
      </w:r>
      <w:r w:rsidRPr="004E797F">
        <w:rPr>
          <w:rFonts w:ascii="Times New Roman" w:hAnsi="Times New Roman" w:cs="Times New Roman"/>
          <w:sz w:val="28"/>
          <w:szCs w:val="28"/>
          <w:lang w:val="uk-UA"/>
        </w:rPr>
        <w:t xml:space="preserve"> вартість робочої сили, обмежене зростання продуктивності та бюрократі</w:t>
      </w:r>
      <w:r w:rsidR="005F1B63">
        <w:rPr>
          <w:rFonts w:ascii="Times New Roman" w:hAnsi="Times New Roman" w:cs="Times New Roman"/>
          <w:sz w:val="28"/>
          <w:szCs w:val="28"/>
          <w:lang w:val="uk-UA"/>
        </w:rPr>
        <w:t>ю</w:t>
      </w:r>
      <w:r w:rsidRPr="004E797F">
        <w:rPr>
          <w:rFonts w:ascii="Times New Roman" w:hAnsi="Times New Roman" w:cs="Times New Roman"/>
          <w:sz w:val="28"/>
          <w:szCs w:val="28"/>
          <w:lang w:val="uk-UA"/>
        </w:rPr>
        <w:t>. Ці виклики вплинули на здатність країни ефективно конкурувати на міжнародних ринках, що ускладнил</w:t>
      </w:r>
      <w:r w:rsidR="005F1B63">
        <w:rPr>
          <w:rFonts w:ascii="Times New Roman" w:hAnsi="Times New Roman" w:cs="Times New Roman"/>
          <w:sz w:val="28"/>
          <w:szCs w:val="28"/>
          <w:lang w:val="uk-UA"/>
        </w:rPr>
        <w:t>о збільшення обсягів експорту</w:t>
      </w:r>
      <w:r w:rsidRPr="004E797F">
        <w:rPr>
          <w:rFonts w:ascii="Times New Roman" w:hAnsi="Times New Roman" w:cs="Times New Roman"/>
          <w:sz w:val="28"/>
          <w:szCs w:val="28"/>
          <w:lang w:val="uk-UA"/>
        </w:rPr>
        <w:t xml:space="preserve">. </w:t>
      </w:r>
    </w:p>
    <w:p w:rsidR="00DC3991" w:rsidRDefault="00DC3991" w:rsidP="00DC3991">
      <w:pPr>
        <w:tabs>
          <w:tab w:val="left" w:pos="3700"/>
        </w:tabs>
        <w:spacing w:after="0" w:line="360" w:lineRule="auto"/>
        <w:ind w:firstLine="680"/>
        <w:jc w:val="both"/>
        <w:rPr>
          <w:rFonts w:ascii="Times New Roman" w:hAnsi="Times New Roman" w:cs="Times New Roman"/>
          <w:sz w:val="28"/>
          <w:szCs w:val="28"/>
          <w:lang w:val="uk-UA"/>
        </w:rPr>
      </w:pPr>
    </w:p>
    <w:p w:rsidR="00000AF8" w:rsidRDefault="00000AF8" w:rsidP="00C02C14">
      <w:pPr>
        <w:pStyle w:val="2"/>
        <w:rPr>
          <w:lang w:val="uk-UA"/>
        </w:rPr>
      </w:pPr>
      <w:bookmarkStart w:id="11" w:name="_Toc168123008"/>
      <w:r>
        <w:rPr>
          <w:lang w:val="uk-UA"/>
        </w:rPr>
        <w:lastRenderedPageBreak/>
        <w:t xml:space="preserve">2.2. </w:t>
      </w:r>
      <w:r w:rsidR="00873C86">
        <w:rPr>
          <w:lang w:val="uk-UA"/>
        </w:rPr>
        <w:t>Аналіз структури міжнародних інвестиційних позицій та динаміки зовнішніх боргів Португалії та Греція</w:t>
      </w:r>
      <w:bookmarkEnd w:id="11"/>
    </w:p>
    <w:p w:rsidR="00DC3991" w:rsidRDefault="00DC3991" w:rsidP="00DC3991">
      <w:pPr>
        <w:tabs>
          <w:tab w:val="left" w:pos="3700"/>
        </w:tabs>
        <w:spacing w:after="0" w:line="360" w:lineRule="auto"/>
        <w:ind w:firstLine="680"/>
        <w:jc w:val="both"/>
        <w:rPr>
          <w:rFonts w:ascii="Times New Roman" w:hAnsi="Times New Roman" w:cs="Times New Roman"/>
          <w:sz w:val="28"/>
          <w:szCs w:val="28"/>
          <w:lang w:val="uk-UA"/>
        </w:rPr>
      </w:pPr>
    </w:p>
    <w:p w:rsidR="009B2573" w:rsidRPr="009B2573" w:rsidRDefault="009B2573" w:rsidP="009B2573">
      <w:pPr>
        <w:tabs>
          <w:tab w:val="left" w:pos="3700"/>
        </w:tabs>
        <w:spacing w:after="0" w:line="360" w:lineRule="auto"/>
        <w:ind w:firstLine="680"/>
        <w:jc w:val="both"/>
        <w:rPr>
          <w:rFonts w:ascii="Times New Roman" w:hAnsi="Times New Roman" w:cs="Times New Roman"/>
          <w:sz w:val="28"/>
          <w:szCs w:val="28"/>
          <w:lang w:val="uk-UA"/>
        </w:rPr>
      </w:pPr>
      <w:r w:rsidRPr="009B2573">
        <w:rPr>
          <w:rFonts w:ascii="Times New Roman" w:hAnsi="Times New Roman" w:cs="Times New Roman"/>
          <w:sz w:val="28"/>
          <w:szCs w:val="28"/>
          <w:lang w:val="uk-UA"/>
        </w:rPr>
        <w:t xml:space="preserve">Міжнародна інвестиційна позиція (МІП) — це фінансовий звіт, який представляє вартість і склад зовнішніх фінансових активів і зобов’язань країни на певний момент часу. </w:t>
      </w:r>
      <w:r>
        <w:rPr>
          <w:rFonts w:ascii="Times New Roman" w:hAnsi="Times New Roman" w:cs="Times New Roman"/>
          <w:sz w:val="28"/>
          <w:szCs w:val="28"/>
          <w:lang w:val="uk-UA"/>
        </w:rPr>
        <w:t>МІП</w:t>
      </w:r>
      <w:r w:rsidRPr="009B2573">
        <w:rPr>
          <w:rFonts w:ascii="Times New Roman" w:hAnsi="Times New Roman" w:cs="Times New Roman"/>
          <w:sz w:val="28"/>
          <w:szCs w:val="28"/>
          <w:lang w:val="uk-UA"/>
        </w:rPr>
        <w:t xml:space="preserve"> складається з двох основних компонентів:</w:t>
      </w:r>
    </w:p>
    <w:p w:rsidR="009B2573" w:rsidRPr="009B2573" w:rsidRDefault="009B2573" w:rsidP="009B2573">
      <w:pPr>
        <w:pStyle w:val="a3"/>
        <w:numPr>
          <w:ilvl w:val="0"/>
          <w:numId w:val="1"/>
        </w:numPr>
        <w:tabs>
          <w:tab w:val="left" w:pos="3700"/>
        </w:tabs>
        <w:spacing w:after="0" w:line="360" w:lineRule="auto"/>
        <w:ind w:left="284" w:hanging="218"/>
        <w:jc w:val="both"/>
        <w:rPr>
          <w:rFonts w:ascii="Times New Roman" w:hAnsi="Times New Roman" w:cs="Times New Roman"/>
          <w:sz w:val="28"/>
          <w:szCs w:val="28"/>
          <w:lang w:val="uk-UA"/>
        </w:rPr>
      </w:pPr>
      <w:r w:rsidRPr="009B2573">
        <w:rPr>
          <w:rFonts w:ascii="Times New Roman" w:hAnsi="Times New Roman" w:cs="Times New Roman"/>
          <w:sz w:val="28"/>
          <w:szCs w:val="28"/>
          <w:lang w:val="uk-UA"/>
        </w:rPr>
        <w:t>Активи: це включає зовнішні фінансові активи країни, що знаходяться за кордоном. Ці активи можуть включати резерви іноземної валюти, прямі іноземні інвестиції (ПІІ), портфельні інвестиції (такі як акції та облігації) в іноземні компанії, позики та кредити іноземним організаціям та інші види фінансових активів.</w:t>
      </w:r>
    </w:p>
    <w:p w:rsidR="00332954" w:rsidRPr="009B2573" w:rsidRDefault="009B2573" w:rsidP="009B2573">
      <w:pPr>
        <w:pStyle w:val="a3"/>
        <w:numPr>
          <w:ilvl w:val="0"/>
          <w:numId w:val="1"/>
        </w:numPr>
        <w:tabs>
          <w:tab w:val="left" w:pos="3700"/>
        </w:tabs>
        <w:spacing w:after="0" w:line="360" w:lineRule="auto"/>
        <w:ind w:left="284" w:hanging="218"/>
        <w:jc w:val="both"/>
        <w:rPr>
          <w:rFonts w:ascii="Times New Roman" w:hAnsi="Times New Roman" w:cs="Times New Roman"/>
          <w:sz w:val="28"/>
          <w:szCs w:val="28"/>
          <w:lang w:val="uk-UA"/>
        </w:rPr>
      </w:pPr>
      <w:r w:rsidRPr="009B2573">
        <w:rPr>
          <w:rFonts w:ascii="Times New Roman" w:hAnsi="Times New Roman" w:cs="Times New Roman"/>
          <w:sz w:val="28"/>
          <w:szCs w:val="28"/>
          <w:lang w:val="uk-UA"/>
        </w:rPr>
        <w:t xml:space="preserve">Пасиви: це зовнішні фінансові зобов'язання країни перед іноземцями. </w:t>
      </w:r>
      <w:r>
        <w:rPr>
          <w:rFonts w:ascii="Times New Roman" w:hAnsi="Times New Roman" w:cs="Times New Roman"/>
          <w:sz w:val="28"/>
          <w:szCs w:val="28"/>
          <w:lang w:val="uk-UA"/>
        </w:rPr>
        <w:t>Вони включають</w:t>
      </w:r>
      <w:r w:rsidRPr="009B2573">
        <w:rPr>
          <w:rFonts w:ascii="Times New Roman" w:hAnsi="Times New Roman" w:cs="Times New Roman"/>
          <w:sz w:val="28"/>
          <w:szCs w:val="28"/>
          <w:lang w:val="uk-UA"/>
        </w:rPr>
        <w:t xml:space="preserve"> в себе іноземні активи всередині країни, такі як ПІІ, якими володіють іноземні організації, портфельні інвестиції, що належать іноземцям, зовнішній борг (облігації та позики) та інші фінансові зобов’язання.</w:t>
      </w:r>
    </w:p>
    <w:p w:rsidR="009B2573" w:rsidRDefault="008232B8" w:rsidP="008232B8">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активи МІП Португалії та Греції протягом 2000-2023 рр. У 2000 р. обсяг активів Португалії становив 152,5 млрд. дол. США або 128,6% від ВВП. Надалі простежувалось значне зростання активів, особливо в 2002-2004 рр. та 2006-2007 рр., коли середньорічна зміна становила 23,9%. В наступних роках відзначалось значне зменшення обсягів активів Португалії, що було наслідком відтоку коштів резидентів країни з закордону в наслідок невизначеності в країні після світової фінансової кризи. На кінець 2023 рр. обсяг активів МІП Португалії оцінювався у 447,2 млрд. дол. США або 157,4% від ВВП. За даний період значно збільшився обсяг активів МІП Греції, який виріс з 57,2 млрд. дол. США або 43,8% від ВВП у 2000 р. до 360,5 млрд. дол. США або 158,1% від ВВП у 2023 р. (рис. 2.6). При цьому варто відзначити, що співвідношення активів до ВВП в Греції перевищило показник Португалії. </w:t>
      </w:r>
    </w:p>
    <w:p w:rsidR="00332954" w:rsidRDefault="00332954" w:rsidP="00332954">
      <w:pPr>
        <w:tabs>
          <w:tab w:val="left" w:pos="3700"/>
        </w:tabs>
        <w:spacing w:after="0" w:line="360" w:lineRule="auto"/>
        <w:jc w:val="both"/>
        <w:rPr>
          <w:rFonts w:ascii="Times New Roman" w:hAnsi="Times New Roman" w:cs="Times New Roman"/>
          <w:sz w:val="28"/>
          <w:szCs w:val="28"/>
          <w:lang w:val="uk-UA"/>
        </w:rPr>
      </w:pPr>
      <w:r>
        <w:rPr>
          <w:noProof/>
          <w:lang w:val="ru-RU" w:eastAsia="ru-RU"/>
        </w:rPr>
        <w:lastRenderedPageBreak/>
        <w:drawing>
          <wp:inline distT="0" distB="0" distL="0" distR="0" wp14:anchorId="05416110" wp14:editId="2C72C332">
            <wp:extent cx="6511925" cy="2818765"/>
            <wp:effectExtent l="0" t="0" r="3175" b="63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32954" w:rsidRPr="00681002" w:rsidRDefault="00332954" w:rsidP="00332954">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sidR="00AD067F">
        <w:rPr>
          <w:rFonts w:ascii="Times New Roman" w:hAnsi="Times New Roman" w:cs="Times New Roman"/>
          <w:i/>
          <w:sz w:val="28"/>
          <w:szCs w:val="28"/>
          <w:lang w:val="uk-UA"/>
        </w:rPr>
        <w:t>6</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Обсяг активів МІП</w:t>
      </w:r>
      <w:r w:rsidRPr="00681002">
        <w:rPr>
          <w:rFonts w:ascii="Times New Roman" w:hAnsi="Times New Roman" w:cs="Times New Roman"/>
          <w:i/>
          <w:sz w:val="28"/>
          <w:szCs w:val="28"/>
          <w:lang w:val="uk-UA"/>
        </w:rPr>
        <w:t xml:space="preserve"> Португалії та Греції у млн. </w:t>
      </w:r>
      <w:r>
        <w:rPr>
          <w:rFonts w:ascii="Times New Roman" w:hAnsi="Times New Roman" w:cs="Times New Roman"/>
          <w:i/>
          <w:sz w:val="28"/>
          <w:szCs w:val="28"/>
          <w:lang w:val="uk-UA"/>
        </w:rPr>
        <w:t>дол. США</w:t>
      </w:r>
      <w:r w:rsidRPr="00681002">
        <w:rPr>
          <w:rFonts w:ascii="Times New Roman" w:hAnsi="Times New Roman" w:cs="Times New Roman"/>
          <w:i/>
          <w:sz w:val="28"/>
          <w:szCs w:val="28"/>
          <w:lang w:val="uk-UA"/>
        </w:rPr>
        <w:t xml:space="preserve"> та у % від ВВП в 2000-2023 рр. </w:t>
      </w:r>
    </w:p>
    <w:p w:rsidR="00332954" w:rsidRPr="00681002" w:rsidRDefault="00332954" w:rsidP="00332954">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25, 31</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DC3991" w:rsidRDefault="003921B3"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структуру активів МІП Португалії, можна побачити зміни в питомій вазі видів активів. Так на початку 2000-х рр. найбільшу частку мали інші інвестиції, які в середньому становили 44,4% від валових активів. Надалі їх частка поступово зменшилась і у 2023 р. дорівнювала 27,9%. Збільшення можна побачити в портфельних інвестиція, частка яких збільшилась з 27,5% у 2000 р. до 40,9% у 2023 р., що робить їх найбільшою складовою. </w:t>
      </w:r>
      <w:r w:rsidR="00293EC3">
        <w:rPr>
          <w:rFonts w:ascii="Times New Roman" w:hAnsi="Times New Roman" w:cs="Times New Roman"/>
          <w:sz w:val="28"/>
          <w:szCs w:val="28"/>
          <w:lang w:val="uk-UA"/>
        </w:rPr>
        <w:t>Прямі інвестиції збільшили питому вагу за даний проміжок з 16,3% до 22,7%, а резервні активи та фінансові деривативи в останні роки становили менше 10% від сумарного обсягу активів (рис. 2.7).</w:t>
      </w:r>
    </w:p>
    <w:p w:rsidR="00332954" w:rsidRDefault="00205EA3" w:rsidP="00205EA3">
      <w:pPr>
        <w:tabs>
          <w:tab w:val="left" w:pos="3700"/>
        </w:tabs>
        <w:spacing w:after="0" w:line="360" w:lineRule="auto"/>
        <w:jc w:val="both"/>
        <w:rPr>
          <w:rFonts w:ascii="Times New Roman" w:hAnsi="Times New Roman" w:cs="Times New Roman"/>
          <w:sz w:val="28"/>
          <w:szCs w:val="28"/>
          <w:lang w:val="uk-UA"/>
        </w:rPr>
      </w:pPr>
      <w:r>
        <w:rPr>
          <w:noProof/>
          <w:lang w:val="ru-RU" w:eastAsia="ru-RU"/>
        </w:rPr>
        <w:lastRenderedPageBreak/>
        <w:drawing>
          <wp:inline distT="0" distB="0" distL="0" distR="0" wp14:anchorId="79F2EFB9" wp14:editId="2822E76D">
            <wp:extent cx="6480000" cy="2880000"/>
            <wp:effectExtent l="0" t="0" r="16510" b="1587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05EA3" w:rsidRPr="00681002" w:rsidRDefault="00205EA3" w:rsidP="00205EA3">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sidR="00AD067F">
        <w:rPr>
          <w:rFonts w:ascii="Times New Roman" w:hAnsi="Times New Roman" w:cs="Times New Roman"/>
          <w:i/>
          <w:sz w:val="28"/>
          <w:szCs w:val="28"/>
          <w:lang w:val="uk-UA"/>
        </w:rPr>
        <w:t>7</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Структура активів МІП</w:t>
      </w:r>
      <w:r w:rsidRPr="00681002">
        <w:rPr>
          <w:rFonts w:ascii="Times New Roman" w:hAnsi="Times New Roman" w:cs="Times New Roman"/>
          <w:i/>
          <w:sz w:val="28"/>
          <w:szCs w:val="28"/>
          <w:lang w:val="uk-UA"/>
        </w:rPr>
        <w:t xml:space="preserve"> Португалії в 2000-2023 рр. </w:t>
      </w:r>
    </w:p>
    <w:p w:rsidR="00205EA3" w:rsidRPr="00681002" w:rsidRDefault="00205EA3" w:rsidP="00205EA3">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31</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205EA3" w:rsidRDefault="00293EC3"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Найбільшою складовою активів МІП Греції є портфельні інвестиції, які у 2023 р. оцінювались у 62,8% від валового обсягу активів країни. При цьому даний показник значно збільшився, оскільки у 2000 р. його частка дорівнювала лише 6,7%. Значно меншу частину стали займати інші інвестиції, питома вага яких на початку 2000-х рр. склала 61,6%, але поступово впала до 23,5%. Також за даний період впала частка резервних активів: з 21,4% до 3,8%. Прямі інвестиції не зазнавали значних коливань, проте протягом 2000-2023 рр. їх питома вага в активах МІП Греції зменшилась на декілька процентних пунктів до 7,2% на кінець 2023 р. (рис. 2.8). Отже можна побачити, що як і у випадку Португалія, структура активів МІП Греції зазнала значних зміни потягом проаналізованого періоду. </w:t>
      </w:r>
    </w:p>
    <w:p w:rsidR="00205EA3" w:rsidRDefault="00205EA3" w:rsidP="00205EA3">
      <w:pPr>
        <w:tabs>
          <w:tab w:val="left" w:pos="3700"/>
        </w:tabs>
        <w:spacing w:after="0" w:line="360" w:lineRule="auto"/>
        <w:jc w:val="both"/>
        <w:rPr>
          <w:rFonts w:ascii="Times New Roman" w:hAnsi="Times New Roman" w:cs="Times New Roman"/>
          <w:sz w:val="28"/>
          <w:szCs w:val="28"/>
          <w:lang w:val="uk-UA"/>
        </w:rPr>
      </w:pPr>
      <w:r>
        <w:rPr>
          <w:noProof/>
          <w:lang w:val="ru-RU" w:eastAsia="ru-RU"/>
        </w:rPr>
        <w:lastRenderedPageBreak/>
        <w:drawing>
          <wp:inline distT="0" distB="0" distL="0" distR="0" wp14:anchorId="48CFA56E" wp14:editId="55C3554B">
            <wp:extent cx="6476289" cy="2879999"/>
            <wp:effectExtent l="0" t="0" r="1270" b="1587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05EA3" w:rsidRPr="00681002" w:rsidRDefault="00205EA3" w:rsidP="00205EA3">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sidR="00AD067F">
        <w:rPr>
          <w:rFonts w:ascii="Times New Roman" w:hAnsi="Times New Roman" w:cs="Times New Roman"/>
          <w:i/>
          <w:sz w:val="28"/>
          <w:szCs w:val="28"/>
          <w:lang w:val="uk-UA"/>
        </w:rPr>
        <w:t>8</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Структура активів МІП</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Греції</w:t>
      </w:r>
      <w:r w:rsidRPr="00681002">
        <w:rPr>
          <w:rFonts w:ascii="Times New Roman" w:hAnsi="Times New Roman" w:cs="Times New Roman"/>
          <w:i/>
          <w:sz w:val="28"/>
          <w:szCs w:val="28"/>
          <w:lang w:val="uk-UA"/>
        </w:rPr>
        <w:t xml:space="preserve"> в 2000-2023 рр. </w:t>
      </w:r>
    </w:p>
    <w:p w:rsidR="00205EA3" w:rsidRDefault="00205EA3" w:rsidP="00293EC3">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31</w:t>
      </w:r>
      <w:r w:rsidRPr="00681002">
        <w:rPr>
          <w:rFonts w:ascii="Times New Roman" w:hAnsi="Times New Roman" w:cs="Times New Roman"/>
          <w:sz w:val="28"/>
          <w:szCs w:val="28"/>
          <w:lang w:val="ru-RU"/>
        </w:rPr>
        <w:t>]</w:t>
      </w:r>
      <w:r w:rsidR="00293EC3">
        <w:rPr>
          <w:rFonts w:ascii="Times New Roman" w:hAnsi="Times New Roman" w:cs="Times New Roman"/>
          <w:sz w:val="28"/>
          <w:szCs w:val="28"/>
          <w:lang w:val="uk-UA"/>
        </w:rPr>
        <w:t xml:space="preserve">. </w:t>
      </w:r>
    </w:p>
    <w:p w:rsidR="00205EA3" w:rsidRDefault="004D0A64"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Обсяги пасивів МІП в обох країнах зростали значно більшим темпами, анаіж активи, що можна побачити на рис. 2.9.</w:t>
      </w:r>
    </w:p>
    <w:p w:rsidR="00332954" w:rsidRDefault="00332954" w:rsidP="00332954">
      <w:pPr>
        <w:tabs>
          <w:tab w:val="left" w:pos="3700"/>
        </w:tabs>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585839EB" wp14:editId="04E31469">
            <wp:extent cx="6511925" cy="2817495"/>
            <wp:effectExtent l="0" t="0" r="3175" b="190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32954" w:rsidRPr="00681002" w:rsidRDefault="00332954" w:rsidP="00332954">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sidR="00AD067F">
        <w:rPr>
          <w:rFonts w:ascii="Times New Roman" w:hAnsi="Times New Roman" w:cs="Times New Roman"/>
          <w:i/>
          <w:sz w:val="28"/>
          <w:szCs w:val="28"/>
          <w:lang w:val="uk-UA"/>
        </w:rPr>
        <w:t>9</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Обсяг пасивів МІП</w:t>
      </w:r>
      <w:r w:rsidRPr="00681002">
        <w:rPr>
          <w:rFonts w:ascii="Times New Roman" w:hAnsi="Times New Roman" w:cs="Times New Roman"/>
          <w:i/>
          <w:sz w:val="28"/>
          <w:szCs w:val="28"/>
          <w:lang w:val="uk-UA"/>
        </w:rPr>
        <w:t xml:space="preserve"> Португалії та Греції у млн. </w:t>
      </w:r>
      <w:r>
        <w:rPr>
          <w:rFonts w:ascii="Times New Roman" w:hAnsi="Times New Roman" w:cs="Times New Roman"/>
          <w:i/>
          <w:sz w:val="28"/>
          <w:szCs w:val="28"/>
          <w:lang w:val="uk-UA"/>
        </w:rPr>
        <w:t>дол. США</w:t>
      </w:r>
      <w:r w:rsidRPr="00681002">
        <w:rPr>
          <w:rFonts w:ascii="Times New Roman" w:hAnsi="Times New Roman" w:cs="Times New Roman"/>
          <w:i/>
          <w:sz w:val="28"/>
          <w:szCs w:val="28"/>
          <w:lang w:val="uk-UA"/>
        </w:rPr>
        <w:t xml:space="preserve"> та у % від ВВП в 2000-2023 рр. </w:t>
      </w:r>
    </w:p>
    <w:p w:rsidR="00332954" w:rsidRPr="00681002" w:rsidRDefault="00332954" w:rsidP="00332954">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25, 31</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332954" w:rsidRDefault="004D0A64"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 для Португалії зміна даного показника у 2000-2023 рр. склала 203,8 млрд. дол. США або 171,8% від ВВП до 659,9 млрд. дол. США або 232,4% від ВВП, а для Греції – з 106,8 млрд. дол. США або 81,9% від ВВП до 702,6 млрд. дол. США або 308,1% від ВВП. При цьому, пасиви Греції перевищили рівень даного показника у Португалії, що свідчить про занадто значне нарощування зобов’язань перед нерезидентами. Найбільші темпи зростання пасивів в країнах можна простежити також у 2001-2004 рр. та 2006-2007 рр., що було періодом перед світовою фінансовою кризою, коли обидві країни покладались на зовнішнє фінансування для задоволення внутрішнього попиту, а також отримували значні інвестиції з-за кордону. </w:t>
      </w:r>
    </w:p>
    <w:p w:rsidR="004D0A64" w:rsidRDefault="004D0A64"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Структура пасивів МІП Португалії не зазнала значних змін протягом 2000-2023 рр. Так, найбільшу частку мали інші інвестиції, які склали 43,8% від валових пасивів, що дещо нижче рівня у 50,9% у 2000 р. Збільшилась питома вага прямих інвестицій – з 19,2% у 2000 р. до 34,8% у 2023; і навпаки, частка портфельних інвестицій впала з 28,9% до 21,3% у даному проміжку. Фінансові деривативи були незначною складовою, а їх питома вага в середньому дорівнювала 0,8% (рис. 2.10). </w:t>
      </w:r>
    </w:p>
    <w:p w:rsidR="00205EA3" w:rsidRDefault="00205EA3" w:rsidP="00205EA3">
      <w:pPr>
        <w:tabs>
          <w:tab w:val="left" w:pos="3700"/>
        </w:tabs>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549DF0A8" wp14:editId="1B119EDC">
            <wp:extent cx="6476288" cy="2880000"/>
            <wp:effectExtent l="0" t="0" r="1270" b="1587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05EA3" w:rsidRPr="00681002" w:rsidRDefault="00205EA3" w:rsidP="00205EA3">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sidR="00AD067F">
        <w:rPr>
          <w:rFonts w:ascii="Times New Roman" w:hAnsi="Times New Roman" w:cs="Times New Roman"/>
          <w:i/>
          <w:sz w:val="28"/>
          <w:szCs w:val="28"/>
          <w:lang w:val="uk-UA"/>
        </w:rPr>
        <w:t>10</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Структура пасивів МІП</w:t>
      </w:r>
      <w:r w:rsidRPr="00681002">
        <w:rPr>
          <w:rFonts w:ascii="Times New Roman" w:hAnsi="Times New Roman" w:cs="Times New Roman"/>
          <w:i/>
          <w:sz w:val="28"/>
          <w:szCs w:val="28"/>
          <w:lang w:val="uk-UA"/>
        </w:rPr>
        <w:t xml:space="preserve"> Португалії в 2000-2023 рр. </w:t>
      </w:r>
    </w:p>
    <w:p w:rsidR="00205EA3" w:rsidRPr="00681002" w:rsidRDefault="00205EA3" w:rsidP="00205EA3">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31</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205EA3" w:rsidRDefault="009B5581"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структурі пасивів МІП Греції з 2010 р. найбільшу частку займали інші інвестиції: станом на кінець 2023 р. їх питома вага оцінювалась у 81% від сумарних пасивів МІП країни. Дана зміна відбулась за рахунок зменшення темпів потоків портфельних інвестицій, частка яких впала з 53,6% у 2000 р. до 9,3% у 2023 р. Зміна частки прямих інвестицій відбулась з 11,7% до 9,4% у даному періоді. Фінансові деривативи, по аналогії з Португалією, були незначними для Греції, та в середньому становили лише 1,8% від валових обсягів пасивів (рис. 2.11). </w:t>
      </w:r>
    </w:p>
    <w:p w:rsidR="00205EA3" w:rsidRDefault="00205EA3" w:rsidP="00205EA3">
      <w:pPr>
        <w:tabs>
          <w:tab w:val="left" w:pos="3700"/>
        </w:tabs>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016FF8F5" wp14:editId="3FDE1C44">
            <wp:extent cx="6476288" cy="2879999"/>
            <wp:effectExtent l="0" t="0" r="1270" b="15875"/>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05EA3" w:rsidRPr="00681002" w:rsidRDefault="00205EA3" w:rsidP="00205EA3">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sidR="00AD067F">
        <w:rPr>
          <w:rFonts w:ascii="Times New Roman" w:hAnsi="Times New Roman" w:cs="Times New Roman"/>
          <w:i/>
          <w:sz w:val="28"/>
          <w:szCs w:val="28"/>
          <w:lang w:val="uk-UA"/>
        </w:rPr>
        <w:t>11</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Структура пасивів МІП</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Греції</w:t>
      </w:r>
      <w:r w:rsidRPr="00681002">
        <w:rPr>
          <w:rFonts w:ascii="Times New Roman" w:hAnsi="Times New Roman" w:cs="Times New Roman"/>
          <w:i/>
          <w:sz w:val="28"/>
          <w:szCs w:val="28"/>
          <w:lang w:val="uk-UA"/>
        </w:rPr>
        <w:t xml:space="preserve"> в 2000-2023 рр. </w:t>
      </w:r>
    </w:p>
    <w:p w:rsidR="00205EA3" w:rsidRPr="00681002" w:rsidRDefault="00205EA3" w:rsidP="00205EA3">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31</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332954" w:rsidRDefault="0017080D" w:rsidP="0017080D">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Португалія та Греція мають негативну чисту МІП, що означає, що зобов’язання даних країн перед нерезидентами перевищують їх активи за кордоном, що робить ці країни «чистими боржниками». При цьому з рис. 2.12 можна побачити значне збільшення негативного балансу МІП протягом 2000-х рр. Загалом, негативний баланс МІП Португалії збільшився з -51,3 млрд. дол. США або -43,3% від ВВП у 2000 р. до -212,8 млрд. дол. США або -74,9% від ВВП у 2023 р. Значно більшими темпами збільшився даний показник в Греції, оскільки на початку розглянутого періоду він був меншим за рівень в Португалії, проте з 2002 р. почав перевищувати його. У 2000 р. чиста МІП Греції оцінювалась у -49,6 млрд. дол. США або -38% від </w:t>
      </w:r>
      <w:r>
        <w:rPr>
          <w:rFonts w:ascii="Times New Roman" w:hAnsi="Times New Roman" w:cs="Times New Roman"/>
          <w:sz w:val="28"/>
          <w:szCs w:val="28"/>
          <w:lang w:val="uk-UA"/>
        </w:rPr>
        <w:lastRenderedPageBreak/>
        <w:t>ВВП. У 2023 р. даний показник дорівнював вже -342,1 млрд. дол. США або -150% від ВВП.</w:t>
      </w:r>
    </w:p>
    <w:p w:rsidR="00332954" w:rsidRDefault="00332954" w:rsidP="00332954">
      <w:pPr>
        <w:tabs>
          <w:tab w:val="left" w:pos="3700"/>
        </w:tabs>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388BE312" wp14:editId="701B3272">
            <wp:extent cx="6511925" cy="2818765"/>
            <wp:effectExtent l="0" t="0" r="3175" b="63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32954" w:rsidRPr="00681002" w:rsidRDefault="00332954" w:rsidP="00332954">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sidR="00AD067F">
        <w:rPr>
          <w:rFonts w:ascii="Times New Roman" w:hAnsi="Times New Roman" w:cs="Times New Roman"/>
          <w:i/>
          <w:sz w:val="28"/>
          <w:szCs w:val="28"/>
          <w:lang w:val="uk-UA"/>
        </w:rPr>
        <w:t>12</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Обсяг чистої МІП</w:t>
      </w:r>
      <w:r w:rsidRPr="00681002">
        <w:rPr>
          <w:rFonts w:ascii="Times New Roman" w:hAnsi="Times New Roman" w:cs="Times New Roman"/>
          <w:i/>
          <w:sz w:val="28"/>
          <w:szCs w:val="28"/>
          <w:lang w:val="uk-UA"/>
        </w:rPr>
        <w:t xml:space="preserve"> Португалії та Греції у млн. </w:t>
      </w:r>
      <w:r>
        <w:rPr>
          <w:rFonts w:ascii="Times New Roman" w:hAnsi="Times New Roman" w:cs="Times New Roman"/>
          <w:i/>
          <w:sz w:val="28"/>
          <w:szCs w:val="28"/>
          <w:lang w:val="uk-UA"/>
        </w:rPr>
        <w:t>дол. США</w:t>
      </w:r>
      <w:r w:rsidRPr="00681002">
        <w:rPr>
          <w:rFonts w:ascii="Times New Roman" w:hAnsi="Times New Roman" w:cs="Times New Roman"/>
          <w:i/>
          <w:sz w:val="28"/>
          <w:szCs w:val="28"/>
          <w:lang w:val="uk-UA"/>
        </w:rPr>
        <w:t xml:space="preserve"> та у % від ВВП в 2000-2023 рр. </w:t>
      </w:r>
    </w:p>
    <w:p w:rsidR="00332954" w:rsidRPr="00681002" w:rsidRDefault="00332954" w:rsidP="00332954">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25, 31</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332954" w:rsidRDefault="00C632EF" w:rsidP="00DC3991">
      <w:pPr>
        <w:tabs>
          <w:tab w:val="left" w:pos="3700"/>
        </w:tabs>
        <w:spacing w:after="0" w:line="360" w:lineRule="auto"/>
        <w:ind w:firstLine="680"/>
        <w:jc w:val="both"/>
        <w:rPr>
          <w:rFonts w:ascii="Times New Roman" w:hAnsi="Times New Roman" w:cs="Times New Roman"/>
          <w:sz w:val="28"/>
          <w:szCs w:val="28"/>
          <w:lang w:val="uk-UA"/>
        </w:rPr>
      </w:pPr>
      <w:r w:rsidRPr="00C632EF">
        <w:rPr>
          <w:rFonts w:ascii="Times New Roman" w:hAnsi="Times New Roman" w:cs="Times New Roman"/>
          <w:sz w:val="28"/>
          <w:szCs w:val="28"/>
          <w:lang w:val="uk-UA"/>
        </w:rPr>
        <w:t>Негативн</w:t>
      </w:r>
      <w:r>
        <w:rPr>
          <w:rFonts w:ascii="Times New Roman" w:hAnsi="Times New Roman" w:cs="Times New Roman"/>
          <w:sz w:val="28"/>
          <w:szCs w:val="28"/>
          <w:lang w:val="uk-UA"/>
        </w:rPr>
        <w:t>а чиста МІП</w:t>
      </w:r>
      <w:r w:rsidRPr="00C632EF">
        <w:rPr>
          <w:rFonts w:ascii="Times New Roman" w:hAnsi="Times New Roman" w:cs="Times New Roman"/>
          <w:sz w:val="28"/>
          <w:szCs w:val="28"/>
          <w:lang w:val="uk-UA"/>
        </w:rPr>
        <w:t xml:space="preserve"> свідчить про те, що країна накопичила значну суму зовнішнього боргу, який може бути тягарем для її економіки. Обслуговування та погашення боргу вимагають від країни виділення фінансових ресурсів для сплати відсотків і основної суми боргу, що може спричинити навантаження на державні фінанси та обмежити ресурси, доступні для внутрішніх інвестицій і розвитку. </w:t>
      </w:r>
      <w:r>
        <w:rPr>
          <w:rFonts w:ascii="Times New Roman" w:hAnsi="Times New Roman" w:cs="Times New Roman"/>
          <w:sz w:val="28"/>
          <w:szCs w:val="28"/>
          <w:lang w:val="uk-UA"/>
        </w:rPr>
        <w:t>Також це</w:t>
      </w:r>
      <w:r w:rsidRPr="00C632EF">
        <w:rPr>
          <w:rFonts w:ascii="Times New Roman" w:hAnsi="Times New Roman" w:cs="Times New Roman"/>
          <w:sz w:val="28"/>
          <w:szCs w:val="28"/>
          <w:lang w:val="uk-UA"/>
        </w:rPr>
        <w:t xml:space="preserve"> означає залежність від зовнішнього фінансування та іноземних інвесторів. Ця залежність може обмежити фінансову автономію та гнучкість політики країни. Країна може залежати від зовнішніх умов і очікувань іноземних інвесторів, що потенційно обмежує її здатність проводити незалежну монетарну та фіскальну політику.</w:t>
      </w:r>
    </w:p>
    <w:p w:rsidR="00DC3991" w:rsidRDefault="00C632EF" w:rsidP="00DC3991">
      <w:pPr>
        <w:tabs>
          <w:tab w:val="left" w:pos="3700"/>
        </w:tabs>
        <w:spacing w:after="0" w:line="360" w:lineRule="auto"/>
        <w:ind w:firstLine="680"/>
        <w:jc w:val="both"/>
        <w:rPr>
          <w:rFonts w:ascii="Times New Roman" w:hAnsi="Times New Roman" w:cs="Times New Roman"/>
          <w:sz w:val="28"/>
          <w:szCs w:val="28"/>
          <w:lang w:val="uk-UA"/>
        </w:rPr>
      </w:pPr>
      <w:r w:rsidRPr="00C632EF">
        <w:rPr>
          <w:rFonts w:ascii="Times New Roman" w:hAnsi="Times New Roman" w:cs="Times New Roman"/>
          <w:sz w:val="28"/>
          <w:szCs w:val="28"/>
          <w:lang w:val="uk-UA"/>
        </w:rPr>
        <w:t xml:space="preserve">Зовнішній борг означає загальну суму грошей, яку країна винна іноземним кредиторам. Він включає всі типи боргових зобов’язань перед нерезидентами, </w:t>
      </w:r>
      <w:r w:rsidRPr="00C632EF">
        <w:rPr>
          <w:rFonts w:ascii="Times New Roman" w:hAnsi="Times New Roman" w:cs="Times New Roman"/>
          <w:sz w:val="28"/>
          <w:szCs w:val="28"/>
          <w:lang w:val="uk-UA"/>
        </w:rPr>
        <w:lastRenderedPageBreak/>
        <w:t>такими як уряди, міжнародні організації, комерційні банки та інші установи за межами країни.</w:t>
      </w:r>
    </w:p>
    <w:p w:rsidR="006B4120" w:rsidRDefault="00C67746"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Португалії та Греції зовнішній борг значно збільшився з 2000 р. Так, в Португалії даний показник збільшився з 146,5 млрд. дол. США або 123,5% від ВВП у 2000 р. до 547,1 млрд. дол. США або 223,6% від ВВП у 2009 р. Для Греції збільшення зовнішньої заборгованості за даний період становило з 104,1 млрд. дол. США або 79,8% від ВВП до 582,6 млрд. дол. США або 175,9% від ВВП. Надалі темпи збільшення зовнішнього боргу в обох країнах зменшились, а у 2010-2016 рр. даний показник навіть зменшився. У наступних роках зменшилось боргове навантаження на Португалію: зовнішній борг склав 150,4% від ВВП країни або 427,2 млрд. дол. США у 2023 р., що доволі менше рівня 2008 р. Однак, збільшився показник Греції, який у 2023 р. оцінювався у 598,2 млрд. дол. США або 262,3% від ВВП (рис. 2.13). </w:t>
      </w:r>
    </w:p>
    <w:p w:rsidR="006B4120" w:rsidRDefault="00332954" w:rsidP="006B4120">
      <w:pPr>
        <w:tabs>
          <w:tab w:val="left" w:pos="3700"/>
        </w:tabs>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5CB5DF17" wp14:editId="2D19C222">
            <wp:extent cx="6480000" cy="2880000"/>
            <wp:effectExtent l="0" t="0" r="16510" b="1587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B4120" w:rsidRPr="00681002" w:rsidRDefault="006B4120" w:rsidP="006B4120">
      <w:pPr>
        <w:tabs>
          <w:tab w:val="left" w:pos="3700"/>
        </w:tabs>
        <w:spacing w:after="0" w:line="360" w:lineRule="auto"/>
        <w:ind w:firstLine="680"/>
        <w:jc w:val="both"/>
        <w:rPr>
          <w:rFonts w:ascii="Times New Roman" w:hAnsi="Times New Roman" w:cs="Times New Roman"/>
          <w:i/>
          <w:sz w:val="28"/>
          <w:szCs w:val="28"/>
          <w:lang w:val="uk-UA"/>
        </w:rPr>
      </w:pPr>
      <w:r w:rsidRPr="00681002">
        <w:rPr>
          <w:rFonts w:ascii="Times New Roman" w:hAnsi="Times New Roman" w:cs="Times New Roman"/>
          <w:i/>
          <w:sz w:val="28"/>
          <w:szCs w:val="28"/>
          <w:lang w:val="uk-UA"/>
        </w:rPr>
        <w:t>Рис. 2.</w:t>
      </w:r>
      <w:r w:rsidR="00AD067F">
        <w:rPr>
          <w:rFonts w:ascii="Times New Roman" w:hAnsi="Times New Roman" w:cs="Times New Roman"/>
          <w:i/>
          <w:sz w:val="28"/>
          <w:szCs w:val="28"/>
          <w:lang w:val="uk-UA"/>
        </w:rPr>
        <w:t>13</w:t>
      </w:r>
      <w:r w:rsidRPr="00681002">
        <w:rPr>
          <w:rFonts w:ascii="Times New Roman" w:hAnsi="Times New Roman" w:cs="Times New Roman"/>
          <w:i/>
          <w:sz w:val="28"/>
          <w:szCs w:val="28"/>
          <w:lang w:val="uk-UA"/>
        </w:rPr>
        <w:t xml:space="preserve">. </w:t>
      </w:r>
      <w:r>
        <w:rPr>
          <w:rFonts w:ascii="Times New Roman" w:hAnsi="Times New Roman" w:cs="Times New Roman"/>
          <w:i/>
          <w:sz w:val="28"/>
          <w:szCs w:val="28"/>
          <w:lang w:val="uk-UA"/>
        </w:rPr>
        <w:t>Обсяг зовнішнього боргу</w:t>
      </w:r>
      <w:r w:rsidRPr="00681002">
        <w:rPr>
          <w:rFonts w:ascii="Times New Roman" w:hAnsi="Times New Roman" w:cs="Times New Roman"/>
          <w:i/>
          <w:sz w:val="28"/>
          <w:szCs w:val="28"/>
          <w:lang w:val="uk-UA"/>
        </w:rPr>
        <w:t xml:space="preserve"> Португалії та Греції у млн. </w:t>
      </w:r>
      <w:r w:rsidR="00332954">
        <w:rPr>
          <w:rFonts w:ascii="Times New Roman" w:hAnsi="Times New Roman" w:cs="Times New Roman"/>
          <w:i/>
          <w:sz w:val="28"/>
          <w:szCs w:val="28"/>
          <w:lang w:val="uk-UA"/>
        </w:rPr>
        <w:t>дол. США</w:t>
      </w:r>
      <w:r w:rsidRPr="00681002">
        <w:rPr>
          <w:rFonts w:ascii="Times New Roman" w:hAnsi="Times New Roman" w:cs="Times New Roman"/>
          <w:i/>
          <w:sz w:val="28"/>
          <w:szCs w:val="28"/>
          <w:lang w:val="uk-UA"/>
        </w:rPr>
        <w:t xml:space="preserve"> та у % від ВВП в 2000-2023 рр. </w:t>
      </w:r>
    </w:p>
    <w:p w:rsidR="006B4120" w:rsidRPr="00681002" w:rsidRDefault="006B4120" w:rsidP="006B4120">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1F4954">
        <w:rPr>
          <w:rFonts w:ascii="Times New Roman" w:hAnsi="Times New Roman" w:cs="Times New Roman"/>
          <w:sz w:val="28"/>
          <w:szCs w:val="28"/>
          <w:lang w:val="ru-RU"/>
        </w:rPr>
        <w:t>25, 32, 33</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E3444B" w:rsidRDefault="00F05B7E" w:rsidP="00DC399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Португалія та Греція мали негативні тенденції зміни міжнародної інвестиційної позиції та зовнішнього боргу. В обох країнах простежувався </w:t>
      </w:r>
      <w:r>
        <w:rPr>
          <w:rFonts w:ascii="Times New Roman" w:hAnsi="Times New Roman" w:cs="Times New Roman"/>
          <w:sz w:val="28"/>
          <w:szCs w:val="28"/>
          <w:lang w:val="uk-UA"/>
        </w:rPr>
        <w:lastRenderedPageBreak/>
        <w:t>стабільний негативний баланс МІП, який значно збільшився протягом 2000-2023 рр. Також загалом значно зріс обсяг зовнішнього боргу, особливо в Греції. На дану ситуацію вплинуло декілька факторів.</w:t>
      </w:r>
    </w:p>
    <w:p w:rsidR="00F05B7E" w:rsidRDefault="00F05B7E" w:rsidP="00DC3991">
      <w:pPr>
        <w:tabs>
          <w:tab w:val="left" w:pos="3700"/>
        </w:tabs>
        <w:spacing w:after="0" w:line="360" w:lineRule="auto"/>
        <w:ind w:firstLine="680"/>
        <w:jc w:val="both"/>
        <w:rPr>
          <w:rFonts w:ascii="Times New Roman" w:hAnsi="Times New Roman" w:cs="Times New Roman"/>
          <w:sz w:val="28"/>
          <w:szCs w:val="28"/>
          <w:lang w:val="uk-UA"/>
        </w:rPr>
      </w:pPr>
      <w:r w:rsidRPr="00F05B7E">
        <w:rPr>
          <w:rFonts w:ascii="Times New Roman" w:hAnsi="Times New Roman" w:cs="Times New Roman"/>
          <w:sz w:val="28"/>
          <w:szCs w:val="28"/>
          <w:lang w:val="uk-UA"/>
        </w:rPr>
        <w:t>Португалія зіткнулася з економічними проблемами, включаючи низьку продуктивність, обмежену конкурентоспроможність і високий рівень безробіття, що вплинуло на її здатність генерувати достатній дохід для компенсації зовнішнього боргу. У минулому в Португалії спостерігалися фіскальні дисбаланси, коли державні витрати перевищували доходи, що призвело до збільшення запозичень дл</w:t>
      </w:r>
      <w:r>
        <w:rPr>
          <w:rFonts w:ascii="Times New Roman" w:hAnsi="Times New Roman" w:cs="Times New Roman"/>
          <w:sz w:val="28"/>
          <w:szCs w:val="28"/>
          <w:lang w:val="uk-UA"/>
        </w:rPr>
        <w:t xml:space="preserve">я фінансування дефіциту бюджету, і призвело до кризи державного боргу, зменшився й привабливість країни перед інвесторів через високий рівень невизначеності в економічному розвитку. </w:t>
      </w:r>
      <w:r w:rsidRPr="00F05B7E">
        <w:rPr>
          <w:rFonts w:ascii="Times New Roman" w:hAnsi="Times New Roman" w:cs="Times New Roman"/>
          <w:sz w:val="28"/>
          <w:szCs w:val="28"/>
          <w:lang w:val="uk-UA"/>
        </w:rPr>
        <w:t>Португалія покладалася на зовнішнє фінансування для фінансування своєї економічної діяльності. Ця залежність від припливу іноземного капіталу, включаючи позики та інвестиції, сприяла накопиченню зовнішнього боргу. Такі фактори, як обмежені внутрішні заощадження, потреба в розвитку інфраструктури та залежність від імпорту,</w:t>
      </w:r>
      <w:r>
        <w:rPr>
          <w:rFonts w:ascii="Times New Roman" w:hAnsi="Times New Roman" w:cs="Times New Roman"/>
          <w:sz w:val="28"/>
          <w:szCs w:val="28"/>
          <w:lang w:val="uk-UA"/>
        </w:rPr>
        <w:t xml:space="preserve"> призвели до даної потреби. </w:t>
      </w:r>
    </w:p>
    <w:p w:rsidR="00F05B7E" w:rsidRDefault="00F05B7E" w:rsidP="00663B13">
      <w:pPr>
        <w:tabs>
          <w:tab w:val="left" w:pos="3700"/>
        </w:tabs>
        <w:spacing w:after="0" w:line="360" w:lineRule="auto"/>
        <w:ind w:firstLine="680"/>
        <w:jc w:val="both"/>
        <w:rPr>
          <w:rFonts w:ascii="Times New Roman" w:hAnsi="Times New Roman" w:cs="Times New Roman"/>
          <w:sz w:val="28"/>
          <w:szCs w:val="28"/>
          <w:lang w:val="uk-UA"/>
        </w:rPr>
      </w:pPr>
      <w:r w:rsidRPr="00F05B7E">
        <w:rPr>
          <w:rFonts w:ascii="Times New Roman" w:hAnsi="Times New Roman" w:cs="Times New Roman"/>
          <w:sz w:val="28"/>
          <w:szCs w:val="28"/>
          <w:lang w:val="uk-UA"/>
        </w:rPr>
        <w:t xml:space="preserve">Греція </w:t>
      </w:r>
      <w:r>
        <w:rPr>
          <w:rFonts w:ascii="Times New Roman" w:hAnsi="Times New Roman" w:cs="Times New Roman"/>
          <w:sz w:val="28"/>
          <w:szCs w:val="28"/>
          <w:lang w:val="uk-UA"/>
        </w:rPr>
        <w:t>мала</w:t>
      </w:r>
      <w:r w:rsidRPr="00F05B7E">
        <w:rPr>
          <w:rFonts w:ascii="Times New Roman" w:hAnsi="Times New Roman" w:cs="Times New Roman"/>
          <w:sz w:val="28"/>
          <w:szCs w:val="28"/>
          <w:lang w:val="uk-UA"/>
        </w:rPr>
        <w:t xml:space="preserve"> історію </w:t>
      </w:r>
      <w:r>
        <w:rPr>
          <w:rFonts w:ascii="Times New Roman" w:hAnsi="Times New Roman" w:cs="Times New Roman"/>
          <w:sz w:val="28"/>
          <w:szCs w:val="28"/>
          <w:lang w:val="uk-UA"/>
        </w:rPr>
        <w:t>значних</w:t>
      </w:r>
      <w:r w:rsidRPr="00F05B7E">
        <w:rPr>
          <w:rFonts w:ascii="Times New Roman" w:hAnsi="Times New Roman" w:cs="Times New Roman"/>
          <w:sz w:val="28"/>
          <w:szCs w:val="28"/>
          <w:lang w:val="uk-UA"/>
        </w:rPr>
        <w:t xml:space="preserve"> державних витрат і дефіциту</w:t>
      </w:r>
      <w:r>
        <w:rPr>
          <w:rFonts w:ascii="Times New Roman" w:hAnsi="Times New Roman" w:cs="Times New Roman"/>
          <w:sz w:val="28"/>
          <w:szCs w:val="28"/>
          <w:lang w:val="uk-UA"/>
        </w:rPr>
        <w:t xml:space="preserve"> бюджету</w:t>
      </w:r>
      <w:r w:rsidRPr="00F05B7E">
        <w:rPr>
          <w:rFonts w:ascii="Times New Roman" w:hAnsi="Times New Roman" w:cs="Times New Roman"/>
          <w:sz w:val="28"/>
          <w:szCs w:val="28"/>
          <w:lang w:val="uk-UA"/>
        </w:rPr>
        <w:t xml:space="preserve">, що з часом призводить до накопичення боргу. У минулому уряд займався запозиченнями для фінансування свого бюджетного дефіциту, що призвело до значного </w:t>
      </w:r>
      <w:r>
        <w:rPr>
          <w:rFonts w:ascii="Times New Roman" w:hAnsi="Times New Roman" w:cs="Times New Roman"/>
          <w:sz w:val="28"/>
          <w:szCs w:val="28"/>
          <w:lang w:val="uk-UA"/>
        </w:rPr>
        <w:t>накопичення</w:t>
      </w:r>
      <w:r w:rsidRPr="00F05B7E">
        <w:rPr>
          <w:rFonts w:ascii="Times New Roman" w:hAnsi="Times New Roman" w:cs="Times New Roman"/>
          <w:sz w:val="28"/>
          <w:szCs w:val="28"/>
          <w:lang w:val="uk-UA"/>
        </w:rPr>
        <w:t xml:space="preserve"> зовнішнього боргу.</w:t>
      </w:r>
      <w:r>
        <w:rPr>
          <w:rFonts w:ascii="Times New Roman" w:hAnsi="Times New Roman" w:cs="Times New Roman"/>
          <w:sz w:val="28"/>
          <w:szCs w:val="28"/>
          <w:lang w:val="uk-UA"/>
        </w:rPr>
        <w:t xml:space="preserve"> Як і Португалія, </w:t>
      </w:r>
      <w:r w:rsidRPr="00F05B7E">
        <w:rPr>
          <w:rFonts w:ascii="Times New Roman" w:hAnsi="Times New Roman" w:cs="Times New Roman"/>
          <w:sz w:val="28"/>
          <w:szCs w:val="28"/>
          <w:lang w:val="uk-UA"/>
        </w:rPr>
        <w:t>Греція пережила кризу державного боргу, яка характеризувалася зростанням вартості запозичень і ринковими сумнівами щодо здатності країни погасити свої зобов’язання. Греція зіткнулася з труднощами доступу до міжнародних фінансових ринків, що призвело до збільшення залежності від зовнішньої фінансової допомоги з боку міжнародних кредиторів.</w:t>
      </w:r>
      <w:r>
        <w:rPr>
          <w:rFonts w:ascii="Times New Roman" w:hAnsi="Times New Roman" w:cs="Times New Roman"/>
          <w:sz w:val="28"/>
          <w:szCs w:val="28"/>
          <w:lang w:val="uk-UA"/>
        </w:rPr>
        <w:t xml:space="preserve"> Окрім того, Греція зіткнулась із структурними та економічними проблеми у вигляді низької конкурентоспроможності та продуктивності, а також із некоректним фіскальним управлінням, </w:t>
      </w:r>
      <w:r w:rsidRPr="00F05B7E">
        <w:rPr>
          <w:rFonts w:ascii="Times New Roman" w:hAnsi="Times New Roman" w:cs="Times New Roman"/>
          <w:sz w:val="28"/>
          <w:szCs w:val="28"/>
          <w:lang w:val="uk-UA"/>
        </w:rPr>
        <w:t>включаючи відсутність прозорості, неефективні державні витрати та неадекватний збір податків.</w:t>
      </w:r>
    </w:p>
    <w:p w:rsidR="00663B13" w:rsidRDefault="00663B13" w:rsidP="00663B13">
      <w:pPr>
        <w:tabs>
          <w:tab w:val="left" w:pos="3700"/>
        </w:tabs>
        <w:spacing w:after="0" w:line="360" w:lineRule="auto"/>
        <w:ind w:firstLine="680"/>
        <w:jc w:val="both"/>
        <w:rPr>
          <w:rFonts w:ascii="Times New Roman" w:hAnsi="Times New Roman" w:cs="Times New Roman"/>
          <w:sz w:val="28"/>
          <w:szCs w:val="28"/>
          <w:lang w:val="uk-UA"/>
        </w:rPr>
      </w:pPr>
    </w:p>
    <w:p w:rsidR="00663B13" w:rsidRPr="00663B13" w:rsidRDefault="00663B13" w:rsidP="00663B13">
      <w:pPr>
        <w:tabs>
          <w:tab w:val="left" w:pos="3700"/>
        </w:tabs>
        <w:spacing w:after="0" w:line="360" w:lineRule="auto"/>
        <w:ind w:firstLine="680"/>
        <w:jc w:val="both"/>
        <w:rPr>
          <w:rFonts w:ascii="Times New Roman" w:hAnsi="Times New Roman" w:cs="Times New Roman"/>
          <w:sz w:val="28"/>
          <w:szCs w:val="28"/>
          <w:lang w:val="uk-UA"/>
        </w:rPr>
      </w:pPr>
    </w:p>
    <w:p w:rsidR="00CE0F9C" w:rsidRDefault="00873C86" w:rsidP="00C02C14">
      <w:pPr>
        <w:pStyle w:val="2"/>
        <w:rPr>
          <w:lang w:val="uk-UA"/>
        </w:rPr>
      </w:pPr>
      <w:bookmarkStart w:id="12" w:name="_Toc168123009"/>
      <w:r>
        <w:rPr>
          <w:lang w:val="uk-UA"/>
        </w:rPr>
        <w:t>2.3. Дослідження</w:t>
      </w:r>
      <w:r w:rsidRPr="00873C86">
        <w:rPr>
          <w:lang w:val="uk-UA"/>
        </w:rPr>
        <w:t xml:space="preserve"> взаємозалежності зовнішньоекономічних </w:t>
      </w:r>
      <w:r>
        <w:rPr>
          <w:lang w:val="uk-UA"/>
        </w:rPr>
        <w:t>показників Португалії та Греції</w:t>
      </w:r>
      <w:bookmarkEnd w:id="12"/>
    </w:p>
    <w:p w:rsidR="00DC3991" w:rsidRDefault="00DC3991" w:rsidP="00DC3991">
      <w:pPr>
        <w:spacing w:after="0" w:line="360" w:lineRule="auto"/>
        <w:ind w:firstLine="680"/>
        <w:jc w:val="both"/>
        <w:rPr>
          <w:rFonts w:ascii="Times New Roman" w:hAnsi="Times New Roman" w:cs="Times New Roman"/>
          <w:sz w:val="28"/>
          <w:szCs w:val="28"/>
          <w:lang w:val="uk-UA"/>
        </w:rPr>
      </w:pPr>
    </w:p>
    <w:p w:rsidR="00F06BCF" w:rsidRDefault="00F06BCF"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Португалія та Греція характеризуються значними рівнями зовнішньої заборгованості, яка зменшує інвестиційну привабливість країн, робить їх залежними від зовнішнього фінансування, призводить до дисбалансів в економічній системі та до невизначеності в стабільності та подальшому розвитку.</w:t>
      </w:r>
    </w:p>
    <w:p w:rsidR="00F05B7E" w:rsidRDefault="00F06BCF"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огляду на дану проблеми цих країн, в ході емпіричного </w:t>
      </w:r>
      <w:r w:rsidR="00707AF8">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було обрано побудувати спільну регресійну модель для визначення показників, які впливали на збільшення зовнішнього боргу. Дані було взято за 2000-2023 рр., які </w:t>
      </w:r>
      <w:r w:rsidR="00707AF8" w:rsidRPr="00707AF8">
        <w:rPr>
          <w:rFonts w:ascii="Times New Roman" w:hAnsi="Times New Roman" w:cs="Times New Roman"/>
          <w:sz w:val="28"/>
          <w:szCs w:val="28"/>
          <w:lang w:val="uk-UA"/>
        </w:rPr>
        <w:t>характеризувались</w:t>
      </w:r>
      <w:r>
        <w:rPr>
          <w:rFonts w:ascii="Times New Roman" w:hAnsi="Times New Roman" w:cs="Times New Roman"/>
          <w:sz w:val="28"/>
          <w:szCs w:val="28"/>
          <w:lang w:val="uk-UA"/>
        </w:rPr>
        <w:t xml:space="preserve"> як період значного нарощування боргу в Португалії та Греції. </w:t>
      </w:r>
    </w:p>
    <w:p w:rsidR="00F05B7E" w:rsidRDefault="00EC6B6F"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Регресійна модель мала наступну формулу:</w:t>
      </w:r>
    </w:p>
    <w:p w:rsidR="00EC6B6F" w:rsidRDefault="00EC6B6F" w:rsidP="00EC6B6F">
      <w:pPr>
        <w:spacing w:after="0" w:line="360" w:lineRule="auto"/>
        <w:ind w:firstLine="680"/>
        <w:jc w:val="right"/>
        <w:rPr>
          <w:rFonts w:ascii="Times New Roman" w:hAnsi="Times New Roman" w:cs="Times New Roman"/>
          <w:sz w:val="28"/>
          <w:szCs w:val="28"/>
          <w:lang w:val="uk-UA"/>
        </w:rPr>
      </w:pPr>
      <m:oMath>
        <m:r>
          <w:rPr>
            <w:rFonts w:ascii="Cambria Math" w:hAnsi="Cambria Math" w:cs="Times New Roman"/>
            <w:sz w:val="28"/>
            <w:szCs w:val="28"/>
            <w:lang w:val="uk-UA"/>
          </w:rPr>
          <m:t>Debt=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1</m:t>
            </m:r>
          </m:sub>
        </m:sSub>
        <m:r>
          <w:rPr>
            <w:rFonts w:ascii="Cambria Math" w:hAnsi="Cambria Math" w:cs="Times New Roman"/>
            <w:sz w:val="28"/>
            <w:szCs w:val="28"/>
            <w:lang w:val="uk-UA"/>
          </w:rPr>
          <m:t>*Export+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2</m:t>
            </m:r>
          </m:sub>
        </m:sSub>
        <m:r>
          <w:rPr>
            <w:rFonts w:ascii="Cambria Math" w:hAnsi="Cambria Math" w:cs="Times New Roman"/>
            <w:sz w:val="28"/>
            <w:szCs w:val="28"/>
            <w:lang w:val="uk-UA"/>
          </w:rPr>
          <m:t>*Net IIP+</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3</m:t>
            </m:r>
          </m:sub>
        </m:sSub>
        <m:r>
          <w:rPr>
            <w:rFonts w:ascii="Cambria Math" w:hAnsi="Cambria Math" w:cs="Times New Roman"/>
            <w:sz w:val="28"/>
            <w:szCs w:val="28"/>
            <w:lang w:val="uk-UA"/>
          </w:rPr>
          <m:t>*Budget+c</m:t>
        </m:r>
      </m:oMath>
      <w:r>
        <w:rPr>
          <w:rFonts w:ascii="Times New Roman" w:eastAsiaTheme="minorEastAsia" w:hAnsi="Times New Roman" w:cs="Times New Roman"/>
          <w:sz w:val="28"/>
          <w:szCs w:val="28"/>
          <w:lang w:val="uk-UA"/>
        </w:rPr>
        <w:t xml:space="preserve"> ,                   (1)</w:t>
      </w:r>
    </w:p>
    <w:p w:rsidR="00E3444B" w:rsidRDefault="00EC6B6F" w:rsidP="00EC6B6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sz w:val="28"/>
          <w:szCs w:val="28"/>
        </w:rPr>
        <w:t>Debt</w:t>
      </w:r>
      <w:r w:rsidRPr="00EC6B6F">
        <w:rPr>
          <w:rFonts w:ascii="Times New Roman" w:hAnsi="Times New Roman" w:cs="Times New Roman"/>
          <w:sz w:val="28"/>
          <w:szCs w:val="28"/>
          <w:lang w:val="uk-UA"/>
        </w:rPr>
        <w:t xml:space="preserve"> – </w:t>
      </w:r>
      <w:r>
        <w:rPr>
          <w:rFonts w:ascii="Times New Roman" w:hAnsi="Times New Roman" w:cs="Times New Roman"/>
          <w:sz w:val="28"/>
          <w:szCs w:val="28"/>
          <w:lang w:val="uk-UA"/>
        </w:rPr>
        <w:t>обсяг зовнішнього боргу</w:t>
      </w:r>
      <w:r w:rsidRPr="00EC6B6F">
        <w:rPr>
          <w:rFonts w:ascii="Times New Roman" w:hAnsi="Times New Roman" w:cs="Times New Roman"/>
          <w:sz w:val="28"/>
          <w:szCs w:val="28"/>
          <w:lang w:val="uk-UA"/>
        </w:rPr>
        <w:t xml:space="preserve">, </w:t>
      </w:r>
      <w:r>
        <w:rPr>
          <w:rFonts w:ascii="Times New Roman" w:hAnsi="Times New Roman" w:cs="Times New Roman"/>
          <w:sz w:val="28"/>
          <w:szCs w:val="28"/>
        </w:rPr>
        <w:t>Export</w:t>
      </w:r>
      <w:r w:rsidRPr="00EC6B6F">
        <w:rPr>
          <w:rFonts w:ascii="Times New Roman" w:hAnsi="Times New Roman" w:cs="Times New Roman"/>
          <w:sz w:val="28"/>
          <w:szCs w:val="28"/>
          <w:lang w:val="uk-UA"/>
        </w:rPr>
        <w:t xml:space="preserve"> – </w:t>
      </w:r>
      <w:r>
        <w:rPr>
          <w:rFonts w:ascii="Times New Roman" w:hAnsi="Times New Roman" w:cs="Times New Roman"/>
          <w:sz w:val="28"/>
          <w:szCs w:val="28"/>
          <w:lang w:val="uk-UA"/>
        </w:rPr>
        <w:t>обсяг експорту товарів та послуг</w:t>
      </w:r>
      <w:r w:rsidRPr="00EC6B6F">
        <w:rPr>
          <w:rFonts w:ascii="Times New Roman" w:hAnsi="Times New Roman" w:cs="Times New Roman"/>
          <w:sz w:val="28"/>
          <w:szCs w:val="28"/>
          <w:lang w:val="uk-UA"/>
        </w:rPr>
        <w:t xml:space="preserve">, </w:t>
      </w:r>
      <w:r>
        <w:rPr>
          <w:rFonts w:ascii="Times New Roman" w:hAnsi="Times New Roman" w:cs="Times New Roman"/>
          <w:sz w:val="28"/>
          <w:szCs w:val="28"/>
        </w:rPr>
        <w:t>Net</w:t>
      </w:r>
      <w:r w:rsidRPr="00EC6B6F">
        <w:rPr>
          <w:rFonts w:ascii="Times New Roman" w:hAnsi="Times New Roman" w:cs="Times New Roman"/>
          <w:sz w:val="28"/>
          <w:szCs w:val="28"/>
          <w:lang w:val="uk-UA"/>
        </w:rPr>
        <w:t xml:space="preserve"> </w:t>
      </w:r>
      <w:r>
        <w:rPr>
          <w:rFonts w:ascii="Times New Roman" w:hAnsi="Times New Roman" w:cs="Times New Roman"/>
          <w:sz w:val="28"/>
          <w:szCs w:val="28"/>
        </w:rPr>
        <w:t>IIP</w:t>
      </w:r>
      <w:r w:rsidRPr="00EC6B6F">
        <w:rPr>
          <w:rFonts w:ascii="Times New Roman" w:hAnsi="Times New Roman" w:cs="Times New Roman"/>
          <w:sz w:val="28"/>
          <w:szCs w:val="28"/>
          <w:lang w:val="uk-UA"/>
        </w:rPr>
        <w:t xml:space="preserve"> – </w:t>
      </w:r>
      <w:r>
        <w:rPr>
          <w:rFonts w:ascii="Times New Roman" w:hAnsi="Times New Roman" w:cs="Times New Roman"/>
          <w:sz w:val="28"/>
          <w:szCs w:val="28"/>
          <w:lang w:val="uk-UA"/>
        </w:rPr>
        <w:t>чиста міжнародна інвестиційна позиція</w:t>
      </w:r>
      <w:r w:rsidRPr="00EC6B6F">
        <w:rPr>
          <w:rFonts w:ascii="Times New Roman" w:hAnsi="Times New Roman" w:cs="Times New Roman"/>
          <w:sz w:val="28"/>
          <w:szCs w:val="28"/>
          <w:lang w:val="uk-UA"/>
        </w:rPr>
        <w:t xml:space="preserve">, </w:t>
      </w:r>
      <w:r>
        <w:rPr>
          <w:rFonts w:ascii="Times New Roman" w:hAnsi="Times New Roman" w:cs="Times New Roman"/>
          <w:sz w:val="28"/>
          <w:szCs w:val="28"/>
        </w:rPr>
        <w:t>Budget</w:t>
      </w:r>
      <w:r w:rsidRPr="00EC6B6F">
        <w:rPr>
          <w:rFonts w:ascii="Times New Roman" w:hAnsi="Times New Roman" w:cs="Times New Roman"/>
          <w:sz w:val="28"/>
          <w:szCs w:val="28"/>
          <w:lang w:val="uk-UA"/>
        </w:rPr>
        <w:t xml:space="preserve"> – </w:t>
      </w:r>
      <w:r>
        <w:rPr>
          <w:rFonts w:ascii="Times New Roman" w:hAnsi="Times New Roman" w:cs="Times New Roman"/>
          <w:sz w:val="28"/>
          <w:szCs w:val="28"/>
          <w:lang w:val="uk-UA"/>
        </w:rPr>
        <w:t>сальдо державного бюджету</w:t>
      </w:r>
      <w:r w:rsidRPr="00EC6B6F">
        <w:rPr>
          <w:rFonts w:ascii="Times New Roman" w:hAnsi="Times New Roman" w:cs="Times New Roman"/>
          <w:sz w:val="28"/>
          <w:szCs w:val="28"/>
          <w:lang w:val="uk-UA"/>
        </w:rPr>
        <w:t>.</w:t>
      </w:r>
    </w:p>
    <w:p w:rsidR="009E5110" w:rsidRPr="009E5110" w:rsidRDefault="00EC6B6F" w:rsidP="009E5110">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ході моделювання було отримано наступні результати. Першим розглянутим показником був </w:t>
      </w:r>
      <w:r>
        <w:rPr>
          <w:rFonts w:ascii="Times New Roman" w:hAnsi="Times New Roman" w:cs="Times New Roman"/>
          <w:sz w:val="28"/>
          <w:szCs w:val="28"/>
        </w:rPr>
        <w:t>R</w:t>
      </w:r>
      <w:r w:rsidR="009E5110">
        <w:rPr>
          <w:rFonts w:ascii="Times New Roman" w:hAnsi="Times New Roman" w:cs="Times New Roman"/>
          <w:sz w:val="28"/>
          <w:szCs w:val="28"/>
          <w:lang w:val="uk-UA"/>
        </w:rPr>
        <w:t xml:space="preserve">-квадрат </w:t>
      </w:r>
      <w:r w:rsidR="009E5110" w:rsidRPr="009E5110">
        <w:rPr>
          <w:rFonts w:ascii="Times New Roman" w:hAnsi="Times New Roman" w:cs="Times New Roman"/>
          <w:sz w:val="28"/>
          <w:szCs w:val="28"/>
          <w:lang w:val="uk-UA"/>
        </w:rPr>
        <w:t xml:space="preserve">(або коефіцієнт детермінації) — це статистичний показник у моделі регресії, який визначає частку дисперсії залежної змінної, яку можна пояснити незалежною змінною. Іншими словами, </w:t>
      </w:r>
      <w:r w:rsidR="009E5110">
        <w:rPr>
          <w:rFonts w:ascii="Times New Roman" w:hAnsi="Times New Roman" w:cs="Times New Roman"/>
          <w:sz w:val="28"/>
          <w:szCs w:val="28"/>
        </w:rPr>
        <w:t>R</w:t>
      </w:r>
      <w:r w:rsidR="009E5110" w:rsidRPr="009E5110">
        <w:rPr>
          <w:rFonts w:ascii="Times New Roman" w:hAnsi="Times New Roman" w:cs="Times New Roman"/>
          <w:sz w:val="28"/>
          <w:szCs w:val="28"/>
          <w:lang w:val="uk-UA"/>
        </w:rPr>
        <w:t xml:space="preserve"> -квадрат показує, наскільки добре дані відповідають моделі регресії. R-квадрат завжди становить від 0 до 100%:</w:t>
      </w:r>
      <w:r w:rsidR="009E5110">
        <w:rPr>
          <w:rFonts w:ascii="Times New Roman" w:hAnsi="Times New Roman" w:cs="Times New Roman"/>
          <w:sz w:val="28"/>
          <w:szCs w:val="28"/>
          <w:lang w:val="uk-UA"/>
        </w:rPr>
        <w:t xml:space="preserve"> </w:t>
      </w:r>
    </w:p>
    <w:p w:rsidR="009E5110" w:rsidRPr="009E5110" w:rsidRDefault="009E5110" w:rsidP="009E5110">
      <w:pPr>
        <w:pStyle w:val="a3"/>
        <w:numPr>
          <w:ilvl w:val="0"/>
          <w:numId w:val="2"/>
        </w:numPr>
        <w:spacing w:after="0" w:line="360" w:lineRule="auto"/>
        <w:ind w:left="426"/>
        <w:jc w:val="both"/>
        <w:rPr>
          <w:rFonts w:ascii="Times New Roman" w:hAnsi="Times New Roman" w:cs="Times New Roman"/>
          <w:sz w:val="28"/>
          <w:szCs w:val="28"/>
          <w:lang w:val="uk-UA"/>
        </w:rPr>
      </w:pPr>
      <w:r w:rsidRPr="009E5110">
        <w:rPr>
          <w:rFonts w:ascii="Times New Roman" w:hAnsi="Times New Roman" w:cs="Times New Roman"/>
          <w:sz w:val="28"/>
          <w:szCs w:val="28"/>
          <w:lang w:val="uk-UA"/>
        </w:rPr>
        <w:t>0% представляє модель, яка не пояснює будь-які варіації змінної відповіді навколо її середнього значення. Середнє значення залежної змінної прогнозує залежну змінну, а також модель регресії.</w:t>
      </w:r>
    </w:p>
    <w:p w:rsidR="00EC6B6F" w:rsidRDefault="009E5110" w:rsidP="009E5110">
      <w:pPr>
        <w:pStyle w:val="a3"/>
        <w:numPr>
          <w:ilvl w:val="0"/>
          <w:numId w:val="2"/>
        </w:numPr>
        <w:spacing w:after="0" w:line="360" w:lineRule="auto"/>
        <w:ind w:left="426"/>
        <w:jc w:val="both"/>
        <w:rPr>
          <w:rFonts w:ascii="Times New Roman" w:hAnsi="Times New Roman" w:cs="Times New Roman"/>
          <w:sz w:val="28"/>
          <w:szCs w:val="28"/>
          <w:lang w:val="uk-UA"/>
        </w:rPr>
      </w:pPr>
      <w:r w:rsidRPr="009E5110">
        <w:rPr>
          <w:rFonts w:ascii="Times New Roman" w:hAnsi="Times New Roman" w:cs="Times New Roman"/>
          <w:sz w:val="28"/>
          <w:szCs w:val="28"/>
          <w:lang w:val="uk-UA"/>
        </w:rPr>
        <w:t>100% представляє модель, яка пояснює всі варіації змінної відповіді навколо її середнього значення.</w:t>
      </w:r>
    </w:p>
    <w:p w:rsidR="009E5110" w:rsidRPr="009E5110" w:rsidRDefault="009E5110" w:rsidP="009E51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отриманої моделі </w:t>
      </w:r>
      <w:r>
        <w:rPr>
          <w:rFonts w:ascii="Times New Roman" w:hAnsi="Times New Roman" w:cs="Times New Roman"/>
          <w:sz w:val="28"/>
          <w:szCs w:val="28"/>
        </w:rPr>
        <w:t>R</w:t>
      </w:r>
      <w:r>
        <w:rPr>
          <w:rFonts w:ascii="Times New Roman" w:hAnsi="Times New Roman" w:cs="Times New Roman"/>
          <w:sz w:val="28"/>
          <w:szCs w:val="28"/>
          <w:lang w:val="uk-UA"/>
        </w:rPr>
        <w:t xml:space="preserve">-квадрат становив 0,889, що означає, що отримана модель та незалежні змінні пояснюють варіації змінної на 88,9%, що є високим показником (табл. 2.1). </w:t>
      </w:r>
    </w:p>
    <w:p w:rsidR="00CC1722" w:rsidRPr="00977D62" w:rsidRDefault="00CC1722" w:rsidP="00CC1722">
      <w:pPr>
        <w:spacing w:after="0" w:line="360" w:lineRule="auto"/>
        <w:ind w:firstLine="680"/>
        <w:jc w:val="right"/>
        <w:rPr>
          <w:rFonts w:ascii="Times New Roman" w:hAnsi="Times New Roman" w:cs="Times New Roman"/>
          <w:i/>
          <w:sz w:val="28"/>
          <w:szCs w:val="28"/>
          <w:lang w:val="uk-UA"/>
        </w:rPr>
      </w:pPr>
      <w:r w:rsidRPr="00977D62">
        <w:rPr>
          <w:rFonts w:ascii="Times New Roman" w:hAnsi="Times New Roman" w:cs="Times New Roman"/>
          <w:i/>
          <w:sz w:val="28"/>
          <w:szCs w:val="28"/>
          <w:lang w:val="uk-UA"/>
        </w:rPr>
        <w:t>Таблиця 2.1</w:t>
      </w:r>
    </w:p>
    <w:p w:rsidR="00CC1722" w:rsidRPr="00977D62" w:rsidRDefault="00CC1722" w:rsidP="00CC1722">
      <w:pPr>
        <w:spacing w:after="0" w:line="360" w:lineRule="auto"/>
        <w:ind w:firstLine="680"/>
        <w:jc w:val="center"/>
        <w:rPr>
          <w:rFonts w:ascii="Times New Roman" w:hAnsi="Times New Roman" w:cs="Times New Roman"/>
          <w:i/>
          <w:sz w:val="28"/>
          <w:szCs w:val="28"/>
          <w:lang w:val="uk-UA"/>
        </w:rPr>
      </w:pPr>
      <w:r w:rsidRPr="00977D62">
        <w:rPr>
          <w:rFonts w:ascii="Times New Roman" w:hAnsi="Times New Roman" w:cs="Times New Roman"/>
          <w:i/>
          <w:sz w:val="28"/>
          <w:szCs w:val="28"/>
          <w:lang w:val="uk-UA"/>
        </w:rPr>
        <w:t>Зведення для моделі</w:t>
      </w:r>
    </w:p>
    <w:tbl>
      <w:tblPr>
        <w:tblStyle w:val="aa"/>
        <w:tblW w:w="0" w:type="auto"/>
        <w:tblInd w:w="704" w:type="dxa"/>
        <w:tblLook w:val="04A0" w:firstRow="1" w:lastRow="0" w:firstColumn="1" w:lastColumn="0" w:noHBand="0" w:noVBand="1"/>
      </w:tblPr>
      <w:tblGrid>
        <w:gridCol w:w="1820"/>
        <w:gridCol w:w="1820"/>
        <w:gridCol w:w="1820"/>
        <w:gridCol w:w="1820"/>
        <w:gridCol w:w="1934"/>
      </w:tblGrid>
      <w:tr w:rsidR="00CC1722" w:rsidRPr="00977D62" w:rsidTr="00974A7A">
        <w:trPr>
          <w:trHeight w:val="645"/>
        </w:trPr>
        <w:tc>
          <w:tcPr>
            <w:tcW w:w="1820" w:type="dxa"/>
            <w:vAlign w:val="center"/>
            <w:hideMark/>
          </w:tcPr>
          <w:p w:rsidR="00CC1722" w:rsidRPr="00977D62" w:rsidRDefault="00CC1722" w:rsidP="00974A7A">
            <w:pPr>
              <w:jc w:val="center"/>
              <w:rPr>
                <w:rFonts w:ascii="Times New Roman" w:hAnsi="Times New Roman" w:cs="Times New Roman"/>
                <w:sz w:val="24"/>
                <w:szCs w:val="28"/>
                <w:lang w:val="uk-UA"/>
              </w:rPr>
            </w:pPr>
            <w:r w:rsidRPr="00977D62">
              <w:rPr>
                <w:rFonts w:ascii="Times New Roman" w:hAnsi="Times New Roman" w:cs="Times New Roman"/>
                <w:sz w:val="24"/>
                <w:szCs w:val="28"/>
                <w:lang w:val="uk-UA"/>
              </w:rPr>
              <w:t>Модель</w:t>
            </w:r>
          </w:p>
        </w:tc>
        <w:tc>
          <w:tcPr>
            <w:tcW w:w="1820" w:type="dxa"/>
            <w:vAlign w:val="center"/>
            <w:hideMark/>
          </w:tcPr>
          <w:p w:rsidR="00CC1722" w:rsidRPr="00977D62" w:rsidRDefault="00CC1722" w:rsidP="00974A7A">
            <w:pPr>
              <w:jc w:val="center"/>
              <w:rPr>
                <w:rFonts w:ascii="Times New Roman" w:hAnsi="Times New Roman" w:cs="Times New Roman"/>
                <w:sz w:val="24"/>
                <w:szCs w:val="28"/>
                <w:lang w:val="uk-UA"/>
              </w:rPr>
            </w:pPr>
            <w:r w:rsidRPr="00977D62">
              <w:rPr>
                <w:rFonts w:ascii="Times New Roman" w:hAnsi="Times New Roman" w:cs="Times New Roman"/>
                <w:sz w:val="24"/>
                <w:szCs w:val="28"/>
                <w:lang w:val="uk-UA"/>
              </w:rPr>
              <w:t>R</w:t>
            </w:r>
          </w:p>
        </w:tc>
        <w:tc>
          <w:tcPr>
            <w:tcW w:w="1820" w:type="dxa"/>
            <w:vAlign w:val="center"/>
            <w:hideMark/>
          </w:tcPr>
          <w:p w:rsidR="00CC1722" w:rsidRPr="00977D62" w:rsidRDefault="00CC1722" w:rsidP="00974A7A">
            <w:pPr>
              <w:jc w:val="center"/>
              <w:rPr>
                <w:rFonts w:ascii="Times New Roman" w:hAnsi="Times New Roman" w:cs="Times New Roman"/>
                <w:sz w:val="24"/>
                <w:szCs w:val="28"/>
                <w:lang w:val="uk-UA"/>
              </w:rPr>
            </w:pPr>
            <w:r w:rsidRPr="00977D62">
              <w:rPr>
                <w:rFonts w:ascii="Times New Roman" w:hAnsi="Times New Roman" w:cs="Times New Roman"/>
                <w:sz w:val="24"/>
                <w:szCs w:val="28"/>
                <w:lang w:val="uk-UA"/>
              </w:rPr>
              <w:t>R-квадрат</w:t>
            </w:r>
          </w:p>
        </w:tc>
        <w:tc>
          <w:tcPr>
            <w:tcW w:w="1820" w:type="dxa"/>
            <w:vAlign w:val="center"/>
            <w:hideMark/>
          </w:tcPr>
          <w:p w:rsidR="00CC1722" w:rsidRPr="00977D62" w:rsidRDefault="00CC1722" w:rsidP="00974A7A">
            <w:pPr>
              <w:jc w:val="center"/>
              <w:rPr>
                <w:rFonts w:ascii="Times New Roman" w:hAnsi="Times New Roman" w:cs="Times New Roman"/>
                <w:sz w:val="24"/>
                <w:szCs w:val="28"/>
                <w:lang w:val="uk-UA"/>
              </w:rPr>
            </w:pPr>
            <w:r w:rsidRPr="00977D62">
              <w:rPr>
                <w:rFonts w:ascii="Times New Roman" w:hAnsi="Times New Roman" w:cs="Times New Roman"/>
                <w:sz w:val="24"/>
                <w:szCs w:val="28"/>
                <w:lang w:val="uk-UA"/>
              </w:rPr>
              <w:t>Скорегований R-квадрат</w:t>
            </w:r>
          </w:p>
        </w:tc>
        <w:tc>
          <w:tcPr>
            <w:tcW w:w="1934" w:type="dxa"/>
            <w:vAlign w:val="center"/>
            <w:hideMark/>
          </w:tcPr>
          <w:p w:rsidR="00CC1722" w:rsidRPr="00977D62" w:rsidRDefault="00CC1722" w:rsidP="00974A7A">
            <w:pPr>
              <w:jc w:val="center"/>
              <w:rPr>
                <w:rFonts w:ascii="Times New Roman" w:hAnsi="Times New Roman" w:cs="Times New Roman"/>
                <w:sz w:val="24"/>
                <w:szCs w:val="28"/>
                <w:lang w:val="uk-UA"/>
              </w:rPr>
            </w:pPr>
            <w:r w:rsidRPr="00977D62">
              <w:rPr>
                <w:rFonts w:ascii="Times New Roman" w:hAnsi="Times New Roman" w:cs="Times New Roman"/>
                <w:sz w:val="24"/>
                <w:szCs w:val="28"/>
                <w:lang w:val="uk-UA"/>
              </w:rPr>
              <w:t>Стандартна похибка оцінки</w:t>
            </w:r>
          </w:p>
        </w:tc>
      </w:tr>
      <w:tr w:rsidR="00CC1722" w:rsidRPr="00977D62" w:rsidTr="00CC1722">
        <w:trPr>
          <w:trHeight w:val="360"/>
        </w:trPr>
        <w:tc>
          <w:tcPr>
            <w:tcW w:w="1820" w:type="dxa"/>
            <w:noWrap/>
            <w:vAlign w:val="center"/>
            <w:hideMark/>
          </w:tcPr>
          <w:p w:rsidR="00CC1722" w:rsidRPr="00977D62" w:rsidRDefault="00CC1722" w:rsidP="00974A7A">
            <w:pPr>
              <w:jc w:val="center"/>
              <w:rPr>
                <w:rFonts w:ascii="Times New Roman" w:hAnsi="Times New Roman" w:cs="Times New Roman"/>
                <w:sz w:val="24"/>
                <w:szCs w:val="28"/>
                <w:lang w:val="uk-UA"/>
              </w:rPr>
            </w:pPr>
            <w:r w:rsidRPr="00977D62">
              <w:rPr>
                <w:rFonts w:ascii="Times New Roman" w:hAnsi="Times New Roman" w:cs="Times New Roman"/>
                <w:sz w:val="24"/>
                <w:szCs w:val="28"/>
                <w:lang w:val="uk-UA"/>
              </w:rPr>
              <w:t>1</w:t>
            </w:r>
          </w:p>
        </w:tc>
        <w:tc>
          <w:tcPr>
            <w:tcW w:w="1820" w:type="dxa"/>
            <w:noWrap/>
            <w:vAlign w:val="center"/>
            <w:hideMark/>
          </w:tcPr>
          <w:p w:rsidR="00CC1722" w:rsidRPr="00977D62" w:rsidRDefault="00CC1722" w:rsidP="00974A7A">
            <w:pPr>
              <w:jc w:val="center"/>
              <w:rPr>
                <w:rFonts w:ascii="Times New Roman" w:hAnsi="Times New Roman" w:cs="Times New Roman"/>
                <w:sz w:val="24"/>
                <w:szCs w:val="28"/>
                <w:lang w:val="uk-UA"/>
              </w:rPr>
            </w:pPr>
            <w:r>
              <w:rPr>
                <w:rFonts w:ascii="Times New Roman" w:hAnsi="Times New Roman" w:cs="Times New Roman"/>
                <w:sz w:val="24"/>
                <w:szCs w:val="28"/>
                <w:lang w:val="uk-UA"/>
              </w:rPr>
              <w:t>0,943</w:t>
            </w:r>
            <w:r w:rsidRPr="00977D62">
              <w:rPr>
                <w:rFonts w:ascii="Times New Roman" w:hAnsi="Times New Roman" w:cs="Times New Roman"/>
                <w:sz w:val="24"/>
                <w:szCs w:val="28"/>
                <w:vertAlign w:val="superscript"/>
                <w:lang w:val="uk-UA"/>
              </w:rPr>
              <w:t>а</w:t>
            </w:r>
          </w:p>
        </w:tc>
        <w:tc>
          <w:tcPr>
            <w:tcW w:w="1820" w:type="dxa"/>
            <w:noWrap/>
            <w:vAlign w:val="center"/>
          </w:tcPr>
          <w:p w:rsidR="00CC1722" w:rsidRPr="00977D62" w:rsidRDefault="00CC1722" w:rsidP="00974A7A">
            <w:pPr>
              <w:jc w:val="center"/>
              <w:rPr>
                <w:rFonts w:ascii="Times New Roman" w:hAnsi="Times New Roman" w:cs="Times New Roman"/>
                <w:sz w:val="24"/>
                <w:szCs w:val="28"/>
                <w:lang w:val="uk-UA"/>
              </w:rPr>
            </w:pPr>
            <w:r>
              <w:rPr>
                <w:rFonts w:ascii="Times New Roman" w:hAnsi="Times New Roman" w:cs="Times New Roman"/>
                <w:sz w:val="24"/>
                <w:szCs w:val="28"/>
                <w:lang w:val="uk-UA"/>
              </w:rPr>
              <w:t>0,889</w:t>
            </w:r>
          </w:p>
        </w:tc>
        <w:tc>
          <w:tcPr>
            <w:tcW w:w="1820" w:type="dxa"/>
            <w:noWrap/>
            <w:vAlign w:val="center"/>
          </w:tcPr>
          <w:p w:rsidR="00CC1722" w:rsidRPr="00977D62" w:rsidRDefault="00CC1722" w:rsidP="00974A7A">
            <w:pPr>
              <w:jc w:val="center"/>
              <w:rPr>
                <w:rFonts w:ascii="Times New Roman" w:hAnsi="Times New Roman" w:cs="Times New Roman"/>
                <w:sz w:val="24"/>
                <w:szCs w:val="28"/>
                <w:lang w:val="uk-UA"/>
              </w:rPr>
            </w:pPr>
            <w:r>
              <w:rPr>
                <w:rFonts w:ascii="Times New Roman" w:hAnsi="Times New Roman" w:cs="Times New Roman"/>
                <w:sz w:val="24"/>
                <w:szCs w:val="28"/>
                <w:lang w:val="uk-UA"/>
              </w:rPr>
              <w:t>0,882</w:t>
            </w:r>
          </w:p>
        </w:tc>
        <w:tc>
          <w:tcPr>
            <w:tcW w:w="1934" w:type="dxa"/>
            <w:noWrap/>
            <w:vAlign w:val="center"/>
          </w:tcPr>
          <w:p w:rsidR="00CC1722" w:rsidRPr="00977D62" w:rsidRDefault="00CC1722" w:rsidP="00974A7A">
            <w:pPr>
              <w:jc w:val="center"/>
              <w:rPr>
                <w:rFonts w:ascii="Times New Roman" w:hAnsi="Times New Roman" w:cs="Times New Roman"/>
                <w:sz w:val="24"/>
                <w:szCs w:val="28"/>
                <w:lang w:val="uk-UA"/>
              </w:rPr>
            </w:pPr>
            <w:r>
              <w:rPr>
                <w:rFonts w:ascii="Times New Roman" w:hAnsi="Times New Roman" w:cs="Times New Roman"/>
                <w:sz w:val="24"/>
                <w:szCs w:val="28"/>
                <w:lang w:val="uk-UA"/>
              </w:rPr>
              <w:t>50189,5701</w:t>
            </w:r>
          </w:p>
        </w:tc>
      </w:tr>
    </w:tbl>
    <w:p w:rsidR="00CC1722" w:rsidRDefault="00EC6B6F" w:rsidP="00EC6B6F">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розраховано автором.</w:t>
      </w:r>
    </w:p>
    <w:p w:rsidR="00E3444B" w:rsidRDefault="00436C3A"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Надалі було розглянуто значимість незалежних змінних. Даний індикатор </w:t>
      </w:r>
      <w:r w:rsidRPr="00436C3A">
        <w:rPr>
          <w:rFonts w:ascii="Times New Roman" w:hAnsi="Times New Roman" w:cs="Times New Roman"/>
          <w:sz w:val="28"/>
          <w:szCs w:val="28"/>
          <w:lang w:val="uk-UA"/>
        </w:rPr>
        <w:t xml:space="preserve">являє собою максимальну ймовірність, за якої </w:t>
      </w:r>
      <w:r>
        <w:rPr>
          <w:rFonts w:ascii="Times New Roman" w:hAnsi="Times New Roman" w:cs="Times New Roman"/>
          <w:sz w:val="28"/>
          <w:szCs w:val="28"/>
          <w:lang w:val="uk-UA"/>
        </w:rPr>
        <w:t xml:space="preserve">незалежні змінні не пояснюють варіації залежної. Зазвичай, використовуються наступні рівні значимості: 0-0,01 (1%), 0,01-0,05 (5%) та 0,05-0,1 (10%). </w:t>
      </w:r>
      <w:r w:rsidR="000650CA">
        <w:rPr>
          <w:rFonts w:ascii="Times New Roman" w:hAnsi="Times New Roman" w:cs="Times New Roman"/>
          <w:sz w:val="28"/>
          <w:szCs w:val="28"/>
          <w:lang w:val="uk-UA"/>
        </w:rPr>
        <w:t>Показник</w:t>
      </w:r>
      <w:r>
        <w:rPr>
          <w:rFonts w:ascii="Times New Roman" w:hAnsi="Times New Roman" w:cs="Times New Roman"/>
          <w:sz w:val="28"/>
          <w:szCs w:val="28"/>
          <w:lang w:val="uk-UA"/>
        </w:rPr>
        <w:t xml:space="preserve"> вище за 10% свідчить про низьку ймовірність</w:t>
      </w:r>
      <w:r w:rsidR="000650CA">
        <w:rPr>
          <w:rFonts w:ascii="Times New Roman" w:hAnsi="Times New Roman" w:cs="Times New Roman"/>
          <w:sz w:val="28"/>
          <w:szCs w:val="28"/>
          <w:lang w:val="uk-UA"/>
        </w:rPr>
        <w:t xml:space="preserve"> значимості незалежної змінної.</w:t>
      </w:r>
      <w:r>
        <w:rPr>
          <w:rFonts w:ascii="Times New Roman" w:hAnsi="Times New Roman" w:cs="Times New Roman"/>
          <w:sz w:val="28"/>
          <w:szCs w:val="28"/>
          <w:lang w:val="uk-UA"/>
        </w:rPr>
        <w:t xml:space="preserve"> </w:t>
      </w:r>
    </w:p>
    <w:p w:rsidR="00436C3A" w:rsidRPr="00436C3A" w:rsidRDefault="000650CA"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значимості для експорту, чистої МІП та сальдо державного бюджету становив 1%, що говорить про те, що кожний з даних індикатор мав високий рівень впливу на залежну змінну та пояснював її варіації (табл. 2.2). </w:t>
      </w:r>
    </w:p>
    <w:p w:rsidR="00CC1722" w:rsidRPr="00977D62" w:rsidRDefault="00CC1722" w:rsidP="00CC1722">
      <w:pPr>
        <w:spacing w:after="0" w:line="360" w:lineRule="auto"/>
        <w:ind w:firstLine="680"/>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2.2</w:t>
      </w:r>
    </w:p>
    <w:p w:rsidR="00CC1722" w:rsidRPr="00977D62" w:rsidRDefault="00CC1722" w:rsidP="00CC1722">
      <w:pPr>
        <w:spacing w:after="0" w:line="360" w:lineRule="auto"/>
        <w:ind w:firstLine="680"/>
        <w:jc w:val="center"/>
        <w:rPr>
          <w:rFonts w:ascii="Times New Roman" w:hAnsi="Times New Roman" w:cs="Times New Roman"/>
          <w:i/>
          <w:sz w:val="28"/>
          <w:szCs w:val="28"/>
          <w:lang w:val="uk-UA"/>
        </w:rPr>
      </w:pPr>
      <w:r>
        <w:rPr>
          <w:rFonts w:ascii="Times New Roman" w:hAnsi="Times New Roman" w:cs="Times New Roman"/>
          <w:i/>
          <w:sz w:val="28"/>
          <w:szCs w:val="28"/>
          <w:lang w:val="uk-UA"/>
        </w:rPr>
        <w:t>Коефіцієнти</w:t>
      </w:r>
      <w:r w:rsidRPr="00977D62">
        <w:rPr>
          <w:rFonts w:ascii="Times New Roman" w:hAnsi="Times New Roman" w:cs="Times New Roman"/>
          <w:i/>
          <w:sz w:val="28"/>
          <w:szCs w:val="28"/>
          <w:lang w:val="uk-UA"/>
        </w:rPr>
        <w:t xml:space="preserve"> моделі</w:t>
      </w:r>
    </w:p>
    <w:tbl>
      <w:tblPr>
        <w:tblW w:w="10176" w:type="dxa"/>
        <w:jc w:val="center"/>
        <w:tblLook w:val="04A0" w:firstRow="1" w:lastRow="0" w:firstColumn="1" w:lastColumn="0" w:noHBand="0" w:noVBand="1"/>
      </w:tblPr>
      <w:tblGrid>
        <w:gridCol w:w="1443"/>
        <w:gridCol w:w="1761"/>
        <w:gridCol w:w="1732"/>
        <w:gridCol w:w="1928"/>
        <w:gridCol w:w="1605"/>
        <w:gridCol w:w="1707"/>
      </w:tblGrid>
      <w:tr w:rsidR="00CC1722" w:rsidRPr="00977D62" w:rsidTr="00974A7A">
        <w:trPr>
          <w:trHeight w:val="660"/>
          <w:jc w:val="center"/>
        </w:trPr>
        <w:tc>
          <w:tcPr>
            <w:tcW w:w="1443" w:type="dxa"/>
            <w:tcBorders>
              <w:top w:val="nil"/>
              <w:left w:val="nil"/>
              <w:bottom w:val="nil"/>
              <w:right w:val="nil"/>
            </w:tcBorders>
            <w:shd w:val="clear" w:color="auto" w:fill="auto"/>
            <w:vAlign w:val="center"/>
            <w:hideMark/>
          </w:tcPr>
          <w:p w:rsidR="00CC1722" w:rsidRPr="00977D62" w:rsidRDefault="00CC1722" w:rsidP="00974A7A">
            <w:pPr>
              <w:spacing w:after="0" w:line="240" w:lineRule="auto"/>
              <w:rPr>
                <w:rFonts w:ascii="Times New Roman" w:eastAsia="Times New Roman" w:hAnsi="Times New Roman" w:cs="Times New Roman"/>
                <w:sz w:val="24"/>
                <w:szCs w:val="24"/>
                <w:lang w:val="uk-UA"/>
              </w:rPr>
            </w:pPr>
          </w:p>
        </w:tc>
        <w:tc>
          <w:tcPr>
            <w:tcW w:w="3493"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CC1722" w:rsidRPr="00977D62" w:rsidRDefault="00CC1722" w:rsidP="00974A7A">
            <w:pPr>
              <w:spacing w:after="0" w:line="240" w:lineRule="auto"/>
              <w:jc w:val="center"/>
              <w:rPr>
                <w:rFonts w:ascii="Times New Roman" w:eastAsia="Times New Roman" w:hAnsi="Times New Roman" w:cs="Times New Roman"/>
                <w:color w:val="000000"/>
                <w:sz w:val="24"/>
                <w:szCs w:val="24"/>
                <w:lang w:val="uk-UA"/>
              </w:rPr>
            </w:pPr>
            <w:r w:rsidRPr="00977D62">
              <w:rPr>
                <w:rFonts w:ascii="Times New Roman" w:eastAsia="Times New Roman" w:hAnsi="Times New Roman" w:cs="Times New Roman"/>
                <w:color w:val="000000"/>
                <w:sz w:val="24"/>
                <w:szCs w:val="24"/>
                <w:lang w:val="uk-UA"/>
              </w:rPr>
              <w:t>Нестандартизовані коефіцієнти</w:t>
            </w:r>
          </w:p>
        </w:tc>
        <w:tc>
          <w:tcPr>
            <w:tcW w:w="1928" w:type="dxa"/>
            <w:tcBorders>
              <w:top w:val="single" w:sz="4" w:space="0" w:color="auto"/>
              <w:left w:val="nil"/>
              <w:bottom w:val="single" w:sz="4" w:space="0" w:color="auto"/>
              <w:right w:val="single" w:sz="4" w:space="0" w:color="auto"/>
            </w:tcBorders>
            <w:shd w:val="clear" w:color="auto" w:fill="auto"/>
            <w:vAlign w:val="center"/>
            <w:hideMark/>
          </w:tcPr>
          <w:p w:rsidR="00CC1722" w:rsidRPr="00977D62" w:rsidRDefault="00CC1722" w:rsidP="00974A7A">
            <w:pPr>
              <w:spacing w:after="0" w:line="240" w:lineRule="auto"/>
              <w:jc w:val="center"/>
              <w:rPr>
                <w:rFonts w:ascii="Times New Roman" w:eastAsia="Times New Roman" w:hAnsi="Times New Roman" w:cs="Times New Roman"/>
                <w:color w:val="000000"/>
                <w:sz w:val="24"/>
                <w:szCs w:val="24"/>
                <w:lang w:val="uk-UA"/>
              </w:rPr>
            </w:pPr>
            <w:r w:rsidRPr="00977D62">
              <w:rPr>
                <w:rFonts w:ascii="Times New Roman" w:eastAsia="Times New Roman" w:hAnsi="Times New Roman" w:cs="Times New Roman"/>
                <w:color w:val="000000"/>
                <w:sz w:val="24"/>
                <w:szCs w:val="24"/>
                <w:lang w:val="uk-UA"/>
              </w:rPr>
              <w:t>Стандартизовані коефіцієнти</w:t>
            </w:r>
          </w:p>
        </w:tc>
        <w:tc>
          <w:tcPr>
            <w:tcW w:w="160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C1722" w:rsidRPr="00977D62" w:rsidRDefault="00CC1722" w:rsidP="00974A7A">
            <w:pPr>
              <w:spacing w:after="0" w:line="240" w:lineRule="auto"/>
              <w:jc w:val="center"/>
              <w:rPr>
                <w:rFonts w:ascii="Times New Roman" w:eastAsia="Times New Roman" w:hAnsi="Times New Roman" w:cs="Times New Roman"/>
                <w:color w:val="000000"/>
                <w:sz w:val="24"/>
                <w:szCs w:val="24"/>
                <w:lang w:val="uk-UA"/>
              </w:rPr>
            </w:pPr>
            <w:r w:rsidRPr="00977D62">
              <w:rPr>
                <w:rFonts w:ascii="Times New Roman" w:eastAsia="Times New Roman" w:hAnsi="Times New Roman" w:cs="Times New Roman"/>
                <w:color w:val="000000"/>
                <w:sz w:val="24"/>
                <w:szCs w:val="24"/>
                <w:lang w:val="uk-UA"/>
              </w:rPr>
              <w:t>Т</w:t>
            </w:r>
          </w:p>
        </w:tc>
        <w:tc>
          <w:tcPr>
            <w:tcW w:w="170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C1722" w:rsidRPr="00977D62" w:rsidRDefault="00CC1722" w:rsidP="00974A7A">
            <w:pPr>
              <w:spacing w:after="0" w:line="240" w:lineRule="auto"/>
              <w:jc w:val="center"/>
              <w:rPr>
                <w:rFonts w:ascii="Times New Roman" w:eastAsia="Times New Roman" w:hAnsi="Times New Roman" w:cs="Times New Roman"/>
                <w:color w:val="000000"/>
                <w:sz w:val="24"/>
                <w:szCs w:val="24"/>
                <w:lang w:val="uk-UA"/>
              </w:rPr>
            </w:pPr>
            <w:r w:rsidRPr="00977D62">
              <w:rPr>
                <w:rFonts w:ascii="Times New Roman" w:eastAsia="Times New Roman" w:hAnsi="Times New Roman" w:cs="Times New Roman"/>
                <w:color w:val="000000"/>
                <w:sz w:val="24"/>
                <w:szCs w:val="24"/>
                <w:lang w:val="uk-UA"/>
              </w:rPr>
              <w:t>Значимість</w:t>
            </w:r>
          </w:p>
        </w:tc>
      </w:tr>
      <w:tr w:rsidR="00CC1722" w:rsidRPr="00977D62" w:rsidTr="00974A7A">
        <w:trPr>
          <w:trHeight w:val="645"/>
          <w:jc w:val="center"/>
        </w:trPr>
        <w:tc>
          <w:tcPr>
            <w:tcW w:w="1443" w:type="dxa"/>
            <w:tcBorders>
              <w:top w:val="nil"/>
              <w:left w:val="nil"/>
              <w:bottom w:val="nil"/>
              <w:right w:val="nil"/>
            </w:tcBorders>
            <w:shd w:val="clear" w:color="auto" w:fill="auto"/>
            <w:vAlign w:val="center"/>
            <w:hideMark/>
          </w:tcPr>
          <w:p w:rsidR="00CC1722" w:rsidRPr="00977D62" w:rsidRDefault="00CC1722" w:rsidP="00974A7A">
            <w:pPr>
              <w:spacing w:after="0" w:line="240" w:lineRule="auto"/>
              <w:jc w:val="center"/>
              <w:rPr>
                <w:rFonts w:ascii="Times New Roman" w:eastAsia="Times New Roman" w:hAnsi="Times New Roman" w:cs="Times New Roman"/>
                <w:color w:val="000000"/>
                <w:sz w:val="24"/>
                <w:szCs w:val="24"/>
                <w:lang w:val="uk-UA"/>
              </w:rPr>
            </w:pPr>
          </w:p>
        </w:tc>
        <w:tc>
          <w:tcPr>
            <w:tcW w:w="1761" w:type="dxa"/>
            <w:tcBorders>
              <w:top w:val="nil"/>
              <w:left w:val="single" w:sz="4" w:space="0" w:color="auto"/>
              <w:bottom w:val="single" w:sz="4" w:space="0" w:color="auto"/>
              <w:right w:val="single" w:sz="4" w:space="0" w:color="auto"/>
            </w:tcBorders>
            <w:shd w:val="clear" w:color="auto" w:fill="auto"/>
            <w:vAlign w:val="center"/>
            <w:hideMark/>
          </w:tcPr>
          <w:p w:rsidR="00CC1722" w:rsidRPr="00977D62" w:rsidRDefault="00CC1722" w:rsidP="00974A7A">
            <w:pPr>
              <w:spacing w:after="0" w:line="240" w:lineRule="auto"/>
              <w:jc w:val="center"/>
              <w:rPr>
                <w:rFonts w:ascii="Times New Roman" w:eastAsia="Times New Roman" w:hAnsi="Times New Roman" w:cs="Times New Roman"/>
                <w:color w:val="000000"/>
                <w:sz w:val="24"/>
                <w:szCs w:val="24"/>
                <w:lang w:val="uk-UA"/>
              </w:rPr>
            </w:pPr>
            <w:r w:rsidRPr="00977D62">
              <w:rPr>
                <w:rFonts w:ascii="Times New Roman" w:eastAsia="Times New Roman" w:hAnsi="Times New Roman" w:cs="Times New Roman"/>
                <w:color w:val="000000"/>
                <w:sz w:val="24"/>
                <w:szCs w:val="24"/>
                <w:lang w:val="uk-UA"/>
              </w:rPr>
              <w:t>В</w:t>
            </w:r>
          </w:p>
        </w:tc>
        <w:tc>
          <w:tcPr>
            <w:tcW w:w="1732" w:type="dxa"/>
            <w:tcBorders>
              <w:top w:val="nil"/>
              <w:left w:val="nil"/>
              <w:bottom w:val="single" w:sz="4" w:space="0" w:color="auto"/>
              <w:right w:val="single" w:sz="4" w:space="0" w:color="auto"/>
            </w:tcBorders>
            <w:shd w:val="clear" w:color="auto" w:fill="auto"/>
            <w:vAlign w:val="center"/>
            <w:hideMark/>
          </w:tcPr>
          <w:p w:rsidR="00CC1722" w:rsidRPr="00977D62" w:rsidRDefault="00CC1722" w:rsidP="00974A7A">
            <w:pPr>
              <w:spacing w:after="0" w:line="240" w:lineRule="auto"/>
              <w:jc w:val="center"/>
              <w:rPr>
                <w:rFonts w:ascii="Times New Roman" w:eastAsia="Times New Roman" w:hAnsi="Times New Roman" w:cs="Times New Roman"/>
                <w:color w:val="000000"/>
                <w:sz w:val="24"/>
                <w:szCs w:val="24"/>
                <w:lang w:val="uk-UA"/>
              </w:rPr>
            </w:pPr>
            <w:r w:rsidRPr="00977D62">
              <w:rPr>
                <w:rFonts w:ascii="Times New Roman" w:eastAsia="Times New Roman" w:hAnsi="Times New Roman" w:cs="Times New Roman"/>
                <w:color w:val="000000"/>
                <w:sz w:val="24"/>
                <w:szCs w:val="24"/>
                <w:lang w:val="uk-UA"/>
              </w:rPr>
              <w:t>Стандартна похибка</w:t>
            </w:r>
          </w:p>
        </w:tc>
        <w:tc>
          <w:tcPr>
            <w:tcW w:w="1928" w:type="dxa"/>
            <w:tcBorders>
              <w:top w:val="nil"/>
              <w:left w:val="nil"/>
              <w:bottom w:val="single" w:sz="4" w:space="0" w:color="auto"/>
              <w:right w:val="single" w:sz="4" w:space="0" w:color="auto"/>
            </w:tcBorders>
            <w:shd w:val="clear" w:color="auto" w:fill="auto"/>
            <w:vAlign w:val="center"/>
            <w:hideMark/>
          </w:tcPr>
          <w:p w:rsidR="00CC1722" w:rsidRPr="00977D62" w:rsidRDefault="00CC1722" w:rsidP="00974A7A">
            <w:pPr>
              <w:spacing w:after="0" w:line="240" w:lineRule="auto"/>
              <w:jc w:val="center"/>
              <w:rPr>
                <w:rFonts w:ascii="Times New Roman" w:eastAsia="Times New Roman" w:hAnsi="Times New Roman" w:cs="Times New Roman"/>
                <w:color w:val="000000"/>
                <w:sz w:val="24"/>
                <w:szCs w:val="24"/>
                <w:lang w:val="uk-UA"/>
              </w:rPr>
            </w:pPr>
            <w:r w:rsidRPr="00977D62">
              <w:rPr>
                <w:rFonts w:ascii="Times New Roman" w:eastAsia="Times New Roman" w:hAnsi="Times New Roman" w:cs="Times New Roman"/>
                <w:color w:val="000000"/>
                <w:sz w:val="24"/>
                <w:szCs w:val="24"/>
                <w:lang w:val="uk-UA"/>
              </w:rPr>
              <w:t>Бета</w:t>
            </w:r>
          </w:p>
        </w:tc>
        <w:tc>
          <w:tcPr>
            <w:tcW w:w="1605" w:type="dxa"/>
            <w:vMerge/>
            <w:tcBorders>
              <w:top w:val="single" w:sz="4" w:space="0" w:color="auto"/>
              <w:left w:val="single" w:sz="4" w:space="0" w:color="auto"/>
              <w:bottom w:val="single" w:sz="4" w:space="0" w:color="000000"/>
              <w:right w:val="single" w:sz="4" w:space="0" w:color="auto"/>
            </w:tcBorders>
            <w:vAlign w:val="center"/>
            <w:hideMark/>
          </w:tcPr>
          <w:p w:rsidR="00CC1722" w:rsidRPr="00977D62" w:rsidRDefault="00CC1722" w:rsidP="00974A7A">
            <w:pPr>
              <w:spacing w:after="0" w:line="240" w:lineRule="auto"/>
              <w:rPr>
                <w:rFonts w:ascii="Times New Roman" w:eastAsia="Times New Roman" w:hAnsi="Times New Roman" w:cs="Times New Roman"/>
                <w:color w:val="000000"/>
                <w:sz w:val="24"/>
                <w:szCs w:val="24"/>
                <w:lang w:val="uk-UA"/>
              </w:rPr>
            </w:pPr>
          </w:p>
        </w:tc>
        <w:tc>
          <w:tcPr>
            <w:tcW w:w="1707" w:type="dxa"/>
            <w:vMerge/>
            <w:tcBorders>
              <w:top w:val="single" w:sz="4" w:space="0" w:color="auto"/>
              <w:left w:val="single" w:sz="4" w:space="0" w:color="auto"/>
              <w:bottom w:val="single" w:sz="4" w:space="0" w:color="000000"/>
              <w:right w:val="single" w:sz="4" w:space="0" w:color="auto"/>
            </w:tcBorders>
            <w:vAlign w:val="center"/>
            <w:hideMark/>
          </w:tcPr>
          <w:p w:rsidR="00CC1722" w:rsidRPr="00977D62" w:rsidRDefault="00CC1722" w:rsidP="00974A7A">
            <w:pPr>
              <w:spacing w:after="0" w:line="240" w:lineRule="auto"/>
              <w:rPr>
                <w:rFonts w:ascii="Times New Roman" w:eastAsia="Times New Roman" w:hAnsi="Times New Roman" w:cs="Times New Roman"/>
                <w:color w:val="000000"/>
                <w:sz w:val="24"/>
                <w:szCs w:val="24"/>
                <w:lang w:val="uk-UA"/>
              </w:rPr>
            </w:pPr>
          </w:p>
        </w:tc>
      </w:tr>
      <w:tr w:rsidR="00CC1722" w:rsidRPr="00977D62" w:rsidTr="00CC1722">
        <w:trPr>
          <w:trHeight w:val="315"/>
          <w:jc w:val="center"/>
        </w:trPr>
        <w:tc>
          <w:tcPr>
            <w:tcW w:w="14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C1722" w:rsidRPr="00977D62" w:rsidRDefault="00CC1722" w:rsidP="00974A7A">
            <w:pPr>
              <w:spacing w:after="0" w:line="240" w:lineRule="auto"/>
              <w:rPr>
                <w:rFonts w:ascii="Times New Roman" w:eastAsia="Times New Roman" w:hAnsi="Times New Roman" w:cs="Times New Roman"/>
                <w:color w:val="000000"/>
                <w:sz w:val="24"/>
                <w:szCs w:val="24"/>
                <w:lang w:val="uk-UA"/>
              </w:rPr>
            </w:pPr>
            <w:r w:rsidRPr="00977D62">
              <w:rPr>
                <w:rFonts w:ascii="Times New Roman" w:eastAsia="Times New Roman" w:hAnsi="Times New Roman" w:cs="Times New Roman"/>
                <w:color w:val="000000"/>
                <w:sz w:val="24"/>
                <w:szCs w:val="24"/>
                <w:lang w:val="uk-UA"/>
              </w:rPr>
              <w:t>(Константа)</w:t>
            </w:r>
          </w:p>
        </w:tc>
        <w:tc>
          <w:tcPr>
            <w:tcW w:w="1761" w:type="dxa"/>
            <w:tcBorders>
              <w:top w:val="nil"/>
              <w:left w:val="nil"/>
              <w:bottom w:val="single" w:sz="4" w:space="0" w:color="auto"/>
              <w:right w:val="single" w:sz="4" w:space="0" w:color="auto"/>
            </w:tcBorders>
            <w:shd w:val="clear" w:color="auto" w:fill="auto"/>
            <w:vAlign w:val="center"/>
          </w:tcPr>
          <w:p w:rsidR="00CC1722" w:rsidRPr="00CC1722" w:rsidRDefault="00CC1722" w:rsidP="00974A7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2826.788</w:t>
            </w:r>
          </w:p>
        </w:tc>
        <w:tc>
          <w:tcPr>
            <w:tcW w:w="1732" w:type="dxa"/>
            <w:tcBorders>
              <w:top w:val="nil"/>
              <w:left w:val="nil"/>
              <w:bottom w:val="single" w:sz="4" w:space="0" w:color="auto"/>
              <w:right w:val="single" w:sz="4" w:space="0" w:color="auto"/>
            </w:tcBorders>
            <w:shd w:val="clear" w:color="auto" w:fill="auto"/>
            <w:vAlign w:val="center"/>
          </w:tcPr>
          <w:p w:rsidR="00CC1722" w:rsidRPr="00CC1722" w:rsidRDefault="00CC1722" w:rsidP="00974A7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25979.959</w:t>
            </w:r>
          </w:p>
        </w:tc>
        <w:tc>
          <w:tcPr>
            <w:tcW w:w="1928"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p>
        </w:tc>
        <w:tc>
          <w:tcPr>
            <w:tcW w:w="1605"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0,109</w:t>
            </w:r>
          </w:p>
        </w:tc>
        <w:tc>
          <w:tcPr>
            <w:tcW w:w="1707"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0,914</w:t>
            </w:r>
          </w:p>
        </w:tc>
      </w:tr>
      <w:tr w:rsidR="00CC1722" w:rsidRPr="00977D62" w:rsidTr="00CC1722">
        <w:trPr>
          <w:trHeight w:val="315"/>
          <w:jc w:val="center"/>
        </w:trPr>
        <w:tc>
          <w:tcPr>
            <w:tcW w:w="1443" w:type="dxa"/>
            <w:tcBorders>
              <w:top w:val="nil"/>
              <w:left w:val="single" w:sz="4" w:space="0" w:color="auto"/>
              <w:bottom w:val="single" w:sz="4" w:space="0" w:color="auto"/>
              <w:right w:val="single" w:sz="4" w:space="0" w:color="auto"/>
            </w:tcBorders>
            <w:shd w:val="clear" w:color="auto" w:fill="auto"/>
            <w:vAlign w:val="center"/>
          </w:tcPr>
          <w:p w:rsidR="00CC1722" w:rsidRPr="00CC1722" w:rsidRDefault="00CC1722" w:rsidP="00974A7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Export</w:t>
            </w:r>
          </w:p>
        </w:tc>
        <w:tc>
          <w:tcPr>
            <w:tcW w:w="1761" w:type="dxa"/>
            <w:tcBorders>
              <w:top w:val="nil"/>
              <w:left w:val="nil"/>
              <w:bottom w:val="single" w:sz="4" w:space="0" w:color="auto"/>
              <w:right w:val="single" w:sz="4" w:space="0" w:color="auto"/>
            </w:tcBorders>
            <w:shd w:val="clear" w:color="auto" w:fill="auto"/>
            <w:vAlign w:val="center"/>
          </w:tcPr>
          <w:p w:rsidR="00CC1722" w:rsidRPr="00CC1722" w:rsidRDefault="00CC1722" w:rsidP="00CC1722">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1,510</w:t>
            </w:r>
          </w:p>
        </w:tc>
        <w:tc>
          <w:tcPr>
            <w:tcW w:w="1732" w:type="dxa"/>
            <w:tcBorders>
              <w:top w:val="nil"/>
              <w:left w:val="nil"/>
              <w:bottom w:val="single" w:sz="4" w:space="0" w:color="auto"/>
              <w:right w:val="single" w:sz="4" w:space="0" w:color="auto"/>
            </w:tcBorders>
            <w:shd w:val="clear" w:color="auto" w:fill="auto"/>
            <w:vAlign w:val="center"/>
          </w:tcPr>
          <w:p w:rsidR="00CC1722" w:rsidRPr="00CC172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0</w:t>
            </w:r>
            <w:r>
              <w:rPr>
                <w:rFonts w:ascii="Times New Roman" w:eastAsia="Times New Roman" w:hAnsi="Times New Roman" w:cs="Times New Roman"/>
                <w:color w:val="000000"/>
                <w:sz w:val="24"/>
                <w:szCs w:val="24"/>
                <w:lang w:val="uk-UA"/>
              </w:rPr>
              <w:t>,409</w:t>
            </w:r>
          </w:p>
        </w:tc>
        <w:tc>
          <w:tcPr>
            <w:tcW w:w="1928"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0,261</w:t>
            </w:r>
          </w:p>
        </w:tc>
        <w:tc>
          <w:tcPr>
            <w:tcW w:w="1605"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3,691</w:t>
            </w:r>
          </w:p>
        </w:tc>
        <w:tc>
          <w:tcPr>
            <w:tcW w:w="1707"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0,001</w:t>
            </w:r>
          </w:p>
        </w:tc>
      </w:tr>
      <w:tr w:rsidR="00CC1722" w:rsidRPr="00977D62" w:rsidTr="00CC1722">
        <w:trPr>
          <w:trHeight w:val="315"/>
          <w:jc w:val="center"/>
        </w:trPr>
        <w:tc>
          <w:tcPr>
            <w:tcW w:w="1443" w:type="dxa"/>
            <w:tcBorders>
              <w:top w:val="nil"/>
              <w:left w:val="single" w:sz="4" w:space="0" w:color="auto"/>
              <w:bottom w:val="single" w:sz="4" w:space="0" w:color="auto"/>
              <w:right w:val="single" w:sz="4" w:space="0" w:color="auto"/>
            </w:tcBorders>
            <w:shd w:val="clear" w:color="auto" w:fill="auto"/>
            <w:vAlign w:val="center"/>
          </w:tcPr>
          <w:p w:rsidR="00CC1722" w:rsidRPr="00CC1722" w:rsidRDefault="00CC1722" w:rsidP="00974A7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Net IIP</w:t>
            </w:r>
          </w:p>
        </w:tc>
        <w:tc>
          <w:tcPr>
            <w:tcW w:w="1761" w:type="dxa"/>
            <w:tcBorders>
              <w:top w:val="nil"/>
              <w:left w:val="nil"/>
              <w:bottom w:val="single" w:sz="4" w:space="0" w:color="auto"/>
              <w:right w:val="single" w:sz="4" w:space="0" w:color="auto"/>
            </w:tcBorders>
            <w:shd w:val="clear" w:color="auto" w:fill="auto"/>
            <w:vAlign w:val="center"/>
          </w:tcPr>
          <w:p w:rsidR="00CC1722" w:rsidRPr="00CC1722" w:rsidRDefault="00CC1722" w:rsidP="00974A7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-1,269</w:t>
            </w:r>
          </w:p>
        </w:tc>
        <w:tc>
          <w:tcPr>
            <w:tcW w:w="1732"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0,122</w:t>
            </w:r>
          </w:p>
        </w:tc>
        <w:tc>
          <w:tcPr>
            <w:tcW w:w="1928"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-0,729</w:t>
            </w:r>
          </w:p>
        </w:tc>
        <w:tc>
          <w:tcPr>
            <w:tcW w:w="1605"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-10,376</w:t>
            </w:r>
          </w:p>
        </w:tc>
        <w:tc>
          <w:tcPr>
            <w:tcW w:w="1707"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0,000</w:t>
            </w:r>
          </w:p>
        </w:tc>
      </w:tr>
      <w:tr w:rsidR="00CC1722" w:rsidRPr="00977D62" w:rsidTr="00CC1722">
        <w:trPr>
          <w:trHeight w:val="315"/>
          <w:jc w:val="center"/>
        </w:trPr>
        <w:tc>
          <w:tcPr>
            <w:tcW w:w="1443" w:type="dxa"/>
            <w:tcBorders>
              <w:top w:val="nil"/>
              <w:left w:val="single" w:sz="4" w:space="0" w:color="auto"/>
              <w:bottom w:val="single" w:sz="4" w:space="0" w:color="auto"/>
              <w:right w:val="single" w:sz="4" w:space="0" w:color="auto"/>
            </w:tcBorders>
            <w:shd w:val="clear" w:color="auto" w:fill="auto"/>
            <w:vAlign w:val="center"/>
          </w:tcPr>
          <w:p w:rsidR="00CC1722" w:rsidRPr="00CC1722" w:rsidRDefault="00CC1722" w:rsidP="00974A7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Budget</w:t>
            </w:r>
          </w:p>
        </w:tc>
        <w:tc>
          <w:tcPr>
            <w:tcW w:w="1761" w:type="dxa"/>
            <w:tcBorders>
              <w:top w:val="nil"/>
              <w:left w:val="nil"/>
              <w:bottom w:val="single" w:sz="4" w:space="0" w:color="auto"/>
              <w:right w:val="single" w:sz="4" w:space="0" w:color="auto"/>
            </w:tcBorders>
            <w:shd w:val="clear" w:color="auto" w:fill="auto"/>
            <w:vAlign w:val="center"/>
          </w:tcPr>
          <w:p w:rsidR="00CC1722" w:rsidRPr="00CC1722" w:rsidRDefault="00CC1722" w:rsidP="00974A7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-2,357</w:t>
            </w:r>
          </w:p>
        </w:tc>
        <w:tc>
          <w:tcPr>
            <w:tcW w:w="1732"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0,778</w:t>
            </w:r>
          </w:p>
        </w:tc>
        <w:tc>
          <w:tcPr>
            <w:tcW w:w="1928"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-0,175</w:t>
            </w:r>
          </w:p>
        </w:tc>
        <w:tc>
          <w:tcPr>
            <w:tcW w:w="1605"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-3,031</w:t>
            </w:r>
          </w:p>
        </w:tc>
        <w:tc>
          <w:tcPr>
            <w:tcW w:w="1707" w:type="dxa"/>
            <w:tcBorders>
              <w:top w:val="nil"/>
              <w:left w:val="nil"/>
              <w:bottom w:val="single" w:sz="4" w:space="0" w:color="auto"/>
              <w:right w:val="single" w:sz="4" w:space="0" w:color="auto"/>
            </w:tcBorders>
            <w:shd w:val="clear" w:color="auto" w:fill="auto"/>
            <w:vAlign w:val="center"/>
          </w:tcPr>
          <w:p w:rsidR="00CC1722" w:rsidRPr="00977D62" w:rsidRDefault="00CC1722" w:rsidP="00974A7A">
            <w:pPr>
              <w:spacing w:after="0" w:line="240" w:lineRule="auto"/>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0,004</w:t>
            </w:r>
          </w:p>
        </w:tc>
      </w:tr>
    </w:tbl>
    <w:p w:rsidR="00CC1722" w:rsidRDefault="00CC1722" w:rsidP="00CC1722">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Джерело: розраховано автором.</w:t>
      </w:r>
    </w:p>
    <w:p w:rsidR="00CC1722" w:rsidRDefault="00C02066"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було проаналізовано бета-коефіцієнти незалежних змінних. Даний коефіцієнт </w:t>
      </w:r>
      <w:r w:rsidRPr="00C02066">
        <w:rPr>
          <w:rFonts w:ascii="Times New Roman" w:hAnsi="Times New Roman" w:cs="Times New Roman"/>
          <w:sz w:val="28"/>
          <w:szCs w:val="28"/>
          <w:lang w:val="uk-UA"/>
        </w:rPr>
        <w:t xml:space="preserve">є мірою зв’язку між незалежною змінною та залежною змінною в </w:t>
      </w:r>
      <w:r w:rsidRPr="00C02066">
        <w:rPr>
          <w:rFonts w:ascii="Times New Roman" w:hAnsi="Times New Roman" w:cs="Times New Roman"/>
          <w:sz w:val="28"/>
          <w:szCs w:val="28"/>
          <w:lang w:val="uk-UA"/>
        </w:rPr>
        <w:lastRenderedPageBreak/>
        <w:t>регресійній моделі. Він кількісно визначає зміну залежної змінної, пов’язану зі зміною на одну одиницю незалежної змінної, утримуючи інші змінні постійними.</w:t>
      </w:r>
      <w:r>
        <w:rPr>
          <w:rFonts w:ascii="Times New Roman" w:hAnsi="Times New Roman" w:cs="Times New Roman"/>
          <w:sz w:val="28"/>
          <w:szCs w:val="28"/>
          <w:lang w:val="uk-UA"/>
        </w:rPr>
        <w:t xml:space="preserve"> </w:t>
      </w:r>
    </w:p>
    <w:p w:rsidR="00C02066" w:rsidRDefault="00C02066"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Найбільший коефіцієнт за модулем мала чиста МІП, показник якої склав -0,729. Оскільки Португалія та Греція мали від’ємну чисту МІП, це говорить про те, що при подальшому зростанні від’ємного сальдо МІП на 1 пункт, зовнішній борг країн зростав на 0,729. </w:t>
      </w:r>
      <w:r w:rsidR="00F0220B">
        <w:rPr>
          <w:rFonts w:ascii="Times New Roman" w:hAnsi="Times New Roman" w:cs="Times New Roman"/>
          <w:sz w:val="28"/>
          <w:szCs w:val="28"/>
          <w:lang w:val="uk-UA"/>
        </w:rPr>
        <w:t xml:space="preserve">Таким чином, зростання зобов’язань країни призводить до збільшення боргового навантаження на неї через потребу у додатковому фінансуванні для погашення даних зобов’язань та виплати відсоткових витрат. </w:t>
      </w:r>
      <w:r w:rsidR="008E1551">
        <w:rPr>
          <w:rFonts w:ascii="Times New Roman" w:hAnsi="Times New Roman" w:cs="Times New Roman"/>
          <w:sz w:val="28"/>
          <w:szCs w:val="28"/>
          <w:lang w:val="uk-UA"/>
        </w:rPr>
        <w:t xml:space="preserve">І навпаки, збільшення чистою МІП, тобто нарощування обсягу активів, приводить до зменшення обсягів зовнішнього боргу. </w:t>
      </w:r>
    </w:p>
    <w:p w:rsidR="008E1551" w:rsidRPr="008E1551" w:rsidRDefault="008E1551"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Аналогічна ситуація простежується із сальдо державного бюджету, коефіцієнт якого склав -0,175, що говорить про зменшення обсягів боргу при більшому сальдо бюджету та зменшенню дефіциту в Португалії та Греції. Більший дефіцит бюджету потребує додаткового фінансування для покриття внутрішніх витрат держави, що в даних країнах було реалізовано за рахунок зовнішнього боргового капіталу. </w:t>
      </w:r>
    </w:p>
    <w:p w:rsidR="00F0220B" w:rsidRDefault="00F0220B"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Бета-коефіцієнт експорту становив 0,261 та мав позитивне </w:t>
      </w:r>
      <w:r w:rsidR="008E1551">
        <w:rPr>
          <w:rFonts w:ascii="Times New Roman" w:hAnsi="Times New Roman" w:cs="Times New Roman"/>
          <w:sz w:val="28"/>
          <w:szCs w:val="28"/>
          <w:lang w:val="uk-UA"/>
        </w:rPr>
        <w:t xml:space="preserve">значення. З цього можна зробити висновок, що при збільшені обсягу експорту товарів та послуг на 1 пункт, зовнішній борг збільшувався на 0,261 пункту. </w:t>
      </w:r>
      <w:r w:rsidR="00677355">
        <w:rPr>
          <w:rFonts w:ascii="Times New Roman" w:hAnsi="Times New Roman" w:cs="Times New Roman"/>
          <w:sz w:val="28"/>
          <w:szCs w:val="28"/>
          <w:lang w:val="uk-UA"/>
        </w:rPr>
        <w:t xml:space="preserve">Зазвичай, більші обсяги експорту приводять до послаблення боргового навантаження за рахунок отримання прибутку від зовнішньої торгівлі, які використовуються на погашення боргу. </w:t>
      </w:r>
      <w:r w:rsidR="00A079DB">
        <w:rPr>
          <w:rFonts w:ascii="Times New Roman" w:hAnsi="Times New Roman" w:cs="Times New Roman"/>
          <w:sz w:val="28"/>
          <w:szCs w:val="28"/>
          <w:lang w:val="uk-UA"/>
        </w:rPr>
        <w:t>Проте є й випадки, коли країни при більшому експорті продовжують накопичувати борг.</w:t>
      </w:r>
    </w:p>
    <w:p w:rsidR="00A079DB" w:rsidRPr="00A079DB" w:rsidRDefault="00A079DB"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Якщо к</w:t>
      </w:r>
      <w:r w:rsidRPr="00A079DB">
        <w:rPr>
          <w:rFonts w:ascii="Times New Roman" w:hAnsi="Times New Roman" w:cs="Times New Roman"/>
          <w:sz w:val="28"/>
          <w:szCs w:val="28"/>
          <w:lang w:val="uk-UA"/>
        </w:rPr>
        <w:t>раїна стає значною мірою залежною від імпортних факторів виробництва або сировини для підтримки своїх експортно-орієнтованих галузей, збільшення експорту може супроводжуватися відповідним збільшенням імпорту. Якщо зростання імпорту випереджає надходження від експорту, це може призвести до торговельного дефіциту та, потенційно, потреби у зовнішніх запозич</w:t>
      </w:r>
      <w:r>
        <w:rPr>
          <w:rFonts w:ascii="Times New Roman" w:hAnsi="Times New Roman" w:cs="Times New Roman"/>
          <w:sz w:val="28"/>
          <w:szCs w:val="28"/>
          <w:lang w:val="uk-UA"/>
        </w:rPr>
        <w:t xml:space="preserve">еннях для фінансування дефіциту, що можна було спостерігати в Португалії та Греції, які переважно мали дефіцит торгівельного балансу. Окрім того, в даних країнах </w:t>
      </w:r>
      <w:r w:rsidR="00082E09">
        <w:rPr>
          <w:rFonts w:ascii="Times New Roman" w:hAnsi="Times New Roman" w:cs="Times New Roman"/>
          <w:sz w:val="28"/>
          <w:szCs w:val="28"/>
          <w:lang w:val="uk-UA"/>
        </w:rPr>
        <w:t xml:space="preserve">через </w:t>
      </w:r>
      <w:r w:rsidR="00082E09">
        <w:rPr>
          <w:rFonts w:ascii="Times New Roman" w:hAnsi="Times New Roman" w:cs="Times New Roman"/>
          <w:sz w:val="28"/>
          <w:szCs w:val="28"/>
          <w:lang w:val="uk-UA"/>
        </w:rPr>
        <w:lastRenderedPageBreak/>
        <w:t>значні хронічні дефіцити державного бюджету та постійне нарощування зобов’язань зростання експорту може не покривати потреби у фінансуванні, тим самим не призводячи до зменшення зовнішнього боргу.</w:t>
      </w:r>
    </w:p>
    <w:p w:rsidR="00C02066" w:rsidRDefault="00C02066" w:rsidP="00DC3991">
      <w:pPr>
        <w:spacing w:after="0" w:line="360" w:lineRule="auto"/>
        <w:ind w:firstLine="680"/>
        <w:jc w:val="both"/>
        <w:rPr>
          <w:rFonts w:ascii="Times New Roman" w:hAnsi="Times New Roman" w:cs="Times New Roman"/>
          <w:sz w:val="28"/>
          <w:szCs w:val="28"/>
          <w:lang w:val="uk-UA"/>
        </w:rPr>
      </w:pPr>
    </w:p>
    <w:p w:rsidR="000650CA" w:rsidRDefault="000650CA" w:rsidP="000650CA">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Отже, отримала модель має наступний вигляд:</w:t>
      </w:r>
    </w:p>
    <w:p w:rsidR="000650CA" w:rsidRDefault="000650CA" w:rsidP="000650CA">
      <w:pPr>
        <w:spacing w:after="0" w:line="360" w:lineRule="auto"/>
        <w:ind w:firstLine="680"/>
        <w:jc w:val="right"/>
        <w:rPr>
          <w:rFonts w:ascii="Times New Roman" w:hAnsi="Times New Roman" w:cs="Times New Roman"/>
          <w:sz w:val="28"/>
          <w:szCs w:val="28"/>
          <w:lang w:val="uk-UA"/>
        </w:rPr>
      </w:pPr>
      <m:oMath>
        <m:r>
          <w:rPr>
            <w:rFonts w:ascii="Cambria Math" w:hAnsi="Cambria Math" w:cs="Times New Roman"/>
            <w:sz w:val="28"/>
            <w:szCs w:val="28"/>
            <w:lang w:val="uk-UA"/>
          </w:rPr>
          <m:t>Debt=0,261*Export-0,729*Net IIP-0,175*Budget+c</m:t>
        </m:r>
      </m:oMath>
      <w:r>
        <w:rPr>
          <w:rFonts w:ascii="Times New Roman" w:eastAsiaTheme="minorEastAsia" w:hAnsi="Times New Roman" w:cs="Times New Roman"/>
          <w:sz w:val="28"/>
          <w:szCs w:val="28"/>
          <w:lang w:val="uk-UA"/>
        </w:rPr>
        <w:t xml:space="preserve"> ,             (2)</w:t>
      </w:r>
    </w:p>
    <w:p w:rsidR="00CC1722" w:rsidRDefault="000650CA"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3,691***              -10,376***               -3,031***</w:t>
      </w:r>
    </w:p>
    <w:p w:rsidR="00DC3991" w:rsidRDefault="00082E09"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результати свідчать про те, що на зростання зовнішнього боргу в Португалії та Греції мали вплив негативне сальдо державного бюджету та зростаючий обсяг зовнішніх зобов’язань, який перевищив темпи збільшення активів. Дані фактори потребували додаткового фінансування для покриття відсотків по зобов’язанням та  їх виплати, а також для покриття внутрішніх державних витрат. Дана потреба у фінансуванні призвела до накопичення знаної заборгованості перед нерезидентами та іноземними інституціями. Також варто відзначити, що збільшення обсягів експорту також призвело до зростання рівня зовнішнього боргу. Даний результат може бути наслідком того, що для підтримки експорту та внутрішнього попиту пропорційно зростав й імпорт товарів та послуг, який призвів до торгівельного дефіциту Португалії та Греції, що можна було побачити в даних країнах протягом більшості 2000-2023 рр. Задля фінансування даного дефіциту країни також потребували іноземний капітал. </w:t>
      </w:r>
    </w:p>
    <w:p w:rsidR="00DC3991" w:rsidRDefault="00DC3991" w:rsidP="00DC3991">
      <w:pPr>
        <w:spacing w:after="0" w:line="360" w:lineRule="auto"/>
        <w:ind w:firstLine="680"/>
        <w:jc w:val="both"/>
        <w:rPr>
          <w:rFonts w:ascii="Times New Roman" w:hAnsi="Times New Roman" w:cs="Times New Roman"/>
          <w:sz w:val="28"/>
          <w:szCs w:val="28"/>
          <w:lang w:val="uk-UA"/>
        </w:rPr>
      </w:pPr>
    </w:p>
    <w:p w:rsidR="00DC3991" w:rsidRDefault="00DC3991"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C3991" w:rsidRDefault="00DC3991" w:rsidP="00C02C14">
      <w:pPr>
        <w:pStyle w:val="1"/>
        <w:rPr>
          <w:lang w:val="uk-UA"/>
        </w:rPr>
      </w:pPr>
      <w:bookmarkStart w:id="13" w:name="_Toc162975082"/>
      <w:bookmarkStart w:id="14" w:name="_Toc168123010"/>
      <w:r>
        <w:rPr>
          <w:lang w:val="uk-UA"/>
        </w:rPr>
        <w:lastRenderedPageBreak/>
        <w:t>РОЗДІЛ 3</w:t>
      </w:r>
      <w:bookmarkEnd w:id="13"/>
      <w:bookmarkEnd w:id="14"/>
      <w:r w:rsidR="00000AF8">
        <w:rPr>
          <w:lang w:val="uk-UA"/>
        </w:rPr>
        <w:t xml:space="preserve"> </w:t>
      </w:r>
    </w:p>
    <w:p w:rsidR="00000AF8" w:rsidRDefault="00000AF8" w:rsidP="00C02C14">
      <w:pPr>
        <w:pStyle w:val="1"/>
        <w:rPr>
          <w:lang w:val="uk-UA"/>
        </w:rPr>
      </w:pPr>
      <w:bookmarkStart w:id="15" w:name="_Toc168123011"/>
      <w:r w:rsidRPr="00000AF8">
        <w:rPr>
          <w:lang w:val="uk-UA"/>
        </w:rPr>
        <w:t xml:space="preserve">ОСОБЛИВОСТІ  </w:t>
      </w:r>
      <w:r w:rsidR="00873C86">
        <w:rPr>
          <w:lang w:val="uk-UA"/>
        </w:rPr>
        <w:t>ЗОВНІШНЬОЕКОНОМІЧНИХ ЗВ’ЯЗКІВ ПОРТУГАЛІЇ ТА ГРЕЦІЇ З УКРАЇНОЮ</w:t>
      </w:r>
      <w:bookmarkEnd w:id="15"/>
      <w:r w:rsidR="00873C86">
        <w:rPr>
          <w:lang w:val="uk-UA"/>
        </w:rPr>
        <w:t xml:space="preserve"> </w:t>
      </w:r>
    </w:p>
    <w:p w:rsidR="00DC3991" w:rsidRDefault="00DC3991" w:rsidP="00DC3991">
      <w:pPr>
        <w:spacing w:after="0" w:line="360" w:lineRule="auto"/>
        <w:ind w:firstLine="680"/>
        <w:jc w:val="both"/>
        <w:rPr>
          <w:rFonts w:ascii="Times New Roman" w:hAnsi="Times New Roman" w:cs="Times New Roman"/>
          <w:sz w:val="28"/>
          <w:szCs w:val="28"/>
          <w:lang w:val="uk-UA"/>
        </w:rPr>
      </w:pPr>
    </w:p>
    <w:p w:rsidR="00DC3991" w:rsidRDefault="00DC3991" w:rsidP="00DC3991">
      <w:pPr>
        <w:spacing w:after="0" w:line="360" w:lineRule="auto"/>
        <w:ind w:firstLine="680"/>
        <w:jc w:val="both"/>
        <w:rPr>
          <w:rFonts w:ascii="Times New Roman" w:hAnsi="Times New Roman" w:cs="Times New Roman"/>
          <w:sz w:val="28"/>
          <w:szCs w:val="28"/>
          <w:lang w:val="uk-UA"/>
        </w:rPr>
      </w:pPr>
    </w:p>
    <w:p w:rsidR="00DC3991" w:rsidRDefault="00422176"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 даному розділі було розглянуто зовнішньоекономічні зв’язки Португалії та Греції з Україною, які представлені торгівлею товарами та послугами й інвестиційними потоками.</w:t>
      </w:r>
    </w:p>
    <w:p w:rsidR="00422176" w:rsidRDefault="00422176"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структурі експорту товарів України Португалія та Греція не є стратегічно важливими партнерами. Так, у 2017-2023 рр. питома вага даних країн в валовому експорті товарів України в середньому становила 0,5%. Обсяг експорту товарів до Португалії загалом дещо зменшився: з 264,1 млн. дол. США у 2017 р. до 223,5 млн. дол. США у 2023 р. </w:t>
      </w:r>
      <w:r w:rsidR="00845095">
        <w:rPr>
          <w:rFonts w:ascii="Times New Roman" w:hAnsi="Times New Roman" w:cs="Times New Roman"/>
          <w:sz w:val="28"/>
          <w:szCs w:val="28"/>
          <w:lang w:val="uk-UA"/>
        </w:rPr>
        <w:t xml:space="preserve">Проте збільшився показник Греції: у 2023 р. Україна експортувала товарів на вартість 257,6 млн. дол. США до Греції проти 196,8 млн. дол. США у 2017 р. При цьому, експорт товарів до Греції перевищив рівень Португалії (рис. 3.1). </w:t>
      </w:r>
    </w:p>
    <w:p w:rsidR="00562D1D" w:rsidRDefault="00562D1D" w:rsidP="00562D1D">
      <w:pPr>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4E6E4F0B" wp14:editId="3F6A98FF">
            <wp:extent cx="6480000" cy="2880000"/>
            <wp:effectExtent l="0" t="0" r="16510" b="1587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62D1D" w:rsidRPr="00562D1D" w:rsidRDefault="00562D1D" w:rsidP="00DC3991">
      <w:pPr>
        <w:spacing w:after="0" w:line="360" w:lineRule="auto"/>
        <w:ind w:firstLine="680"/>
        <w:jc w:val="both"/>
        <w:rPr>
          <w:rFonts w:ascii="Times New Roman" w:hAnsi="Times New Roman" w:cs="Times New Roman"/>
          <w:i/>
          <w:sz w:val="28"/>
          <w:szCs w:val="28"/>
          <w:lang w:val="uk-UA"/>
        </w:rPr>
      </w:pPr>
      <w:r w:rsidRPr="00562D1D">
        <w:rPr>
          <w:rFonts w:ascii="Times New Roman" w:hAnsi="Times New Roman" w:cs="Times New Roman"/>
          <w:i/>
          <w:sz w:val="28"/>
          <w:szCs w:val="28"/>
          <w:lang w:val="uk-UA"/>
        </w:rPr>
        <w:t xml:space="preserve">Рис. 3.1. Обсяги експорту товарів України в Португалію та Грецію у 2017-2023 рр. у тис. дол. США та у % від валового експорту товарів України </w:t>
      </w:r>
    </w:p>
    <w:p w:rsidR="00562D1D" w:rsidRPr="00681002" w:rsidRDefault="00562D1D" w:rsidP="00562D1D">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Джерело: складено автором на основі </w:t>
      </w:r>
      <w:r w:rsidRPr="00681002">
        <w:rPr>
          <w:rFonts w:ascii="Times New Roman" w:hAnsi="Times New Roman" w:cs="Times New Roman"/>
          <w:sz w:val="28"/>
          <w:szCs w:val="28"/>
          <w:lang w:val="ru-RU"/>
        </w:rPr>
        <w:t>[</w:t>
      </w:r>
      <w:r w:rsidR="00726FB9">
        <w:rPr>
          <w:rFonts w:ascii="Times New Roman" w:hAnsi="Times New Roman" w:cs="Times New Roman"/>
          <w:sz w:val="28"/>
          <w:szCs w:val="28"/>
          <w:lang w:val="ru-RU"/>
        </w:rPr>
        <w:t>34</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562D1D" w:rsidRDefault="00F34D06" w:rsidP="00F34D0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 структурі експорту за видами товарів у 2023 р. переважну частину становили зернові культури. Даний вид товару склав 77,9% та 34,9% від загального експорту товарів України до Португалії та Греції відповідно. При цьому, значну питому вагу мали чорні метали та деревина (табл. 3.1).</w:t>
      </w:r>
    </w:p>
    <w:p w:rsidR="00562D1D" w:rsidRPr="00562D1D" w:rsidRDefault="00562D1D" w:rsidP="00562D1D">
      <w:pPr>
        <w:spacing w:after="0" w:line="360" w:lineRule="auto"/>
        <w:ind w:firstLine="680"/>
        <w:jc w:val="right"/>
        <w:rPr>
          <w:rFonts w:ascii="Times New Roman" w:hAnsi="Times New Roman" w:cs="Times New Roman"/>
          <w:i/>
          <w:sz w:val="28"/>
          <w:szCs w:val="28"/>
          <w:lang w:val="uk-UA"/>
        </w:rPr>
      </w:pPr>
      <w:r w:rsidRPr="00562D1D">
        <w:rPr>
          <w:rFonts w:ascii="Times New Roman" w:hAnsi="Times New Roman" w:cs="Times New Roman"/>
          <w:i/>
          <w:sz w:val="28"/>
          <w:szCs w:val="28"/>
          <w:lang w:val="uk-UA"/>
        </w:rPr>
        <w:t>Таблиця 3.1</w:t>
      </w:r>
    </w:p>
    <w:p w:rsidR="00562D1D" w:rsidRPr="00562D1D" w:rsidRDefault="00562D1D" w:rsidP="00562D1D">
      <w:pPr>
        <w:spacing w:after="0" w:line="360" w:lineRule="auto"/>
        <w:ind w:firstLine="680"/>
        <w:jc w:val="center"/>
        <w:rPr>
          <w:rFonts w:ascii="Times New Roman" w:hAnsi="Times New Roman" w:cs="Times New Roman"/>
          <w:i/>
          <w:sz w:val="28"/>
          <w:szCs w:val="28"/>
          <w:lang w:val="uk-UA"/>
        </w:rPr>
      </w:pPr>
      <w:r w:rsidRPr="00562D1D">
        <w:rPr>
          <w:rFonts w:ascii="Times New Roman" w:hAnsi="Times New Roman" w:cs="Times New Roman"/>
          <w:i/>
          <w:sz w:val="28"/>
          <w:szCs w:val="28"/>
          <w:lang w:val="uk-UA"/>
        </w:rPr>
        <w:t>Структура експорту товарів України в Португалію та Грецію у 2023 р.</w:t>
      </w:r>
    </w:p>
    <w:tbl>
      <w:tblPr>
        <w:tblW w:w="10201" w:type="dxa"/>
        <w:jc w:val="center"/>
        <w:tblLook w:val="04A0" w:firstRow="1" w:lastRow="0" w:firstColumn="1" w:lastColumn="0" w:noHBand="0" w:noVBand="1"/>
      </w:tblPr>
      <w:tblGrid>
        <w:gridCol w:w="3397"/>
        <w:gridCol w:w="1560"/>
        <w:gridCol w:w="3543"/>
        <w:gridCol w:w="1701"/>
      </w:tblGrid>
      <w:tr w:rsidR="00562D1D" w:rsidRPr="00562D1D" w:rsidTr="00562D1D">
        <w:trPr>
          <w:trHeight w:val="315"/>
          <w:jc w:val="center"/>
        </w:trPr>
        <w:tc>
          <w:tcPr>
            <w:tcW w:w="495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Португалія</w:t>
            </w:r>
          </w:p>
        </w:tc>
        <w:tc>
          <w:tcPr>
            <w:tcW w:w="524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Греція</w:t>
            </w:r>
          </w:p>
        </w:tc>
      </w:tr>
      <w:tr w:rsidR="00562D1D" w:rsidRPr="00562D1D" w:rsidTr="00562D1D">
        <w:trPr>
          <w:trHeight w:val="315"/>
          <w:jc w:val="center"/>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Товар</w:t>
            </w:r>
          </w:p>
        </w:tc>
        <w:tc>
          <w:tcPr>
            <w:tcW w:w="1560"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Частка (%)</w:t>
            </w:r>
          </w:p>
        </w:tc>
        <w:tc>
          <w:tcPr>
            <w:tcW w:w="3543"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Товар</w:t>
            </w:r>
          </w:p>
        </w:tc>
        <w:tc>
          <w:tcPr>
            <w:tcW w:w="1701"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Частка (%)</w:t>
            </w:r>
          </w:p>
        </w:tc>
      </w:tr>
      <w:tr w:rsidR="00562D1D" w:rsidRPr="00562D1D" w:rsidTr="00562D1D">
        <w:trPr>
          <w:trHeight w:val="315"/>
          <w:jc w:val="center"/>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Зерновi культури</w:t>
            </w:r>
          </w:p>
        </w:tc>
        <w:tc>
          <w:tcPr>
            <w:tcW w:w="1560"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77,9</w:t>
            </w:r>
          </w:p>
        </w:tc>
        <w:tc>
          <w:tcPr>
            <w:tcW w:w="3543"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Зерновi культури</w:t>
            </w:r>
          </w:p>
        </w:tc>
        <w:tc>
          <w:tcPr>
            <w:tcW w:w="1701"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34,9</w:t>
            </w:r>
          </w:p>
        </w:tc>
      </w:tr>
      <w:tr w:rsidR="00562D1D" w:rsidRPr="00562D1D" w:rsidTr="00562D1D">
        <w:trPr>
          <w:trHeight w:val="315"/>
          <w:jc w:val="center"/>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Чорнi метали</w:t>
            </w:r>
          </w:p>
        </w:tc>
        <w:tc>
          <w:tcPr>
            <w:tcW w:w="1560"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8,7</w:t>
            </w:r>
          </w:p>
        </w:tc>
        <w:tc>
          <w:tcPr>
            <w:tcW w:w="3543"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Насiння і плоди олійних рослин</w:t>
            </w:r>
          </w:p>
        </w:tc>
        <w:tc>
          <w:tcPr>
            <w:tcW w:w="1701"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19,9</w:t>
            </w:r>
          </w:p>
        </w:tc>
      </w:tr>
      <w:tr w:rsidR="00562D1D" w:rsidRPr="00562D1D" w:rsidTr="00562D1D">
        <w:trPr>
          <w:trHeight w:val="315"/>
          <w:jc w:val="center"/>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Деревина і вироби з деревини</w:t>
            </w:r>
          </w:p>
        </w:tc>
        <w:tc>
          <w:tcPr>
            <w:tcW w:w="1560"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3,1</w:t>
            </w:r>
          </w:p>
        </w:tc>
        <w:tc>
          <w:tcPr>
            <w:tcW w:w="3543"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Чорнi метали</w:t>
            </w:r>
          </w:p>
        </w:tc>
        <w:tc>
          <w:tcPr>
            <w:tcW w:w="1701"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16,1</w:t>
            </w:r>
          </w:p>
        </w:tc>
      </w:tr>
    </w:tbl>
    <w:p w:rsidR="00562D1D" w:rsidRPr="00681002" w:rsidRDefault="00562D1D" w:rsidP="00562D1D">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726FB9">
        <w:rPr>
          <w:rFonts w:ascii="Times New Roman" w:hAnsi="Times New Roman" w:cs="Times New Roman"/>
          <w:sz w:val="28"/>
          <w:szCs w:val="28"/>
          <w:lang w:val="ru-RU"/>
        </w:rPr>
        <w:t>34</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562D1D" w:rsidRDefault="00F34D06" w:rsidP="00F34D0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Обсяг імпорту товарів з Португалії в Україну був незначним протягом 2017-2023 рр. та в середньому складав 0,1% від сумарного імпорту товарів. Більшим був показник Греції, який особливо зріс в 2021-2023 рр. та становив 1,4 млрд. дол. США або 2,2% від усього імпорту товарів України в 2023 р. (рис.3.2).</w:t>
      </w:r>
    </w:p>
    <w:p w:rsidR="00562D1D" w:rsidRDefault="00562D1D" w:rsidP="00562D1D">
      <w:pPr>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282BF21F" wp14:editId="3708F663">
            <wp:extent cx="6480000" cy="2880000"/>
            <wp:effectExtent l="0" t="0" r="16510" b="1587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62D1D" w:rsidRPr="00562D1D" w:rsidRDefault="00562D1D" w:rsidP="00562D1D">
      <w:pPr>
        <w:spacing w:after="0" w:line="360" w:lineRule="auto"/>
        <w:ind w:firstLine="680"/>
        <w:jc w:val="both"/>
        <w:rPr>
          <w:rFonts w:ascii="Times New Roman" w:hAnsi="Times New Roman" w:cs="Times New Roman"/>
          <w:i/>
          <w:sz w:val="28"/>
          <w:szCs w:val="28"/>
          <w:lang w:val="uk-UA"/>
        </w:rPr>
      </w:pPr>
      <w:r w:rsidRPr="00562D1D">
        <w:rPr>
          <w:rFonts w:ascii="Times New Roman" w:hAnsi="Times New Roman" w:cs="Times New Roman"/>
          <w:i/>
          <w:sz w:val="28"/>
          <w:szCs w:val="28"/>
          <w:lang w:val="uk-UA"/>
        </w:rPr>
        <w:t>Рис. 3.</w:t>
      </w:r>
      <w:r>
        <w:rPr>
          <w:rFonts w:ascii="Times New Roman" w:hAnsi="Times New Roman" w:cs="Times New Roman"/>
          <w:i/>
          <w:sz w:val="28"/>
          <w:szCs w:val="28"/>
          <w:lang w:val="uk-UA"/>
        </w:rPr>
        <w:t>2</w:t>
      </w:r>
      <w:r w:rsidRPr="00562D1D">
        <w:rPr>
          <w:rFonts w:ascii="Times New Roman" w:hAnsi="Times New Roman" w:cs="Times New Roman"/>
          <w:i/>
          <w:sz w:val="28"/>
          <w:szCs w:val="28"/>
          <w:lang w:val="uk-UA"/>
        </w:rPr>
        <w:t xml:space="preserve">. Обсяги </w:t>
      </w:r>
      <w:r>
        <w:rPr>
          <w:rFonts w:ascii="Times New Roman" w:hAnsi="Times New Roman" w:cs="Times New Roman"/>
          <w:i/>
          <w:sz w:val="28"/>
          <w:szCs w:val="28"/>
          <w:lang w:val="uk-UA"/>
        </w:rPr>
        <w:t>імпорту</w:t>
      </w:r>
      <w:r w:rsidRPr="00562D1D">
        <w:rPr>
          <w:rFonts w:ascii="Times New Roman" w:hAnsi="Times New Roman" w:cs="Times New Roman"/>
          <w:i/>
          <w:sz w:val="28"/>
          <w:szCs w:val="28"/>
          <w:lang w:val="uk-UA"/>
        </w:rPr>
        <w:t xml:space="preserve"> товарів України </w:t>
      </w:r>
      <w:r>
        <w:rPr>
          <w:rFonts w:ascii="Times New Roman" w:hAnsi="Times New Roman" w:cs="Times New Roman"/>
          <w:i/>
          <w:sz w:val="28"/>
          <w:szCs w:val="28"/>
          <w:lang w:val="uk-UA"/>
        </w:rPr>
        <w:t>з</w:t>
      </w:r>
      <w:r w:rsidRPr="00562D1D">
        <w:rPr>
          <w:rFonts w:ascii="Times New Roman" w:hAnsi="Times New Roman" w:cs="Times New Roman"/>
          <w:i/>
          <w:sz w:val="28"/>
          <w:szCs w:val="28"/>
          <w:lang w:val="uk-UA"/>
        </w:rPr>
        <w:t xml:space="preserve"> Португалі</w:t>
      </w:r>
      <w:r>
        <w:rPr>
          <w:rFonts w:ascii="Times New Roman" w:hAnsi="Times New Roman" w:cs="Times New Roman"/>
          <w:i/>
          <w:sz w:val="28"/>
          <w:szCs w:val="28"/>
          <w:lang w:val="uk-UA"/>
        </w:rPr>
        <w:t>ї та Греції</w:t>
      </w:r>
      <w:r w:rsidRPr="00562D1D">
        <w:rPr>
          <w:rFonts w:ascii="Times New Roman" w:hAnsi="Times New Roman" w:cs="Times New Roman"/>
          <w:i/>
          <w:sz w:val="28"/>
          <w:szCs w:val="28"/>
          <w:lang w:val="uk-UA"/>
        </w:rPr>
        <w:t xml:space="preserve"> у 2017-2023 рр. у тис. дол. США та у % від валового </w:t>
      </w:r>
      <w:r>
        <w:rPr>
          <w:rFonts w:ascii="Times New Roman" w:hAnsi="Times New Roman" w:cs="Times New Roman"/>
          <w:i/>
          <w:sz w:val="28"/>
          <w:szCs w:val="28"/>
          <w:lang w:val="uk-UA"/>
        </w:rPr>
        <w:t>імпорту</w:t>
      </w:r>
      <w:r w:rsidRPr="00562D1D">
        <w:rPr>
          <w:rFonts w:ascii="Times New Roman" w:hAnsi="Times New Roman" w:cs="Times New Roman"/>
          <w:i/>
          <w:sz w:val="28"/>
          <w:szCs w:val="28"/>
          <w:lang w:val="uk-UA"/>
        </w:rPr>
        <w:t xml:space="preserve"> товарів України </w:t>
      </w:r>
    </w:p>
    <w:p w:rsidR="00562D1D" w:rsidRPr="00681002" w:rsidRDefault="00562D1D" w:rsidP="00562D1D">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726FB9">
        <w:rPr>
          <w:rFonts w:ascii="Times New Roman" w:hAnsi="Times New Roman" w:cs="Times New Roman"/>
          <w:sz w:val="28"/>
          <w:szCs w:val="28"/>
          <w:lang w:val="ru-RU"/>
        </w:rPr>
        <w:t>34</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562D1D" w:rsidRDefault="00F34D06"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Збільшення імпорту товарів з Греції обумовлено більшими обсягами імпорту палива, нафти і продуктів її переробки, яка склали 78,8% від усього імпорту товарів з Греції у 2023 р. </w:t>
      </w:r>
      <w:r w:rsidR="00440C66">
        <w:rPr>
          <w:rFonts w:ascii="Times New Roman" w:hAnsi="Times New Roman" w:cs="Times New Roman"/>
          <w:sz w:val="28"/>
          <w:szCs w:val="28"/>
          <w:lang w:val="uk-UA"/>
        </w:rPr>
        <w:t>З Португалії Україна переважно імпортувала електричні машини, папір та картон, а також різні напої й оцет (табл. 3.2).</w:t>
      </w:r>
    </w:p>
    <w:p w:rsidR="00562D1D" w:rsidRPr="00562D1D" w:rsidRDefault="00562D1D" w:rsidP="00562D1D">
      <w:pPr>
        <w:spacing w:after="0" w:line="360" w:lineRule="auto"/>
        <w:ind w:firstLine="680"/>
        <w:jc w:val="right"/>
        <w:rPr>
          <w:rFonts w:ascii="Times New Roman" w:hAnsi="Times New Roman" w:cs="Times New Roman"/>
          <w:i/>
          <w:sz w:val="28"/>
          <w:szCs w:val="28"/>
          <w:lang w:val="uk-UA"/>
        </w:rPr>
      </w:pPr>
      <w:r w:rsidRPr="00562D1D">
        <w:rPr>
          <w:rFonts w:ascii="Times New Roman" w:hAnsi="Times New Roman" w:cs="Times New Roman"/>
          <w:i/>
          <w:sz w:val="28"/>
          <w:szCs w:val="28"/>
          <w:lang w:val="uk-UA"/>
        </w:rPr>
        <w:t>Таблиця 3.</w:t>
      </w:r>
      <w:r>
        <w:rPr>
          <w:rFonts w:ascii="Times New Roman" w:hAnsi="Times New Roman" w:cs="Times New Roman"/>
          <w:i/>
          <w:sz w:val="28"/>
          <w:szCs w:val="28"/>
          <w:lang w:val="uk-UA"/>
        </w:rPr>
        <w:t>2</w:t>
      </w:r>
    </w:p>
    <w:p w:rsidR="00562D1D" w:rsidRPr="00562D1D" w:rsidRDefault="00562D1D" w:rsidP="00562D1D">
      <w:pPr>
        <w:spacing w:after="0" w:line="360" w:lineRule="auto"/>
        <w:ind w:firstLine="680"/>
        <w:jc w:val="center"/>
        <w:rPr>
          <w:rFonts w:ascii="Times New Roman" w:hAnsi="Times New Roman" w:cs="Times New Roman"/>
          <w:i/>
          <w:sz w:val="28"/>
          <w:szCs w:val="28"/>
          <w:lang w:val="uk-UA"/>
        </w:rPr>
      </w:pPr>
      <w:r w:rsidRPr="00562D1D">
        <w:rPr>
          <w:rFonts w:ascii="Times New Roman" w:hAnsi="Times New Roman" w:cs="Times New Roman"/>
          <w:i/>
          <w:sz w:val="28"/>
          <w:szCs w:val="28"/>
          <w:lang w:val="uk-UA"/>
        </w:rPr>
        <w:t xml:space="preserve">Структура </w:t>
      </w:r>
      <w:r>
        <w:rPr>
          <w:rFonts w:ascii="Times New Roman" w:hAnsi="Times New Roman" w:cs="Times New Roman"/>
          <w:i/>
          <w:sz w:val="28"/>
          <w:szCs w:val="28"/>
          <w:lang w:val="uk-UA"/>
        </w:rPr>
        <w:t>імпорту</w:t>
      </w:r>
      <w:r w:rsidRPr="00562D1D">
        <w:rPr>
          <w:rFonts w:ascii="Times New Roman" w:hAnsi="Times New Roman" w:cs="Times New Roman"/>
          <w:i/>
          <w:sz w:val="28"/>
          <w:szCs w:val="28"/>
          <w:lang w:val="uk-UA"/>
        </w:rPr>
        <w:t xml:space="preserve"> товарів України </w:t>
      </w:r>
      <w:r w:rsidR="00144571" w:rsidRPr="00144571">
        <w:rPr>
          <w:rFonts w:ascii="Times New Roman" w:hAnsi="Times New Roman" w:cs="Times New Roman"/>
          <w:i/>
          <w:sz w:val="28"/>
          <w:szCs w:val="28"/>
          <w:lang w:val="uk-UA"/>
        </w:rPr>
        <w:t xml:space="preserve">з Португалії та Греції </w:t>
      </w:r>
      <w:r w:rsidRPr="00562D1D">
        <w:rPr>
          <w:rFonts w:ascii="Times New Roman" w:hAnsi="Times New Roman" w:cs="Times New Roman"/>
          <w:i/>
          <w:sz w:val="28"/>
          <w:szCs w:val="28"/>
          <w:lang w:val="uk-UA"/>
        </w:rPr>
        <w:t>у 2023 р.</w:t>
      </w:r>
    </w:p>
    <w:tbl>
      <w:tblPr>
        <w:tblW w:w="10768" w:type="dxa"/>
        <w:tblLook w:val="04A0" w:firstRow="1" w:lastRow="0" w:firstColumn="1" w:lastColumn="0" w:noHBand="0" w:noVBand="1"/>
      </w:tblPr>
      <w:tblGrid>
        <w:gridCol w:w="3681"/>
        <w:gridCol w:w="1559"/>
        <w:gridCol w:w="3969"/>
        <w:gridCol w:w="1559"/>
      </w:tblGrid>
      <w:tr w:rsidR="00562D1D" w:rsidRPr="00562D1D" w:rsidTr="00562D1D">
        <w:trPr>
          <w:trHeight w:val="315"/>
        </w:trPr>
        <w:tc>
          <w:tcPr>
            <w:tcW w:w="524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Португалія</w:t>
            </w:r>
          </w:p>
        </w:tc>
        <w:tc>
          <w:tcPr>
            <w:tcW w:w="5528" w:type="dxa"/>
            <w:gridSpan w:val="2"/>
            <w:tcBorders>
              <w:top w:val="single" w:sz="4" w:space="0" w:color="auto"/>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Греція</w:t>
            </w:r>
          </w:p>
        </w:tc>
      </w:tr>
      <w:tr w:rsidR="00562D1D" w:rsidRPr="00562D1D" w:rsidTr="00562D1D">
        <w:trPr>
          <w:trHeight w:val="315"/>
        </w:trPr>
        <w:tc>
          <w:tcPr>
            <w:tcW w:w="3681" w:type="dxa"/>
            <w:tcBorders>
              <w:top w:val="nil"/>
              <w:left w:val="single" w:sz="4" w:space="0" w:color="auto"/>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Товар</w:t>
            </w:r>
          </w:p>
        </w:tc>
        <w:tc>
          <w:tcPr>
            <w:tcW w:w="155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Частка (%)</w:t>
            </w:r>
          </w:p>
        </w:tc>
        <w:tc>
          <w:tcPr>
            <w:tcW w:w="396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Товар</w:t>
            </w:r>
          </w:p>
        </w:tc>
        <w:tc>
          <w:tcPr>
            <w:tcW w:w="155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center"/>
              <w:rPr>
                <w:rFonts w:ascii="Times New Roman" w:eastAsia="Times New Roman" w:hAnsi="Times New Roman" w:cs="Times New Roman"/>
                <w:b/>
                <w:bCs/>
                <w:color w:val="000000"/>
                <w:sz w:val="24"/>
                <w:szCs w:val="24"/>
                <w:lang w:val="uk-UA"/>
              </w:rPr>
            </w:pPr>
            <w:r w:rsidRPr="00562D1D">
              <w:rPr>
                <w:rFonts w:ascii="Times New Roman" w:eastAsia="Times New Roman" w:hAnsi="Times New Roman" w:cs="Times New Roman"/>
                <w:b/>
                <w:bCs/>
                <w:color w:val="000000"/>
                <w:sz w:val="24"/>
                <w:szCs w:val="24"/>
                <w:lang w:val="uk-UA"/>
              </w:rPr>
              <w:t>Частка (%)</w:t>
            </w:r>
          </w:p>
        </w:tc>
      </w:tr>
      <w:tr w:rsidR="00562D1D" w:rsidRPr="00562D1D" w:rsidTr="00562D1D">
        <w:trPr>
          <w:trHeight w:val="315"/>
        </w:trPr>
        <w:tc>
          <w:tcPr>
            <w:tcW w:w="3681" w:type="dxa"/>
            <w:tcBorders>
              <w:top w:val="nil"/>
              <w:left w:val="single" w:sz="4" w:space="0" w:color="auto"/>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Електричнi машини</w:t>
            </w:r>
          </w:p>
        </w:tc>
        <w:tc>
          <w:tcPr>
            <w:tcW w:w="155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11,9</w:t>
            </w:r>
          </w:p>
        </w:tc>
        <w:tc>
          <w:tcPr>
            <w:tcW w:w="396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Палива; нафта і продукти перегонки</w:t>
            </w:r>
          </w:p>
        </w:tc>
        <w:tc>
          <w:tcPr>
            <w:tcW w:w="155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78,8</w:t>
            </w:r>
          </w:p>
        </w:tc>
      </w:tr>
      <w:tr w:rsidR="00562D1D" w:rsidRPr="00562D1D" w:rsidTr="00562D1D">
        <w:trPr>
          <w:trHeight w:val="315"/>
        </w:trPr>
        <w:tc>
          <w:tcPr>
            <w:tcW w:w="3681" w:type="dxa"/>
            <w:tcBorders>
              <w:top w:val="nil"/>
              <w:left w:val="single" w:sz="4" w:space="0" w:color="auto"/>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Папiр та картон</w:t>
            </w:r>
          </w:p>
        </w:tc>
        <w:tc>
          <w:tcPr>
            <w:tcW w:w="155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10,9</w:t>
            </w:r>
          </w:p>
        </w:tc>
        <w:tc>
          <w:tcPr>
            <w:tcW w:w="396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Різне</w:t>
            </w:r>
          </w:p>
        </w:tc>
        <w:tc>
          <w:tcPr>
            <w:tcW w:w="155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8,2</w:t>
            </w:r>
          </w:p>
        </w:tc>
      </w:tr>
      <w:tr w:rsidR="00562D1D" w:rsidRPr="00562D1D" w:rsidTr="00562D1D">
        <w:trPr>
          <w:trHeight w:val="315"/>
        </w:trPr>
        <w:tc>
          <w:tcPr>
            <w:tcW w:w="3681" w:type="dxa"/>
            <w:tcBorders>
              <w:top w:val="nil"/>
              <w:left w:val="single" w:sz="4" w:space="0" w:color="auto"/>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 xml:space="preserve">Напої, </w:t>
            </w:r>
            <w:r w:rsidRPr="00562D1D">
              <w:rPr>
                <w:rFonts w:ascii="Times New Roman" w:eastAsia="Times New Roman" w:hAnsi="Times New Roman" w:cs="Times New Roman"/>
                <w:color w:val="000000"/>
                <w:sz w:val="24"/>
                <w:szCs w:val="24"/>
                <w:lang w:val="uk-UA"/>
              </w:rPr>
              <w:t>оцет</w:t>
            </w:r>
          </w:p>
        </w:tc>
        <w:tc>
          <w:tcPr>
            <w:tcW w:w="155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9,2</w:t>
            </w:r>
          </w:p>
        </w:tc>
        <w:tc>
          <w:tcPr>
            <w:tcW w:w="396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Їстівнi плоди та горiхи</w:t>
            </w:r>
          </w:p>
        </w:tc>
        <w:tc>
          <w:tcPr>
            <w:tcW w:w="1559" w:type="dxa"/>
            <w:tcBorders>
              <w:top w:val="nil"/>
              <w:left w:val="nil"/>
              <w:bottom w:val="single" w:sz="4" w:space="0" w:color="auto"/>
              <w:right w:val="single" w:sz="4" w:space="0" w:color="auto"/>
            </w:tcBorders>
            <w:shd w:val="clear" w:color="auto" w:fill="auto"/>
            <w:noWrap/>
            <w:vAlign w:val="center"/>
            <w:hideMark/>
          </w:tcPr>
          <w:p w:rsidR="00562D1D" w:rsidRPr="00562D1D" w:rsidRDefault="00562D1D" w:rsidP="00562D1D">
            <w:pPr>
              <w:spacing w:after="0" w:line="240" w:lineRule="auto"/>
              <w:jc w:val="right"/>
              <w:rPr>
                <w:rFonts w:ascii="Times New Roman" w:eastAsia="Times New Roman" w:hAnsi="Times New Roman" w:cs="Times New Roman"/>
                <w:color w:val="000000"/>
                <w:sz w:val="24"/>
                <w:szCs w:val="24"/>
                <w:lang w:val="uk-UA"/>
              </w:rPr>
            </w:pPr>
            <w:r w:rsidRPr="00562D1D">
              <w:rPr>
                <w:rFonts w:ascii="Times New Roman" w:eastAsia="Times New Roman" w:hAnsi="Times New Roman" w:cs="Times New Roman"/>
                <w:color w:val="000000"/>
                <w:sz w:val="24"/>
                <w:szCs w:val="24"/>
                <w:lang w:val="uk-UA"/>
              </w:rPr>
              <w:t>4,0</w:t>
            </w:r>
          </w:p>
        </w:tc>
      </w:tr>
    </w:tbl>
    <w:p w:rsidR="00562D1D" w:rsidRPr="00681002" w:rsidRDefault="00562D1D" w:rsidP="00562D1D">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726FB9">
        <w:rPr>
          <w:rFonts w:ascii="Times New Roman" w:hAnsi="Times New Roman" w:cs="Times New Roman"/>
          <w:sz w:val="28"/>
          <w:szCs w:val="28"/>
          <w:lang w:val="ru-RU"/>
        </w:rPr>
        <w:t>34</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562D1D" w:rsidRDefault="00440C66" w:rsidP="00440C6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структуру торгівлі товарами України з Португалією та Грецією можна побачити схожу структуру експорту товарів за видами, проте відмінну структурі імпорту товарів.</w:t>
      </w:r>
    </w:p>
    <w:p w:rsidR="00440C66" w:rsidRDefault="00440C66" w:rsidP="00440C66">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2017-2023 рр. Україна мала позитивне сальдо торгівлі товарами з Португалією, проте переважно від’ємне з Грецією (рис. 3.3).</w:t>
      </w:r>
    </w:p>
    <w:p w:rsidR="00562D1D" w:rsidRDefault="00562D1D" w:rsidP="00562D1D">
      <w:pPr>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13C943E9" wp14:editId="3CA73906">
            <wp:extent cx="6480000" cy="2520000"/>
            <wp:effectExtent l="0" t="0" r="16510" b="1397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62D1D" w:rsidRPr="00562D1D" w:rsidRDefault="00562D1D" w:rsidP="00562D1D">
      <w:pPr>
        <w:spacing w:after="0" w:line="360" w:lineRule="auto"/>
        <w:ind w:firstLine="680"/>
        <w:jc w:val="both"/>
        <w:rPr>
          <w:rFonts w:ascii="Times New Roman" w:hAnsi="Times New Roman" w:cs="Times New Roman"/>
          <w:i/>
          <w:sz w:val="28"/>
          <w:szCs w:val="28"/>
          <w:lang w:val="uk-UA"/>
        </w:rPr>
      </w:pPr>
      <w:r w:rsidRPr="00562D1D">
        <w:rPr>
          <w:rFonts w:ascii="Times New Roman" w:hAnsi="Times New Roman" w:cs="Times New Roman"/>
          <w:i/>
          <w:sz w:val="28"/>
          <w:szCs w:val="28"/>
          <w:lang w:val="uk-UA"/>
        </w:rPr>
        <w:t>Рис. 3.</w:t>
      </w:r>
      <w:r>
        <w:rPr>
          <w:rFonts w:ascii="Times New Roman" w:hAnsi="Times New Roman" w:cs="Times New Roman"/>
          <w:i/>
          <w:sz w:val="28"/>
          <w:szCs w:val="28"/>
          <w:lang w:val="uk-UA"/>
        </w:rPr>
        <w:t>3</w:t>
      </w:r>
      <w:r w:rsidRPr="00562D1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Баланс торгівлі товарами</w:t>
      </w:r>
      <w:r w:rsidRPr="00562D1D">
        <w:rPr>
          <w:rFonts w:ascii="Times New Roman" w:hAnsi="Times New Roman" w:cs="Times New Roman"/>
          <w:i/>
          <w:sz w:val="28"/>
          <w:szCs w:val="28"/>
          <w:lang w:val="uk-UA"/>
        </w:rPr>
        <w:t xml:space="preserve"> України </w:t>
      </w:r>
      <w:r>
        <w:rPr>
          <w:rFonts w:ascii="Times New Roman" w:hAnsi="Times New Roman" w:cs="Times New Roman"/>
          <w:i/>
          <w:sz w:val="28"/>
          <w:szCs w:val="28"/>
          <w:lang w:val="uk-UA"/>
        </w:rPr>
        <w:t xml:space="preserve">з </w:t>
      </w:r>
      <w:r w:rsidRPr="00562D1D">
        <w:rPr>
          <w:rFonts w:ascii="Times New Roman" w:hAnsi="Times New Roman" w:cs="Times New Roman"/>
          <w:i/>
          <w:sz w:val="28"/>
          <w:szCs w:val="28"/>
          <w:lang w:val="uk-UA"/>
        </w:rPr>
        <w:t xml:space="preserve">Португалію та Грецію у 2017-2023 рр. у тис. дол. США </w:t>
      </w:r>
    </w:p>
    <w:p w:rsidR="00562D1D" w:rsidRPr="00681002" w:rsidRDefault="00562D1D" w:rsidP="00562D1D">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726FB9">
        <w:rPr>
          <w:rFonts w:ascii="Times New Roman" w:hAnsi="Times New Roman" w:cs="Times New Roman"/>
          <w:sz w:val="28"/>
          <w:szCs w:val="28"/>
          <w:lang w:val="ru-RU"/>
        </w:rPr>
        <w:t>34</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144571" w:rsidRDefault="00440C66" w:rsidP="00681D5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Найбільшим сальдо торгівлі товарами з Португалією було у 2021 р., коли даний показник дорівнював 252,4 млн. дол. США. Загалом, стабільний профіцит в торгівлі з Португалією вдавалось підтримувати за рахунок експорту зер</w:t>
      </w:r>
      <w:r w:rsidR="00681D51">
        <w:rPr>
          <w:rFonts w:ascii="Times New Roman" w:hAnsi="Times New Roman" w:cs="Times New Roman"/>
          <w:sz w:val="28"/>
          <w:szCs w:val="28"/>
          <w:lang w:val="uk-UA"/>
        </w:rPr>
        <w:t xml:space="preserve">нових культур, а також металів. </w:t>
      </w:r>
      <w:r w:rsidR="00332772">
        <w:rPr>
          <w:rFonts w:ascii="Times New Roman" w:hAnsi="Times New Roman" w:cs="Times New Roman"/>
          <w:sz w:val="28"/>
          <w:szCs w:val="28"/>
          <w:lang w:val="uk-UA"/>
        </w:rPr>
        <w:t xml:space="preserve">З Грецією Україна мала профіцит протягом проаналізованого періоду лише в 2018 р., який тоді склав 9,4 млн. дол. США. З 2019 р. простежувалось зростання дефіциту торгівлі товарами, який у 2023 р. оцінювався у 1,1 млрд. дол. США за рахунок значного імпорту палива та нафти. </w:t>
      </w:r>
    </w:p>
    <w:p w:rsidR="00AF1121" w:rsidRDefault="00AF1121" w:rsidP="00681D5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Дані з торгівлі послугами України в розрізі країн надаються Державною Службою Статистики лише до 2021 р. У 2017-2021 рр. питома вага Португалії та Греції в експорті та імпорті послуг України не перевищувала 0,2% та 0,6% відповідно, що свідчить про низькі обсяги торгівлі послугами з даними країнами (табл. 3.3).</w:t>
      </w:r>
    </w:p>
    <w:p w:rsidR="00144571" w:rsidRPr="00562D1D" w:rsidRDefault="00144571" w:rsidP="00144571">
      <w:pPr>
        <w:spacing w:after="0" w:line="360" w:lineRule="auto"/>
        <w:ind w:firstLine="680"/>
        <w:jc w:val="right"/>
        <w:rPr>
          <w:rFonts w:ascii="Times New Roman" w:hAnsi="Times New Roman" w:cs="Times New Roman"/>
          <w:i/>
          <w:sz w:val="28"/>
          <w:szCs w:val="28"/>
          <w:lang w:val="uk-UA"/>
        </w:rPr>
      </w:pPr>
      <w:r w:rsidRPr="00562D1D">
        <w:rPr>
          <w:rFonts w:ascii="Times New Roman" w:hAnsi="Times New Roman" w:cs="Times New Roman"/>
          <w:i/>
          <w:sz w:val="28"/>
          <w:szCs w:val="28"/>
          <w:lang w:val="uk-UA"/>
        </w:rPr>
        <w:t>Таблиця 3.</w:t>
      </w:r>
      <w:r>
        <w:rPr>
          <w:rFonts w:ascii="Times New Roman" w:hAnsi="Times New Roman" w:cs="Times New Roman"/>
          <w:i/>
          <w:sz w:val="28"/>
          <w:szCs w:val="28"/>
          <w:lang w:val="uk-UA"/>
        </w:rPr>
        <w:t>3</w:t>
      </w:r>
    </w:p>
    <w:p w:rsidR="00144571" w:rsidRPr="00562D1D" w:rsidRDefault="00144571" w:rsidP="00144571">
      <w:pPr>
        <w:spacing w:after="0" w:line="360" w:lineRule="auto"/>
        <w:ind w:firstLine="680"/>
        <w:jc w:val="center"/>
        <w:rPr>
          <w:rFonts w:ascii="Times New Roman" w:hAnsi="Times New Roman" w:cs="Times New Roman"/>
          <w:i/>
          <w:sz w:val="28"/>
          <w:szCs w:val="28"/>
          <w:lang w:val="uk-UA"/>
        </w:rPr>
      </w:pPr>
      <w:r>
        <w:rPr>
          <w:rFonts w:ascii="Times New Roman" w:hAnsi="Times New Roman" w:cs="Times New Roman"/>
          <w:i/>
          <w:sz w:val="28"/>
          <w:szCs w:val="28"/>
          <w:lang w:val="uk-UA"/>
        </w:rPr>
        <w:t>Обсяг експорту та імпорту послуг</w:t>
      </w:r>
      <w:r w:rsidRPr="00562D1D">
        <w:rPr>
          <w:rFonts w:ascii="Times New Roman" w:hAnsi="Times New Roman" w:cs="Times New Roman"/>
          <w:i/>
          <w:sz w:val="28"/>
          <w:szCs w:val="28"/>
          <w:lang w:val="uk-UA"/>
        </w:rPr>
        <w:t xml:space="preserve"> України </w:t>
      </w:r>
      <w:r>
        <w:rPr>
          <w:rFonts w:ascii="Times New Roman" w:hAnsi="Times New Roman" w:cs="Times New Roman"/>
          <w:i/>
          <w:sz w:val="28"/>
          <w:szCs w:val="28"/>
          <w:lang w:val="uk-UA"/>
        </w:rPr>
        <w:t>з</w:t>
      </w:r>
      <w:r w:rsidRPr="00562D1D">
        <w:rPr>
          <w:rFonts w:ascii="Times New Roman" w:hAnsi="Times New Roman" w:cs="Times New Roman"/>
          <w:i/>
          <w:sz w:val="28"/>
          <w:szCs w:val="28"/>
          <w:lang w:val="uk-UA"/>
        </w:rPr>
        <w:t xml:space="preserve"> Португалі</w:t>
      </w:r>
      <w:r>
        <w:rPr>
          <w:rFonts w:ascii="Times New Roman" w:hAnsi="Times New Roman" w:cs="Times New Roman"/>
          <w:i/>
          <w:sz w:val="28"/>
          <w:szCs w:val="28"/>
          <w:lang w:val="uk-UA"/>
        </w:rPr>
        <w:t>єю</w:t>
      </w:r>
      <w:r w:rsidRPr="00562D1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й</w:t>
      </w:r>
      <w:r w:rsidRPr="00562D1D">
        <w:rPr>
          <w:rFonts w:ascii="Times New Roman" w:hAnsi="Times New Roman" w:cs="Times New Roman"/>
          <w:i/>
          <w:sz w:val="28"/>
          <w:szCs w:val="28"/>
          <w:lang w:val="uk-UA"/>
        </w:rPr>
        <w:t xml:space="preserve"> Греці</w:t>
      </w:r>
      <w:r>
        <w:rPr>
          <w:rFonts w:ascii="Times New Roman" w:hAnsi="Times New Roman" w:cs="Times New Roman"/>
          <w:i/>
          <w:sz w:val="28"/>
          <w:szCs w:val="28"/>
          <w:lang w:val="uk-UA"/>
        </w:rPr>
        <w:t>єю</w:t>
      </w:r>
      <w:r w:rsidRPr="00562D1D">
        <w:rPr>
          <w:rFonts w:ascii="Times New Roman" w:hAnsi="Times New Roman" w:cs="Times New Roman"/>
          <w:i/>
          <w:sz w:val="28"/>
          <w:szCs w:val="28"/>
          <w:lang w:val="uk-UA"/>
        </w:rPr>
        <w:t xml:space="preserve"> у 202</w:t>
      </w:r>
      <w:r>
        <w:rPr>
          <w:rFonts w:ascii="Times New Roman" w:hAnsi="Times New Roman" w:cs="Times New Roman"/>
          <w:i/>
          <w:sz w:val="28"/>
          <w:szCs w:val="28"/>
          <w:lang w:val="uk-UA"/>
        </w:rPr>
        <w:t>1</w:t>
      </w:r>
      <w:r w:rsidRPr="00562D1D">
        <w:rPr>
          <w:rFonts w:ascii="Times New Roman" w:hAnsi="Times New Roman" w:cs="Times New Roman"/>
          <w:i/>
          <w:sz w:val="28"/>
          <w:szCs w:val="28"/>
          <w:lang w:val="uk-UA"/>
        </w:rPr>
        <w:t xml:space="preserve"> р.</w:t>
      </w:r>
    </w:p>
    <w:tbl>
      <w:tblPr>
        <w:tblW w:w="10240" w:type="dxa"/>
        <w:jc w:val="center"/>
        <w:tblLook w:val="04A0" w:firstRow="1" w:lastRow="0" w:firstColumn="1" w:lastColumn="0" w:noHBand="0" w:noVBand="1"/>
      </w:tblPr>
      <w:tblGrid>
        <w:gridCol w:w="3256"/>
        <w:gridCol w:w="1417"/>
        <w:gridCol w:w="1418"/>
        <w:gridCol w:w="1417"/>
        <w:gridCol w:w="1418"/>
        <w:gridCol w:w="1314"/>
      </w:tblGrid>
      <w:tr w:rsidR="00144571" w:rsidRPr="00144571" w:rsidTr="00144571">
        <w:trPr>
          <w:trHeight w:val="315"/>
          <w:jc w:val="center"/>
        </w:trPr>
        <w:tc>
          <w:tcPr>
            <w:tcW w:w="3256" w:type="dxa"/>
            <w:tcBorders>
              <w:top w:val="nil"/>
              <w:left w:val="nil"/>
              <w:bottom w:val="nil"/>
              <w:right w:val="nil"/>
            </w:tcBorders>
            <w:shd w:val="clear" w:color="auto" w:fill="auto"/>
            <w:vAlign w:val="center"/>
            <w:hideMark/>
          </w:tcPr>
          <w:p w:rsidR="00144571" w:rsidRPr="00144571" w:rsidRDefault="00144571" w:rsidP="00144571">
            <w:pPr>
              <w:spacing w:after="0" w:line="240" w:lineRule="auto"/>
              <w:rPr>
                <w:rFonts w:ascii="Times New Roman" w:eastAsia="Times New Roman" w:hAnsi="Times New Roman"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44571" w:rsidRPr="00144571" w:rsidRDefault="00144571" w:rsidP="00144571">
            <w:pPr>
              <w:spacing w:after="0" w:line="240" w:lineRule="auto"/>
              <w:jc w:val="center"/>
              <w:rPr>
                <w:rFonts w:ascii="Times New Roman" w:eastAsia="Times New Roman" w:hAnsi="Times New Roman" w:cs="Times New Roman"/>
                <w:b/>
                <w:bCs/>
                <w:sz w:val="24"/>
                <w:szCs w:val="24"/>
                <w:lang w:val="uk-UA"/>
              </w:rPr>
            </w:pPr>
            <w:r w:rsidRPr="00144571">
              <w:rPr>
                <w:rFonts w:ascii="Times New Roman" w:eastAsia="Times New Roman" w:hAnsi="Times New Roman" w:cs="Times New Roman"/>
                <w:b/>
                <w:bCs/>
                <w:sz w:val="24"/>
                <w:szCs w:val="24"/>
                <w:lang w:val="uk-UA"/>
              </w:rPr>
              <w:t>2017</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144571" w:rsidRPr="00144571" w:rsidRDefault="00144571" w:rsidP="00144571">
            <w:pPr>
              <w:spacing w:after="0" w:line="240" w:lineRule="auto"/>
              <w:jc w:val="center"/>
              <w:rPr>
                <w:rFonts w:ascii="Times New Roman" w:eastAsia="Times New Roman" w:hAnsi="Times New Roman" w:cs="Times New Roman"/>
                <w:b/>
                <w:bCs/>
                <w:sz w:val="24"/>
                <w:szCs w:val="24"/>
                <w:lang w:val="uk-UA"/>
              </w:rPr>
            </w:pPr>
            <w:r w:rsidRPr="00144571">
              <w:rPr>
                <w:rFonts w:ascii="Times New Roman" w:eastAsia="Times New Roman" w:hAnsi="Times New Roman" w:cs="Times New Roman"/>
                <w:b/>
                <w:bCs/>
                <w:sz w:val="24"/>
                <w:szCs w:val="24"/>
                <w:lang w:val="uk-UA"/>
              </w:rPr>
              <w:t>2018</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144571" w:rsidRPr="00144571" w:rsidRDefault="00144571" w:rsidP="00144571">
            <w:pPr>
              <w:spacing w:after="0" w:line="240" w:lineRule="auto"/>
              <w:jc w:val="center"/>
              <w:rPr>
                <w:rFonts w:ascii="Times New Roman" w:eastAsia="Times New Roman" w:hAnsi="Times New Roman" w:cs="Times New Roman"/>
                <w:b/>
                <w:bCs/>
                <w:sz w:val="24"/>
                <w:szCs w:val="24"/>
                <w:lang w:val="uk-UA"/>
              </w:rPr>
            </w:pPr>
            <w:r w:rsidRPr="00144571">
              <w:rPr>
                <w:rFonts w:ascii="Times New Roman" w:eastAsia="Times New Roman" w:hAnsi="Times New Roman" w:cs="Times New Roman"/>
                <w:b/>
                <w:bCs/>
                <w:sz w:val="24"/>
                <w:szCs w:val="24"/>
                <w:lang w:val="uk-UA"/>
              </w:rPr>
              <w:t>2019</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144571" w:rsidRPr="00144571" w:rsidRDefault="00144571" w:rsidP="00144571">
            <w:pPr>
              <w:spacing w:after="0" w:line="240" w:lineRule="auto"/>
              <w:jc w:val="center"/>
              <w:rPr>
                <w:rFonts w:ascii="Times New Roman" w:eastAsia="Times New Roman" w:hAnsi="Times New Roman" w:cs="Times New Roman"/>
                <w:b/>
                <w:bCs/>
                <w:sz w:val="24"/>
                <w:szCs w:val="24"/>
                <w:lang w:val="uk-UA"/>
              </w:rPr>
            </w:pPr>
            <w:r w:rsidRPr="00144571">
              <w:rPr>
                <w:rFonts w:ascii="Times New Roman" w:eastAsia="Times New Roman" w:hAnsi="Times New Roman" w:cs="Times New Roman"/>
                <w:b/>
                <w:bCs/>
                <w:sz w:val="24"/>
                <w:szCs w:val="24"/>
                <w:lang w:val="uk-UA"/>
              </w:rPr>
              <w:t>2020</w:t>
            </w:r>
          </w:p>
        </w:tc>
        <w:tc>
          <w:tcPr>
            <w:tcW w:w="1314" w:type="dxa"/>
            <w:tcBorders>
              <w:top w:val="single" w:sz="4" w:space="0" w:color="auto"/>
              <w:left w:val="nil"/>
              <w:bottom w:val="single" w:sz="4" w:space="0" w:color="auto"/>
              <w:right w:val="single" w:sz="4" w:space="0" w:color="auto"/>
            </w:tcBorders>
            <w:shd w:val="clear" w:color="auto" w:fill="auto"/>
            <w:vAlign w:val="center"/>
            <w:hideMark/>
          </w:tcPr>
          <w:p w:rsidR="00144571" w:rsidRPr="00144571" w:rsidRDefault="00144571" w:rsidP="00144571">
            <w:pPr>
              <w:spacing w:after="0" w:line="240" w:lineRule="auto"/>
              <w:jc w:val="center"/>
              <w:rPr>
                <w:rFonts w:ascii="Times New Roman" w:eastAsia="Times New Roman" w:hAnsi="Times New Roman" w:cs="Times New Roman"/>
                <w:b/>
                <w:bCs/>
                <w:sz w:val="24"/>
                <w:szCs w:val="24"/>
                <w:lang w:val="uk-UA"/>
              </w:rPr>
            </w:pPr>
            <w:r w:rsidRPr="00144571">
              <w:rPr>
                <w:rFonts w:ascii="Times New Roman" w:eastAsia="Times New Roman" w:hAnsi="Times New Roman" w:cs="Times New Roman"/>
                <w:b/>
                <w:bCs/>
                <w:sz w:val="24"/>
                <w:szCs w:val="24"/>
                <w:lang w:val="uk-UA"/>
              </w:rPr>
              <w:t>2021</w:t>
            </w:r>
          </w:p>
        </w:tc>
      </w:tr>
      <w:tr w:rsidR="00144571" w:rsidRPr="00144571" w:rsidTr="00144571">
        <w:trPr>
          <w:trHeight w:val="315"/>
          <w:jc w:val="center"/>
        </w:trPr>
        <w:tc>
          <w:tcPr>
            <w:tcW w:w="10240"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4571" w:rsidRPr="00144571" w:rsidRDefault="00144571" w:rsidP="00144571">
            <w:pPr>
              <w:spacing w:after="0" w:line="240" w:lineRule="auto"/>
              <w:jc w:val="center"/>
              <w:rPr>
                <w:rFonts w:ascii="Times New Roman" w:eastAsia="Times New Roman" w:hAnsi="Times New Roman" w:cs="Times New Roman"/>
                <w:b/>
                <w:bCs/>
                <w:color w:val="000000"/>
                <w:sz w:val="24"/>
                <w:szCs w:val="24"/>
                <w:lang w:val="uk-UA"/>
              </w:rPr>
            </w:pPr>
            <w:r w:rsidRPr="00144571">
              <w:rPr>
                <w:rFonts w:ascii="Times New Roman" w:eastAsia="Times New Roman" w:hAnsi="Times New Roman" w:cs="Times New Roman"/>
                <w:b/>
                <w:bCs/>
                <w:color w:val="000000"/>
                <w:sz w:val="24"/>
                <w:szCs w:val="24"/>
                <w:lang w:val="uk-UA"/>
              </w:rPr>
              <w:t>Експорт послуг</w:t>
            </w:r>
          </w:p>
        </w:tc>
      </w:tr>
      <w:tr w:rsidR="00144571" w:rsidRPr="00144571" w:rsidTr="00144571">
        <w:trPr>
          <w:trHeight w:val="315"/>
          <w:jc w:val="center"/>
        </w:trPr>
        <w:tc>
          <w:tcPr>
            <w:tcW w:w="3256" w:type="dxa"/>
            <w:tcBorders>
              <w:top w:val="nil"/>
              <w:left w:val="single" w:sz="4" w:space="0" w:color="auto"/>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Португалія (тис. дол. США)</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6 290</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5 506</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24 812</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12 227</w:t>
            </w:r>
          </w:p>
        </w:tc>
        <w:tc>
          <w:tcPr>
            <w:tcW w:w="1314"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12 209</w:t>
            </w:r>
          </w:p>
        </w:tc>
      </w:tr>
      <w:tr w:rsidR="00144571" w:rsidRPr="00144571" w:rsidTr="00144571">
        <w:trPr>
          <w:trHeight w:val="315"/>
          <w:jc w:val="center"/>
        </w:trPr>
        <w:tc>
          <w:tcPr>
            <w:tcW w:w="3256" w:type="dxa"/>
            <w:tcBorders>
              <w:top w:val="nil"/>
              <w:left w:val="single" w:sz="4" w:space="0" w:color="auto"/>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Греція (тис. дол. США)</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25 352</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23 065</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6 179</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6 252</w:t>
            </w:r>
          </w:p>
        </w:tc>
        <w:tc>
          <w:tcPr>
            <w:tcW w:w="1314"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7 724</w:t>
            </w:r>
          </w:p>
        </w:tc>
      </w:tr>
      <w:tr w:rsidR="00144571" w:rsidRPr="00144571" w:rsidTr="00144571">
        <w:trPr>
          <w:trHeight w:val="315"/>
          <w:jc w:val="center"/>
        </w:trPr>
        <w:tc>
          <w:tcPr>
            <w:tcW w:w="3256" w:type="dxa"/>
            <w:tcBorders>
              <w:top w:val="nil"/>
              <w:left w:val="single" w:sz="4" w:space="0" w:color="auto"/>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Португалія (% від усього)</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0,1%</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0,2%</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0,1%</w:t>
            </w:r>
          </w:p>
        </w:tc>
        <w:tc>
          <w:tcPr>
            <w:tcW w:w="1314"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0,1%</w:t>
            </w:r>
          </w:p>
        </w:tc>
      </w:tr>
      <w:tr w:rsidR="00144571" w:rsidRPr="00144571" w:rsidTr="00144571">
        <w:trPr>
          <w:trHeight w:val="315"/>
          <w:jc w:val="center"/>
        </w:trPr>
        <w:tc>
          <w:tcPr>
            <w:tcW w:w="3256" w:type="dxa"/>
            <w:tcBorders>
              <w:top w:val="nil"/>
              <w:left w:val="single" w:sz="4" w:space="0" w:color="auto"/>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Греція (% від усього)</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0,2%</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0,2%</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0,1%</w:t>
            </w:r>
          </w:p>
        </w:tc>
        <w:tc>
          <w:tcPr>
            <w:tcW w:w="1314"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0,1%</w:t>
            </w:r>
          </w:p>
        </w:tc>
      </w:tr>
      <w:tr w:rsidR="00144571" w:rsidRPr="00144571" w:rsidTr="00144571">
        <w:trPr>
          <w:trHeight w:val="315"/>
          <w:jc w:val="center"/>
        </w:trPr>
        <w:tc>
          <w:tcPr>
            <w:tcW w:w="10240"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4571" w:rsidRPr="00144571" w:rsidRDefault="00144571" w:rsidP="00144571">
            <w:pPr>
              <w:spacing w:after="0" w:line="240" w:lineRule="auto"/>
              <w:jc w:val="center"/>
              <w:rPr>
                <w:rFonts w:ascii="Times New Roman" w:eastAsia="Times New Roman" w:hAnsi="Times New Roman" w:cs="Times New Roman"/>
                <w:b/>
                <w:bCs/>
                <w:color w:val="000000"/>
                <w:sz w:val="24"/>
                <w:szCs w:val="24"/>
                <w:lang w:val="uk-UA"/>
              </w:rPr>
            </w:pPr>
            <w:r w:rsidRPr="00144571">
              <w:rPr>
                <w:rFonts w:ascii="Times New Roman" w:eastAsia="Times New Roman" w:hAnsi="Times New Roman" w:cs="Times New Roman"/>
                <w:b/>
                <w:bCs/>
                <w:color w:val="000000"/>
                <w:sz w:val="24"/>
                <w:szCs w:val="24"/>
                <w:lang w:val="uk-UA"/>
              </w:rPr>
              <w:t>Імпорт послуг</w:t>
            </w:r>
          </w:p>
        </w:tc>
      </w:tr>
      <w:tr w:rsidR="00144571" w:rsidRPr="00144571" w:rsidTr="00144571">
        <w:trPr>
          <w:trHeight w:val="315"/>
          <w:jc w:val="center"/>
        </w:trPr>
        <w:tc>
          <w:tcPr>
            <w:tcW w:w="3256" w:type="dxa"/>
            <w:tcBorders>
              <w:top w:val="nil"/>
              <w:left w:val="single" w:sz="4" w:space="0" w:color="auto"/>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Португалія (тис. дол. США)</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10 099</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20 233</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38 710</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10 518</w:t>
            </w:r>
          </w:p>
        </w:tc>
        <w:tc>
          <w:tcPr>
            <w:tcW w:w="1314"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47 781</w:t>
            </w:r>
          </w:p>
        </w:tc>
      </w:tr>
      <w:tr w:rsidR="00144571" w:rsidRPr="00144571" w:rsidTr="00144571">
        <w:trPr>
          <w:trHeight w:val="315"/>
          <w:jc w:val="center"/>
        </w:trPr>
        <w:tc>
          <w:tcPr>
            <w:tcW w:w="3256" w:type="dxa"/>
            <w:tcBorders>
              <w:top w:val="nil"/>
              <w:left w:val="single" w:sz="4" w:space="0" w:color="auto"/>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Греція (тис. дол. США)</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26 693</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29 959</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13 737</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3 815</w:t>
            </w:r>
          </w:p>
        </w:tc>
        <w:tc>
          <w:tcPr>
            <w:tcW w:w="1314"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15 238</w:t>
            </w:r>
          </w:p>
        </w:tc>
      </w:tr>
      <w:tr w:rsidR="00144571" w:rsidRPr="00144571" w:rsidTr="00144571">
        <w:trPr>
          <w:trHeight w:val="315"/>
          <w:jc w:val="center"/>
        </w:trPr>
        <w:tc>
          <w:tcPr>
            <w:tcW w:w="3256" w:type="dxa"/>
            <w:tcBorders>
              <w:top w:val="nil"/>
              <w:left w:val="single" w:sz="4" w:space="0" w:color="auto"/>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Португалія (% від усього)</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0,2%</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0,3%</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0,6%</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0,2%</w:t>
            </w:r>
          </w:p>
        </w:tc>
        <w:tc>
          <w:tcPr>
            <w:tcW w:w="1314"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0,6%</w:t>
            </w:r>
          </w:p>
        </w:tc>
      </w:tr>
      <w:tr w:rsidR="00144571" w:rsidRPr="00144571" w:rsidTr="00144571">
        <w:trPr>
          <w:trHeight w:val="315"/>
          <w:jc w:val="center"/>
        </w:trPr>
        <w:tc>
          <w:tcPr>
            <w:tcW w:w="3256" w:type="dxa"/>
            <w:tcBorders>
              <w:top w:val="nil"/>
              <w:left w:val="single" w:sz="4" w:space="0" w:color="auto"/>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Греція (% від усього)</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0,5%</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0,5%</w:t>
            </w:r>
          </w:p>
        </w:tc>
        <w:tc>
          <w:tcPr>
            <w:tcW w:w="1417"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0,2%</w:t>
            </w:r>
          </w:p>
        </w:tc>
        <w:tc>
          <w:tcPr>
            <w:tcW w:w="1418"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0,1%</w:t>
            </w:r>
          </w:p>
        </w:tc>
        <w:tc>
          <w:tcPr>
            <w:tcW w:w="1314" w:type="dxa"/>
            <w:tcBorders>
              <w:top w:val="nil"/>
              <w:left w:val="nil"/>
              <w:bottom w:val="single" w:sz="4" w:space="0" w:color="auto"/>
              <w:right w:val="single" w:sz="4" w:space="0" w:color="auto"/>
            </w:tcBorders>
            <w:shd w:val="clear" w:color="auto" w:fill="auto"/>
            <w:noWrap/>
            <w:vAlign w:val="center"/>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0,2%</w:t>
            </w:r>
          </w:p>
        </w:tc>
      </w:tr>
    </w:tbl>
    <w:p w:rsidR="00144571" w:rsidRPr="00681002" w:rsidRDefault="00144571" w:rsidP="0014457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726FB9">
        <w:rPr>
          <w:rFonts w:ascii="Times New Roman" w:hAnsi="Times New Roman" w:cs="Times New Roman"/>
          <w:sz w:val="28"/>
          <w:szCs w:val="28"/>
          <w:lang w:val="ru-RU"/>
        </w:rPr>
        <w:t>35</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DC3991" w:rsidRDefault="0026378C"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Найбільшу частку в структурі експорту послуг України за видами з Португалією та Грецією займали транспортні послуги, питома вага яких у 2021 р. склала 29,6% для Португалії та 75,2% для Греції. Найбільший обсяг імпорту послуг з Португалії займали також транспортні послуги (67,6%), а з Греції – послуги, </w:t>
      </w:r>
      <w:r>
        <w:rPr>
          <w:rFonts w:ascii="Times New Roman" w:hAnsi="Times New Roman" w:cs="Times New Roman"/>
          <w:sz w:val="28"/>
          <w:szCs w:val="28"/>
          <w:lang w:val="uk-UA"/>
        </w:rPr>
        <w:lastRenderedPageBreak/>
        <w:t>пов’язані з подорожами (63,9%). Ці дані свідчать про низьку диверсифікацію торгівлі послугами.</w:t>
      </w:r>
    </w:p>
    <w:p w:rsidR="00144571" w:rsidRDefault="00D06027"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Дані щодо інвестиційних потоків України в розрізі країн надавались Національним Банком України лише на кінець 2022 р. Так, станом на даний період питома вага Португалії та Греції в залишках прямих інвестицій в Україну становила лише 0,02% та 0,04%, що є незначним показником (табл. 3.4).</w:t>
      </w:r>
    </w:p>
    <w:p w:rsidR="00144571" w:rsidRPr="00562D1D" w:rsidRDefault="00144571" w:rsidP="00144571">
      <w:pPr>
        <w:spacing w:after="0" w:line="360" w:lineRule="auto"/>
        <w:ind w:firstLine="680"/>
        <w:jc w:val="right"/>
        <w:rPr>
          <w:rFonts w:ascii="Times New Roman" w:hAnsi="Times New Roman" w:cs="Times New Roman"/>
          <w:i/>
          <w:sz w:val="28"/>
          <w:szCs w:val="28"/>
          <w:lang w:val="uk-UA"/>
        </w:rPr>
      </w:pPr>
      <w:r w:rsidRPr="00562D1D">
        <w:rPr>
          <w:rFonts w:ascii="Times New Roman" w:hAnsi="Times New Roman" w:cs="Times New Roman"/>
          <w:i/>
          <w:sz w:val="28"/>
          <w:szCs w:val="28"/>
          <w:lang w:val="uk-UA"/>
        </w:rPr>
        <w:t>Таблиця 3.</w:t>
      </w:r>
      <w:r>
        <w:rPr>
          <w:rFonts w:ascii="Times New Roman" w:hAnsi="Times New Roman" w:cs="Times New Roman"/>
          <w:i/>
          <w:sz w:val="28"/>
          <w:szCs w:val="28"/>
          <w:lang w:val="uk-UA"/>
        </w:rPr>
        <w:t>4</w:t>
      </w:r>
    </w:p>
    <w:p w:rsidR="00144571" w:rsidRPr="00562D1D" w:rsidRDefault="00144571" w:rsidP="00144571">
      <w:pPr>
        <w:spacing w:after="0" w:line="360" w:lineRule="auto"/>
        <w:ind w:firstLine="680"/>
        <w:jc w:val="center"/>
        <w:rPr>
          <w:rFonts w:ascii="Times New Roman" w:hAnsi="Times New Roman" w:cs="Times New Roman"/>
          <w:i/>
          <w:sz w:val="28"/>
          <w:szCs w:val="28"/>
          <w:lang w:val="uk-UA"/>
        </w:rPr>
      </w:pPr>
      <w:r>
        <w:rPr>
          <w:rFonts w:ascii="Times New Roman" w:hAnsi="Times New Roman" w:cs="Times New Roman"/>
          <w:i/>
          <w:sz w:val="28"/>
          <w:szCs w:val="28"/>
          <w:lang w:val="uk-UA"/>
        </w:rPr>
        <w:t>Залишки за прямими інвестиціями з Португалії й Греції в Україні у 2022 р.</w:t>
      </w:r>
    </w:p>
    <w:tbl>
      <w:tblPr>
        <w:tblW w:w="10060" w:type="dxa"/>
        <w:jc w:val="center"/>
        <w:tblLook w:val="04A0" w:firstRow="1" w:lastRow="0" w:firstColumn="1" w:lastColumn="0" w:noHBand="0" w:noVBand="1"/>
      </w:tblPr>
      <w:tblGrid>
        <w:gridCol w:w="3256"/>
        <w:gridCol w:w="1134"/>
        <w:gridCol w:w="1134"/>
        <w:gridCol w:w="1134"/>
        <w:gridCol w:w="1134"/>
        <w:gridCol w:w="1134"/>
        <w:gridCol w:w="1134"/>
      </w:tblGrid>
      <w:tr w:rsidR="00144571" w:rsidRPr="00144571" w:rsidTr="00144571">
        <w:trPr>
          <w:trHeight w:val="315"/>
          <w:jc w:val="center"/>
        </w:trPr>
        <w:tc>
          <w:tcPr>
            <w:tcW w:w="3256" w:type="dxa"/>
            <w:tcBorders>
              <w:top w:val="nil"/>
              <w:left w:val="nil"/>
              <w:bottom w:val="nil"/>
              <w:right w:val="nil"/>
            </w:tcBorders>
            <w:shd w:val="clear" w:color="auto" w:fill="auto"/>
            <w:noWrap/>
            <w:vAlign w:val="bottom"/>
            <w:hideMark/>
          </w:tcPr>
          <w:p w:rsidR="00144571" w:rsidRPr="00144571" w:rsidRDefault="00144571" w:rsidP="00144571">
            <w:pPr>
              <w:spacing w:after="0" w:line="240" w:lineRule="auto"/>
              <w:rPr>
                <w:rFonts w:ascii="Times New Roman" w:eastAsia="Times New Roman" w:hAnsi="Times New Roman" w:cs="Times New Roman"/>
                <w:sz w:val="24"/>
                <w:szCs w:val="24"/>
                <w:lang w:val="uk-UA"/>
              </w:rPr>
            </w:pP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rsidR="00144571" w:rsidRPr="00144571" w:rsidRDefault="00144571" w:rsidP="00144571">
            <w:pPr>
              <w:spacing w:after="0" w:line="240" w:lineRule="auto"/>
              <w:jc w:val="center"/>
              <w:rPr>
                <w:rFonts w:ascii="Times New Roman" w:eastAsia="Times New Roman" w:hAnsi="Times New Roman" w:cs="Times New Roman"/>
                <w:b/>
                <w:bCs/>
                <w:sz w:val="24"/>
                <w:szCs w:val="24"/>
                <w:lang w:val="uk-UA"/>
              </w:rPr>
            </w:pPr>
            <w:r w:rsidRPr="00144571">
              <w:rPr>
                <w:rFonts w:ascii="Times New Roman" w:eastAsia="Times New Roman" w:hAnsi="Times New Roman" w:cs="Times New Roman"/>
                <w:b/>
                <w:bCs/>
                <w:sz w:val="24"/>
                <w:szCs w:val="24"/>
                <w:lang w:val="uk-UA"/>
              </w:rPr>
              <w:t>2017</w:t>
            </w:r>
          </w:p>
        </w:tc>
        <w:tc>
          <w:tcPr>
            <w:tcW w:w="1134" w:type="dxa"/>
            <w:tcBorders>
              <w:top w:val="single" w:sz="4" w:space="0" w:color="auto"/>
              <w:left w:val="nil"/>
              <w:bottom w:val="single" w:sz="4" w:space="0" w:color="auto"/>
              <w:right w:val="single" w:sz="4" w:space="0" w:color="auto"/>
            </w:tcBorders>
            <w:shd w:val="clear" w:color="auto" w:fill="auto"/>
            <w:hideMark/>
          </w:tcPr>
          <w:p w:rsidR="00144571" w:rsidRPr="00144571" w:rsidRDefault="00144571" w:rsidP="00144571">
            <w:pPr>
              <w:spacing w:after="0" w:line="240" w:lineRule="auto"/>
              <w:jc w:val="center"/>
              <w:rPr>
                <w:rFonts w:ascii="Times New Roman" w:eastAsia="Times New Roman" w:hAnsi="Times New Roman" w:cs="Times New Roman"/>
                <w:b/>
                <w:bCs/>
                <w:sz w:val="24"/>
                <w:szCs w:val="24"/>
                <w:lang w:val="uk-UA"/>
              </w:rPr>
            </w:pPr>
            <w:r w:rsidRPr="00144571">
              <w:rPr>
                <w:rFonts w:ascii="Times New Roman" w:eastAsia="Times New Roman" w:hAnsi="Times New Roman" w:cs="Times New Roman"/>
                <w:b/>
                <w:bCs/>
                <w:sz w:val="24"/>
                <w:szCs w:val="24"/>
                <w:lang w:val="uk-UA"/>
              </w:rPr>
              <w:t>2018</w:t>
            </w:r>
          </w:p>
        </w:tc>
        <w:tc>
          <w:tcPr>
            <w:tcW w:w="1134" w:type="dxa"/>
            <w:tcBorders>
              <w:top w:val="single" w:sz="4" w:space="0" w:color="auto"/>
              <w:left w:val="nil"/>
              <w:bottom w:val="single" w:sz="4" w:space="0" w:color="auto"/>
              <w:right w:val="single" w:sz="4" w:space="0" w:color="auto"/>
            </w:tcBorders>
            <w:shd w:val="clear" w:color="auto" w:fill="auto"/>
            <w:hideMark/>
          </w:tcPr>
          <w:p w:rsidR="00144571" w:rsidRPr="00144571" w:rsidRDefault="00144571" w:rsidP="00144571">
            <w:pPr>
              <w:spacing w:after="0" w:line="240" w:lineRule="auto"/>
              <w:jc w:val="center"/>
              <w:rPr>
                <w:rFonts w:ascii="Times New Roman" w:eastAsia="Times New Roman" w:hAnsi="Times New Roman" w:cs="Times New Roman"/>
                <w:b/>
                <w:bCs/>
                <w:sz w:val="24"/>
                <w:szCs w:val="24"/>
                <w:lang w:val="uk-UA"/>
              </w:rPr>
            </w:pPr>
            <w:r w:rsidRPr="00144571">
              <w:rPr>
                <w:rFonts w:ascii="Times New Roman" w:eastAsia="Times New Roman" w:hAnsi="Times New Roman" w:cs="Times New Roman"/>
                <w:b/>
                <w:bCs/>
                <w:sz w:val="24"/>
                <w:szCs w:val="24"/>
                <w:lang w:val="uk-UA"/>
              </w:rPr>
              <w:t>2019</w:t>
            </w:r>
          </w:p>
        </w:tc>
        <w:tc>
          <w:tcPr>
            <w:tcW w:w="1134" w:type="dxa"/>
            <w:tcBorders>
              <w:top w:val="single" w:sz="4" w:space="0" w:color="auto"/>
              <w:left w:val="nil"/>
              <w:bottom w:val="single" w:sz="4" w:space="0" w:color="auto"/>
              <w:right w:val="single" w:sz="4" w:space="0" w:color="auto"/>
            </w:tcBorders>
            <w:shd w:val="clear" w:color="auto" w:fill="auto"/>
            <w:hideMark/>
          </w:tcPr>
          <w:p w:rsidR="00144571" w:rsidRPr="00144571" w:rsidRDefault="00144571" w:rsidP="00144571">
            <w:pPr>
              <w:spacing w:after="0" w:line="240" w:lineRule="auto"/>
              <w:jc w:val="center"/>
              <w:rPr>
                <w:rFonts w:ascii="Times New Roman" w:eastAsia="Times New Roman" w:hAnsi="Times New Roman" w:cs="Times New Roman"/>
                <w:b/>
                <w:bCs/>
                <w:sz w:val="24"/>
                <w:szCs w:val="24"/>
                <w:lang w:val="uk-UA"/>
              </w:rPr>
            </w:pPr>
            <w:r w:rsidRPr="00144571">
              <w:rPr>
                <w:rFonts w:ascii="Times New Roman" w:eastAsia="Times New Roman" w:hAnsi="Times New Roman" w:cs="Times New Roman"/>
                <w:b/>
                <w:bCs/>
                <w:sz w:val="24"/>
                <w:szCs w:val="24"/>
                <w:lang w:val="uk-UA"/>
              </w:rPr>
              <w:t>2020</w:t>
            </w:r>
          </w:p>
        </w:tc>
        <w:tc>
          <w:tcPr>
            <w:tcW w:w="1134" w:type="dxa"/>
            <w:tcBorders>
              <w:top w:val="single" w:sz="4" w:space="0" w:color="auto"/>
              <w:left w:val="nil"/>
              <w:bottom w:val="single" w:sz="4" w:space="0" w:color="auto"/>
              <w:right w:val="single" w:sz="4" w:space="0" w:color="auto"/>
            </w:tcBorders>
            <w:shd w:val="clear" w:color="auto" w:fill="auto"/>
            <w:hideMark/>
          </w:tcPr>
          <w:p w:rsidR="00144571" w:rsidRPr="00144571" w:rsidRDefault="00144571" w:rsidP="00144571">
            <w:pPr>
              <w:spacing w:after="0" w:line="240" w:lineRule="auto"/>
              <w:jc w:val="center"/>
              <w:rPr>
                <w:rFonts w:ascii="Times New Roman" w:eastAsia="Times New Roman" w:hAnsi="Times New Roman" w:cs="Times New Roman"/>
                <w:b/>
                <w:bCs/>
                <w:sz w:val="24"/>
                <w:szCs w:val="24"/>
                <w:lang w:val="uk-UA"/>
              </w:rPr>
            </w:pPr>
            <w:r w:rsidRPr="00144571">
              <w:rPr>
                <w:rFonts w:ascii="Times New Roman" w:eastAsia="Times New Roman" w:hAnsi="Times New Roman" w:cs="Times New Roman"/>
                <w:b/>
                <w:bCs/>
                <w:sz w:val="24"/>
                <w:szCs w:val="24"/>
                <w:lang w:val="uk-UA"/>
              </w:rPr>
              <w:t>2021</w:t>
            </w:r>
          </w:p>
        </w:tc>
        <w:tc>
          <w:tcPr>
            <w:tcW w:w="1134" w:type="dxa"/>
            <w:tcBorders>
              <w:top w:val="single" w:sz="4" w:space="0" w:color="auto"/>
              <w:left w:val="nil"/>
              <w:bottom w:val="nil"/>
              <w:right w:val="single" w:sz="4" w:space="0" w:color="auto"/>
            </w:tcBorders>
            <w:shd w:val="clear" w:color="auto" w:fill="auto"/>
            <w:hideMark/>
          </w:tcPr>
          <w:p w:rsidR="00144571" w:rsidRPr="00144571" w:rsidRDefault="00144571" w:rsidP="00144571">
            <w:pPr>
              <w:spacing w:after="0" w:line="240" w:lineRule="auto"/>
              <w:jc w:val="center"/>
              <w:rPr>
                <w:rFonts w:ascii="Times New Roman" w:eastAsia="Times New Roman" w:hAnsi="Times New Roman" w:cs="Times New Roman"/>
                <w:b/>
                <w:bCs/>
                <w:sz w:val="24"/>
                <w:szCs w:val="24"/>
                <w:lang w:val="uk-UA"/>
              </w:rPr>
            </w:pPr>
            <w:r w:rsidRPr="00144571">
              <w:rPr>
                <w:rFonts w:ascii="Times New Roman" w:eastAsia="Times New Roman" w:hAnsi="Times New Roman" w:cs="Times New Roman"/>
                <w:b/>
                <w:bCs/>
                <w:sz w:val="24"/>
                <w:szCs w:val="24"/>
                <w:lang w:val="uk-UA"/>
              </w:rPr>
              <w:t>2022</w:t>
            </w:r>
          </w:p>
        </w:tc>
      </w:tr>
      <w:tr w:rsidR="00144571" w:rsidRPr="00144571" w:rsidTr="00144571">
        <w:trPr>
          <w:trHeight w:val="315"/>
          <w:jc w:val="center"/>
        </w:trPr>
        <w:tc>
          <w:tcPr>
            <w:tcW w:w="32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Португалія (млн. дол. США)</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7,2</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8,8</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9,9</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9,6</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14,3</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11,2</w:t>
            </w:r>
          </w:p>
        </w:tc>
      </w:tr>
      <w:tr w:rsidR="00144571" w:rsidRPr="00144571" w:rsidTr="00144571">
        <w:trPr>
          <w:trHeight w:val="315"/>
          <w:jc w:val="center"/>
        </w:trPr>
        <w:tc>
          <w:tcPr>
            <w:tcW w:w="3256" w:type="dxa"/>
            <w:tcBorders>
              <w:top w:val="nil"/>
              <w:left w:val="single" w:sz="4" w:space="0" w:color="auto"/>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Греція (млн. дол. США)</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42,8</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55,8</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41,5</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36,5</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38,4</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20,0</w:t>
            </w:r>
          </w:p>
        </w:tc>
      </w:tr>
      <w:tr w:rsidR="00144571" w:rsidRPr="00144571" w:rsidTr="00144571">
        <w:trPr>
          <w:trHeight w:val="315"/>
          <w:jc w:val="center"/>
        </w:trPr>
        <w:tc>
          <w:tcPr>
            <w:tcW w:w="3256" w:type="dxa"/>
            <w:tcBorders>
              <w:top w:val="nil"/>
              <w:left w:val="single" w:sz="4" w:space="0" w:color="auto"/>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Португалія (% від усього)</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0,02%</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0,02%</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0,02%</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0,02%</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0,02%</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0,02%</w:t>
            </w:r>
          </w:p>
        </w:tc>
      </w:tr>
      <w:tr w:rsidR="00144571" w:rsidRPr="00144571" w:rsidTr="00144571">
        <w:trPr>
          <w:trHeight w:val="315"/>
          <w:jc w:val="center"/>
        </w:trPr>
        <w:tc>
          <w:tcPr>
            <w:tcW w:w="3256" w:type="dxa"/>
            <w:tcBorders>
              <w:top w:val="nil"/>
              <w:left w:val="single" w:sz="4" w:space="0" w:color="auto"/>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Греція (% від усього)</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0,09%</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0,12%</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0,08%</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0,07%</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0,06%</w:t>
            </w:r>
          </w:p>
        </w:tc>
        <w:tc>
          <w:tcPr>
            <w:tcW w:w="1134" w:type="dxa"/>
            <w:tcBorders>
              <w:top w:val="nil"/>
              <w:left w:val="nil"/>
              <w:bottom w:val="single" w:sz="4" w:space="0" w:color="auto"/>
              <w:right w:val="single" w:sz="4" w:space="0" w:color="auto"/>
            </w:tcBorders>
            <w:shd w:val="clear" w:color="auto" w:fill="auto"/>
            <w:noWrap/>
            <w:vAlign w:val="bottom"/>
            <w:hideMark/>
          </w:tcPr>
          <w:p w:rsidR="00144571" w:rsidRPr="00144571" w:rsidRDefault="00144571" w:rsidP="00144571">
            <w:pPr>
              <w:spacing w:after="0" w:line="240" w:lineRule="auto"/>
              <w:jc w:val="right"/>
              <w:rPr>
                <w:rFonts w:ascii="Times New Roman" w:eastAsia="Times New Roman" w:hAnsi="Times New Roman" w:cs="Times New Roman"/>
                <w:color w:val="000000"/>
                <w:sz w:val="24"/>
                <w:szCs w:val="24"/>
                <w:lang w:val="uk-UA"/>
              </w:rPr>
            </w:pPr>
            <w:r w:rsidRPr="00144571">
              <w:rPr>
                <w:rFonts w:ascii="Times New Roman" w:eastAsia="Times New Roman" w:hAnsi="Times New Roman" w:cs="Times New Roman"/>
                <w:color w:val="000000"/>
                <w:sz w:val="24"/>
                <w:szCs w:val="24"/>
                <w:lang w:val="uk-UA"/>
              </w:rPr>
              <w:t>0,04%</w:t>
            </w:r>
          </w:p>
        </w:tc>
      </w:tr>
    </w:tbl>
    <w:p w:rsidR="00144571" w:rsidRPr="00681002" w:rsidRDefault="00144571" w:rsidP="00144571">
      <w:pPr>
        <w:tabs>
          <w:tab w:val="left" w:pos="3700"/>
        </w:tabs>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Pr="00681002">
        <w:rPr>
          <w:rFonts w:ascii="Times New Roman" w:hAnsi="Times New Roman" w:cs="Times New Roman"/>
          <w:sz w:val="28"/>
          <w:szCs w:val="28"/>
          <w:lang w:val="ru-RU"/>
        </w:rPr>
        <w:t>[</w:t>
      </w:r>
      <w:r w:rsidR="00726FB9">
        <w:rPr>
          <w:rFonts w:ascii="Times New Roman" w:hAnsi="Times New Roman" w:cs="Times New Roman"/>
          <w:sz w:val="28"/>
          <w:szCs w:val="28"/>
          <w:lang w:val="ru-RU"/>
        </w:rPr>
        <w:t>36</w:t>
      </w:r>
      <w:r w:rsidRPr="00681002">
        <w:rPr>
          <w:rFonts w:ascii="Times New Roman" w:hAnsi="Times New Roman" w:cs="Times New Roman"/>
          <w:sz w:val="28"/>
          <w:szCs w:val="28"/>
          <w:lang w:val="ru-RU"/>
        </w:rPr>
        <w:t>]</w:t>
      </w:r>
      <w:r>
        <w:rPr>
          <w:rFonts w:ascii="Times New Roman" w:hAnsi="Times New Roman" w:cs="Times New Roman"/>
          <w:sz w:val="28"/>
          <w:szCs w:val="28"/>
          <w:lang w:val="uk-UA"/>
        </w:rPr>
        <w:t xml:space="preserve">. </w:t>
      </w:r>
    </w:p>
    <w:p w:rsidR="00144571" w:rsidRDefault="00D06027"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 аналізу зовнішньоекономічних зв’язків Португалії та Греції з Україною можна зробити висновок, що дані країни не є стратегічно важливими партнерами для України. Так, Португалія та Греція займають незначну частку в прямих інвестиція в країну, в структурі торгівлі послугами та товарами. Найбільш значимі показники можна побачити в імпорті товарів з Греції, які у 2023 р. склали більше 2% від валового імпорту товарів в Україну за рахунок збільшення імпорту мінеральних палив, нафти та продуктів її переробки. </w:t>
      </w:r>
    </w:p>
    <w:p w:rsidR="00DC3991" w:rsidRDefault="00DC3991" w:rsidP="00DC3991">
      <w:pPr>
        <w:spacing w:after="0" w:line="360" w:lineRule="auto"/>
        <w:ind w:firstLine="680"/>
        <w:jc w:val="both"/>
        <w:rPr>
          <w:rFonts w:ascii="Times New Roman" w:hAnsi="Times New Roman" w:cs="Times New Roman"/>
          <w:sz w:val="28"/>
          <w:szCs w:val="28"/>
          <w:lang w:val="uk-UA"/>
        </w:rPr>
      </w:pPr>
    </w:p>
    <w:p w:rsidR="00144571" w:rsidRDefault="00144571" w:rsidP="00DC3991">
      <w:pPr>
        <w:spacing w:after="0" w:line="360" w:lineRule="auto"/>
        <w:ind w:firstLine="680"/>
        <w:jc w:val="both"/>
        <w:rPr>
          <w:rFonts w:ascii="Times New Roman" w:hAnsi="Times New Roman" w:cs="Times New Roman"/>
          <w:sz w:val="28"/>
          <w:szCs w:val="28"/>
          <w:lang w:val="uk-UA"/>
        </w:rPr>
      </w:pPr>
    </w:p>
    <w:p w:rsidR="00144571" w:rsidRDefault="00144571" w:rsidP="00DC3991">
      <w:pPr>
        <w:spacing w:after="0" w:line="360" w:lineRule="auto"/>
        <w:ind w:firstLine="680"/>
        <w:jc w:val="both"/>
        <w:rPr>
          <w:rFonts w:ascii="Times New Roman" w:hAnsi="Times New Roman" w:cs="Times New Roman"/>
          <w:sz w:val="28"/>
          <w:szCs w:val="28"/>
          <w:lang w:val="uk-UA"/>
        </w:rPr>
      </w:pPr>
    </w:p>
    <w:p w:rsidR="00144571" w:rsidRDefault="00144571" w:rsidP="00DC3991">
      <w:pPr>
        <w:spacing w:after="0" w:line="360" w:lineRule="auto"/>
        <w:ind w:firstLine="680"/>
        <w:jc w:val="both"/>
        <w:rPr>
          <w:rFonts w:ascii="Times New Roman" w:hAnsi="Times New Roman" w:cs="Times New Roman"/>
          <w:sz w:val="28"/>
          <w:szCs w:val="28"/>
          <w:lang w:val="uk-UA"/>
        </w:rPr>
      </w:pPr>
    </w:p>
    <w:p w:rsidR="00DC3991" w:rsidRDefault="00DC3991"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C3991" w:rsidRDefault="00000AF8" w:rsidP="00C02C14">
      <w:pPr>
        <w:pStyle w:val="1"/>
        <w:rPr>
          <w:lang w:val="uk-UA"/>
        </w:rPr>
      </w:pPr>
      <w:bookmarkStart w:id="16" w:name="_Toc168123012"/>
      <w:r>
        <w:rPr>
          <w:lang w:val="uk-UA"/>
        </w:rPr>
        <w:lastRenderedPageBreak/>
        <w:t>ВИСНОВКИ</w:t>
      </w:r>
      <w:bookmarkEnd w:id="16"/>
      <w:r>
        <w:rPr>
          <w:lang w:val="uk-UA"/>
        </w:rPr>
        <w:t xml:space="preserve"> </w:t>
      </w:r>
    </w:p>
    <w:p w:rsidR="00DC3991" w:rsidRDefault="00DC3991" w:rsidP="00DC3991">
      <w:pPr>
        <w:spacing w:after="0" w:line="360" w:lineRule="auto"/>
        <w:ind w:firstLine="680"/>
        <w:jc w:val="both"/>
        <w:rPr>
          <w:rFonts w:ascii="Times New Roman" w:hAnsi="Times New Roman" w:cs="Times New Roman"/>
          <w:sz w:val="28"/>
          <w:szCs w:val="28"/>
          <w:lang w:val="uk-UA"/>
        </w:rPr>
      </w:pPr>
    </w:p>
    <w:p w:rsidR="00DC3991" w:rsidRDefault="00DC3991" w:rsidP="00DC3991">
      <w:pPr>
        <w:spacing w:after="0" w:line="360" w:lineRule="auto"/>
        <w:ind w:firstLine="680"/>
        <w:jc w:val="both"/>
        <w:rPr>
          <w:rFonts w:ascii="Times New Roman" w:hAnsi="Times New Roman" w:cs="Times New Roman"/>
          <w:sz w:val="28"/>
          <w:szCs w:val="28"/>
          <w:lang w:val="uk-UA"/>
        </w:rPr>
      </w:pPr>
    </w:p>
    <w:p w:rsidR="00237C94" w:rsidRDefault="00237C94"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В ході даної роботи було проаналізовано трансформацію зовнішньоекономічних зв’язків Португалії та Греції в контексті невизначеності. Показники було розглянуто за період 2000-2023 рр., оскільки в дані роки країни зіштовхнулись із декількома періодами невизначеності та нестабільності: світова фінансова криза, криза Єврозони та суверенних боргів, світова рецесія та криза пандемії.</w:t>
      </w:r>
    </w:p>
    <w:p w:rsidR="00237C94" w:rsidRDefault="00293944"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Португалія та Греція мали стабільний дефіцит торгівлі товарами протягом 2000-2023 рр. При цьому, в Португалії даний дефіцит загалом зменшився з 13,3% від ВВП країни у 2000 р. до 9,4% від ВВП у 2023 р. Більшим є дефіцит торгівлі товарами в Греції. У 2000 р. він оцінювався у 15,5% від ВВП, що відповідає рівню 2023 р. Проте можна було спостерігати збільшення дефіциту в Греції протягом 2006-2009 рр. та у 2022 р. Хронічний дефіцит в даних країнах був обумовлений значними обсягами імпорту товарів на задоволення внутрішнього рівня споживання. </w:t>
      </w:r>
    </w:p>
    <w:p w:rsidR="00293944" w:rsidRDefault="00293944"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варто відзначити, що обидві країни мають певні проблеми в розвитку експортних галузей. Так, в ході свого розвитку країни зіштовхнулись із такими викликами, як високі витрати на оплату праці, низька продуктивність та конкурентоспроможність. Традиційні галузі, які складали переважну частину експорту товарів, не витримують конкуренцію із більш дешевими товарами із країн Азії та Африки. Окрім того, значний рівень невизначеності в даних країнах погіршив їх привабливість в очах інвесторів, що вплинуло на зменшення інвестиційних потоків, що у свою чергу негативно відобразилось на розвитку та розширенні виробництва.</w:t>
      </w:r>
    </w:p>
    <w:p w:rsidR="00293944" w:rsidRDefault="00293944"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96819">
        <w:rPr>
          <w:rFonts w:ascii="Times New Roman" w:hAnsi="Times New Roman" w:cs="Times New Roman"/>
          <w:sz w:val="28"/>
          <w:szCs w:val="28"/>
          <w:lang w:val="uk-UA"/>
        </w:rPr>
        <w:t xml:space="preserve">Найбільшими ринками експорту та імпорту товарів Португалії та Греції є країни Європи, що робить структуру їх торгівлі за регіонами недиверсифікованою та ставить під ризик торгові потоки через значну залежність від стану одного ринку. </w:t>
      </w:r>
    </w:p>
    <w:p w:rsidR="00296819" w:rsidRDefault="00296819"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Структура торгівлі товарами Греції також не є достатньо різноманітною. Так, в експорті та імпорті товарів один вид товару, а саме мінеральне паливо та нафта, займає більше третини від загального обсягу торгівлі. Більш диверсифікованою є торгівля Португалії. Найбільш експортованим товаром у 2023 р. були транспортні засоби (12,4%), а найбільший обсяг імпорту прийшовся на паливо та нафту (16,7%).</w:t>
      </w:r>
    </w:p>
    <w:p w:rsidR="00296819" w:rsidRDefault="002D13D9"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Португалія та Греція мали стабільний профіцит торгівлі послугами. У 2023 р. даний профіцит становив 10,7% від ВВП Португалії та 10,4% від ВВП Греції, що перевищує рівень 2000-х рр. </w:t>
      </w:r>
      <w:r w:rsidR="00BD2FF0">
        <w:rPr>
          <w:rFonts w:ascii="Times New Roman" w:hAnsi="Times New Roman" w:cs="Times New Roman"/>
          <w:sz w:val="28"/>
          <w:szCs w:val="28"/>
          <w:lang w:val="uk-UA"/>
        </w:rPr>
        <w:t xml:space="preserve">Позитивне сальдо торгівлі послугами Португалії було отримано за рахунок експорту туристичних, транспортних та ділових послуг. Найбільші обсяги експорту послуг Греції мали транспортні послуги, а саме послуги морського транспорту, система якого доволі розвинута в даній країні. Також значні надходження Греція отримує від послуг, пов1язаних із подорожами та туризмом. </w:t>
      </w:r>
    </w:p>
    <w:p w:rsidR="00237C94" w:rsidRDefault="002041F7"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Загальне сальдо торгівлі для Португалії було позитивним у 2013-2019 рр. за рахунок отримання надходжень від туристичних та ділових послуг нерезидентам країни. Греція у свою чергу мала хронічний дефіцит торгівлі.  </w:t>
      </w:r>
    </w:p>
    <w:p w:rsidR="00BD2FF0" w:rsidRDefault="002041F7"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Отже, експортний сектор в Португалії та Греції не знаходиться на достатньому рівні розвитку для перекриття задоволення внутрішніх потреб імпортними товарами через низьку конкурентоспроможність, концентрацію на вузьких секторах та високе внутрішнє споживання, що й призвело до дефіцитів. Дана ситуація призводить до підвищення безробіття та занепаду вітчизняних секторів, дисбалансів в економіці та підвищених ризик нестабільності та залежності від зовнішніх ринків.</w:t>
      </w:r>
    </w:p>
    <w:p w:rsidR="002041F7" w:rsidRDefault="002041F7"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торгівельний д</w:t>
      </w:r>
      <w:r w:rsidRPr="002041F7">
        <w:rPr>
          <w:rFonts w:ascii="Times New Roman" w:hAnsi="Times New Roman" w:cs="Times New Roman"/>
          <w:sz w:val="28"/>
          <w:szCs w:val="28"/>
          <w:lang w:val="uk-UA"/>
        </w:rPr>
        <w:t>ефіцит часто вимагає від країни запозичувати з іноземних джерел для фінансування дефіциту між імпортом та експортом. Це може призвести д</w:t>
      </w:r>
      <w:r>
        <w:rPr>
          <w:rFonts w:ascii="Times New Roman" w:hAnsi="Times New Roman" w:cs="Times New Roman"/>
          <w:sz w:val="28"/>
          <w:szCs w:val="28"/>
          <w:lang w:val="uk-UA"/>
        </w:rPr>
        <w:t>о накопичення зовнішнього боргу для покриття даного дефіциту</w:t>
      </w:r>
      <w:r w:rsidRPr="002041F7">
        <w:rPr>
          <w:rFonts w:ascii="Times New Roman" w:hAnsi="Times New Roman" w:cs="Times New Roman"/>
          <w:sz w:val="28"/>
          <w:szCs w:val="28"/>
          <w:lang w:val="uk-UA"/>
        </w:rPr>
        <w:t>. Обслуговування зовнішнього боргу, включаючи виплату відсотків, може створити фінансовий тягар для економіки.</w:t>
      </w:r>
    </w:p>
    <w:p w:rsidR="002041F7" w:rsidRDefault="002041F7"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Накопичення боргових навантажень простежувалось в Португалії та Греції. Так, зовнішній борг Португалії збільшився з </w:t>
      </w:r>
      <w:r w:rsidR="003A164F">
        <w:rPr>
          <w:rFonts w:ascii="Times New Roman" w:hAnsi="Times New Roman" w:cs="Times New Roman"/>
          <w:sz w:val="28"/>
          <w:szCs w:val="28"/>
          <w:lang w:val="uk-UA"/>
        </w:rPr>
        <w:t>12</w:t>
      </w:r>
      <w:r>
        <w:rPr>
          <w:rFonts w:ascii="Times New Roman" w:hAnsi="Times New Roman" w:cs="Times New Roman"/>
          <w:sz w:val="28"/>
          <w:szCs w:val="28"/>
          <w:lang w:val="uk-UA"/>
        </w:rPr>
        <w:t>3</w:t>
      </w:r>
      <w:r w:rsidR="003A164F">
        <w:rPr>
          <w:rFonts w:ascii="Times New Roman" w:hAnsi="Times New Roman" w:cs="Times New Roman"/>
          <w:sz w:val="28"/>
          <w:szCs w:val="28"/>
          <w:lang w:val="uk-UA"/>
        </w:rPr>
        <w:t>,</w:t>
      </w:r>
      <w:r>
        <w:rPr>
          <w:rFonts w:ascii="Times New Roman" w:hAnsi="Times New Roman" w:cs="Times New Roman"/>
          <w:sz w:val="28"/>
          <w:szCs w:val="28"/>
          <w:lang w:val="uk-UA"/>
        </w:rPr>
        <w:t xml:space="preserve">5% від ВВП у 2000 р. до 236,3% від </w:t>
      </w:r>
      <w:r>
        <w:rPr>
          <w:rFonts w:ascii="Times New Roman" w:hAnsi="Times New Roman" w:cs="Times New Roman"/>
          <w:sz w:val="28"/>
          <w:szCs w:val="28"/>
          <w:lang w:val="uk-UA"/>
        </w:rPr>
        <w:lastRenderedPageBreak/>
        <w:t>ВВП у 2012 р., що було спричинено дефіцитами торгівлі та державного бюджету</w:t>
      </w:r>
      <w:r w:rsidR="003A164F">
        <w:rPr>
          <w:rFonts w:ascii="Times New Roman" w:hAnsi="Times New Roman" w:cs="Times New Roman"/>
          <w:sz w:val="28"/>
          <w:szCs w:val="28"/>
          <w:lang w:val="uk-UA"/>
        </w:rPr>
        <w:t xml:space="preserve">. Проте у наступних роках країна зменшила обсяги свого зовнішнього боргу, який у 2023 р. оцінювався вже у 150,4% від ВВП. </w:t>
      </w:r>
      <w:r w:rsidR="00DC067D">
        <w:rPr>
          <w:rFonts w:ascii="Times New Roman" w:hAnsi="Times New Roman" w:cs="Times New Roman"/>
          <w:sz w:val="28"/>
          <w:szCs w:val="28"/>
          <w:lang w:val="uk-UA"/>
        </w:rPr>
        <w:t xml:space="preserve">На початку 2000-х рр. зовнішній борг Греції був меншим за показник Португалії та становив 79,8% від ВВП країни. Однак, у період 2001-2008 рр. країна нарощувала боргові запозичення значними темпами, що призвело до збільшення боргу до 175,9% від ВВП у 2009 р. А у 2023 р. зовнішній борг Греції збільшився до 262,3% від ВВП, що значне більше рівня Португалії. </w:t>
      </w:r>
    </w:p>
    <w:p w:rsidR="00DC067D" w:rsidRDefault="00FB6B5E"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На значні збільшення боргових навантажень Греції вплинули проблеми</w:t>
      </w:r>
      <w:r w:rsidRPr="00FB6B5E">
        <w:rPr>
          <w:rFonts w:ascii="Times New Roman" w:hAnsi="Times New Roman" w:cs="Times New Roman"/>
          <w:sz w:val="28"/>
          <w:szCs w:val="28"/>
          <w:lang w:val="uk-UA"/>
        </w:rPr>
        <w:t xml:space="preserve"> слабких інституцій, неадекватної нормативної бази та недоліків управління. Ці фактори підірвали довіру інвесторів, завадили економічному зростанню та ускладнили ефективне вирішення боргової кризи.</w:t>
      </w:r>
      <w:r>
        <w:rPr>
          <w:rFonts w:ascii="Times New Roman" w:hAnsi="Times New Roman" w:cs="Times New Roman"/>
          <w:sz w:val="28"/>
          <w:szCs w:val="28"/>
          <w:lang w:val="uk-UA"/>
        </w:rPr>
        <w:t xml:space="preserve"> Окрім того, </w:t>
      </w:r>
      <w:r w:rsidRPr="00FB6B5E">
        <w:rPr>
          <w:rFonts w:ascii="Times New Roman" w:hAnsi="Times New Roman" w:cs="Times New Roman"/>
          <w:sz w:val="28"/>
          <w:szCs w:val="28"/>
          <w:lang w:val="uk-UA"/>
        </w:rPr>
        <w:t xml:space="preserve">фінансова криза 2008 </w:t>
      </w:r>
      <w:r>
        <w:rPr>
          <w:rFonts w:ascii="Times New Roman" w:hAnsi="Times New Roman" w:cs="Times New Roman"/>
          <w:sz w:val="28"/>
          <w:szCs w:val="28"/>
          <w:lang w:val="uk-UA"/>
        </w:rPr>
        <w:t>р.</w:t>
      </w:r>
      <w:r w:rsidRPr="00FB6B5E">
        <w:rPr>
          <w:rFonts w:ascii="Times New Roman" w:hAnsi="Times New Roman" w:cs="Times New Roman"/>
          <w:sz w:val="28"/>
          <w:szCs w:val="28"/>
          <w:lang w:val="uk-UA"/>
        </w:rPr>
        <w:t xml:space="preserve"> особливо сильно вдарила по Греції. Економіка країни різко скоротилася, що призвело до рецесії, яка загострила боргову проблему. У міру погіршення економічних умов Греція зіткнулася з вищими витратами на запозичення та з труднощами доступу до міжнародних фінансових ринків.</w:t>
      </w:r>
    </w:p>
    <w:p w:rsidR="00FB6B5E" w:rsidRDefault="00316777"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Погіршення також можна побачити в чистій міжнародній інвестиційній позиції країн (МІП). У 2000-2023 рр. активи Португалії та Греції зростали меншими темпами, аніж зобов’язання даних країн, що призвело до від’ємного сальдо МІП та його поступового зростання. У період 2000-2023 рр. чиста МІП Португалії змінилась з -43,3% від ВВП до -124,8% від ВВП у 2013 р. та до -74,9% від ВВП у 2023 р. Сальдо МІП Греції становило -38% у 2000 р. проти 150% у 2023 р.</w:t>
      </w:r>
    </w:p>
    <w:p w:rsidR="00316777" w:rsidRDefault="00B226D1" w:rsidP="00DC399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значні проблеми Португалії та Греції із борговими навантаженнями, у якості емпіричного дослідження даної роботи було побудовано спільну регресійну модель впливу експорту, чистої МІП та сальдо державного бюджету на обсяг зовнішнього боргу. </w:t>
      </w:r>
    </w:p>
    <w:p w:rsidR="00D764AE" w:rsidRDefault="008F0A00" w:rsidP="00D764A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Найбільший коефіцієнт впливу за модулем мала чиста МІП (-0,729). Даний коефіцієнт свідчить про те, що при збільшенні сальдо МІП зменшується </w:t>
      </w:r>
      <w:r w:rsidR="00D764AE">
        <w:rPr>
          <w:rFonts w:ascii="Times New Roman" w:hAnsi="Times New Roman" w:cs="Times New Roman"/>
          <w:sz w:val="28"/>
          <w:szCs w:val="28"/>
          <w:lang w:val="uk-UA"/>
        </w:rPr>
        <w:t>зовнішній</w:t>
      </w:r>
      <w:r>
        <w:rPr>
          <w:rFonts w:ascii="Times New Roman" w:hAnsi="Times New Roman" w:cs="Times New Roman"/>
          <w:sz w:val="28"/>
          <w:szCs w:val="28"/>
          <w:lang w:val="uk-UA"/>
        </w:rPr>
        <w:t xml:space="preserve"> борг. </w:t>
      </w:r>
      <w:r w:rsidR="00D764AE">
        <w:rPr>
          <w:rFonts w:ascii="Times New Roman" w:hAnsi="Times New Roman" w:cs="Times New Roman"/>
          <w:sz w:val="28"/>
          <w:szCs w:val="28"/>
          <w:lang w:val="uk-UA"/>
        </w:rPr>
        <w:t xml:space="preserve">Тобто, при більшому нарощуванні активів країн проти зобов’язань меншими є </w:t>
      </w:r>
      <w:r w:rsidR="00D764AE">
        <w:rPr>
          <w:rFonts w:ascii="Times New Roman" w:hAnsi="Times New Roman" w:cs="Times New Roman"/>
          <w:sz w:val="28"/>
          <w:szCs w:val="28"/>
          <w:lang w:val="uk-UA"/>
        </w:rPr>
        <w:lastRenderedPageBreak/>
        <w:t>їх обсяги зовнішньої заборгованості. Схожими були результати для державного бюджету, коефіцієнт якого становив -0,175. Таким чином, при меншому дефіциті сальдо МІП та державного бюджету та при збільшенні їх профіциту меншим є зовнішній борг для Португалії та Греції.</w:t>
      </w:r>
    </w:p>
    <w:p w:rsidR="008F0A00" w:rsidRPr="002041F7" w:rsidRDefault="00D764AE" w:rsidP="00D764A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 для обсягу</w:t>
      </w:r>
      <w:r w:rsidR="008F0A00">
        <w:rPr>
          <w:rFonts w:ascii="Times New Roman" w:hAnsi="Times New Roman" w:cs="Times New Roman"/>
          <w:sz w:val="28"/>
          <w:szCs w:val="28"/>
          <w:lang w:val="uk-UA"/>
        </w:rPr>
        <w:t xml:space="preserve"> експорту становив 0,261. </w:t>
      </w:r>
      <w:r>
        <w:rPr>
          <w:rFonts w:ascii="Times New Roman" w:hAnsi="Times New Roman" w:cs="Times New Roman"/>
          <w:sz w:val="28"/>
          <w:szCs w:val="28"/>
          <w:lang w:val="uk-UA"/>
        </w:rPr>
        <w:t xml:space="preserve">Позитивне значення даного показника свідчить про те, що </w:t>
      </w:r>
      <w:r w:rsidR="008F0A00">
        <w:rPr>
          <w:rFonts w:ascii="Times New Roman" w:hAnsi="Times New Roman" w:cs="Times New Roman"/>
          <w:sz w:val="28"/>
          <w:szCs w:val="28"/>
          <w:lang w:val="uk-UA"/>
        </w:rPr>
        <w:t xml:space="preserve">при збільшені обсягу експорту товарів та послуг на 1 пункт, зовнішній борг збільшувався на 0,261 пункту. </w:t>
      </w:r>
      <w:r>
        <w:rPr>
          <w:rFonts w:ascii="Times New Roman" w:hAnsi="Times New Roman" w:cs="Times New Roman"/>
          <w:sz w:val="28"/>
          <w:szCs w:val="28"/>
          <w:lang w:val="uk-UA"/>
        </w:rPr>
        <w:t>Теоретично</w:t>
      </w:r>
      <w:r w:rsidR="008F0A00">
        <w:rPr>
          <w:rFonts w:ascii="Times New Roman" w:hAnsi="Times New Roman" w:cs="Times New Roman"/>
          <w:sz w:val="28"/>
          <w:szCs w:val="28"/>
          <w:lang w:val="uk-UA"/>
        </w:rPr>
        <w:t xml:space="preserve">, </w:t>
      </w:r>
      <w:r>
        <w:rPr>
          <w:rFonts w:ascii="Times New Roman" w:hAnsi="Times New Roman" w:cs="Times New Roman"/>
          <w:sz w:val="28"/>
          <w:szCs w:val="28"/>
          <w:lang w:val="uk-UA"/>
        </w:rPr>
        <w:t>збільшення</w:t>
      </w:r>
      <w:r w:rsidR="008F0A00">
        <w:rPr>
          <w:rFonts w:ascii="Times New Roman" w:hAnsi="Times New Roman" w:cs="Times New Roman"/>
          <w:sz w:val="28"/>
          <w:szCs w:val="28"/>
          <w:lang w:val="uk-UA"/>
        </w:rPr>
        <w:t xml:space="preserve"> експорту </w:t>
      </w:r>
      <w:r>
        <w:rPr>
          <w:rFonts w:ascii="Times New Roman" w:hAnsi="Times New Roman" w:cs="Times New Roman"/>
          <w:sz w:val="28"/>
          <w:szCs w:val="28"/>
          <w:lang w:val="uk-UA"/>
        </w:rPr>
        <w:t>має призвести до</w:t>
      </w:r>
      <w:r w:rsidR="008F0A00">
        <w:rPr>
          <w:rFonts w:ascii="Times New Roman" w:hAnsi="Times New Roman" w:cs="Times New Roman"/>
          <w:sz w:val="28"/>
          <w:szCs w:val="28"/>
          <w:lang w:val="uk-UA"/>
        </w:rPr>
        <w:t xml:space="preserve"> </w:t>
      </w:r>
      <w:r>
        <w:rPr>
          <w:rFonts w:ascii="Times New Roman" w:hAnsi="Times New Roman" w:cs="Times New Roman"/>
          <w:sz w:val="28"/>
          <w:szCs w:val="28"/>
          <w:lang w:val="uk-UA"/>
        </w:rPr>
        <w:t>зменшення заборгованості</w:t>
      </w:r>
      <w:r w:rsidR="008F0A00">
        <w:rPr>
          <w:rFonts w:ascii="Times New Roman" w:hAnsi="Times New Roman" w:cs="Times New Roman"/>
          <w:sz w:val="28"/>
          <w:szCs w:val="28"/>
          <w:lang w:val="uk-UA"/>
        </w:rPr>
        <w:t xml:space="preserve"> за рахунок </w:t>
      </w:r>
      <w:r>
        <w:rPr>
          <w:rFonts w:ascii="Times New Roman" w:hAnsi="Times New Roman" w:cs="Times New Roman"/>
          <w:sz w:val="28"/>
          <w:szCs w:val="28"/>
          <w:lang w:val="uk-UA"/>
        </w:rPr>
        <w:t>виплати боргу та процентів від отриманого прибутку від експорту. Однак, враховуючи значну залежність Португалії та Греції від імпорту можна зробити наступний висновок. При збільшенні експорту в даних країнах зростав й обсяг імпорту, що призводило до утримання, а то й збільшення торгівельного дефіциту, який є одною з основних причин зростання зовнішнього боргу. Окрім того, коли</w:t>
      </w:r>
      <w:r w:rsidR="008F0A00">
        <w:rPr>
          <w:rFonts w:ascii="Times New Roman" w:hAnsi="Times New Roman" w:cs="Times New Roman"/>
          <w:sz w:val="28"/>
          <w:szCs w:val="28"/>
          <w:lang w:val="uk-UA"/>
        </w:rPr>
        <w:t xml:space="preserve"> к</w:t>
      </w:r>
      <w:r w:rsidR="008F0A00" w:rsidRPr="00A079DB">
        <w:rPr>
          <w:rFonts w:ascii="Times New Roman" w:hAnsi="Times New Roman" w:cs="Times New Roman"/>
          <w:sz w:val="28"/>
          <w:szCs w:val="28"/>
          <w:lang w:val="uk-UA"/>
        </w:rPr>
        <w:t xml:space="preserve">раїна </w:t>
      </w:r>
      <w:r>
        <w:rPr>
          <w:rFonts w:ascii="Times New Roman" w:hAnsi="Times New Roman" w:cs="Times New Roman"/>
          <w:sz w:val="28"/>
          <w:szCs w:val="28"/>
          <w:lang w:val="uk-UA"/>
        </w:rPr>
        <w:t>є</w:t>
      </w:r>
      <w:r w:rsidR="008F0A00" w:rsidRPr="00A079DB">
        <w:rPr>
          <w:rFonts w:ascii="Times New Roman" w:hAnsi="Times New Roman" w:cs="Times New Roman"/>
          <w:sz w:val="28"/>
          <w:szCs w:val="28"/>
          <w:lang w:val="uk-UA"/>
        </w:rPr>
        <w:t xml:space="preserve"> залежною від імпортних факторів виробництва або сировини для підтримки своїх експортно-орієнтованих галузей, збільшення експорту </w:t>
      </w:r>
      <w:r>
        <w:rPr>
          <w:rFonts w:ascii="Times New Roman" w:hAnsi="Times New Roman" w:cs="Times New Roman"/>
          <w:sz w:val="28"/>
          <w:szCs w:val="28"/>
          <w:lang w:val="uk-UA"/>
        </w:rPr>
        <w:t>також супроводжується збільшенням імпорту</w:t>
      </w:r>
      <w:r w:rsidR="008F0A00" w:rsidRPr="00A079DB">
        <w:rPr>
          <w:rFonts w:ascii="Times New Roman" w:hAnsi="Times New Roman" w:cs="Times New Roman"/>
          <w:sz w:val="28"/>
          <w:szCs w:val="28"/>
          <w:lang w:val="uk-UA"/>
        </w:rPr>
        <w:t xml:space="preserve">. </w:t>
      </w:r>
      <w:r>
        <w:rPr>
          <w:rFonts w:ascii="Times New Roman" w:hAnsi="Times New Roman" w:cs="Times New Roman"/>
          <w:sz w:val="28"/>
          <w:szCs w:val="28"/>
          <w:lang w:val="uk-UA"/>
        </w:rPr>
        <w:t>І якщо</w:t>
      </w:r>
      <w:r w:rsidR="008F0A00" w:rsidRPr="00A079DB">
        <w:rPr>
          <w:rFonts w:ascii="Times New Roman" w:hAnsi="Times New Roman" w:cs="Times New Roman"/>
          <w:sz w:val="28"/>
          <w:szCs w:val="28"/>
          <w:lang w:val="uk-UA"/>
        </w:rPr>
        <w:t xml:space="preserve"> зростання імпорту випереджає надходження від експорту, це може призвести до торговельного дефіциту та, потенційно, потреби у зовнішніх запозич</w:t>
      </w:r>
      <w:r w:rsidR="008F0A00">
        <w:rPr>
          <w:rFonts w:ascii="Times New Roman" w:hAnsi="Times New Roman" w:cs="Times New Roman"/>
          <w:sz w:val="28"/>
          <w:szCs w:val="28"/>
          <w:lang w:val="uk-UA"/>
        </w:rPr>
        <w:t xml:space="preserve">еннях для фінансування </w:t>
      </w:r>
      <w:r>
        <w:rPr>
          <w:rFonts w:ascii="Times New Roman" w:hAnsi="Times New Roman" w:cs="Times New Roman"/>
          <w:sz w:val="28"/>
          <w:szCs w:val="28"/>
          <w:lang w:val="uk-UA"/>
        </w:rPr>
        <w:t xml:space="preserve">даного </w:t>
      </w:r>
      <w:r w:rsidR="008F0A00">
        <w:rPr>
          <w:rFonts w:ascii="Times New Roman" w:hAnsi="Times New Roman" w:cs="Times New Roman"/>
          <w:sz w:val="28"/>
          <w:szCs w:val="28"/>
          <w:lang w:val="uk-UA"/>
        </w:rPr>
        <w:t>дефіциту</w:t>
      </w:r>
      <w:r>
        <w:rPr>
          <w:rFonts w:ascii="Times New Roman" w:hAnsi="Times New Roman" w:cs="Times New Roman"/>
          <w:sz w:val="28"/>
          <w:szCs w:val="28"/>
          <w:lang w:val="uk-UA"/>
        </w:rPr>
        <w:t>.</w:t>
      </w:r>
    </w:p>
    <w:p w:rsidR="00BA3067" w:rsidRDefault="00BA3067" w:rsidP="00BA306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останньому розділі було розглянуто зовнішньоекономічні зв’язки України з Португалією та Грецією, а саме обсяги експорту та імпорту товарів та послуг, а також залишки за прямими інвестиціями в Україну. З огляду на питому вагу Португалії та Греції в структурі торгівлі та інвестицій України можна зробити висновок, що дані країни не були значними партнерами України через їх незначну частку в зовнішньоекономічних показниках. Проте варто відзначити зростання імпорту товарів з Греції, питома вага якого склала 2,2% від валового імпорту товарів України у 2023 р. за рахунок значних обсягів імпорту мінеральних палив, нафти та продуктів її переробки. </w:t>
      </w:r>
    </w:p>
    <w:p w:rsidR="00C02C14" w:rsidRDefault="00C02C1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02C14" w:rsidRDefault="00C02C14" w:rsidP="00C02C14">
      <w:pPr>
        <w:pStyle w:val="1"/>
        <w:rPr>
          <w:lang w:val="uk-UA"/>
        </w:rPr>
      </w:pPr>
      <w:bookmarkStart w:id="17" w:name="_Toc168123013"/>
      <w:r>
        <w:rPr>
          <w:lang w:val="uk-UA"/>
        </w:rPr>
        <w:lastRenderedPageBreak/>
        <w:t>СПИСОК ВИКОРИСТАНИХ ДЖЕРЕЛ</w:t>
      </w:r>
      <w:bookmarkEnd w:id="17"/>
    </w:p>
    <w:p w:rsidR="00C02C14" w:rsidRDefault="00C02C14" w:rsidP="00DC3991">
      <w:pPr>
        <w:spacing w:after="0" w:line="360" w:lineRule="auto"/>
        <w:ind w:firstLine="680"/>
        <w:jc w:val="both"/>
        <w:rPr>
          <w:rFonts w:ascii="Times New Roman" w:hAnsi="Times New Roman" w:cs="Times New Roman"/>
          <w:sz w:val="28"/>
          <w:szCs w:val="28"/>
          <w:lang w:val="uk-UA"/>
        </w:rPr>
      </w:pPr>
    </w:p>
    <w:p w:rsidR="00C02C14" w:rsidRDefault="00C02C14" w:rsidP="00DC3991">
      <w:pPr>
        <w:spacing w:after="0" w:line="360" w:lineRule="auto"/>
        <w:ind w:firstLine="680"/>
        <w:jc w:val="both"/>
        <w:rPr>
          <w:rFonts w:ascii="Times New Roman" w:hAnsi="Times New Roman" w:cs="Times New Roman"/>
          <w:sz w:val="28"/>
          <w:szCs w:val="28"/>
          <w:lang w:val="uk-UA"/>
        </w:rPr>
      </w:pP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Joscha Beckmann, Tjeerd M. Boonman, Sven Schreiber. Expectations, Sentiments and Capital Flows to Emerging Market Economies. 2024. URL: https://ssrn.com/abstract=4715723 (дата звернення: 19.04.2024)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Marius Faber, Kemal Kilic, Gleb Kozliakov, Dalia Marin. Global Value Chains in a World of Uncertainty and Automation. 2024. URL: https://ssrn.com/abstract=4661011 (дата звернення: 19.04.2024)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Chiara Scotti. Financial Shocks in an Uncertain Economy. 2023. URL: https://ssrn.com/abstract=4625912 (дата звернення: 19.04.2024)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Xueli Wei, Juying Zhang, Guojun Zhao, Xuankai Zhao. The Nonlinear Effects of Economic Uncertainty Shock in China: A Tale of Two Financial Regimes. 2023. URL: https://ssrn.com/abstract=4780559 (дата звернення: 19.04.2024)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Tianhang Zhou, Wenbin Chen, Jie Li. Economic Policy Uncertainty and Foreign Direct Investment: Evidence from China. 2023. URL: https://ssrn.com/abstract=4596731 (дата звернення: 19.04.2024)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Siavash Mohades, Giulia Piccillo, Tania Treibich. Unpacking Economic Uncertainty — Measuring the Firm, Sector and Aggregate Components. 2024. URL: https://ssrn.com/abstract=4748022 (дата звернення: 21.04.2024)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Sabiha Oltulular. Foreign Direct Investments Under Uncertainty and Risk: A Structural Vector Autoregression (SVAR) Analysis. 2023. URL: https://ssrn.com/abstract=4727035 (дата звернення: 21.04.2024)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Junhyong Kim. The Impact of External Uncertainty Shocks in Korean Economy. 2022. URL: https://ssrn.com/abstract=4660313 (дата звернення: 21.04.2024)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Andrzej Cieslik, Mehmet Burak Turgut. Uncertainty and Long-run Economy: the Role of R&amp;D and Business Dynamism. 2023. URL: https://ssrn.com/abstract=4595490 (дата звернення: 21.04.2024)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lastRenderedPageBreak/>
        <w:t>Filippo Arigoni, Črt Lenarčič. Foreign economic policy uncertainty shocks and real activity in the Euro area. 2023. URL: https://ssrn.com/abstract=4577280  (дата звернення: 21.04.2024)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Ling Lin, Jie Yan, Yong Jiang, Zhongbao Zhou. Economic Policy Uncertainty and Risk Interactions in China, Us and Japan: A Wavelet-Multivariate Markov Switching GARCH Approach. 2022. URL: https://ssrn.com/abstract=4557192 (дата звернення: 21.04.2024)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Chao Wu, Ke Zhao, Jinquan Liu, Xiuyi Zhao. Cross-Country Spillovers of Trade Uncertainty and Their Formation Mechanisms. 2022. URL: https://ssrn.com/abstract=4774030 (дата звернення: 22.04.2024)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Lukas Boer, Malte Rieth. The Macroeconomic Consequences of Import Tariffs and Trade Policy Uncertainty. 2023. URL: https://ssrn.com/abstract=4719151 (дата звернення: 22.04.2024)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Mahama Samir Bandaogo, Emmanuel Lartey. Country-Specific Uncertainty and Capital Inflows in Emerging Market Economies. 2023. URL: https://ssrn.com/abstract=4713276 (дата звернення: 22.04.2024)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Lucio Vinhas de Souza. Unhappy anniversary: Missed opportunities for growth and convergence in Portugal. 2024. URL: https://cepr.org/voxeu/columns/unhappy-anniversary-missed-opportunities-growth-and-convergence-portugal (дата звернення: 22.04.2024)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Rui Gama, Ricardo Fernandes, Cristina Barros. European integration, crisis, globalization, and socioeconomic dynamics in Portugal. 2018. URL: https://estudogeral.uc.pt/handle/10316/113396 (дата звернення: 22.04.2024)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Teresa Violante. Portugal: from transformative to open constitutionalism. 2023. URL: https://www.elgaronline.com/edcollchap-oa/book/9781803928890/book-part-9781803928890-13.xml (дата звернення: 22.04.2024)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Luís Teles Morais. Portugal’s economic prospects: was the political miracle responsible for the economic miracle? 2018. URL: </w:t>
      </w:r>
      <w:r w:rsidRPr="00EC1940">
        <w:rPr>
          <w:rFonts w:ascii="Times New Roman" w:hAnsi="Times New Roman" w:cs="Times New Roman"/>
          <w:sz w:val="28"/>
          <w:szCs w:val="28"/>
          <w:lang w:val="uk-UA"/>
        </w:rPr>
        <w:lastRenderedPageBreak/>
        <w:t>https://www.realinstitutoelcano.org/en/analyses/portugals-economic-prospects-was-the-political-miracle-responsible-for-the-economic-miracle/ (дата звернення: 28.04.2024)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Mário Centeno  Miguel Castro Coelho. The turnaround of the Portuguese economy: Two decades of structural changes. 2018. URL: https://cepr.org/voxeu/columns/turnaround-portuguese-economy-two-decades-structural-changes (дата звернення: 28.04.2024)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Cristina Manteu, Sara Serra. Impact of uncertainty measures on the Portuguese economy. 2017. Banco de Portugal. URL: https://www.bportugal.pt/en/paper/impact-uncertainty-measures-portuguese-economy (дата звернення: 22.04.2024)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George Alogoskoufis. Greece and the Euro: A Mundellian Tragedy. 2019. URL: https://www.lse.ac.uk/Hellenic-Observatory/Assets/Documents/Publications/GreeSE-Papers/GreeSE-No136.pdf (дата звернення: 22.04.2024)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Hiona Balfoussia, Dimitrios P.Louzis. The Impact of Economic Uncertainty and Inflation Uncertainty on the Greek Economy. 2021. Bank of Greece Economic Bulletin, Issue 53, Article 3. URL: https://ssrn.com/abstract=4201722 (дата звернення: 28.04.2024)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Ekaterini Tsouma. The Link between Output Growth and Real Uncertainty in Greece: A Tool to Speed up Economic Recovery? 2016. URL: https://www.scirp.org/journal/paperinformation?paperid=42969 (дата звернення: 28.04.2024)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Gikas A. Hardouvelis, Georgios Karalas, Dimitrios Karanastasis, Panagiotis Samartzis. Economic Policy Uncertainty, Political Uncertainty and the Greek Economic Crisis. 2018. URL: https://ssrn.com/abstract=3155172 (дата звернення: 25.04.2024)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GDP (current US$). World Bank Database. URL: https://data.worldbank.org/indicator/NY.GDP.MKTP.CD (дата звернення: 24.04.2024)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lastRenderedPageBreak/>
        <w:t xml:space="preserve">Balance of Payments (mn USD). Analytical presentation by country. IMF Data. URL:  https://data.imf.org/regular.aspx?key=62805740 (дата звернення: 24.04.2024)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Top-10 Exports for Portugal. World of Exports Data. URL: https://www.worldstopexports.com/portugals-top-10-exports/ (дата звернення: 29.04.2024)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Top-10 Exports for Greece. World of Exports Data. URL: https://www.worldstopexports.com/greeces-top-10-exports/ (дата звернення: 29.04.2024)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Top-10 Imports for Portugal. World of Exports Data. URL: https://www.worldstopexports.com/portugals-top-10-imports/ (дата звернення: 29.04.2024)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Top-10 Imports for Greece. World of Exports Data. URL: https://www.worldstopexports.com/greeces-top-10-imports/ (дата звернення: 29.04.2024)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International Investment Position (mn USD). Analytical presentation by country. IMF Data. URL: https://data.imf.org/regular.aspx?key=62805744 (дата звернення: 24.04.2024)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External Debt Statistics. BP Stat. Bank of Portugal. URL: https://bpstat.bportugal.pt/serie/12477969 (дата звернення: 01.05.2024) </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External Debt Statistics. Bank of Greece. URL: https://www.bankofgreece.gr/en/statistics/external-sector/external-debt (дата звернення: 01.05.2024)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Зовнішня торгівля товарами за країнами–партнерами. Державна служба статистики України. URL: https://www.ukrstat.gov.ua/operativ/operativ2024/zd/kr_tstr/arh_kr_2023.htm (дата звернення: 15.05.2024)</w:t>
      </w:r>
    </w:p>
    <w:p w:rsidR="00EC1940"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 xml:space="preserve">Річні обсяги зовнішньої торгівлі послугами України з країнами світу (за видами послуг). Державна служба статистики України. URL: </w:t>
      </w:r>
      <w:r w:rsidRPr="00EC1940">
        <w:rPr>
          <w:rFonts w:ascii="Times New Roman" w:hAnsi="Times New Roman" w:cs="Times New Roman"/>
          <w:sz w:val="28"/>
          <w:szCs w:val="28"/>
          <w:lang w:val="uk-UA"/>
        </w:rPr>
        <w:lastRenderedPageBreak/>
        <w:t>https://www.ukrstat.gov.ua/operativ/operativ2021/zd/ztpu_ks/ztpu_ks_u/arh_ztpu_ks_2021.htm (дата звернення: 15.05.2024)</w:t>
      </w:r>
    </w:p>
    <w:p w:rsidR="00C02C14" w:rsidRPr="00EC1940" w:rsidRDefault="00EC1940" w:rsidP="00EC1940">
      <w:pPr>
        <w:pStyle w:val="a3"/>
        <w:numPr>
          <w:ilvl w:val="0"/>
          <w:numId w:val="5"/>
        </w:numPr>
        <w:spacing w:after="0" w:line="360" w:lineRule="auto"/>
        <w:ind w:left="426" w:hanging="426"/>
        <w:jc w:val="both"/>
        <w:rPr>
          <w:rFonts w:ascii="Times New Roman" w:hAnsi="Times New Roman" w:cs="Times New Roman"/>
          <w:sz w:val="28"/>
          <w:szCs w:val="28"/>
          <w:lang w:val="uk-UA"/>
        </w:rPr>
      </w:pPr>
      <w:r w:rsidRPr="00EC1940">
        <w:rPr>
          <w:rFonts w:ascii="Times New Roman" w:hAnsi="Times New Roman" w:cs="Times New Roman"/>
          <w:sz w:val="28"/>
          <w:szCs w:val="28"/>
          <w:lang w:val="uk-UA"/>
        </w:rPr>
        <w:t>Статистика зовнішнього сектору. Національний банк України. URL: https://bank.gov.ua/ua/statistic/sector-external#1 (дата звернення: 15.05.2024)</w:t>
      </w:r>
    </w:p>
    <w:sectPr w:rsidR="00C02C14" w:rsidRPr="00EC1940" w:rsidSect="00DC3991">
      <w:footerReference w:type="default" r:id="rId25"/>
      <w:pgSz w:w="12240" w:h="15840"/>
      <w:pgMar w:top="1134" w:right="1134" w:bottom="1134" w:left="85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0906" w:rsidRDefault="00EC0906" w:rsidP="00DC3991">
      <w:pPr>
        <w:spacing w:after="0" w:line="240" w:lineRule="auto"/>
      </w:pPr>
      <w:r>
        <w:separator/>
      </w:r>
    </w:p>
  </w:endnote>
  <w:endnote w:type="continuationSeparator" w:id="0">
    <w:p w:rsidR="00EC0906" w:rsidRDefault="00EC0906" w:rsidP="00DC39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9684311"/>
      <w:docPartObj>
        <w:docPartGallery w:val="Page Numbers (Bottom of Page)"/>
        <w:docPartUnique/>
      </w:docPartObj>
    </w:sdtPr>
    <w:sdtEndPr>
      <w:rPr>
        <w:rFonts w:ascii="Times New Roman" w:hAnsi="Times New Roman" w:cs="Times New Roman"/>
        <w:sz w:val="24"/>
      </w:rPr>
    </w:sdtEndPr>
    <w:sdtContent>
      <w:p w:rsidR="00144571" w:rsidRPr="00DC3991" w:rsidRDefault="00144571">
        <w:pPr>
          <w:pStyle w:val="a6"/>
          <w:jc w:val="right"/>
          <w:rPr>
            <w:rFonts w:ascii="Times New Roman" w:hAnsi="Times New Roman" w:cs="Times New Roman"/>
            <w:sz w:val="24"/>
          </w:rPr>
        </w:pPr>
        <w:r w:rsidRPr="00DC3991">
          <w:rPr>
            <w:rFonts w:ascii="Times New Roman" w:hAnsi="Times New Roman" w:cs="Times New Roman"/>
            <w:sz w:val="24"/>
          </w:rPr>
          <w:fldChar w:fldCharType="begin"/>
        </w:r>
        <w:r w:rsidRPr="00DC3991">
          <w:rPr>
            <w:rFonts w:ascii="Times New Roman" w:hAnsi="Times New Roman" w:cs="Times New Roman"/>
            <w:sz w:val="24"/>
          </w:rPr>
          <w:instrText>PAGE   \* MERGEFORMAT</w:instrText>
        </w:r>
        <w:r w:rsidRPr="00DC3991">
          <w:rPr>
            <w:rFonts w:ascii="Times New Roman" w:hAnsi="Times New Roman" w:cs="Times New Roman"/>
            <w:sz w:val="24"/>
          </w:rPr>
          <w:fldChar w:fldCharType="separate"/>
        </w:r>
        <w:r w:rsidR="00A4753B" w:rsidRPr="00A4753B">
          <w:rPr>
            <w:rFonts w:ascii="Times New Roman" w:hAnsi="Times New Roman" w:cs="Times New Roman"/>
            <w:noProof/>
            <w:sz w:val="24"/>
            <w:lang w:val="ru-RU"/>
          </w:rPr>
          <w:t>4</w:t>
        </w:r>
        <w:r w:rsidRPr="00DC3991">
          <w:rPr>
            <w:rFonts w:ascii="Times New Roman" w:hAnsi="Times New Roman" w:cs="Times New Roman"/>
            <w:sz w:val="24"/>
          </w:rPr>
          <w:fldChar w:fldCharType="end"/>
        </w:r>
      </w:p>
    </w:sdtContent>
  </w:sdt>
  <w:p w:rsidR="00144571" w:rsidRDefault="00144571">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0906" w:rsidRDefault="00EC0906" w:rsidP="00DC3991">
      <w:pPr>
        <w:spacing w:after="0" w:line="240" w:lineRule="auto"/>
      </w:pPr>
      <w:r>
        <w:separator/>
      </w:r>
    </w:p>
  </w:footnote>
  <w:footnote w:type="continuationSeparator" w:id="0">
    <w:p w:rsidR="00EC0906" w:rsidRDefault="00EC0906" w:rsidP="00DC399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343C0"/>
    <w:multiLevelType w:val="hybridMultilevel"/>
    <w:tmpl w:val="AFE0CED4"/>
    <w:lvl w:ilvl="0" w:tplc="0409000F">
      <w:start w:val="1"/>
      <w:numFmt w:val="decimal"/>
      <w:lvlText w:val="%1."/>
      <w:lvlJc w:val="left"/>
      <w:pPr>
        <w:ind w:left="1400" w:hanging="360"/>
      </w:p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
    <w:nsid w:val="06A93359"/>
    <w:multiLevelType w:val="hybridMultilevel"/>
    <w:tmpl w:val="3DE01646"/>
    <w:lvl w:ilvl="0" w:tplc="ABD450C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4D96012"/>
    <w:multiLevelType w:val="hybridMultilevel"/>
    <w:tmpl w:val="776604B4"/>
    <w:lvl w:ilvl="0" w:tplc="AFD88ABA">
      <w:start w:val="1"/>
      <w:numFmt w:val="decimal"/>
      <w:lvlText w:val="%1."/>
      <w:lvlJc w:val="left"/>
      <w:pPr>
        <w:ind w:left="1445" w:hanging="765"/>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3">
    <w:nsid w:val="560A7E93"/>
    <w:multiLevelType w:val="hybridMultilevel"/>
    <w:tmpl w:val="2428758C"/>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4">
    <w:nsid w:val="5ED0163E"/>
    <w:multiLevelType w:val="hybridMultilevel"/>
    <w:tmpl w:val="FEC2FC42"/>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16A0"/>
    <w:rsid w:val="00000AF8"/>
    <w:rsid w:val="00020BB4"/>
    <w:rsid w:val="00032BD5"/>
    <w:rsid w:val="00053CF6"/>
    <w:rsid w:val="000650CA"/>
    <w:rsid w:val="00082E09"/>
    <w:rsid w:val="000B1C15"/>
    <w:rsid w:val="000B7CB0"/>
    <w:rsid w:val="000C1525"/>
    <w:rsid w:val="001131FE"/>
    <w:rsid w:val="00144571"/>
    <w:rsid w:val="0017080D"/>
    <w:rsid w:val="001B3E14"/>
    <w:rsid w:val="001B6E6C"/>
    <w:rsid w:val="001F4954"/>
    <w:rsid w:val="002041F7"/>
    <w:rsid w:val="00205EA3"/>
    <w:rsid w:val="00216890"/>
    <w:rsid w:val="00223B7B"/>
    <w:rsid w:val="00237C94"/>
    <w:rsid w:val="0025425E"/>
    <w:rsid w:val="0026378C"/>
    <w:rsid w:val="00293944"/>
    <w:rsid w:val="00293EC3"/>
    <w:rsid w:val="00296819"/>
    <w:rsid w:val="002C6241"/>
    <w:rsid w:val="002D13D9"/>
    <w:rsid w:val="002D48F8"/>
    <w:rsid w:val="002F185A"/>
    <w:rsid w:val="00304AA6"/>
    <w:rsid w:val="00316777"/>
    <w:rsid w:val="00332772"/>
    <w:rsid w:val="00332954"/>
    <w:rsid w:val="00334A0A"/>
    <w:rsid w:val="003921B3"/>
    <w:rsid w:val="003A1306"/>
    <w:rsid w:val="003A164F"/>
    <w:rsid w:val="004142CA"/>
    <w:rsid w:val="00422176"/>
    <w:rsid w:val="00424701"/>
    <w:rsid w:val="00436C3A"/>
    <w:rsid w:val="00440C66"/>
    <w:rsid w:val="00455167"/>
    <w:rsid w:val="004D0A64"/>
    <w:rsid w:val="004E797F"/>
    <w:rsid w:val="0051661E"/>
    <w:rsid w:val="00525F5B"/>
    <w:rsid w:val="0053450C"/>
    <w:rsid w:val="0053775B"/>
    <w:rsid w:val="00542C5B"/>
    <w:rsid w:val="00562D1D"/>
    <w:rsid w:val="00595629"/>
    <w:rsid w:val="00597E20"/>
    <w:rsid w:val="005C4747"/>
    <w:rsid w:val="005D4BD5"/>
    <w:rsid w:val="005D5FC1"/>
    <w:rsid w:val="005F0E8E"/>
    <w:rsid w:val="005F1B63"/>
    <w:rsid w:val="005F4C60"/>
    <w:rsid w:val="006062BE"/>
    <w:rsid w:val="0061238F"/>
    <w:rsid w:val="006606A4"/>
    <w:rsid w:val="00663B13"/>
    <w:rsid w:val="00677355"/>
    <w:rsid w:val="00681002"/>
    <w:rsid w:val="00681D51"/>
    <w:rsid w:val="006B4120"/>
    <w:rsid w:val="006B5E18"/>
    <w:rsid w:val="00707AF8"/>
    <w:rsid w:val="00715289"/>
    <w:rsid w:val="00726FB9"/>
    <w:rsid w:val="007815CE"/>
    <w:rsid w:val="0079491A"/>
    <w:rsid w:val="007D5BCA"/>
    <w:rsid w:val="008232B8"/>
    <w:rsid w:val="00845095"/>
    <w:rsid w:val="00854D51"/>
    <w:rsid w:val="00873C86"/>
    <w:rsid w:val="008A1D5F"/>
    <w:rsid w:val="008D5B2C"/>
    <w:rsid w:val="008E1551"/>
    <w:rsid w:val="008F0A00"/>
    <w:rsid w:val="008F16A0"/>
    <w:rsid w:val="00925198"/>
    <w:rsid w:val="009659EA"/>
    <w:rsid w:val="00972F94"/>
    <w:rsid w:val="00974A7A"/>
    <w:rsid w:val="009A2E42"/>
    <w:rsid w:val="009B2573"/>
    <w:rsid w:val="009B5581"/>
    <w:rsid w:val="009E5110"/>
    <w:rsid w:val="00A079DB"/>
    <w:rsid w:val="00A4753B"/>
    <w:rsid w:val="00AD067F"/>
    <w:rsid w:val="00AE48F4"/>
    <w:rsid w:val="00AF1121"/>
    <w:rsid w:val="00B226D1"/>
    <w:rsid w:val="00B32D97"/>
    <w:rsid w:val="00B50B94"/>
    <w:rsid w:val="00BA10C7"/>
    <w:rsid w:val="00BA3067"/>
    <w:rsid w:val="00BB4DA8"/>
    <w:rsid w:val="00BD2FF0"/>
    <w:rsid w:val="00BE39EC"/>
    <w:rsid w:val="00C02066"/>
    <w:rsid w:val="00C02C14"/>
    <w:rsid w:val="00C072C3"/>
    <w:rsid w:val="00C632EF"/>
    <w:rsid w:val="00C67746"/>
    <w:rsid w:val="00CB25EF"/>
    <w:rsid w:val="00CC1722"/>
    <w:rsid w:val="00CD0A23"/>
    <w:rsid w:val="00CE0F9C"/>
    <w:rsid w:val="00CE1DC0"/>
    <w:rsid w:val="00CE24F8"/>
    <w:rsid w:val="00D06027"/>
    <w:rsid w:val="00D22134"/>
    <w:rsid w:val="00D27536"/>
    <w:rsid w:val="00D6340D"/>
    <w:rsid w:val="00D764AE"/>
    <w:rsid w:val="00D9220E"/>
    <w:rsid w:val="00D96B47"/>
    <w:rsid w:val="00DC067D"/>
    <w:rsid w:val="00DC2CB1"/>
    <w:rsid w:val="00DC3991"/>
    <w:rsid w:val="00DE6A64"/>
    <w:rsid w:val="00E057C6"/>
    <w:rsid w:val="00E3444B"/>
    <w:rsid w:val="00E6666D"/>
    <w:rsid w:val="00E75AB0"/>
    <w:rsid w:val="00E8121E"/>
    <w:rsid w:val="00E81F0F"/>
    <w:rsid w:val="00EA04B2"/>
    <w:rsid w:val="00EA0FB0"/>
    <w:rsid w:val="00EC0906"/>
    <w:rsid w:val="00EC1940"/>
    <w:rsid w:val="00EC6B6F"/>
    <w:rsid w:val="00ED0755"/>
    <w:rsid w:val="00F00A11"/>
    <w:rsid w:val="00F0220B"/>
    <w:rsid w:val="00F05B7E"/>
    <w:rsid w:val="00F06BCF"/>
    <w:rsid w:val="00F34D06"/>
    <w:rsid w:val="00F46DF1"/>
    <w:rsid w:val="00F94174"/>
    <w:rsid w:val="00FB6B5E"/>
    <w:rsid w:val="00FF56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1238F"/>
    <w:pPr>
      <w:keepNext/>
      <w:keepLines/>
      <w:spacing w:after="0" w:line="360" w:lineRule="auto"/>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C02C14"/>
    <w:pPr>
      <w:keepNext/>
      <w:keepLines/>
      <w:spacing w:after="0" w:line="360" w:lineRule="auto"/>
      <w:ind w:firstLine="709"/>
      <w:jc w:val="both"/>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1238F"/>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C02C14"/>
    <w:rPr>
      <w:rFonts w:ascii="Times New Roman" w:eastAsiaTheme="majorEastAsia" w:hAnsi="Times New Roman" w:cstheme="majorBidi"/>
      <w:b/>
      <w:sz w:val="28"/>
      <w:szCs w:val="26"/>
    </w:rPr>
  </w:style>
  <w:style w:type="paragraph" w:styleId="a3">
    <w:name w:val="List Paragraph"/>
    <w:basedOn w:val="a"/>
    <w:uiPriority w:val="34"/>
    <w:qFormat/>
    <w:rsid w:val="00000AF8"/>
    <w:pPr>
      <w:ind w:left="720"/>
      <w:contextualSpacing/>
    </w:pPr>
  </w:style>
  <w:style w:type="paragraph" w:styleId="a4">
    <w:name w:val="header"/>
    <w:basedOn w:val="a"/>
    <w:link w:val="a5"/>
    <w:uiPriority w:val="99"/>
    <w:unhideWhenUsed/>
    <w:rsid w:val="00DC3991"/>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DC3991"/>
  </w:style>
  <w:style w:type="paragraph" w:styleId="a6">
    <w:name w:val="footer"/>
    <w:basedOn w:val="a"/>
    <w:link w:val="a7"/>
    <w:uiPriority w:val="99"/>
    <w:unhideWhenUsed/>
    <w:rsid w:val="00DC3991"/>
    <w:pPr>
      <w:tabs>
        <w:tab w:val="center" w:pos="4844"/>
        <w:tab w:val="right" w:pos="9689"/>
      </w:tabs>
      <w:spacing w:after="0" w:line="240" w:lineRule="auto"/>
    </w:pPr>
  </w:style>
  <w:style w:type="character" w:customStyle="1" w:styleId="a7">
    <w:name w:val="Нижний колонтитул Знак"/>
    <w:basedOn w:val="a0"/>
    <w:link w:val="a6"/>
    <w:uiPriority w:val="99"/>
    <w:rsid w:val="00DC3991"/>
  </w:style>
  <w:style w:type="paragraph" w:styleId="a8">
    <w:name w:val="TOC Heading"/>
    <w:basedOn w:val="1"/>
    <w:next w:val="a"/>
    <w:uiPriority w:val="39"/>
    <w:unhideWhenUsed/>
    <w:qFormat/>
    <w:rsid w:val="00C02C14"/>
    <w:pPr>
      <w:spacing w:before="240" w:line="259" w:lineRule="auto"/>
      <w:jc w:val="left"/>
      <w:outlineLvl w:val="9"/>
    </w:pPr>
    <w:rPr>
      <w:rFonts w:asciiTheme="majorHAnsi" w:hAnsiTheme="majorHAnsi"/>
      <w:b w:val="0"/>
      <w:color w:val="2E74B5" w:themeColor="accent1" w:themeShade="BF"/>
      <w:sz w:val="32"/>
    </w:rPr>
  </w:style>
  <w:style w:type="paragraph" w:styleId="11">
    <w:name w:val="toc 1"/>
    <w:basedOn w:val="a"/>
    <w:next w:val="a"/>
    <w:autoRedefine/>
    <w:uiPriority w:val="39"/>
    <w:unhideWhenUsed/>
    <w:rsid w:val="00C02C14"/>
    <w:pPr>
      <w:spacing w:after="100"/>
    </w:pPr>
  </w:style>
  <w:style w:type="paragraph" w:styleId="21">
    <w:name w:val="toc 2"/>
    <w:basedOn w:val="a"/>
    <w:next w:val="a"/>
    <w:autoRedefine/>
    <w:uiPriority w:val="39"/>
    <w:unhideWhenUsed/>
    <w:rsid w:val="00C02C14"/>
    <w:pPr>
      <w:spacing w:after="100"/>
      <w:ind w:left="220"/>
    </w:pPr>
  </w:style>
  <w:style w:type="character" w:styleId="a9">
    <w:name w:val="Hyperlink"/>
    <w:basedOn w:val="a0"/>
    <w:uiPriority w:val="99"/>
    <w:unhideWhenUsed/>
    <w:rsid w:val="00C02C14"/>
    <w:rPr>
      <w:color w:val="0563C1" w:themeColor="hyperlink"/>
      <w:u w:val="single"/>
    </w:rPr>
  </w:style>
  <w:style w:type="table" w:styleId="aa">
    <w:name w:val="Table Grid"/>
    <w:basedOn w:val="a1"/>
    <w:uiPriority w:val="39"/>
    <w:rsid w:val="00CC17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laceholder Text"/>
    <w:basedOn w:val="a0"/>
    <w:uiPriority w:val="99"/>
    <w:semiHidden/>
    <w:rsid w:val="00EC6B6F"/>
    <w:rPr>
      <w:color w:val="808080"/>
    </w:rPr>
  </w:style>
  <w:style w:type="paragraph" w:styleId="ac">
    <w:name w:val="Balloon Text"/>
    <w:basedOn w:val="a"/>
    <w:link w:val="ad"/>
    <w:uiPriority w:val="99"/>
    <w:semiHidden/>
    <w:unhideWhenUsed/>
    <w:rsid w:val="000C1525"/>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0C152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1238F"/>
    <w:pPr>
      <w:keepNext/>
      <w:keepLines/>
      <w:spacing w:after="0" w:line="360" w:lineRule="auto"/>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C02C14"/>
    <w:pPr>
      <w:keepNext/>
      <w:keepLines/>
      <w:spacing w:after="0" w:line="360" w:lineRule="auto"/>
      <w:ind w:firstLine="709"/>
      <w:jc w:val="both"/>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1238F"/>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C02C14"/>
    <w:rPr>
      <w:rFonts w:ascii="Times New Roman" w:eastAsiaTheme="majorEastAsia" w:hAnsi="Times New Roman" w:cstheme="majorBidi"/>
      <w:b/>
      <w:sz w:val="28"/>
      <w:szCs w:val="26"/>
    </w:rPr>
  </w:style>
  <w:style w:type="paragraph" w:styleId="a3">
    <w:name w:val="List Paragraph"/>
    <w:basedOn w:val="a"/>
    <w:uiPriority w:val="34"/>
    <w:qFormat/>
    <w:rsid w:val="00000AF8"/>
    <w:pPr>
      <w:ind w:left="720"/>
      <w:contextualSpacing/>
    </w:pPr>
  </w:style>
  <w:style w:type="paragraph" w:styleId="a4">
    <w:name w:val="header"/>
    <w:basedOn w:val="a"/>
    <w:link w:val="a5"/>
    <w:uiPriority w:val="99"/>
    <w:unhideWhenUsed/>
    <w:rsid w:val="00DC3991"/>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DC3991"/>
  </w:style>
  <w:style w:type="paragraph" w:styleId="a6">
    <w:name w:val="footer"/>
    <w:basedOn w:val="a"/>
    <w:link w:val="a7"/>
    <w:uiPriority w:val="99"/>
    <w:unhideWhenUsed/>
    <w:rsid w:val="00DC3991"/>
    <w:pPr>
      <w:tabs>
        <w:tab w:val="center" w:pos="4844"/>
        <w:tab w:val="right" w:pos="9689"/>
      </w:tabs>
      <w:spacing w:after="0" w:line="240" w:lineRule="auto"/>
    </w:pPr>
  </w:style>
  <w:style w:type="character" w:customStyle="1" w:styleId="a7">
    <w:name w:val="Нижний колонтитул Знак"/>
    <w:basedOn w:val="a0"/>
    <w:link w:val="a6"/>
    <w:uiPriority w:val="99"/>
    <w:rsid w:val="00DC3991"/>
  </w:style>
  <w:style w:type="paragraph" w:styleId="a8">
    <w:name w:val="TOC Heading"/>
    <w:basedOn w:val="1"/>
    <w:next w:val="a"/>
    <w:uiPriority w:val="39"/>
    <w:unhideWhenUsed/>
    <w:qFormat/>
    <w:rsid w:val="00C02C14"/>
    <w:pPr>
      <w:spacing w:before="240" w:line="259" w:lineRule="auto"/>
      <w:jc w:val="left"/>
      <w:outlineLvl w:val="9"/>
    </w:pPr>
    <w:rPr>
      <w:rFonts w:asciiTheme="majorHAnsi" w:hAnsiTheme="majorHAnsi"/>
      <w:b w:val="0"/>
      <w:color w:val="2E74B5" w:themeColor="accent1" w:themeShade="BF"/>
      <w:sz w:val="32"/>
    </w:rPr>
  </w:style>
  <w:style w:type="paragraph" w:styleId="11">
    <w:name w:val="toc 1"/>
    <w:basedOn w:val="a"/>
    <w:next w:val="a"/>
    <w:autoRedefine/>
    <w:uiPriority w:val="39"/>
    <w:unhideWhenUsed/>
    <w:rsid w:val="00C02C14"/>
    <w:pPr>
      <w:spacing w:after="100"/>
    </w:pPr>
  </w:style>
  <w:style w:type="paragraph" w:styleId="21">
    <w:name w:val="toc 2"/>
    <w:basedOn w:val="a"/>
    <w:next w:val="a"/>
    <w:autoRedefine/>
    <w:uiPriority w:val="39"/>
    <w:unhideWhenUsed/>
    <w:rsid w:val="00C02C14"/>
    <w:pPr>
      <w:spacing w:after="100"/>
      <w:ind w:left="220"/>
    </w:pPr>
  </w:style>
  <w:style w:type="character" w:styleId="a9">
    <w:name w:val="Hyperlink"/>
    <w:basedOn w:val="a0"/>
    <w:uiPriority w:val="99"/>
    <w:unhideWhenUsed/>
    <w:rsid w:val="00C02C14"/>
    <w:rPr>
      <w:color w:val="0563C1" w:themeColor="hyperlink"/>
      <w:u w:val="single"/>
    </w:rPr>
  </w:style>
  <w:style w:type="table" w:styleId="aa">
    <w:name w:val="Table Grid"/>
    <w:basedOn w:val="a1"/>
    <w:uiPriority w:val="39"/>
    <w:rsid w:val="00CC17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laceholder Text"/>
    <w:basedOn w:val="a0"/>
    <w:uiPriority w:val="99"/>
    <w:semiHidden/>
    <w:rsid w:val="00EC6B6F"/>
    <w:rPr>
      <w:color w:val="808080"/>
    </w:rPr>
  </w:style>
  <w:style w:type="paragraph" w:styleId="ac">
    <w:name w:val="Balloon Text"/>
    <w:basedOn w:val="a"/>
    <w:link w:val="ad"/>
    <w:uiPriority w:val="99"/>
    <w:semiHidden/>
    <w:unhideWhenUsed/>
    <w:rsid w:val="000C1525"/>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0C152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473369">
      <w:bodyDiv w:val="1"/>
      <w:marLeft w:val="0"/>
      <w:marRight w:val="0"/>
      <w:marTop w:val="0"/>
      <w:marBottom w:val="0"/>
      <w:divBdr>
        <w:top w:val="none" w:sz="0" w:space="0" w:color="auto"/>
        <w:left w:val="none" w:sz="0" w:space="0" w:color="auto"/>
        <w:bottom w:val="none" w:sz="0" w:space="0" w:color="auto"/>
        <w:right w:val="none" w:sz="0" w:space="0" w:color="auto"/>
      </w:divBdr>
    </w:div>
    <w:div w:id="270892731">
      <w:bodyDiv w:val="1"/>
      <w:marLeft w:val="0"/>
      <w:marRight w:val="0"/>
      <w:marTop w:val="0"/>
      <w:marBottom w:val="0"/>
      <w:divBdr>
        <w:top w:val="none" w:sz="0" w:space="0" w:color="auto"/>
        <w:left w:val="none" w:sz="0" w:space="0" w:color="auto"/>
        <w:bottom w:val="none" w:sz="0" w:space="0" w:color="auto"/>
        <w:right w:val="none" w:sz="0" w:space="0" w:color="auto"/>
      </w:divBdr>
    </w:div>
    <w:div w:id="369571284">
      <w:bodyDiv w:val="1"/>
      <w:marLeft w:val="0"/>
      <w:marRight w:val="0"/>
      <w:marTop w:val="0"/>
      <w:marBottom w:val="0"/>
      <w:divBdr>
        <w:top w:val="none" w:sz="0" w:space="0" w:color="auto"/>
        <w:left w:val="none" w:sz="0" w:space="0" w:color="auto"/>
        <w:bottom w:val="none" w:sz="0" w:space="0" w:color="auto"/>
        <w:right w:val="none" w:sz="0" w:space="0" w:color="auto"/>
      </w:divBdr>
    </w:div>
    <w:div w:id="1042290463">
      <w:bodyDiv w:val="1"/>
      <w:marLeft w:val="0"/>
      <w:marRight w:val="0"/>
      <w:marTop w:val="0"/>
      <w:marBottom w:val="0"/>
      <w:divBdr>
        <w:top w:val="none" w:sz="0" w:space="0" w:color="auto"/>
        <w:left w:val="none" w:sz="0" w:space="0" w:color="auto"/>
        <w:bottom w:val="none" w:sz="0" w:space="0" w:color="auto"/>
        <w:right w:val="none" w:sz="0" w:space="0" w:color="auto"/>
      </w:divBdr>
    </w:div>
    <w:div w:id="1184325800">
      <w:bodyDiv w:val="1"/>
      <w:marLeft w:val="0"/>
      <w:marRight w:val="0"/>
      <w:marTop w:val="0"/>
      <w:marBottom w:val="0"/>
      <w:divBdr>
        <w:top w:val="none" w:sz="0" w:space="0" w:color="auto"/>
        <w:left w:val="none" w:sz="0" w:space="0" w:color="auto"/>
        <w:bottom w:val="none" w:sz="0" w:space="0" w:color="auto"/>
        <w:right w:val="none" w:sz="0" w:space="0" w:color="auto"/>
      </w:divBdr>
    </w:div>
    <w:div w:id="1240017202">
      <w:bodyDiv w:val="1"/>
      <w:marLeft w:val="0"/>
      <w:marRight w:val="0"/>
      <w:marTop w:val="0"/>
      <w:marBottom w:val="0"/>
      <w:divBdr>
        <w:top w:val="none" w:sz="0" w:space="0" w:color="auto"/>
        <w:left w:val="none" w:sz="0" w:space="0" w:color="auto"/>
        <w:bottom w:val="none" w:sz="0" w:space="0" w:color="auto"/>
        <w:right w:val="none" w:sz="0" w:space="0" w:color="auto"/>
      </w:divBdr>
    </w:div>
    <w:div w:id="1295405183">
      <w:bodyDiv w:val="1"/>
      <w:marLeft w:val="0"/>
      <w:marRight w:val="0"/>
      <w:marTop w:val="0"/>
      <w:marBottom w:val="0"/>
      <w:divBdr>
        <w:top w:val="none" w:sz="0" w:space="0" w:color="auto"/>
        <w:left w:val="none" w:sz="0" w:space="0" w:color="auto"/>
        <w:bottom w:val="none" w:sz="0" w:space="0" w:color="auto"/>
        <w:right w:val="none" w:sz="0" w:space="0" w:color="auto"/>
      </w:divBdr>
    </w:div>
    <w:div w:id="1668242626">
      <w:bodyDiv w:val="1"/>
      <w:marLeft w:val="0"/>
      <w:marRight w:val="0"/>
      <w:marTop w:val="0"/>
      <w:marBottom w:val="0"/>
      <w:divBdr>
        <w:top w:val="none" w:sz="0" w:space="0" w:color="auto"/>
        <w:left w:val="none" w:sz="0" w:space="0" w:color="auto"/>
        <w:bottom w:val="none" w:sz="0" w:space="0" w:color="auto"/>
        <w:right w:val="none" w:sz="0" w:space="0" w:color="auto"/>
      </w:divBdr>
    </w:div>
    <w:div w:id="1817405424">
      <w:bodyDiv w:val="1"/>
      <w:marLeft w:val="0"/>
      <w:marRight w:val="0"/>
      <w:marTop w:val="0"/>
      <w:marBottom w:val="0"/>
      <w:divBdr>
        <w:top w:val="none" w:sz="0" w:space="0" w:color="auto"/>
        <w:left w:val="none" w:sz="0" w:space="0" w:color="auto"/>
        <w:bottom w:val="none" w:sz="0" w:space="0" w:color="auto"/>
        <w:right w:val="none" w:sz="0" w:space="0" w:color="auto"/>
      </w:divBdr>
    </w:div>
    <w:div w:id="1935895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3.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chart" Target="charts/chart16.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chart" Target="charts/chart15.xml"/><Relationship Id="rId10" Type="http://schemas.openxmlformats.org/officeDocument/2006/relationships/chart" Target="charts/chart2.xml"/><Relationship Id="rId19" Type="http://schemas.openxmlformats.org/officeDocument/2006/relationships/chart" Target="charts/chart1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_____Microsoft_Excel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_____Microsoft_Excel16.xlsx"/><Relationship Id="rId1" Type="http://schemas.openxmlformats.org/officeDocument/2006/relationships/themeOverride" Target="../theme/themeOverride16.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Tables!$A$8</c:f>
              <c:strCache>
                <c:ptCount val="1"/>
                <c:pt idx="0">
                  <c:v>Португалія (млн. дол. США)</c:v>
                </c:pt>
              </c:strCache>
            </c:strRef>
          </c:tx>
          <c:spPr>
            <a:solidFill>
              <a:srgbClr val="A5BAD3"/>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Tables!$B$8:$Y$8</c:f>
              <c:numCache>
                <c:formatCode>#,##0</c:formatCode>
                <c:ptCount val="24"/>
                <c:pt idx="0">
                  <c:v>24230.391758158326</c:v>
                </c:pt>
                <c:pt idx="1">
                  <c:v>24112.883791460052</c:v>
                </c:pt>
                <c:pt idx="2">
                  <c:v>26333.142627842819</c:v>
                </c:pt>
                <c:pt idx="3">
                  <c:v>33106.614150728208</c:v>
                </c:pt>
                <c:pt idx="4">
                  <c:v>38008.457917640662</c:v>
                </c:pt>
                <c:pt idx="5">
                  <c:v>38646.941792649777</c:v>
                </c:pt>
                <c:pt idx="6">
                  <c:v>45040.147043299032</c:v>
                </c:pt>
                <c:pt idx="7">
                  <c:v>52087.91423751504</c:v>
                </c:pt>
                <c:pt idx="8">
                  <c:v>56912.93898871907</c:v>
                </c:pt>
                <c:pt idx="9">
                  <c:v>43882.162468336166</c:v>
                </c:pt>
                <c:pt idx="10">
                  <c:v>48937.557705050356</c:v>
                </c:pt>
                <c:pt idx="11">
                  <c:v>58888.38880463301</c:v>
                </c:pt>
                <c:pt idx="12">
                  <c:v>56958.651124078475</c:v>
                </c:pt>
                <c:pt idx="13">
                  <c:v>61760.155038898258</c:v>
                </c:pt>
                <c:pt idx="14">
                  <c:v>62826.690547487291</c:v>
                </c:pt>
                <c:pt idx="15">
                  <c:v>54279.489094789504</c:v>
                </c:pt>
                <c:pt idx="16">
                  <c:v>54355.517983042635</c:v>
                </c:pt>
                <c:pt idx="17">
                  <c:v>60226.997979634609</c:v>
                </c:pt>
                <c:pt idx="18">
                  <c:v>66409.520953012878</c:v>
                </c:pt>
                <c:pt idx="19">
                  <c:v>64886.272495805526</c:v>
                </c:pt>
                <c:pt idx="20">
                  <c:v>59638.766800266334</c:v>
                </c:pt>
                <c:pt idx="21">
                  <c:v>73533.555255844112</c:v>
                </c:pt>
                <c:pt idx="22">
                  <c:v>79893.546304572781</c:v>
                </c:pt>
                <c:pt idx="23">
                  <c:v>80637.5</c:v>
                </c:pt>
              </c:numCache>
            </c:numRef>
          </c:val>
        </c:ser>
        <c:ser>
          <c:idx val="1"/>
          <c:order val="1"/>
          <c:tx>
            <c:strRef>
              <c:f>Tables!$A$9</c:f>
              <c:strCache>
                <c:ptCount val="1"/>
                <c:pt idx="0">
                  <c:v>Греція (млн. дол. США)</c:v>
                </c:pt>
              </c:strCache>
            </c:strRef>
          </c:tx>
          <c:spPr>
            <a:solidFill>
              <a:schemeClr val="accent5">
                <a:lumMod val="75000"/>
              </a:schemeClr>
            </a:solidFill>
            <a:ln>
              <a:solidFill>
                <a:schemeClr val="accent5">
                  <a:lumMod val="60000"/>
                  <a:lumOff val="40000"/>
                </a:schemeClr>
              </a:solid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Tables!$B$9:$Y$9</c:f>
              <c:numCache>
                <c:formatCode>#,##0</c:formatCode>
                <c:ptCount val="24"/>
                <c:pt idx="0">
                  <c:v>10120.149406500001</c:v>
                </c:pt>
                <c:pt idx="1">
                  <c:v>10502.103045650592</c:v>
                </c:pt>
                <c:pt idx="2">
                  <c:v>9771.4718680047717</c:v>
                </c:pt>
                <c:pt idx="3">
                  <c:v>12485.857067398252</c:v>
                </c:pt>
                <c:pt idx="4">
                  <c:v>15629.355370892024</c:v>
                </c:pt>
                <c:pt idx="5">
                  <c:v>17461.520086592202</c:v>
                </c:pt>
                <c:pt idx="6">
                  <c:v>20138.99583928796</c:v>
                </c:pt>
                <c:pt idx="7">
                  <c:v>23747.394212422983</c:v>
                </c:pt>
                <c:pt idx="8">
                  <c:v>28869.024559364691</c:v>
                </c:pt>
                <c:pt idx="9">
                  <c:v>20993.4</c:v>
                </c:pt>
                <c:pt idx="10">
                  <c:v>22244.488075119079</c:v>
                </c:pt>
                <c:pt idx="11">
                  <c:v>27471.481984910701</c:v>
                </c:pt>
                <c:pt idx="12">
                  <c:v>27884.573854990445</c:v>
                </c:pt>
                <c:pt idx="13">
                  <c:v>35699.800208255008</c:v>
                </c:pt>
                <c:pt idx="14">
                  <c:v>35577.819516848729</c:v>
                </c:pt>
                <c:pt idx="15">
                  <c:v>27518.376686159183</c:v>
                </c:pt>
                <c:pt idx="16">
                  <c:v>27229.570716256996</c:v>
                </c:pt>
                <c:pt idx="17">
                  <c:v>31702.6379134983</c:v>
                </c:pt>
                <c:pt idx="18">
                  <c:v>38208.48409676033</c:v>
                </c:pt>
                <c:pt idx="19">
                  <c:v>36308.417144809013</c:v>
                </c:pt>
                <c:pt idx="20">
                  <c:v>33035.804104228104</c:v>
                </c:pt>
                <c:pt idx="21">
                  <c:v>46237.172635907351</c:v>
                </c:pt>
                <c:pt idx="22">
                  <c:v>56445.089658787641</c:v>
                </c:pt>
                <c:pt idx="23">
                  <c:v>53464.6</c:v>
                </c:pt>
              </c:numCache>
            </c:numRef>
          </c:val>
        </c:ser>
        <c:dLbls>
          <c:showLegendKey val="0"/>
          <c:showVal val="0"/>
          <c:showCatName val="0"/>
          <c:showSerName val="0"/>
          <c:showPercent val="0"/>
          <c:showBubbleSize val="0"/>
        </c:dLbls>
        <c:gapWidth val="98"/>
        <c:axId val="134905856"/>
        <c:axId val="138272768"/>
      </c:barChart>
      <c:lineChart>
        <c:grouping val="standard"/>
        <c:varyColors val="0"/>
        <c:ser>
          <c:idx val="2"/>
          <c:order val="2"/>
          <c:tx>
            <c:strRef>
              <c:f>Tables!$A$10</c:f>
              <c:strCache>
                <c:ptCount val="1"/>
                <c:pt idx="0">
                  <c:v>Португалія (% ВВП)</c:v>
                </c:pt>
              </c:strCache>
            </c:strRef>
          </c:tx>
          <c:spPr>
            <a:ln w="28575" cap="rnd">
              <a:solidFill>
                <a:schemeClr val="tx2">
                  <a:lumMod val="60000"/>
                  <a:lumOff val="40000"/>
                </a:schemeClr>
              </a:solidFill>
              <a:prstDash val="sysDash"/>
              <a:round/>
            </a:ln>
            <a:effectLst/>
          </c:spPr>
          <c:marker>
            <c:symbol val="none"/>
          </c:marker>
          <c:val>
            <c:numRef>
              <c:f>Tables!$B$10:$Y$10</c:f>
              <c:numCache>
                <c:formatCode>0.0%</c:formatCode>
                <c:ptCount val="24"/>
                <c:pt idx="0">
                  <c:v>0.20429452682739771</c:v>
                </c:pt>
                <c:pt idx="1">
                  <c:v>0.1982900442560124</c:v>
                </c:pt>
                <c:pt idx="2">
                  <c:v>0.19535614929549314</c:v>
                </c:pt>
                <c:pt idx="3">
                  <c:v>0.20037148498517426</c:v>
                </c:pt>
                <c:pt idx="4">
                  <c:v>0.20069717991033956</c:v>
                </c:pt>
                <c:pt idx="5">
                  <c:v>0.1959248783255248</c:v>
                </c:pt>
                <c:pt idx="6">
                  <c:v>0.21575451776238821</c:v>
                </c:pt>
                <c:pt idx="7">
                  <c:v>0.21658523356207884</c:v>
                </c:pt>
                <c:pt idx="8">
                  <c:v>0.21605693552194588</c:v>
                </c:pt>
                <c:pt idx="9">
                  <c:v>0.17935408392086441</c:v>
                </c:pt>
                <c:pt idx="10">
                  <c:v>0.20552240759865309</c:v>
                </c:pt>
                <c:pt idx="11">
                  <c:v>0.24024507032892295</c:v>
                </c:pt>
                <c:pt idx="12">
                  <c:v>0.26342398508063025</c:v>
                </c:pt>
                <c:pt idx="13">
                  <c:v>0.27275141439907702</c:v>
                </c:pt>
                <c:pt idx="14">
                  <c:v>0.27327600597118706</c:v>
                </c:pt>
                <c:pt idx="15">
                  <c:v>0.27222218815555443</c:v>
                </c:pt>
                <c:pt idx="16">
                  <c:v>0.26331701373620475</c:v>
                </c:pt>
                <c:pt idx="17">
                  <c:v>0.27207976249369092</c:v>
                </c:pt>
                <c:pt idx="18">
                  <c:v>0.27406490367039166</c:v>
                </c:pt>
                <c:pt idx="19">
                  <c:v>0.27037420115360711</c:v>
                </c:pt>
                <c:pt idx="20">
                  <c:v>0.26039506758866865</c:v>
                </c:pt>
                <c:pt idx="21">
                  <c:v>0.28952173723181218</c:v>
                </c:pt>
                <c:pt idx="22">
                  <c:v>0.31710661687076835</c:v>
                </c:pt>
                <c:pt idx="23">
                  <c:v>0.2839170237062526</c:v>
                </c:pt>
              </c:numCache>
            </c:numRef>
          </c:val>
          <c:smooth val="0"/>
        </c:ser>
        <c:ser>
          <c:idx val="3"/>
          <c:order val="3"/>
          <c:tx>
            <c:strRef>
              <c:f>Tables!$A$11</c:f>
              <c:strCache>
                <c:ptCount val="1"/>
                <c:pt idx="0">
                  <c:v>Греція (% ВВП)</c:v>
                </c:pt>
              </c:strCache>
            </c:strRef>
          </c:tx>
          <c:spPr>
            <a:ln w="28575" cap="rnd">
              <a:solidFill>
                <a:schemeClr val="accent5">
                  <a:lumMod val="50000"/>
                </a:schemeClr>
              </a:solidFill>
              <a:prstDash val="lgDash"/>
              <a:round/>
            </a:ln>
            <a:effectLst/>
          </c:spPr>
          <c:marker>
            <c:symbol val="none"/>
          </c:marker>
          <c:val>
            <c:numRef>
              <c:f>Tables!$B$11:$Y$11</c:f>
              <c:numCache>
                <c:formatCode>0.0%</c:formatCode>
                <c:ptCount val="24"/>
                <c:pt idx="0">
                  <c:v>7.7574148659659489E-2</c:v>
                </c:pt>
                <c:pt idx="1">
                  <c:v>7.7046125345223551E-2</c:v>
                </c:pt>
                <c:pt idx="2">
                  <c:v>6.3219501289686286E-2</c:v>
                </c:pt>
                <c:pt idx="3">
                  <c:v>6.1698119360994376E-2</c:v>
                </c:pt>
                <c:pt idx="4">
                  <c:v>6.4861903707982047E-2</c:v>
                </c:pt>
                <c:pt idx="5">
                  <c:v>7.0444741682345241E-2</c:v>
                </c:pt>
                <c:pt idx="6">
                  <c:v>7.362177552516555E-2</c:v>
                </c:pt>
                <c:pt idx="7">
                  <c:v>7.446592507779895E-2</c:v>
                </c:pt>
                <c:pt idx="8">
                  <c:v>8.1113570454688727E-2</c:v>
                </c:pt>
                <c:pt idx="9">
                  <c:v>6.336511132057053E-2</c:v>
                </c:pt>
                <c:pt idx="10">
                  <c:v>7.4865766671104228E-2</c:v>
                </c:pt>
                <c:pt idx="11">
                  <c:v>9.7073766465083061E-2</c:v>
                </c:pt>
                <c:pt idx="12">
                  <c:v>0.11521155923328044</c:v>
                </c:pt>
                <c:pt idx="13">
                  <c:v>0.14942926366503595</c:v>
                </c:pt>
                <c:pt idx="14">
                  <c:v>0.15110040602428645</c:v>
                </c:pt>
                <c:pt idx="15">
                  <c:v>0.14062694549492985</c:v>
                </c:pt>
                <c:pt idx="16">
                  <c:v>0.14097764434928925</c:v>
                </c:pt>
                <c:pt idx="17">
                  <c:v>0.15863660407563171</c:v>
                </c:pt>
                <c:pt idx="18">
                  <c:v>0.18018667152258649</c:v>
                </c:pt>
                <c:pt idx="19">
                  <c:v>0.17689245438858528</c:v>
                </c:pt>
                <c:pt idx="20">
                  <c:v>0.17486108219473484</c:v>
                </c:pt>
                <c:pt idx="21">
                  <c:v>0.21518284433502455</c:v>
                </c:pt>
                <c:pt idx="22">
                  <c:v>0.2594204123960695</c:v>
                </c:pt>
                <c:pt idx="23">
                  <c:v>0.23442910494930402</c:v>
                </c:pt>
              </c:numCache>
            </c:numRef>
          </c:val>
          <c:smooth val="0"/>
        </c:ser>
        <c:dLbls>
          <c:showLegendKey val="0"/>
          <c:showVal val="0"/>
          <c:showCatName val="0"/>
          <c:showSerName val="0"/>
          <c:showPercent val="0"/>
          <c:showBubbleSize val="0"/>
        </c:dLbls>
        <c:marker val="1"/>
        <c:smooth val="0"/>
        <c:axId val="134906880"/>
        <c:axId val="138273344"/>
      </c:lineChart>
      <c:catAx>
        <c:axId val="134905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8272768"/>
        <c:crosses val="autoZero"/>
        <c:auto val="1"/>
        <c:lblAlgn val="ctr"/>
        <c:lblOffset val="100"/>
        <c:noMultiLvlLbl val="0"/>
      </c:catAx>
      <c:valAx>
        <c:axId val="1382727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4905856"/>
        <c:crosses val="autoZero"/>
        <c:crossBetween val="between"/>
      </c:valAx>
      <c:valAx>
        <c:axId val="138273344"/>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4906880"/>
        <c:crosses val="max"/>
        <c:crossBetween val="between"/>
      </c:valAx>
      <c:catAx>
        <c:axId val="134906880"/>
        <c:scaling>
          <c:orientation val="minMax"/>
        </c:scaling>
        <c:delete val="1"/>
        <c:axPos val="b"/>
        <c:majorTickMark val="out"/>
        <c:minorTickMark val="none"/>
        <c:tickLblPos val="nextTo"/>
        <c:crossAx val="138273344"/>
        <c:crosses val="autoZero"/>
        <c:auto val="1"/>
        <c:lblAlgn val="ctr"/>
        <c:lblOffset val="100"/>
        <c:noMultiLvlLbl val="0"/>
      </c:catAx>
      <c:spPr>
        <a:noFill/>
        <a:ln>
          <a:noFill/>
        </a:ln>
        <a:effectLst/>
      </c:spPr>
    </c:plotArea>
    <c:legend>
      <c:legendPos val="b"/>
      <c:layout>
        <c:manualLayout>
          <c:xMode val="edge"/>
          <c:yMode val="edge"/>
          <c:x val="4.5982253086419754E-2"/>
          <c:y val="0.83018090277777778"/>
          <c:w val="0.92749151234567906"/>
          <c:h val="0.1651781881697314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percentStacked"/>
        <c:varyColors val="0"/>
        <c:ser>
          <c:idx val="0"/>
          <c:order val="0"/>
          <c:tx>
            <c:strRef>
              <c:f>Tables!$A$79</c:f>
              <c:strCache>
                <c:ptCount val="1"/>
                <c:pt idx="0">
                  <c:v>Прямі інвестиції</c:v>
                </c:pt>
              </c:strCache>
            </c:strRef>
          </c:tx>
          <c:spPr>
            <a:solidFill>
              <a:schemeClr val="accent6">
                <a:lumMod val="50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Tables!$B$79:$Y$79</c:f>
              <c:numCache>
                <c:formatCode>0.0%</c:formatCode>
                <c:ptCount val="24"/>
                <c:pt idx="0">
                  <c:v>0.19186585915076418</c:v>
                </c:pt>
                <c:pt idx="1">
                  <c:v>0.19998375878828245</c:v>
                </c:pt>
                <c:pt idx="2">
                  <c:v>0.1897629092714696</c:v>
                </c:pt>
                <c:pt idx="3">
                  <c:v>0.19696225527010031</c:v>
                </c:pt>
                <c:pt idx="4">
                  <c:v>0.18603667700824955</c:v>
                </c:pt>
                <c:pt idx="5">
                  <c:v>0.17993667252271603</c:v>
                </c:pt>
                <c:pt idx="6">
                  <c:v>0.19284266783890744</c:v>
                </c:pt>
                <c:pt idx="7">
                  <c:v>0.19524759102347111</c:v>
                </c:pt>
                <c:pt idx="8">
                  <c:v>0.18626475978627741</c:v>
                </c:pt>
                <c:pt idx="9">
                  <c:v>0.18557023470773046</c:v>
                </c:pt>
                <c:pt idx="10">
                  <c:v>0.19323007043824583</c:v>
                </c:pt>
                <c:pt idx="11">
                  <c:v>0.20003532467034868</c:v>
                </c:pt>
                <c:pt idx="12">
                  <c:v>0.22595397436650147</c:v>
                </c:pt>
                <c:pt idx="13">
                  <c:v>0.25569386294023705</c:v>
                </c:pt>
                <c:pt idx="14">
                  <c:v>0.26312528122780632</c:v>
                </c:pt>
                <c:pt idx="15">
                  <c:v>0.27282119448091757</c:v>
                </c:pt>
                <c:pt idx="16">
                  <c:v>0.28216564771006025</c:v>
                </c:pt>
                <c:pt idx="17">
                  <c:v>0.29750486391708514</c:v>
                </c:pt>
                <c:pt idx="18">
                  <c:v>0.29722304498938185</c:v>
                </c:pt>
                <c:pt idx="19">
                  <c:v>0.30488615568763194</c:v>
                </c:pt>
                <c:pt idx="20">
                  <c:v>0.30139437958756043</c:v>
                </c:pt>
                <c:pt idx="21">
                  <c:v>0.31579767820942678</c:v>
                </c:pt>
                <c:pt idx="22">
                  <c:v>0.33192393940956377</c:v>
                </c:pt>
                <c:pt idx="23">
                  <c:v>0.34801592893802535</c:v>
                </c:pt>
              </c:numCache>
            </c:numRef>
          </c:val>
        </c:ser>
        <c:ser>
          <c:idx val="1"/>
          <c:order val="1"/>
          <c:tx>
            <c:strRef>
              <c:f>Tables!$A$80</c:f>
              <c:strCache>
                <c:ptCount val="1"/>
                <c:pt idx="0">
                  <c:v>Портфельні інвестиції</c:v>
                </c:pt>
              </c:strCache>
            </c:strRef>
          </c:tx>
          <c:spPr>
            <a:solidFill>
              <a:schemeClr val="accent6">
                <a:lumMod val="75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Tables!$B$80:$Y$80</c:f>
              <c:numCache>
                <c:formatCode>0.0%</c:formatCode>
                <c:ptCount val="24"/>
                <c:pt idx="0">
                  <c:v>0.28859086825984265</c:v>
                </c:pt>
                <c:pt idx="1">
                  <c:v>0.29495674076109613</c:v>
                </c:pt>
                <c:pt idx="2">
                  <c:v>0.30610419641838038</c:v>
                </c:pt>
                <c:pt idx="3">
                  <c:v>0.32002300667092015</c:v>
                </c:pt>
                <c:pt idx="4">
                  <c:v>0.33427074748307389</c:v>
                </c:pt>
                <c:pt idx="5">
                  <c:v>0.35308050522784251</c:v>
                </c:pt>
                <c:pt idx="6">
                  <c:v>0.34443457022599905</c:v>
                </c:pt>
                <c:pt idx="7">
                  <c:v>0.35171940959516795</c:v>
                </c:pt>
                <c:pt idx="8">
                  <c:v>0.37372235515090024</c:v>
                </c:pt>
                <c:pt idx="9">
                  <c:v>0.40929623650858343</c:v>
                </c:pt>
                <c:pt idx="10">
                  <c:v>0.358413632424818</c:v>
                </c:pt>
                <c:pt idx="11">
                  <c:v>0.28452211185755044</c:v>
                </c:pt>
                <c:pt idx="12">
                  <c:v>0.24057486047338084</c:v>
                </c:pt>
                <c:pt idx="13">
                  <c:v>0.24246019813958261</c:v>
                </c:pt>
                <c:pt idx="14">
                  <c:v>0.2533023850776176</c:v>
                </c:pt>
                <c:pt idx="15">
                  <c:v>0.25620125528793836</c:v>
                </c:pt>
                <c:pt idx="16">
                  <c:v>0.22647627642325985</c:v>
                </c:pt>
                <c:pt idx="17">
                  <c:v>0.24496753364930118</c:v>
                </c:pt>
                <c:pt idx="18">
                  <c:v>0.23309525201813752</c:v>
                </c:pt>
                <c:pt idx="19">
                  <c:v>0.24894362918866128</c:v>
                </c:pt>
                <c:pt idx="20">
                  <c:v>0.25467190730365191</c:v>
                </c:pt>
                <c:pt idx="21">
                  <c:v>0.23444354621688351</c:v>
                </c:pt>
                <c:pt idx="22">
                  <c:v>0.21640655263020939</c:v>
                </c:pt>
                <c:pt idx="23">
                  <c:v>0.21325380986800133</c:v>
                </c:pt>
              </c:numCache>
            </c:numRef>
          </c:val>
        </c:ser>
        <c:ser>
          <c:idx val="2"/>
          <c:order val="2"/>
          <c:tx>
            <c:strRef>
              <c:f>Tables!$A$81</c:f>
              <c:strCache>
                <c:ptCount val="1"/>
                <c:pt idx="0">
                  <c:v>Фінансові деривативи</c:v>
                </c:pt>
              </c:strCache>
            </c:strRef>
          </c:tx>
          <c:spPr>
            <a:solidFill>
              <a:schemeClr val="accent4">
                <a:lumMod val="50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Tables!$B$81:$Y$81</c:f>
              <c:numCache>
                <c:formatCode>0.0%</c:formatCode>
                <c:ptCount val="24"/>
                <c:pt idx="0">
                  <c:v>1.0906501475508021E-2</c:v>
                </c:pt>
                <c:pt idx="1">
                  <c:v>5.1887677955878694E-3</c:v>
                </c:pt>
                <c:pt idx="2">
                  <c:v>5.673700505456865E-3</c:v>
                </c:pt>
                <c:pt idx="3">
                  <c:v>6.7674097424095317E-3</c:v>
                </c:pt>
                <c:pt idx="4">
                  <c:v>6.2214502267592623E-3</c:v>
                </c:pt>
                <c:pt idx="5">
                  <c:v>4.2316474576317778E-3</c:v>
                </c:pt>
                <c:pt idx="6">
                  <c:v>3.24289061661599E-3</c:v>
                </c:pt>
                <c:pt idx="7">
                  <c:v>3.7634816870901855E-3</c:v>
                </c:pt>
                <c:pt idx="8">
                  <c:v>1.1631171661701831E-2</c:v>
                </c:pt>
                <c:pt idx="9">
                  <c:v>1.0895484984709681E-2</c:v>
                </c:pt>
                <c:pt idx="10">
                  <c:v>1.6641885091377848E-2</c:v>
                </c:pt>
                <c:pt idx="11">
                  <c:v>1.8633138118335928E-2</c:v>
                </c:pt>
                <c:pt idx="12">
                  <c:v>1.7569349253789602E-2</c:v>
                </c:pt>
                <c:pt idx="13">
                  <c:v>1.3130943032283807E-2</c:v>
                </c:pt>
                <c:pt idx="14">
                  <c:v>1.0100832254704177E-2</c:v>
                </c:pt>
                <c:pt idx="15">
                  <c:v>7.8994387276353027E-3</c:v>
                </c:pt>
                <c:pt idx="16">
                  <c:v>7.5130910044224099E-3</c:v>
                </c:pt>
                <c:pt idx="17">
                  <c:v>6.0246463325354322E-3</c:v>
                </c:pt>
                <c:pt idx="18">
                  <c:v>5.0578386912373922E-3</c:v>
                </c:pt>
                <c:pt idx="19">
                  <c:v>5.3482338909149729E-3</c:v>
                </c:pt>
                <c:pt idx="20">
                  <c:v>5.3866736601558222E-3</c:v>
                </c:pt>
                <c:pt idx="21">
                  <c:v>4.1366216144604132E-3</c:v>
                </c:pt>
                <c:pt idx="22">
                  <c:v>1.4742543896213024E-3</c:v>
                </c:pt>
                <c:pt idx="23">
                  <c:v>1.0146515317510467E-3</c:v>
                </c:pt>
              </c:numCache>
            </c:numRef>
          </c:val>
        </c:ser>
        <c:ser>
          <c:idx val="3"/>
          <c:order val="3"/>
          <c:tx>
            <c:strRef>
              <c:f>Tables!$A$82</c:f>
              <c:strCache>
                <c:ptCount val="1"/>
                <c:pt idx="0">
                  <c:v>Інші інвестиції</c:v>
                </c:pt>
              </c:strCache>
            </c:strRef>
          </c:tx>
          <c:spPr>
            <a:solidFill>
              <a:schemeClr val="accent6">
                <a:lumMod val="60000"/>
                <a:lumOff val="40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Tables!$B$82:$Y$82</c:f>
              <c:numCache>
                <c:formatCode>0.0%</c:formatCode>
                <c:ptCount val="24"/>
                <c:pt idx="0">
                  <c:v>0.50863677111388517</c:v>
                </c:pt>
                <c:pt idx="1">
                  <c:v>0.49987073265503362</c:v>
                </c:pt>
                <c:pt idx="2">
                  <c:v>0.49846277342646322</c:v>
                </c:pt>
                <c:pt idx="3">
                  <c:v>0.47625048623058897</c:v>
                </c:pt>
                <c:pt idx="4">
                  <c:v>0.47347401494760549</c:v>
                </c:pt>
                <c:pt idx="5">
                  <c:v>0.46275375663894658</c:v>
                </c:pt>
                <c:pt idx="6">
                  <c:v>0.45947987131847745</c:v>
                </c:pt>
                <c:pt idx="7">
                  <c:v>0.44926951769427081</c:v>
                </c:pt>
                <c:pt idx="8">
                  <c:v>0.42837966385545323</c:v>
                </c:pt>
                <c:pt idx="9">
                  <c:v>0.39423991942042313</c:v>
                </c:pt>
                <c:pt idx="10">
                  <c:v>0.43171441204555822</c:v>
                </c:pt>
                <c:pt idx="11">
                  <c:v>0.49680942535376477</c:v>
                </c:pt>
                <c:pt idx="12">
                  <c:v>0.51590371324426054</c:v>
                </c:pt>
                <c:pt idx="13">
                  <c:v>0.48871499588789646</c:v>
                </c:pt>
                <c:pt idx="14">
                  <c:v>0.47347150143987193</c:v>
                </c:pt>
                <c:pt idx="15">
                  <c:v>0.4630781115035088</c:v>
                </c:pt>
                <c:pt idx="16">
                  <c:v>0.48384498486225758</c:v>
                </c:pt>
                <c:pt idx="17">
                  <c:v>0.45150295610107843</c:v>
                </c:pt>
                <c:pt idx="18">
                  <c:v>0.46462386430124319</c:v>
                </c:pt>
                <c:pt idx="19">
                  <c:v>0.44082373475210046</c:v>
                </c:pt>
                <c:pt idx="20">
                  <c:v>0.43854703944863188</c:v>
                </c:pt>
                <c:pt idx="21">
                  <c:v>0.44562387468369463</c:v>
                </c:pt>
                <c:pt idx="22">
                  <c:v>0.45019354725765465</c:v>
                </c:pt>
                <c:pt idx="23">
                  <c:v>0.43771727650314957</c:v>
                </c:pt>
              </c:numCache>
            </c:numRef>
          </c:val>
        </c:ser>
        <c:dLbls>
          <c:showLegendKey val="0"/>
          <c:showVal val="0"/>
          <c:showCatName val="0"/>
          <c:showSerName val="0"/>
          <c:showPercent val="0"/>
          <c:showBubbleSize val="0"/>
        </c:dLbls>
        <c:gapWidth val="93"/>
        <c:overlap val="100"/>
        <c:axId val="184376832"/>
        <c:axId val="149868480"/>
      </c:barChart>
      <c:catAx>
        <c:axId val="184376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9868480"/>
        <c:crosses val="autoZero"/>
        <c:auto val="1"/>
        <c:lblAlgn val="ctr"/>
        <c:lblOffset val="100"/>
        <c:noMultiLvlLbl val="0"/>
      </c:catAx>
      <c:valAx>
        <c:axId val="149868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4376832"/>
        <c:crosses val="autoZero"/>
        <c:crossBetween val="between"/>
      </c:valAx>
      <c:spPr>
        <a:noFill/>
        <a:ln>
          <a:noFill/>
        </a:ln>
        <a:effectLst/>
      </c:spPr>
    </c:plotArea>
    <c:legend>
      <c:legendPos val="b"/>
      <c:layout>
        <c:manualLayout>
          <c:xMode val="edge"/>
          <c:yMode val="edge"/>
          <c:x val="9.7777777777777776E-3"/>
          <c:y val="0.82002083333333331"/>
          <c:w val="0.99022222222222223"/>
          <c:h val="0.16234027777777776"/>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percentStacked"/>
        <c:varyColors val="0"/>
        <c:ser>
          <c:idx val="0"/>
          <c:order val="0"/>
          <c:tx>
            <c:strRef>
              <c:f>Tables!$A$93</c:f>
              <c:strCache>
                <c:ptCount val="1"/>
                <c:pt idx="0">
                  <c:v>Прямі інвестиції</c:v>
                </c:pt>
              </c:strCache>
            </c:strRef>
          </c:tx>
          <c:spPr>
            <a:solidFill>
              <a:schemeClr val="accent1">
                <a:lumMod val="50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Tables!$B$93:$Y$93</c:f>
              <c:numCache>
                <c:formatCode>0.0%</c:formatCode>
                <c:ptCount val="24"/>
                <c:pt idx="0">
                  <c:v>0.11682521327036534</c:v>
                </c:pt>
                <c:pt idx="1">
                  <c:v>0.11628056275013246</c:v>
                </c:pt>
                <c:pt idx="2">
                  <c:v>9.1398319741607004E-2</c:v>
                </c:pt>
                <c:pt idx="3">
                  <c:v>9.1144756811702532E-2</c:v>
                </c:pt>
                <c:pt idx="4">
                  <c:v>9.0796805500040656E-2</c:v>
                </c:pt>
                <c:pt idx="5">
                  <c:v>8.8714682446823762E-2</c:v>
                </c:pt>
                <c:pt idx="6">
                  <c:v>9.5159851506104842E-2</c:v>
                </c:pt>
                <c:pt idx="7">
                  <c:v>8.9526766534445662E-2</c:v>
                </c:pt>
                <c:pt idx="8">
                  <c:v>6.9223316240444852E-2</c:v>
                </c:pt>
                <c:pt idx="9">
                  <c:v>6.965257631925896E-2</c:v>
                </c:pt>
                <c:pt idx="10">
                  <c:v>6.7912069968601399E-2</c:v>
                </c:pt>
                <c:pt idx="11">
                  <c:v>6.0029888039880686E-2</c:v>
                </c:pt>
                <c:pt idx="12">
                  <c:v>4.557995703596221E-2</c:v>
                </c:pt>
                <c:pt idx="13">
                  <c:v>4.7052913307535707E-2</c:v>
                </c:pt>
                <c:pt idx="14">
                  <c:v>4.5545440520419665E-2</c:v>
                </c:pt>
                <c:pt idx="15">
                  <c:v>5.4059148680736094E-2</c:v>
                </c:pt>
                <c:pt idx="16">
                  <c:v>5.8230835867142346E-2</c:v>
                </c:pt>
                <c:pt idx="17">
                  <c:v>7.0762610984606511E-2</c:v>
                </c:pt>
                <c:pt idx="18">
                  <c:v>7.5446178242011622E-2</c:v>
                </c:pt>
                <c:pt idx="19">
                  <c:v>8.5692226111442199E-2</c:v>
                </c:pt>
                <c:pt idx="20">
                  <c:v>6.7407909729064019E-2</c:v>
                </c:pt>
                <c:pt idx="21">
                  <c:v>7.0780434313616192E-2</c:v>
                </c:pt>
                <c:pt idx="22">
                  <c:v>8.4626511106122709E-2</c:v>
                </c:pt>
                <c:pt idx="23">
                  <c:v>9.4460623140754651E-2</c:v>
                </c:pt>
              </c:numCache>
            </c:numRef>
          </c:val>
        </c:ser>
        <c:ser>
          <c:idx val="1"/>
          <c:order val="1"/>
          <c:tx>
            <c:strRef>
              <c:f>Tables!$A$94</c:f>
              <c:strCache>
                <c:ptCount val="1"/>
                <c:pt idx="0">
                  <c:v>Портфельні інвестиції</c:v>
                </c:pt>
              </c:strCache>
            </c:strRef>
          </c:tx>
          <c:spPr>
            <a:solidFill>
              <a:schemeClr val="accent1">
                <a:lumMod val="75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Tables!$B$94:$Y$94</c:f>
              <c:numCache>
                <c:formatCode>0.0%</c:formatCode>
                <c:ptCount val="24"/>
                <c:pt idx="0">
                  <c:v>0.53633155805966337</c:v>
                </c:pt>
                <c:pt idx="1">
                  <c:v>0.52393512049694624</c:v>
                </c:pt>
                <c:pt idx="2">
                  <c:v>0.48570195720668763</c:v>
                </c:pt>
                <c:pt idx="3">
                  <c:v>0.52896248639040855</c:v>
                </c:pt>
                <c:pt idx="4">
                  <c:v>0.58454113901489568</c:v>
                </c:pt>
                <c:pt idx="5">
                  <c:v>0.59536729542420486</c:v>
                </c:pt>
                <c:pt idx="6">
                  <c:v>0.5755885200238221</c:v>
                </c:pt>
                <c:pt idx="7">
                  <c:v>0.56559653483175365</c:v>
                </c:pt>
                <c:pt idx="8">
                  <c:v>0.49746278407601552</c:v>
                </c:pt>
                <c:pt idx="9">
                  <c:v>0.50521942443308043</c:v>
                </c:pt>
                <c:pt idx="10">
                  <c:v>0.34752291895756521</c:v>
                </c:pt>
                <c:pt idx="11">
                  <c:v>0.19396026042997305</c:v>
                </c:pt>
                <c:pt idx="12">
                  <c:v>0.1233534442771653</c:v>
                </c:pt>
                <c:pt idx="13">
                  <c:v>0.12091149238109948</c:v>
                </c:pt>
                <c:pt idx="14">
                  <c:v>0.11846052527305886</c:v>
                </c:pt>
                <c:pt idx="15">
                  <c:v>0.10066915311031946</c:v>
                </c:pt>
                <c:pt idx="16">
                  <c:v>9.4978882643456303E-2</c:v>
                </c:pt>
                <c:pt idx="17">
                  <c:v>0.11087274376283879</c:v>
                </c:pt>
                <c:pt idx="18">
                  <c:v>0.10133971966177845</c:v>
                </c:pt>
                <c:pt idx="19">
                  <c:v>0.11370899652002955</c:v>
                </c:pt>
                <c:pt idx="20">
                  <c:v>7.4879585759285147E-2</c:v>
                </c:pt>
                <c:pt idx="21">
                  <c:v>7.8110273551350473E-2</c:v>
                </c:pt>
                <c:pt idx="22">
                  <c:v>7.738147962073641E-2</c:v>
                </c:pt>
                <c:pt idx="23">
                  <c:v>9.2795023983375316E-2</c:v>
                </c:pt>
              </c:numCache>
            </c:numRef>
          </c:val>
        </c:ser>
        <c:ser>
          <c:idx val="2"/>
          <c:order val="2"/>
          <c:tx>
            <c:strRef>
              <c:f>Tables!$A$95</c:f>
              <c:strCache>
                <c:ptCount val="1"/>
                <c:pt idx="0">
                  <c:v>Фінансові деривативи</c:v>
                </c:pt>
              </c:strCache>
            </c:strRef>
          </c:tx>
          <c:spPr>
            <a:solidFill>
              <a:schemeClr val="tx2">
                <a:lumMod val="60000"/>
                <a:lumOff val="40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Tables!$B$95:$Y$95</c:f>
              <c:numCache>
                <c:formatCode>0.0%</c:formatCode>
                <c:ptCount val="24"/>
                <c:pt idx="0">
                  <c:v>0</c:v>
                </c:pt>
                <c:pt idx="1">
                  <c:v>0</c:v>
                </c:pt>
                <c:pt idx="2">
                  <c:v>3.5997468626543468E-2</c:v>
                </c:pt>
                <c:pt idx="3">
                  <c:v>3.7078957371805069E-2</c:v>
                </c:pt>
                <c:pt idx="4">
                  <c:v>3.6668934552607724E-2</c:v>
                </c:pt>
                <c:pt idx="5">
                  <c:v>2.1975449387627823E-2</c:v>
                </c:pt>
                <c:pt idx="6">
                  <c:v>2.3731831679505454E-2</c:v>
                </c:pt>
                <c:pt idx="7">
                  <c:v>2.3256960801474835E-2</c:v>
                </c:pt>
                <c:pt idx="8">
                  <c:v>2.7287290264750623E-2</c:v>
                </c:pt>
                <c:pt idx="9">
                  <c:v>1.6514987979396347E-2</c:v>
                </c:pt>
                <c:pt idx="10">
                  <c:v>1.1970352128792529E-2</c:v>
                </c:pt>
                <c:pt idx="11">
                  <c:v>1.7125529648334473E-2</c:v>
                </c:pt>
                <c:pt idx="12">
                  <c:v>1.7496411054876405E-2</c:v>
                </c:pt>
                <c:pt idx="13">
                  <c:v>2.1624190372709223E-2</c:v>
                </c:pt>
                <c:pt idx="14">
                  <c:v>2.3610134505327254E-2</c:v>
                </c:pt>
                <c:pt idx="15">
                  <c:v>1.6222718991032951E-2</c:v>
                </c:pt>
                <c:pt idx="16">
                  <c:v>1.7447861181062726E-2</c:v>
                </c:pt>
                <c:pt idx="17">
                  <c:v>1.5656768704353077E-2</c:v>
                </c:pt>
                <c:pt idx="18">
                  <c:v>1.5473245805441538E-2</c:v>
                </c:pt>
                <c:pt idx="19">
                  <c:v>1.7555019675619378E-2</c:v>
                </c:pt>
                <c:pt idx="20">
                  <c:v>2.0340961077455481E-2</c:v>
                </c:pt>
                <c:pt idx="21">
                  <c:v>1.0428989427066455E-2</c:v>
                </c:pt>
                <c:pt idx="22">
                  <c:v>2.052623701906761E-3</c:v>
                </c:pt>
                <c:pt idx="23">
                  <c:v>2.5008184237869536E-3</c:v>
                </c:pt>
              </c:numCache>
            </c:numRef>
          </c:val>
        </c:ser>
        <c:ser>
          <c:idx val="3"/>
          <c:order val="3"/>
          <c:tx>
            <c:strRef>
              <c:f>Tables!$A$96</c:f>
              <c:strCache>
                <c:ptCount val="1"/>
                <c:pt idx="0">
                  <c:v>Інші інвестиції</c:v>
                </c:pt>
              </c:strCache>
            </c:strRef>
          </c:tx>
          <c:spPr>
            <a:solidFill>
              <a:schemeClr val="accent1">
                <a:lumMod val="60000"/>
                <a:lumOff val="40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Tables!$B$96:$Y$96</c:f>
              <c:numCache>
                <c:formatCode>0.0%</c:formatCode>
                <c:ptCount val="24"/>
                <c:pt idx="0">
                  <c:v>0.34684322866997136</c:v>
                </c:pt>
                <c:pt idx="1">
                  <c:v>0.35978431675292133</c:v>
                </c:pt>
                <c:pt idx="2">
                  <c:v>0.38690225442516202</c:v>
                </c:pt>
                <c:pt idx="3">
                  <c:v>0.3428137994260832</c:v>
                </c:pt>
                <c:pt idx="4">
                  <c:v>0.28799312093245533</c:v>
                </c:pt>
                <c:pt idx="5">
                  <c:v>0.29394257274134372</c:v>
                </c:pt>
                <c:pt idx="6">
                  <c:v>0.30551979679056745</c:v>
                </c:pt>
                <c:pt idx="7">
                  <c:v>0.32161973783232584</c:v>
                </c:pt>
                <c:pt idx="8">
                  <c:v>0.40602660941878904</c:v>
                </c:pt>
                <c:pt idx="9">
                  <c:v>0.40861301126826449</c:v>
                </c:pt>
                <c:pt idx="10">
                  <c:v>0.57259465894504114</c:v>
                </c:pt>
                <c:pt idx="11">
                  <c:v>0.72888432188181196</c:v>
                </c:pt>
                <c:pt idx="12">
                  <c:v>0.81357018763199618</c:v>
                </c:pt>
                <c:pt idx="13">
                  <c:v>0.81041140393865574</c:v>
                </c:pt>
                <c:pt idx="14">
                  <c:v>0.81238389970119418</c:v>
                </c:pt>
                <c:pt idx="15">
                  <c:v>0.82904897921791154</c:v>
                </c:pt>
                <c:pt idx="16">
                  <c:v>0.8293424203083386</c:v>
                </c:pt>
                <c:pt idx="17">
                  <c:v>0.80270787654820175</c:v>
                </c:pt>
                <c:pt idx="18">
                  <c:v>0.80774085629076831</c:v>
                </c:pt>
                <c:pt idx="19">
                  <c:v>0.78304375769290879</c:v>
                </c:pt>
                <c:pt idx="20">
                  <c:v>0.83737154343419518</c:v>
                </c:pt>
                <c:pt idx="21">
                  <c:v>0.8406803027079669</c:v>
                </c:pt>
                <c:pt idx="22">
                  <c:v>0.83593938557123404</c:v>
                </c:pt>
                <c:pt idx="23">
                  <c:v>0.81024367678665477</c:v>
                </c:pt>
              </c:numCache>
            </c:numRef>
          </c:val>
        </c:ser>
        <c:dLbls>
          <c:showLegendKey val="0"/>
          <c:showVal val="0"/>
          <c:showCatName val="0"/>
          <c:showSerName val="0"/>
          <c:showPercent val="0"/>
          <c:showBubbleSize val="0"/>
        </c:dLbls>
        <c:gapWidth val="93"/>
        <c:overlap val="100"/>
        <c:axId val="187638784"/>
        <c:axId val="149870208"/>
      </c:barChart>
      <c:catAx>
        <c:axId val="187638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9870208"/>
        <c:crosses val="autoZero"/>
        <c:auto val="1"/>
        <c:lblAlgn val="ctr"/>
        <c:lblOffset val="100"/>
        <c:noMultiLvlLbl val="0"/>
      </c:catAx>
      <c:valAx>
        <c:axId val="1498702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7638784"/>
        <c:crosses val="autoZero"/>
        <c:crossBetween val="between"/>
      </c:valAx>
      <c:spPr>
        <a:noFill/>
        <a:ln>
          <a:noFill/>
        </a:ln>
        <a:effectLst/>
      </c:spPr>
    </c:plotArea>
    <c:legend>
      <c:legendPos val="b"/>
      <c:layout>
        <c:manualLayout>
          <c:xMode val="edge"/>
          <c:yMode val="edge"/>
          <c:x val="9.7777777777777776E-3"/>
          <c:y val="0.82002083333333331"/>
          <c:w val="0.99022222222222223"/>
          <c:h val="0.16234027777777776"/>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Tables!$A$65</c:f>
              <c:strCache>
                <c:ptCount val="1"/>
                <c:pt idx="0">
                  <c:v>Португалія (млн. дол. США)</c:v>
                </c:pt>
              </c:strCache>
            </c:strRef>
          </c:tx>
          <c:spPr>
            <a:solidFill>
              <a:srgbClr val="A5BAD3"/>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Tables!$B$65:$Y$65</c:f>
              <c:numCache>
                <c:formatCode>#,##0</c:formatCode>
                <c:ptCount val="24"/>
                <c:pt idx="0">
                  <c:v>-51323.187088682425</c:v>
                </c:pt>
                <c:pt idx="1">
                  <c:v>-60440.063426174005</c:v>
                </c:pt>
                <c:pt idx="2">
                  <c:v>-83646.571794272633</c:v>
                </c:pt>
                <c:pt idx="3">
                  <c:v>-111610.41859131363</c:v>
                </c:pt>
                <c:pt idx="4">
                  <c:v>-136490.86855525099</c:v>
                </c:pt>
                <c:pt idx="5">
                  <c:v>-132153.33587561673</c:v>
                </c:pt>
                <c:pt idx="6">
                  <c:v>-178834.8537521949</c:v>
                </c:pt>
                <c:pt idx="7">
                  <c:v>-232757.06100491155</c:v>
                </c:pt>
                <c:pt idx="8">
                  <c:v>-243719.3610153395</c:v>
                </c:pt>
                <c:pt idx="9">
                  <c:v>-279724.79194543482</c:v>
                </c:pt>
                <c:pt idx="10">
                  <c:v>-257190.11207239889</c:v>
                </c:pt>
                <c:pt idx="11">
                  <c:v>-237019.03230334597</c:v>
                </c:pt>
                <c:pt idx="12">
                  <c:v>-264611.74916959606</c:v>
                </c:pt>
                <c:pt idx="13">
                  <c:v>-282524.11328109383</c:v>
                </c:pt>
                <c:pt idx="14">
                  <c:v>-259865.71313733514</c:v>
                </c:pt>
                <c:pt idx="15">
                  <c:v>-232569.86635388143</c:v>
                </c:pt>
                <c:pt idx="16">
                  <c:v>-217020.76763715839</c:v>
                </c:pt>
                <c:pt idx="17">
                  <c:v>-259335.99689100828</c:v>
                </c:pt>
                <c:pt idx="18">
                  <c:v>-249878.28011647885</c:v>
                </c:pt>
                <c:pt idx="19">
                  <c:v>-240802.15224796953</c:v>
                </c:pt>
                <c:pt idx="20">
                  <c:v>-257307.89720840621</c:v>
                </c:pt>
                <c:pt idx="21">
                  <c:v>-230027.36061536174</c:v>
                </c:pt>
                <c:pt idx="22">
                  <c:v>-216168.45504991122</c:v>
                </c:pt>
                <c:pt idx="23">
                  <c:v>-212750.59999999998</c:v>
                </c:pt>
              </c:numCache>
            </c:numRef>
          </c:val>
        </c:ser>
        <c:ser>
          <c:idx val="1"/>
          <c:order val="1"/>
          <c:tx>
            <c:strRef>
              <c:f>Tables!$A$66</c:f>
              <c:strCache>
                <c:ptCount val="1"/>
                <c:pt idx="0">
                  <c:v>Греція (млн. дол. США)</c:v>
                </c:pt>
              </c:strCache>
            </c:strRef>
          </c:tx>
          <c:spPr>
            <a:solidFill>
              <a:schemeClr val="accent5">
                <a:lumMod val="75000"/>
              </a:schemeClr>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Tables!$B$66:$Y$66</c:f>
              <c:numCache>
                <c:formatCode>#,##0</c:formatCode>
                <c:ptCount val="24"/>
                <c:pt idx="0">
                  <c:v>-49631.120109763477</c:v>
                </c:pt>
                <c:pt idx="1">
                  <c:v>-60140.126874911482</c:v>
                </c:pt>
                <c:pt idx="2">
                  <c:v>-87947.977809570759</c:v>
                </c:pt>
                <c:pt idx="3">
                  <c:v>-134795.23096906202</c:v>
                </c:pt>
                <c:pt idx="4">
                  <c:v>-176769.54237428086</c:v>
                </c:pt>
                <c:pt idx="5">
                  <c:v>-177869.44169775656</c:v>
                </c:pt>
                <c:pt idx="6">
                  <c:v>-237228.83652373881</c:v>
                </c:pt>
                <c:pt idx="7">
                  <c:v>-321080.13070853939</c:v>
                </c:pt>
                <c:pt idx="8">
                  <c:v>-255136.65</c:v>
                </c:pt>
                <c:pt idx="9">
                  <c:v>-299355.13927176571</c:v>
                </c:pt>
                <c:pt idx="10">
                  <c:v>-298768.54253517999</c:v>
                </c:pt>
                <c:pt idx="11">
                  <c:v>-238735.96886906362</c:v>
                </c:pt>
                <c:pt idx="12">
                  <c:v>-292659.64088297961</c:v>
                </c:pt>
                <c:pt idx="13">
                  <c:v>-323757.54829128203</c:v>
                </c:pt>
                <c:pt idx="14">
                  <c:v>-286204.80216395971</c:v>
                </c:pt>
                <c:pt idx="15">
                  <c:v>-261302.44704379479</c:v>
                </c:pt>
                <c:pt idx="16">
                  <c:v>-255911.18012709325</c:v>
                </c:pt>
                <c:pt idx="17">
                  <c:v>-304205.14702893561</c:v>
                </c:pt>
                <c:pt idx="18">
                  <c:v>-305597.17920608277</c:v>
                </c:pt>
                <c:pt idx="19">
                  <c:v>-317369.30894234276</c:v>
                </c:pt>
                <c:pt idx="20">
                  <c:v>-352799.41694225854</c:v>
                </c:pt>
                <c:pt idx="21">
                  <c:v>-355673.04126385471</c:v>
                </c:pt>
                <c:pt idx="22">
                  <c:v>-317696.5065217769</c:v>
                </c:pt>
                <c:pt idx="23">
                  <c:v>-342089.6</c:v>
                </c:pt>
              </c:numCache>
            </c:numRef>
          </c:val>
        </c:ser>
        <c:dLbls>
          <c:showLegendKey val="0"/>
          <c:showVal val="0"/>
          <c:showCatName val="0"/>
          <c:showSerName val="0"/>
          <c:showPercent val="0"/>
          <c:showBubbleSize val="0"/>
        </c:dLbls>
        <c:gapWidth val="98"/>
        <c:axId val="187640832"/>
        <c:axId val="185360960"/>
      </c:barChart>
      <c:lineChart>
        <c:grouping val="standard"/>
        <c:varyColors val="0"/>
        <c:ser>
          <c:idx val="2"/>
          <c:order val="2"/>
          <c:tx>
            <c:strRef>
              <c:f>Tables!$A$67</c:f>
              <c:strCache>
                <c:ptCount val="1"/>
                <c:pt idx="0">
                  <c:v>Португалія (% ВВП)</c:v>
                </c:pt>
              </c:strCache>
            </c:strRef>
          </c:tx>
          <c:spPr>
            <a:ln w="28575" cap="rnd">
              <a:solidFill>
                <a:schemeClr val="accent1">
                  <a:lumMod val="75000"/>
                </a:schemeClr>
              </a:solidFill>
              <a:prstDash val="dash"/>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Tables!$B$67:$Y$67</c:f>
              <c:numCache>
                <c:formatCode>0.0%</c:formatCode>
                <c:ptCount val="24"/>
                <c:pt idx="0">
                  <c:v>-0.43272293433002745</c:v>
                </c:pt>
                <c:pt idx="1">
                  <c:v>-0.49702320781128606</c:v>
                </c:pt>
                <c:pt idx="2">
                  <c:v>-0.62054394336589425</c:v>
                </c:pt>
                <c:pt idx="3">
                  <c:v>-0.67550082926455068</c:v>
                </c:pt>
                <c:pt idx="4">
                  <c:v>-0.72071675367386567</c:v>
                </c:pt>
                <c:pt idx="5">
                  <c:v>-0.669965721755164</c:v>
                </c:pt>
                <c:pt idx="6">
                  <c:v>-0.85666744367684156</c:v>
                </c:pt>
                <c:pt idx="7">
                  <c:v>-0.96782033143235335</c:v>
                </c:pt>
                <c:pt idx="8">
                  <c:v>-0.92522472400833933</c:v>
                </c:pt>
                <c:pt idx="9">
                  <c:v>-1.1432842181724434</c:v>
                </c:pt>
                <c:pt idx="10">
                  <c:v>-1.0801178792425077</c:v>
                </c:pt>
                <c:pt idx="11">
                  <c:v>-0.96695894115769521</c:v>
                </c:pt>
                <c:pt idx="12">
                  <c:v>-1.2237839220167963</c:v>
                </c:pt>
                <c:pt idx="13">
                  <c:v>-1.2477114322451037</c:v>
                </c:pt>
                <c:pt idx="14">
                  <c:v>-1.1303327225448674</c:v>
                </c:pt>
                <c:pt idx="15">
                  <c:v>-1.1663830845448377</c:v>
                </c:pt>
                <c:pt idx="16">
                  <c:v>-1.0513239975154505</c:v>
                </c:pt>
                <c:pt idx="17">
                  <c:v>-1.1715688778648665</c:v>
                </c:pt>
                <c:pt idx="18">
                  <c:v>-1.0312206109407114</c:v>
                </c:pt>
                <c:pt idx="19">
                  <c:v>-1.0033969751355769</c:v>
                </c:pt>
                <c:pt idx="20">
                  <c:v>-1.1234589660291554</c:v>
                </c:pt>
                <c:pt idx="21">
                  <c:v>-0.90568068991761641</c:v>
                </c:pt>
                <c:pt idx="22">
                  <c:v>-0.85799730548617137</c:v>
                </c:pt>
                <c:pt idx="23">
                  <c:v>-0.74907477468571648</c:v>
                </c:pt>
              </c:numCache>
            </c:numRef>
          </c:val>
          <c:smooth val="0"/>
        </c:ser>
        <c:ser>
          <c:idx val="3"/>
          <c:order val="3"/>
          <c:tx>
            <c:strRef>
              <c:f>Tables!$A$68</c:f>
              <c:strCache>
                <c:ptCount val="1"/>
                <c:pt idx="0">
                  <c:v>Греція (% ВВП)</c:v>
                </c:pt>
              </c:strCache>
            </c:strRef>
          </c:tx>
          <c:spPr>
            <a:ln w="28575" cap="rnd">
              <a:solidFill>
                <a:schemeClr val="accent5">
                  <a:lumMod val="50000"/>
                </a:schemeClr>
              </a:solidFill>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Tables!$B$68:$Y$68</c:f>
              <c:numCache>
                <c:formatCode>0.0%</c:formatCode>
                <c:ptCount val="24"/>
                <c:pt idx="0">
                  <c:v>-0.38043824600725346</c:v>
                </c:pt>
                <c:pt idx="1">
                  <c:v>-0.44120341738610641</c:v>
                </c:pt>
                <c:pt idx="2">
                  <c:v>-0.56900612023076491</c:v>
                </c:pt>
                <c:pt idx="3">
                  <c:v>-0.66608260888533244</c:v>
                </c:pt>
                <c:pt idx="4">
                  <c:v>-0.73359449343241034</c:v>
                </c:pt>
                <c:pt idx="5">
                  <c:v>-0.71757595051547329</c:v>
                </c:pt>
                <c:pt idx="6">
                  <c:v>-0.8672333163987781</c:v>
                </c:pt>
                <c:pt idx="7">
                  <c:v>-1.0068274751932229</c:v>
                </c:pt>
                <c:pt idx="8">
                  <c:v>-0.7168598506954087</c:v>
                </c:pt>
                <c:pt idx="9">
                  <c:v>-0.90355405624340634</c:v>
                </c:pt>
                <c:pt idx="10">
                  <c:v>-1.0055316138798094</c:v>
                </c:pt>
                <c:pt idx="11">
                  <c:v>-0.84360209258241647</c:v>
                </c:pt>
                <c:pt idx="12">
                  <c:v>-1.2091909213360845</c:v>
                </c:pt>
                <c:pt idx="13">
                  <c:v>-1.3551575013009949</c:v>
                </c:pt>
                <c:pt idx="14">
                  <c:v>-1.2155231096328114</c:v>
                </c:pt>
                <c:pt idx="15">
                  <c:v>-1.3353318546802802</c:v>
                </c:pt>
                <c:pt idx="16">
                  <c:v>-1.3249476355286272</c:v>
                </c:pt>
                <c:pt idx="17">
                  <c:v>-1.5222099687310671</c:v>
                </c:pt>
                <c:pt idx="18">
                  <c:v>-1.4411599897129737</c:v>
                </c:pt>
                <c:pt idx="19">
                  <c:v>-1.546204445721659</c:v>
                </c:pt>
                <c:pt idx="20">
                  <c:v>-1.867394771126496</c:v>
                </c:pt>
                <c:pt idx="21">
                  <c:v>-1.6552642021413018</c:v>
                </c:pt>
                <c:pt idx="22">
                  <c:v>-1.4601262791304448</c:v>
                </c:pt>
                <c:pt idx="23">
                  <c:v>-1.4999786539217619</c:v>
                </c:pt>
              </c:numCache>
            </c:numRef>
          </c:val>
          <c:smooth val="0"/>
        </c:ser>
        <c:dLbls>
          <c:showLegendKey val="0"/>
          <c:showVal val="0"/>
          <c:showCatName val="0"/>
          <c:showSerName val="0"/>
          <c:showPercent val="0"/>
          <c:showBubbleSize val="0"/>
        </c:dLbls>
        <c:marker val="1"/>
        <c:smooth val="0"/>
        <c:axId val="188284928"/>
        <c:axId val="185361536"/>
      </c:lineChart>
      <c:catAx>
        <c:axId val="18764083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5360960"/>
        <c:crosses val="autoZero"/>
        <c:auto val="1"/>
        <c:lblAlgn val="ctr"/>
        <c:lblOffset val="50"/>
        <c:noMultiLvlLbl val="0"/>
      </c:catAx>
      <c:valAx>
        <c:axId val="1853609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7640832"/>
        <c:crosses val="autoZero"/>
        <c:crossBetween val="between"/>
      </c:valAx>
      <c:valAx>
        <c:axId val="185361536"/>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284928"/>
        <c:crosses val="max"/>
        <c:crossBetween val="between"/>
      </c:valAx>
      <c:catAx>
        <c:axId val="188284928"/>
        <c:scaling>
          <c:orientation val="minMax"/>
        </c:scaling>
        <c:delete val="1"/>
        <c:axPos val="b"/>
        <c:numFmt formatCode="General" sourceLinked="1"/>
        <c:majorTickMark val="out"/>
        <c:minorTickMark val="none"/>
        <c:tickLblPos val="nextTo"/>
        <c:crossAx val="185361536"/>
        <c:crosses val="autoZero"/>
        <c:auto val="1"/>
        <c:lblAlgn val="ctr"/>
        <c:lblOffset val="100"/>
        <c:noMultiLvlLbl val="0"/>
      </c:catAx>
      <c:spPr>
        <a:noFill/>
        <a:ln>
          <a:noFill/>
        </a:ln>
        <a:effectLst/>
      </c:spPr>
    </c:plotArea>
    <c:legend>
      <c:legendPos val="b"/>
      <c:layout>
        <c:manualLayout>
          <c:xMode val="edge"/>
          <c:yMode val="edge"/>
          <c:x val="4.5982253086419754E-2"/>
          <c:y val="0.83018090277777778"/>
          <c:w val="0.92749151234567906"/>
          <c:h val="0.1651781881697314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Macro!$A$24</c:f>
              <c:strCache>
                <c:ptCount val="1"/>
                <c:pt idx="0">
                  <c:v>Португалія (млн. дол. США)</c:v>
                </c:pt>
              </c:strCache>
            </c:strRef>
          </c:tx>
          <c:spPr>
            <a:solidFill>
              <a:srgbClr val="A5BAD3"/>
            </a:solidFill>
            <a:ln>
              <a:noFill/>
            </a:ln>
            <a:effectLst/>
          </c:spPr>
          <c:invertIfNegative val="0"/>
          <c:cat>
            <c:numRef>
              <c:f>Macro!$B$19:$Y$19</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Macro!$B$24:$Y$24</c:f>
              <c:numCache>
                <c:formatCode>#,##0</c:formatCode>
                <c:ptCount val="24"/>
                <c:pt idx="0">
                  <c:v>146524.85528072575</c:v>
                </c:pt>
                <c:pt idx="1">
                  <c:v>177213.66537154952</c:v>
                </c:pt>
                <c:pt idx="2">
                  <c:v>205832.82859396352</c:v>
                </c:pt>
                <c:pt idx="3">
                  <c:v>266212.41402488021</c:v>
                </c:pt>
                <c:pt idx="4">
                  <c:v>311893.41759822884</c:v>
                </c:pt>
                <c:pt idx="5">
                  <c:v>348093.91622117464</c:v>
                </c:pt>
                <c:pt idx="6">
                  <c:v>386220.30680524633</c:v>
                </c:pt>
                <c:pt idx="7">
                  <c:v>467428.31192606135</c:v>
                </c:pt>
                <c:pt idx="8">
                  <c:v>530467.93549397937</c:v>
                </c:pt>
                <c:pt idx="9">
                  <c:v>547077.11770027445</c:v>
                </c:pt>
                <c:pt idx="10">
                  <c:v>536682.89798749832</c:v>
                </c:pt>
                <c:pt idx="11">
                  <c:v>533131.62877688836</c:v>
                </c:pt>
                <c:pt idx="12">
                  <c:v>510916.25806165568</c:v>
                </c:pt>
                <c:pt idx="13">
                  <c:v>508253.43767962564</c:v>
                </c:pt>
                <c:pt idx="14">
                  <c:v>531142.50794181926</c:v>
                </c:pt>
                <c:pt idx="15">
                  <c:v>432924.3972400357</c:v>
                </c:pt>
                <c:pt idx="16">
                  <c:v>427095.70912717789</c:v>
                </c:pt>
                <c:pt idx="17">
                  <c:v>445239.22920965543</c:v>
                </c:pt>
                <c:pt idx="18">
                  <c:v>473988.68733816111</c:v>
                </c:pt>
                <c:pt idx="19">
                  <c:v>459862.94116066321</c:v>
                </c:pt>
                <c:pt idx="20">
                  <c:v>469103.05671865604</c:v>
                </c:pt>
                <c:pt idx="21">
                  <c:v>482288.02925260883</c:v>
                </c:pt>
                <c:pt idx="22">
                  <c:v>418204.13216103136</c:v>
                </c:pt>
                <c:pt idx="23">
                  <c:v>427248.03770661884</c:v>
                </c:pt>
              </c:numCache>
            </c:numRef>
          </c:val>
        </c:ser>
        <c:ser>
          <c:idx val="1"/>
          <c:order val="1"/>
          <c:tx>
            <c:strRef>
              <c:f>Macro!$A$25</c:f>
              <c:strCache>
                <c:ptCount val="1"/>
                <c:pt idx="0">
                  <c:v>Греція (млн. дол. США)</c:v>
                </c:pt>
              </c:strCache>
            </c:strRef>
          </c:tx>
          <c:spPr>
            <a:solidFill>
              <a:schemeClr val="accent5">
                <a:lumMod val="75000"/>
              </a:schemeClr>
            </a:solidFill>
            <a:ln>
              <a:noFill/>
            </a:ln>
            <a:effectLst/>
          </c:spPr>
          <c:invertIfNegative val="0"/>
          <c:cat>
            <c:numRef>
              <c:f>Macro!$B$19:$Y$19</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Macro!$B$25:$Y$25</c:f>
              <c:numCache>
                <c:formatCode>#,##0</c:formatCode>
                <c:ptCount val="24"/>
                <c:pt idx="0">
                  <c:v>104105.28978949222</c:v>
                </c:pt>
                <c:pt idx="1">
                  <c:v>118302.83732607217</c:v>
                </c:pt>
                <c:pt idx="2">
                  <c:v>139664.21436117165</c:v>
                </c:pt>
                <c:pt idx="3">
                  <c:v>184307.99393290159</c:v>
                </c:pt>
                <c:pt idx="4">
                  <c:v>232533.85516332107</c:v>
                </c:pt>
                <c:pt idx="5">
                  <c:v>281548.82545058354</c:v>
                </c:pt>
                <c:pt idx="6">
                  <c:v>319589.17571943486</c:v>
                </c:pt>
                <c:pt idx="7">
                  <c:v>426137.96839346085</c:v>
                </c:pt>
                <c:pt idx="8">
                  <c:v>539634.29743609345</c:v>
                </c:pt>
                <c:pt idx="9">
                  <c:v>582619.27686932182</c:v>
                </c:pt>
                <c:pt idx="10">
                  <c:v>555617.49647792487</c:v>
                </c:pt>
                <c:pt idx="11">
                  <c:v>542232.4093327329</c:v>
                </c:pt>
                <c:pt idx="12">
                  <c:v>582168.70944201481</c:v>
                </c:pt>
                <c:pt idx="13">
                  <c:v>569434.78292837518</c:v>
                </c:pt>
                <c:pt idx="14">
                  <c:v>563775.39528651081</c:v>
                </c:pt>
                <c:pt idx="15">
                  <c:v>489836.80567227938</c:v>
                </c:pt>
                <c:pt idx="16">
                  <c:v>476831.74160120514</c:v>
                </c:pt>
                <c:pt idx="17">
                  <c:v>457911.37641465658</c:v>
                </c:pt>
                <c:pt idx="18">
                  <c:v>491942.59980346955</c:v>
                </c:pt>
                <c:pt idx="19">
                  <c:v>502080.83730318869</c:v>
                </c:pt>
                <c:pt idx="20">
                  <c:v>564252.70340887934</c:v>
                </c:pt>
                <c:pt idx="21">
                  <c:v>656734.04459888069</c:v>
                </c:pt>
                <c:pt idx="22">
                  <c:v>576645.74194322235</c:v>
                </c:pt>
                <c:pt idx="23">
                  <c:v>598234.03670225537</c:v>
                </c:pt>
              </c:numCache>
            </c:numRef>
          </c:val>
        </c:ser>
        <c:dLbls>
          <c:showLegendKey val="0"/>
          <c:showVal val="0"/>
          <c:showCatName val="0"/>
          <c:showSerName val="0"/>
          <c:showPercent val="0"/>
          <c:showBubbleSize val="0"/>
        </c:dLbls>
        <c:gapWidth val="93"/>
        <c:axId val="188286464"/>
        <c:axId val="146562368"/>
      </c:barChart>
      <c:lineChart>
        <c:grouping val="standard"/>
        <c:varyColors val="0"/>
        <c:ser>
          <c:idx val="2"/>
          <c:order val="2"/>
          <c:tx>
            <c:strRef>
              <c:f>Macro!$A$20</c:f>
              <c:strCache>
                <c:ptCount val="1"/>
                <c:pt idx="0">
                  <c:v>Португалія (% ВВП)</c:v>
                </c:pt>
              </c:strCache>
            </c:strRef>
          </c:tx>
          <c:spPr>
            <a:ln w="28575" cap="rnd">
              <a:solidFill>
                <a:schemeClr val="tx2">
                  <a:lumMod val="60000"/>
                  <a:lumOff val="40000"/>
                </a:schemeClr>
              </a:solidFill>
              <a:round/>
            </a:ln>
            <a:effectLst/>
          </c:spPr>
          <c:marker>
            <c:symbol val="none"/>
          </c:marker>
          <c:cat>
            <c:numRef>
              <c:f>Macro!$B$19:$Y$19</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Macro!$B$20:$Y$20</c:f>
              <c:numCache>
                <c:formatCode>0.0%</c:formatCode>
                <c:ptCount val="24"/>
                <c:pt idx="0">
                  <c:v>1.2354000000000001</c:v>
                </c:pt>
                <c:pt idx="1">
                  <c:v>1.4572999999999998</c:v>
                </c:pt>
                <c:pt idx="2">
                  <c:v>1.5269999999999999</c:v>
                </c:pt>
                <c:pt idx="3">
                  <c:v>1.6112</c:v>
                </c:pt>
                <c:pt idx="4">
                  <c:v>1.6469</c:v>
                </c:pt>
                <c:pt idx="5">
                  <c:v>1.7646999999999999</c:v>
                </c:pt>
                <c:pt idx="6">
                  <c:v>1.8500999999999999</c:v>
                </c:pt>
                <c:pt idx="7">
                  <c:v>1.9436000000000002</c:v>
                </c:pt>
                <c:pt idx="8">
                  <c:v>2.0137999999999998</c:v>
                </c:pt>
                <c:pt idx="9">
                  <c:v>2.2359999999999998</c:v>
                </c:pt>
                <c:pt idx="10">
                  <c:v>2.2538999999999998</c:v>
                </c:pt>
                <c:pt idx="11">
                  <c:v>2.1749999999999998</c:v>
                </c:pt>
                <c:pt idx="12">
                  <c:v>2.3628999999999998</c:v>
                </c:pt>
                <c:pt idx="13">
                  <c:v>2.2446000000000002</c:v>
                </c:pt>
                <c:pt idx="14">
                  <c:v>2.3102999999999998</c:v>
                </c:pt>
                <c:pt idx="15">
                  <c:v>2.1712000000000002</c:v>
                </c:pt>
                <c:pt idx="16">
                  <c:v>2.069</c:v>
                </c:pt>
                <c:pt idx="17">
                  <c:v>2.0114000000000001</c:v>
                </c:pt>
                <c:pt idx="18">
                  <c:v>1.9561000000000002</c:v>
                </c:pt>
                <c:pt idx="19">
                  <c:v>1.9162000000000001</c:v>
                </c:pt>
                <c:pt idx="20">
                  <c:v>2.0482</c:v>
                </c:pt>
                <c:pt idx="21">
                  <c:v>1.8988999999999998</c:v>
                </c:pt>
                <c:pt idx="22">
                  <c:v>1.6599000000000002</c:v>
                </c:pt>
                <c:pt idx="23">
                  <c:v>1.5043</c:v>
                </c:pt>
              </c:numCache>
            </c:numRef>
          </c:val>
          <c:smooth val="0"/>
        </c:ser>
        <c:ser>
          <c:idx val="3"/>
          <c:order val="3"/>
          <c:tx>
            <c:strRef>
              <c:f>Macro!$A$21</c:f>
              <c:strCache>
                <c:ptCount val="1"/>
                <c:pt idx="0">
                  <c:v>Греція (% ВВП)</c:v>
                </c:pt>
              </c:strCache>
            </c:strRef>
          </c:tx>
          <c:spPr>
            <a:ln w="28575" cap="rnd">
              <a:solidFill>
                <a:schemeClr val="accent5">
                  <a:lumMod val="50000"/>
                </a:schemeClr>
              </a:solidFill>
              <a:round/>
            </a:ln>
            <a:effectLst/>
          </c:spPr>
          <c:marker>
            <c:symbol val="none"/>
          </c:marker>
          <c:cat>
            <c:numRef>
              <c:f>Macro!$B$19:$Y$19</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Macro!$B$21:$Y$21</c:f>
              <c:numCache>
                <c:formatCode>0.0%</c:formatCode>
                <c:ptCount val="24"/>
                <c:pt idx="0">
                  <c:v>0.79800000000000004</c:v>
                </c:pt>
                <c:pt idx="1">
                  <c:v>0.8679</c:v>
                </c:pt>
                <c:pt idx="2">
                  <c:v>0.90359999999999996</c:v>
                </c:pt>
                <c:pt idx="3">
                  <c:v>0.91074697936031423</c:v>
                </c:pt>
                <c:pt idx="4">
                  <c:v>0.96501667308293826</c:v>
                </c:pt>
                <c:pt idx="5">
                  <c:v>1.1358480923469709</c:v>
                </c:pt>
                <c:pt idx="6">
                  <c:v>1.1683165706399397</c:v>
                </c:pt>
                <c:pt idx="7">
                  <c:v>1.3362627386962962</c:v>
                </c:pt>
                <c:pt idx="8">
                  <c:v>1.5162155726751125</c:v>
                </c:pt>
                <c:pt idx="9">
                  <c:v>1.7585400809937826</c:v>
                </c:pt>
                <c:pt idx="10">
                  <c:v>1.8699791925634921</c:v>
                </c:pt>
                <c:pt idx="11">
                  <c:v>1.9160430552045493</c:v>
                </c:pt>
                <c:pt idx="12">
                  <c:v>2.4053645252189244</c:v>
                </c:pt>
                <c:pt idx="13">
                  <c:v>2.3834928997325577</c:v>
                </c:pt>
                <c:pt idx="14">
                  <c:v>2.3943763921212815</c:v>
                </c:pt>
                <c:pt idx="15">
                  <c:v>2.5032092030098796</c:v>
                </c:pt>
                <c:pt idx="16">
                  <c:v>2.4687357866340749</c:v>
                </c:pt>
                <c:pt idx="17">
                  <c:v>2.2913394752898544</c:v>
                </c:pt>
                <c:pt idx="18">
                  <c:v>2.3199428539032469</c:v>
                </c:pt>
                <c:pt idx="19">
                  <c:v>2.4461080541687763</c:v>
                </c:pt>
                <c:pt idx="20">
                  <c:v>2.9866334731278297</c:v>
                </c:pt>
                <c:pt idx="21">
                  <c:v>3.0563698347481969</c:v>
                </c:pt>
                <c:pt idx="22">
                  <c:v>2.6502513697054382</c:v>
                </c:pt>
                <c:pt idx="23">
                  <c:v>2.6231089314110423</c:v>
                </c:pt>
              </c:numCache>
            </c:numRef>
          </c:val>
          <c:smooth val="0"/>
        </c:ser>
        <c:dLbls>
          <c:showLegendKey val="0"/>
          <c:showVal val="0"/>
          <c:showCatName val="0"/>
          <c:showSerName val="0"/>
          <c:showPercent val="0"/>
          <c:showBubbleSize val="0"/>
        </c:dLbls>
        <c:marker val="1"/>
        <c:smooth val="0"/>
        <c:axId val="188287488"/>
        <c:axId val="149870784"/>
      </c:lineChart>
      <c:catAx>
        <c:axId val="188286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6562368"/>
        <c:crosses val="autoZero"/>
        <c:auto val="1"/>
        <c:lblAlgn val="ctr"/>
        <c:lblOffset val="100"/>
        <c:noMultiLvlLbl val="0"/>
      </c:catAx>
      <c:valAx>
        <c:axId val="1465623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286464"/>
        <c:crosses val="autoZero"/>
        <c:crossBetween val="between"/>
      </c:valAx>
      <c:valAx>
        <c:axId val="149870784"/>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287488"/>
        <c:crosses val="max"/>
        <c:crossBetween val="between"/>
      </c:valAx>
      <c:catAx>
        <c:axId val="188287488"/>
        <c:scaling>
          <c:orientation val="minMax"/>
        </c:scaling>
        <c:delete val="1"/>
        <c:axPos val="b"/>
        <c:numFmt formatCode="General" sourceLinked="1"/>
        <c:majorTickMark val="out"/>
        <c:minorTickMark val="none"/>
        <c:tickLblPos val="nextTo"/>
        <c:crossAx val="149870784"/>
        <c:crosses val="autoZero"/>
        <c:auto val="1"/>
        <c:lblAlgn val="ctr"/>
        <c:lblOffset val="100"/>
        <c:noMultiLvlLbl val="0"/>
      </c:catAx>
      <c:spPr>
        <a:noFill/>
        <a:ln>
          <a:noFill/>
        </a:ln>
        <a:effectLst/>
      </c:spPr>
    </c:plotArea>
    <c:legend>
      <c:legendPos val="b"/>
      <c:layout>
        <c:manualLayout>
          <c:xMode val="edge"/>
          <c:yMode val="edge"/>
          <c:x val="9.5099228395061727E-2"/>
          <c:y val="0.82443055555555556"/>
          <c:w val="0.80000216049382733"/>
          <c:h val="0.16234027777777776"/>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918472222222222"/>
          <c:y val="5.1351388888888891E-2"/>
          <c:w val="0.80907854938271606"/>
          <c:h val="0.68082777777777781"/>
        </c:manualLayout>
      </c:layout>
      <c:barChart>
        <c:barDir val="col"/>
        <c:grouping val="clustered"/>
        <c:varyColors val="0"/>
        <c:ser>
          <c:idx val="0"/>
          <c:order val="0"/>
          <c:tx>
            <c:strRef>
              <c:f>Ukraine!$A$14</c:f>
              <c:strCache>
                <c:ptCount val="1"/>
                <c:pt idx="0">
                  <c:v>Португалія (тис. дол. США)</c:v>
                </c:pt>
              </c:strCache>
            </c:strRef>
          </c:tx>
          <c:spPr>
            <a:solidFill>
              <a:srgbClr val="9FB6D1"/>
            </a:solidFill>
            <a:ln>
              <a:noFill/>
            </a:ln>
            <a:effectLst/>
          </c:spPr>
          <c:invertIfNegative val="0"/>
          <c:cat>
            <c:numRef>
              <c:f>Ukraine!$B$13:$H$13</c:f>
              <c:numCache>
                <c:formatCode>General</c:formatCode>
                <c:ptCount val="7"/>
                <c:pt idx="0">
                  <c:v>2017</c:v>
                </c:pt>
                <c:pt idx="1">
                  <c:v>2018</c:v>
                </c:pt>
                <c:pt idx="2">
                  <c:v>2019</c:v>
                </c:pt>
                <c:pt idx="3">
                  <c:v>2020</c:v>
                </c:pt>
                <c:pt idx="4">
                  <c:v>2021</c:v>
                </c:pt>
                <c:pt idx="5">
                  <c:v>2022</c:v>
                </c:pt>
                <c:pt idx="6">
                  <c:v>2023</c:v>
                </c:pt>
              </c:numCache>
            </c:numRef>
          </c:cat>
          <c:val>
            <c:numRef>
              <c:f>Ukraine!$B$14:$H$14</c:f>
              <c:numCache>
                <c:formatCode>#,##0</c:formatCode>
                <c:ptCount val="7"/>
                <c:pt idx="0">
                  <c:v>264143.75896000001</c:v>
                </c:pt>
                <c:pt idx="1">
                  <c:v>247046.38256999999</c:v>
                </c:pt>
                <c:pt idx="2">
                  <c:v>282174.20156999998</c:v>
                </c:pt>
                <c:pt idx="3">
                  <c:v>233971.33757999999</c:v>
                </c:pt>
                <c:pt idx="4">
                  <c:v>341202.14678000001</c:v>
                </c:pt>
                <c:pt idx="5">
                  <c:v>132928.71058000001</c:v>
                </c:pt>
                <c:pt idx="6">
                  <c:v>223454.11465999999</c:v>
                </c:pt>
              </c:numCache>
            </c:numRef>
          </c:val>
        </c:ser>
        <c:ser>
          <c:idx val="1"/>
          <c:order val="1"/>
          <c:tx>
            <c:strRef>
              <c:f>Ukraine!$A$15</c:f>
              <c:strCache>
                <c:ptCount val="1"/>
                <c:pt idx="0">
                  <c:v>Греція (тис. дол. США)</c:v>
                </c:pt>
              </c:strCache>
            </c:strRef>
          </c:tx>
          <c:spPr>
            <a:solidFill>
              <a:srgbClr val="63B199"/>
            </a:solidFill>
            <a:ln>
              <a:noFill/>
            </a:ln>
            <a:effectLst/>
          </c:spPr>
          <c:invertIfNegative val="0"/>
          <c:cat>
            <c:numRef>
              <c:f>Ukraine!$B$13:$H$13</c:f>
              <c:numCache>
                <c:formatCode>General</c:formatCode>
                <c:ptCount val="7"/>
                <c:pt idx="0">
                  <c:v>2017</c:v>
                </c:pt>
                <c:pt idx="1">
                  <c:v>2018</c:v>
                </c:pt>
                <c:pt idx="2">
                  <c:v>2019</c:v>
                </c:pt>
                <c:pt idx="3">
                  <c:v>2020</c:v>
                </c:pt>
                <c:pt idx="4">
                  <c:v>2021</c:v>
                </c:pt>
                <c:pt idx="5">
                  <c:v>2022</c:v>
                </c:pt>
                <c:pt idx="6">
                  <c:v>2023</c:v>
                </c:pt>
              </c:numCache>
            </c:numRef>
          </c:cat>
          <c:val>
            <c:numRef>
              <c:f>Ukraine!$B$15:$H$15</c:f>
              <c:numCache>
                <c:formatCode>#,##0</c:formatCode>
                <c:ptCount val="7"/>
                <c:pt idx="0">
                  <c:v>196815.47953000001</c:v>
                </c:pt>
                <c:pt idx="1">
                  <c:v>279900.67881999997</c:v>
                </c:pt>
                <c:pt idx="2">
                  <c:v>274211.53015000001</c:v>
                </c:pt>
                <c:pt idx="3">
                  <c:v>178809.90508</c:v>
                </c:pt>
                <c:pt idx="4">
                  <c:v>212785.09208999999</c:v>
                </c:pt>
                <c:pt idx="5">
                  <c:v>181810.28141</c:v>
                </c:pt>
                <c:pt idx="6">
                  <c:v>257556.00029</c:v>
                </c:pt>
              </c:numCache>
            </c:numRef>
          </c:val>
        </c:ser>
        <c:dLbls>
          <c:showLegendKey val="0"/>
          <c:showVal val="0"/>
          <c:showCatName val="0"/>
          <c:showSerName val="0"/>
          <c:showPercent val="0"/>
          <c:showBubbleSize val="0"/>
        </c:dLbls>
        <c:gapWidth val="153"/>
        <c:axId val="188710912"/>
        <c:axId val="146557760"/>
      </c:barChart>
      <c:lineChart>
        <c:grouping val="standard"/>
        <c:varyColors val="0"/>
        <c:ser>
          <c:idx val="2"/>
          <c:order val="2"/>
          <c:tx>
            <c:strRef>
              <c:f>Ukraine!$A$16</c:f>
              <c:strCache>
                <c:ptCount val="1"/>
                <c:pt idx="0">
                  <c:v>Португалія (% від усього)</c:v>
                </c:pt>
              </c:strCache>
            </c:strRef>
          </c:tx>
          <c:spPr>
            <a:ln w="28575" cap="rnd">
              <a:solidFill>
                <a:schemeClr val="accent4">
                  <a:lumMod val="75000"/>
                </a:schemeClr>
              </a:solidFill>
              <a:prstDash val="dash"/>
              <a:round/>
            </a:ln>
            <a:effectLst/>
          </c:spPr>
          <c:marker>
            <c:symbol val="none"/>
          </c:marker>
          <c:cat>
            <c:numRef>
              <c:f>Ukraine!$B$13:$H$13</c:f>
              <c:numCache>
                <c:formatCode>General</c:formatCode>
                <c:ptCount val="7"/>
                <c:pt idx="0">
                  <c:v>2017</c:v>
                </c:pt>
                <c:pt idx="1">
                  <c:v>2018</c:v>
                </c:pt>
                <c:pt idx="2">
                  <c:v>2019</c:v>
                </c:pt>
                <c:pt idx="3">
                  <c:v>2020</c:v>
                </c:pt>
                <c:pt idx="4">
                  <c:v>2021</c:v>
                </c:pt>
                <c:pt idx="5">
                  <c:v>2022</c:v>
                </c:pt>
                <c:pt idx="6">
                  <c:v>2023</c:v>
                </c:pt>
              </c:numCache>
            </c:numRef>
          </c:cat>
          <c:val>
            <c:numRef>
              <c:f>Ukraine!$B$16:$H$16</c:f>
              <c:numCache>
                <c:formatCode>0.0%</c:formatCode>
                <c:ptCount val="7"/>
                <c:pt idx="0">
                  <c:v>6.1052899727342073E-3</c:v>
                </c:pt>
                <c:pt idx="1">
                  <c:v>5.2191074293216535E-3</c:v>
                </c:pt>
                <c:pt idx="2">
                  <c:v>5.6373274128571869E-3</c:v>
                </c:pt>
                <c:pt idx="3">
                  <c:v>4.7563053381852556E-3</c:v>
                </c:pt>
                <c:pt idx="4">
                  <c:v>5.012347198946914E-3</c:v>
                </c:pt>
                <c:pt idx="5">
                  <c:v>3.2611163890433419E-3</c:v>
                </c:pt>
                <c:pt idx="6">
                  <c:v>6.1756823410822797E-3</c:v>
                </c:pt>
              </c:numCache>
            </c:numRef>
          </c:val>
          <c:smooth val="0"/>
        </c:ser>
        <c:ser>
          <c:idx val="3"/>
          <c:order val="3"/>
          <c:tx>
            <c:strRef>
              <c:f>Ukraine!$A$17</c:f>
              <c:strCache>
                <c:ptCount val="1"/>
                <c:pt idx="0">
                  <c:v>Греція (% від усього)</c:v>
                </c:pt>
              </c:strCache>
            </c:strRef>
          </c:tx>
          <c:spPr>
            <a:ln w="28575" cap="rnd">
              <a:solidFill>
                <a:schemeClr val="accent5">
                  <a:lumMod val="50000"/>
                </a:schemeClr>
              </a:solidFill>
              <a:prstDash val="lgDash"/>
              <a:round/>
            </a:ln>
            <a:effectLst/>
          </c:spPr>
          <c:marker>
            <c:symbol val="none"/>
          </c:marker>
          <c:cat>
            <c:numRef>
              <c:f>Ukraine!$B$13:$H$13</c:f>
              <c:numCache>
                <c:formatCode>General</c:formatCode>
                <c:ptCount val="7"/>
                <c:pt idx="0">
                  <c:v>2017</c:v>
                </c:pt>
                <c:pt idx="1">
                  <c:v>2018</c:v>
                </c:pt>
                <c:pt idx="2">
                  <c:v>2019</c:v>
                </c:pt>
                <c:pt idx="3">
                  <c:v>2020</c:v>
                </c:pt>
                <c:pt idx="4">
                  <c:v>2021</c:v>
                </c:pt>
                <c:pt idx="5">
                  <c:v>2022</c:v>
                </c:pt>
                <c:pt idx="6">
                  <c:v>2023</c:v>
                </c:pt>
              </c:numCache>
            </c:numRef>
          </c:cat>
          <c:val>
            <c:numRef>
              <c:f>Ukraine!$B$17:$H$17</c:f>
              <c:numCache>
                <c:formatCode>0.0%</c:formatCode>
                <c:ptCount val="7"/>
                <c:pt idx="0">
                  <c:v>4.549096970469583E-3</c:v>
                </c:pt>
                <c:pt idx="1">
                  <c:v>5.9131880301372675E-3</c:v>
                </c:pt>
                <c:pt idx="2">
                  <c:v>5.4782477180240485E-3</c:v>
                </c:pt>
                <c:pt idx="3">
                  <c:v>3.6349516776242167E-3</c:v>
                </c:pt>
                <c:pt idx="4">
                  <c:v>3.1258676722296925E-3</c:v>
                </c:pt>
                <c:pt idx="5">
                  <c:v>4.4603192629774843E-3</c:v>
                </c:pt>
                <c:pt idx="6">
                  <c:v>7.1181685119153558E-3</c:v>
                </c:pt>
              </c:numCache>
            </c:numRef>
          </c:val>
          <c:smooth val="0"/>
        </c:ser>
        <c:dLbls>
          <c:showLegendKey val="0"/>
          <c:showVal val="0"/>
          <c:showCatName val="0"/>
          <c:showSerName val="0"/>
          <c:showPercent val="0"/>
          <c:showBubbleSize val="0"/>
        </c:dLbls>
        <c:marker val="1"/>
        <c:smooth val="0"/>
        <c:axId val="188711936"/>
        <c:axId val="146560064"/>
      </c:lineChart>
      <c:catAx>
        <c:axId val="188710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6557760"/>
        <c:crosses val="autoZero"/>
        <c:auto val="1"/>
        <c:lblAlgn val="ctr"/>
        <c:lblOffset val="100"/>
        <c:noMultiLvlLbl val="0"/>
      </c:catAx>
      <c:valAx>
        <c:axId val="1465577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710912"/>
        <c:crosses val="autoZero"/>
        <c:crossBetween val="between"/>
      </c:valAx>
      <c:valAx>
        <c:axId val="146560064"/>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711936"/>
        <c:crosses val="max"/>
        <c:crossBetween val="between"/>
      </c:valAx>
      <c:catAx>
        <c:axId val="188711936"/>
        <c:scaling>
          <c:orientation val="minMax"/>
        </c:scaling>
        <c:delete val="1"/>
        <c:axPos val="b"/>
        <c:numFmt formatCode="General" sourceLinked="1"/>
        <c:majorTickMark val="out"/>
        <c:minorTickMark val="none"/>
        <c:tickLblPos val="nextTo"/>
        <c:crossAx val="146560064"/>
        <c:crosses val="autoZero"/>
        <c:auto val="1"/>
        <c:lblAlgn val="ctr"/>
        <c:lblOffset val="100"/>
        <c:noMultiLvlLbl val="0"/>
      </c:catAx>
      <c:spPr>
        <a:noFill/>
        <a:ln>
          <a:noFill/>
        </a:ln>
        <a:effectLst/>
      </c:spPr>
    </c:plotArea>
    <c:legend>
      <c:legendPos val="b"/>
      <c:layout>
        <c:manualLayout>
          <c:xMode val="edge"/>
          <c:yMode val="edge"/>
          <c:x val="0.11885293209876543"/>
          <c:y val="0.8288402777777778"/>
          <c:w val="0.75641450617283945"/>
          <c:h val="0.16234027777777776"/>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878348765432102"/>
          <c:y val="5.1351388888888891E-2"/>
          <c:w val="0.79731929012345693"/>
          <c:h val="0.68082777777777781"/>
        </c:manualLayout>
      </c:layout>
      <c:barChart>
        <c:barDir val="col"/>
        <c:grouping val="clustered"/>
        <c:varyColors val="0"/>
        <c:ser>
          <c:idx val="0"/>
          <c:order val="0"/>
          <c:tx>
            <c:strRef>
              <c:f>Ukraine!$A$23</c:f>
              <c:strCache>
                <c:ptCount val="1"/>
                <c:pt idx="0">
                  <c:v>Португалія (тис. дол. США)</c:v>
                </c:pt>
              </c:strCache>
            </c:strRef>
          </c:tx>
          <c:spPr>
            <a:solidFill>
              <a:srgbClr val="9FB6D1"/>
            </a:solidFill>
            <a:ln>
              <a:noFill/>
            </a:ln>
            <a:effectLst/>
          </c:spPr>
          <c:invertIfNegative val="0"/>
          <c:cat>
            <c:numRef>
              <c:f>Ukraine!$B$13:$H$13</c:f>
              <c:numCache>
                <c:formatCode>General</c:formatCode>
                <c:ptCount val="7"/>
                <c:pt idx="0">
                  <c:v>2017</c:v>
                </c:pt>
                <c:pt idx="1">
                  <c:v>2018</c:v>
                </c:pt>
                <c:pt idx="2">
                  <c:v>2019</c:v>
                </c:pt>
                <c:pt idx="3">
                  <c:v>2020</c:v>
                </c:pt>
                <c:pt idx="4">
                  <c:v>2021</c:v>
                </c:pt>
                <c:pt idx="5">
                  <c:v>2022</c:v>
                </c:pt>
                <c:pt idx="6">
                  <c:v>2023</c:v>
                </c:pt>
              </c:numCache>
            </c:numRef>
          </c:cat>
          <c:val>
            <c:numRef>
              <c:f>Ukraine!$B$23:$H$23</c:f>
              <c:numCache>
                <c:formatCode>#,##0</c:formatCode>
                <c:ptCount val="7"/>
                <c:pt idx="0">
                  <c:v>59195.472860000002</c:v>
                </c:pt>
                <c:pt idx="1">
                  <c:v>61580.702940000003</c:v>
                </c:pt>
                <c:pt idx="2">
                  <c:v>74806.311239999995</c:v>
                </c:pt>
                <c:pt idx="3">
                  <c:v>68191.131449999899</c:v>
                </c:pt>
                <c:pt idx="4">
                  <c:v>88770.424320000006</c:v>
                </c:pt>
                <c:pt idx="5">
                  <c:v>51674.814330000001</c:v>
                </c:pt>
                <c:pt idx="6">
                  <c:v>70196.289969999998</c:v>
                </c:pt>
              </c:numCache>
            </c:numRef>
          </c:val>
        </c:ser>
        <c:ser>
          <c:idx val="1"/>
          <c:order val="1"/>
          <c:tx>
            <c:strRef>
              <c:f>Ukraine!$A$24</c:f>
              <c:strCache>
                <c:ptCount val="1"/>
                <c:pt idx="0">
                  <c:v>Греція (тис. дол. США)</c:v>
                </c:pt>
              </c:strCache>
            </c:strRef>
          </c:tx>
          <c:spPr>
            <a:solidFill>
              <a:srgbClr val="63B199"/>
            </a:solidFill>
            <a:ln>
              <a:noFill/>
            </a:ln>
            <a:effectLst/>
          </c:spPr>
          <c:invertIfNegative val="0"/>
          <c:cat>
            <c:numRef>
              <c:f>Ukraine!$B$13:$H$13</c:f>
              <c:numCache>
                <c:formatCode>General</c:formatCode>
                <c:ptCount val="7"/>
                <c:pt idx="0">
                  <c:v>2017</c:v>
                </c:pt>
                <c:pt idx="1">
                  <c:v>2018</c:v>
                </c:pt>
                <c:pt idx="2">
                  <c:v>2019</c:v>
                </c:pt>
                <c:pt idx="3">
                  <c:v>2020</c:v>
                </c:pt>
                <c:pt idx="4">
                  <c:v>2021</c:v>
                </c:pt>
                <c:pt idx="5">
                  <c:v>2022</c:v>
                </c:pt>
                <c:pt idx="6">
                  <c:v>2023</c:v>
                </c:pt>
              </c:numCache>
            </c:numRef>
          </c:cat>
          <c:val>
            <c:numRef>
              <c:f>Ukraine!$B$24:$H$24</c:f>
              <c:numCache>
                <c:formatCode>#,##0</c:formatCode>
                <c:ptCount val="7"/>
                <c:pt idx="0">
                  <c:v>244279.32475</c:v>
                </c:pt>
                <c:pt idx="1">
                  <c:v>270459.03216</c:v>
                </c:pt>
                <c:pt idx="2">
                  <c:v>311635.09636999998</c:v>
                </c:pt>
                <c:pt idx="3">
                  <c:v>317007.72921999998</c:v>
                </c:pt>
                <c:pt idx="4">
                  <c:v>495622.66739999998</c:v>
                </c:pt>
                <c:pt idx="5">
                  <c:v>755957.21071000001</c:v>
                </c:pt>
                <c:pt idx="6">
                  <c:v>1374108.8340499999</c:v>
                </c:pt>
              </c:numCache>
            </c:numRef>
          </c:val>
        </c:ser>
        <c:dLbls>
          <c:showLegendKey val="0"/>
          <c:showVal val="0"/>
          <c:showCatName val="0"/>
          <c:showSerName val="0"/>
          <c:showPercent val="0"/>
          <c:showBubbleSize val="0"/>
        </c:dLbls>
        <c:gapWidth val="151"/>
        <c:axId val="188713984"/>
        <c:axId val="185365568"/>
      </c:barChart>
      <c:lineChart>
        <c:grouping val="standard"/>
        <c:varyColors val="0"/>
        <c:ser>
          <c:idx val="2"/>
          <c:order val="2"/>
          <c:tx>
            <c:strRef>
              <c:f>Ukraine!$A$25</c:f>
              <c:strCache>
                <c:ptCount val="1"/>
                <c:pt idx="0">
                  <c:v>Португалія (% від усього)</c:v>
                </c:pt>
              </c:strCache>
            </c:strRef>
          </c:tx>
          <c:spPr>
            <a:ln w="28575" cap="rnd">
              <a:solidFill>
                <a:schemeClr val="accent4">
                  <a:lumMod val="75000"/>
                </a:schemeClr>
              </a:solidFill>
              <a:prstDash val="dash"/>
              <a:round/>
            </a:ln>
            <a:effectLst/>
          </c:spPr>
          <c:marker>
            <c:symbol val="none"/>
          </c:marker>
          <c:cat>
            <c:numRef>
              <c:f>Ukraine!$B$13:$H$13</c:f>
              <c:numCache>
                <c:formatCode>General</c:formatCode>
                <c:ptCount val="7"/>
                <c:pt idx="0">
                  <c:v>2017</c:v>
                </c:pt>
                <c:pt idx="1">
                  <c:v>2018</c:v>
                </c:pt>
                <c:pt idx="2">
                  <c:v>2019</c:v>
                </c:pt>
                <c:pt idx="3">
                  <c:v>2020</c:v>
                </c:pt>
                <c:pt idx="4">
                  <c:v>2021</c:v>
                </c:pt>
                <c:pt idx="5">
                  <c:v>2022</c:v>
                </c:pt>
                <c:pt idx="6">
                  <c:v>2023</c:v>
                </c:pt>
              </c:numCache>
            </c:numRef>
          </c:cat>
          <c:val>
            <c:numRef>
              <c:f>Ukraine!$B$25:$H$25</c:f>
              <c:numCache>
                <c:formatCode>0.0%</c:formatCode>
                <c:ptCount val="7"/>
                <c:pt idx="0">
                  <c:v>1.1932845243704576E-3</c:v>
                </c:pt>
                <c:pt idx="1">
                  <c:v>1.0768195663623582E-3</c:v>
                </c:pt>
                <c:pt idx="2">
                  <c:v>1.2303634589983328E-3</c:v>
                </c:pt>
                <c:pt idx="3">
                  <c:v>1.2549867475940297E-3</c:v>
                </c:pt>
                <c:pt idx="4">
                  <c:v>1.2186520336894893E-3</c:v>
                </c:pt>
                <c:pt idx="5">
                  <c:v>9.7742471496003861E-4</c:v>
                </c:pt>
                <c:pt idx="6">
                  <c:v>1.1042882335815752E-3</c:v>
                </c:pt>
              </c:numCache>
            </c:numRef>
          </c:val>
          <c:smooth val="0"/>
        </c:ser>
        <c:ser>
          <c:idx val="3"/>
          <c:order val="3"/>
          <c:tx>
            <c:strRef>
              <c:f>Ukraine!$A$26</c:f>
              <c:strCache>
                <c:ptCount val="1"/>
                <c:pt idx="0">
                  <c:v>Греція (% від усього)</c:v>
                </c:pt>
              </c:strCache>
            </c:strRef>
          </c:tx>
          <c:spPr>
            <a:ln w="28575" cap="rnd">
              <a:solidFill>
                <a:schemeClr val="accent5">
                  <a:lumMod val="50000"/>
                </a:schemeClr>
              </a:solidFill>
              <a:prstDash val="lgDash"/>
              <a:round/>
            </a:ln>
            <a:effectLst/>
          </c:spPr>
          <c:marker>
            <c:symbol val="none"/>
          </c:marker>
          <c:cat>
            <c:numRef>
              <c:f>Ukraine!$B$13:$H$13</c:f>
              <c:numCache>
                <c:formatCode>General</c:formatCode>
                <c:ptCount val="7"/>
                <c:pt idx="0">
                  <c:v>2017</c:v>
                </c:pt>
                <c:pt idx="1">
                  <c:v>2018</c:v>
                </c:pt>
                <c:pt idx="2">
                  <c:v>2019</c:v>
                </c:pt>
                <c:pt idx="3">
                  <c:v>2020</c:v>
                </c:pt>
                <c:pt idx="4">
                  <c:v>2021</c:v>
                </c:pt>
                <c:pt idx="5">
                  <c:v>2022</c:v>
                </c:pt>
                <c:pt idx="6">
                  <c:v>2023</c:v>
                </c:pt>
              </c:numCache>
            </c:numRef>
          </c:cat>
          <c:val>
            <c:numRef>
              <c:f>Ukraine!$B$26:$H$26</c:f>
              <c:numCache>
                <c:formatCode>0.0%</c:formatCode>
                <c:ptCount val="7"/>
                <c:pt idx="0">
                  <c:v>4.9242741676756045E-3</c:v>
                </c:pt>
                <c:pt idx="1">
                  <c:v>4.7293318170316141E-3</c:v>
                </c:pt>
                <c:pt idx="2">
                  <c:v>5.1255626531956236E-3</c:v>
                </c:pt>
                <c:pt idx="3">
                  <c:v>5.8341970663397351E-3</c:v>
                </c:pt>
                <c:pt idx="4">
                  <c:v>6.8039730146196888E-3</c:v>
                </c:pt>
                <c:pt idx="5">
                  <c:v>1.4298866300352464E-2</c:v>
                </c:pt>
                <c:pt idx="6">
                  <c:v>2.1616701078510183E-2</c:v>
                </c:pt>
              </c:numCache>
            </c:numRef>
          </c:val>
          <c:smooth val="0"/>
        </c:ser>
        <c:dLbls>
          <c:showLegendKey val="0"/>
          <c:showVal val="0"/>
          <c:showCatName val="0"/>
          <c:showSerName val="0"/>
          <c:showPercent val="0"/>
          <c:showBubbleSize val="0"/>
        </c:dLbls>
        <c:marker val="1"/>
        <c:smooth val="0"/>
        <c:axId val="188714496"/>
        <c:axId val="185366144"/>
      </c:lineChart>
      <c:catAx>
        <c:axId val="188713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5365568"/>
        <c:crosses val="autoZero"/>
        <c:auto val="1"/>
        <c:lblAlgn val="ctr"/>
        <c:lblOffset val="100"/>
        <c:noMultiLvlLbl val="0"/>
      </c:catAx>
      <c:valAx>
        <c:axId val="1853655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713984"/>
        <c:crosses val="autoZero"/>
        <c:crossBetween val="between"/>
      </c:valAx>
      <c:valAx>
        <c:axId val="185366144"/>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714496"/>
        <c:crosses val="max"/>
        <c:crossBetween val="between"/>
      </c:valAx>
      <c:catAx>
        <c:axId val="188714496"/>
        <c:scaling>
          <c:orientation val="minMax"/>
        </c:scaling>
        <c:delete val="1"/>
        <c:axPos val="b"/>
        <c:numFmt formatCode="General" sourceLinked="1"/>
        <c:majorTickMark val="out"/>
        <c:minorTickMark val="none"/>
        <c:tickLblPos val="nextTo"/>
        <c:crossAx val="185366144"/>
        <c:crosses val="autoZero"/>
        <c:auto val="1"/>
        <c:lblAlgn val="ctr"/>
        <c:lblOffset val="100"/>
        <c:noMultiLvlLbl val="0"/>
      </c:catAx>
      <c:spPr>
        <a:noFill/>
        <a:ln>
          <a:noFill/>
        </a:ln>
        <a:effectLst/>
      </c:spPr>
    </c:plotArea>
    <c:legend>
      <c:legendPos val="b"/>
      <c:layout>
        <c:manualLayout>
          <c:xMode val="edge"/>
          <c:yMode val="edge"/>
          <c:x val="0.11885293209876543"/>
          <c:y val="0.8288402777777778"/>
          <c:w val="0.75641450617283945"/>
          <c:h val="0.16234027777777776"/>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918472222222222"/>
          <c:y val="5.1351388888888891E-2"/>
          <c:w val="0.80907854938271606"/>
          <c:h val="0.76020277777777778"/>
        </c:manualLayout>
      </c:layout>
      <c:barChart>
        <c:barDir val="col"/>
        <c:grouping val="clustered"/>
        <c:varyColors val="0"/>
        <c:ser>
          <c:idx val="0"/>
          <c:order val="0"/>
          <c:tx>
            <c:strRef>
              <c:f>Ukraine!$A$32</c:f>
              <c:strCache>
                <c:ptCount val="1"/>
                <c:pt idx="0">
                  <c:v>Португалія (тис. дол. США)</c:v>
                </c:pt>
              </c:strCache>
            </c:strRef>
          </c:tx>
          <c:spPr>
            <a:solidFill>
              <a:srgbClr val="9FB6D1"/>
            </a:solidFill>
            <a:ln>
              <a:noFill/>
            </a:ln>
            <a:effectLst/>
          </c:spPr>
          <c:invertIfNegative val="0"/>
          <c:cat>
            <c:numRef>
              <c:f>Ukraine!$B$13:$H$13</c:f>
              <c:numCache>
                <c:formatCode>General</c:formatCode>
                <c:ptCount val="7"/>
                <c:pt idx="0">
                  <c:v>2017</c:v>
                </c:pt>
                <c:pt idx="1">
                  <c:v>2018</c:v>
                </c:pt>
                <c:pt idx="2">
                  <c:v>2019</c:v>
                </c:pt>
                <c:pt idx="3">
                  <c:v>2020</c:v>
                </c:pt>
                <c:pt idx="4">
                  <c:v>2021</c:v>
                </c:pt>
                <c:pt idx="5">
                  <c:v>2022</c:v>
                </c:pt>
                <c:pt idx="6">
                  <c:v>2023</c:v>
                </c:pt>
              </c:numCache>
            </c:numRef>
          </c:cat>
          <c:val>
            <c:numRef>
              <c:f>Ukraine!$B$32:$H$32</c:f>
              <c:numCache>
                <c:formatCode>#,##0</c:formatCode>
                <c:ptCount val="7"/>
                <c:pt idx="0">
                  <c:v>204948.2861</c:v>
                </c:pt>
                <c:pt idx="1">
                  <c:v>185465.67962999997</c:v>
                </c:pt>
                <c:pt idx="2">
                  <c:v>207367.89032999997</c:v>
                </c:pt>
                <c:pt idx="3">
                  <c:v>165780.20613000009</c:v>
                </c:pt>
                <c:pt idx="4">
                  <c:v>252431.72246000002</c:v>
                </c:pt>
                <c:pt idx="5">
                  <c:v>81253.89625000002</c:v>
                </c:pt>
                <c:pt idx="6">
                  <c:v>153257.82468999998</c:v>
                </c:pt>
              </c:numCache>
            </c:numRef>
          </c:val>
        </c:ser>
        <c:ser>
          <c:idx val="1"/>
          <c:order val="1"/>
          <c:tx>
            <c:strRef>
              <c:f>Ukraine!$A$33</c:f>
              <c:strCache>
                <c:ptCount val="1"/>
                <c:pt idx="0">
                  <c:v>Греція (тис. дол. США)</c:v>
                </c:pt>
              </c:strCache>
            </c:strRef>
          </c:tx>
          <c:spPr>
            <a:solidFill>
              <a:srgbClr val="63B199"/>
            </a:solidFill>
            <a:ln>
              <a:noFill/>
            </a:ln>
            <a:effectLst/>
          </c:spPr>
          <c:invertIfNegative val="0"/>
          <c:cat>
            <c:numRef>
              <c:f>Ukraine!$B$13:$H$13</c:f>
              <c:numCache>
                <c:formatCode>General</c:formatCode>
                <c:ptCount val="7"/>
                <c:pt idx="0">
                  <c:v>2017</c:v>
                </c:pt>
                <c:pt idx="1">
                  <c:v>2018</c:v>
                </c:pt>
                <c:pt idx="2">
                  <c:v>2019</c:v>
                </c:pt>
                <c:pt idx="3">
                  <c:v>2020</c:v>
                </c:pt>
                <c:pt idx="4">
                  <c:v>2021</c:v>
                </c:pt>
                <c:pt idx="5">
                  <c:v>2022</c:v>
                </c:pt>
                <c:pt idx="6">
                  <c:v>2023</c:v>
                </c:pt>
              </c:numCache>
            </c:numRef>
          </c:cat>
          <c:val>
            <c:numRef>
              <c:f>Ukraine!$B$33:$H$33</c:f>
              <c:numCache>
                <c:formatCode>#,##0</c:formatCode>
                <c:ptCount val="7"/>
                <c:pt idx="0">
                  <c:v>-47463.845219999988</c:v>
                </c:pt>
                <c:pt idx="1">
                  <c:v>9441.6466599999694</c:v>
                </c:pt>
                <c:pt idx="2">
                  <c:v>-37423.566219999979</c:v>
                </c:pt>
                <c:pt idx="3">
                  <c:v>-138197.82413999998</c:v>
                </c:pt>
                <c:pt idx="4">
                  <c:v>-282837.57530999999</c:v>
                </c:pt>
                <c:pt idx="5">
                  <c:v>-574146.92929999996</c:v>
                </c:pt>
                <c:pt idx="6">
                  <c:v>-1116552.8337599998</c:v>
                </c:pt>
              </c:numCache>
            </c:numRef>
          </c:val>
        </c:ser>
        <c:dLbls>
          <c:showLegendKey val="0"/>
          <c:showVal val="0"/>
          <c:showCatName val="0"/>
          <c:showSerName val="0"/>
          <c:showPercent val="0"/>
          <c:showBubbleSize val="0"/>
        </c:dLbls>
        <c:gapWidth val="133"/>
        <c:axId val="188990464"/>
        <c:axId val="138279104"/>
      </c:barChart>
      <c:catAx>
        <c:axId val="188990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8279104"/>
        <c:crosses val="autoZero"/>
        <c:auto val="1"/>
        <c:lblAlgn val="ctr"/>
        <c:lblOffset val="100"/>
        <c:noMultiLvlLbl val="0"/>
      </c:catAx>
      <c:valAx>
        <c:axId val="1382791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990464"/>
        <c:crosses val="autoZero"/>
        <c:crossBetween val="between"/>
      </c:valAx>
      <c:spPr>
        <a:noFill/>
        <a:ln>
          <a:noFill/>
        </a:ln>
        <a:effectLst/>
      </c:spPr>
    </c:plotArea>
    <c:legend>
      <c:legendPos val="b"/>
      <c:layout>
        <c:manualLayout>
          <c:xMode val="edge"/>
          <c:yMode val="edge"/>
          <c:x val="0.11885293209876543"/>
          <c:y val="0.8288402777777778"/>
          <c:w val="0.75641450617283945"/>
          <c:h val="0.16234027777777776"/>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Tables!$A$14</c:f>
              <c:strCache>
                <c:ptCount val="1"/>
                <c:pt idx="0">
                  <c:v>Португалія (млн. дол. США)</c:v>
                </c:pt>
              </c:strCache>
            </c:strRef>
          </c:tx>
          <c:spPr>
            <a:solidFill>
              <a:srgbClr val="A5BAD3"/>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Tables!$B$14:$Y$14</c:f>
              <c:numCache>
                <c:formatCode>#,##0</c:formatCode>
                <c:ptCount val="24"/>
                <c:pt idx="0">
                  <c:v>40060.67505122452</c:v>
                </c:pt>
                <c:pt idx="1">
                  <c:v>39680.687181728194</c:v>
                </c:pt>
                <c:pt idx="2">
                  <c:v>40988.197209427599</c:v>
                </c:pt>
                <c:pt idx="3">
                  <c:v>48341.163580402485</c:v>
                </c:pt>
                <c:pt idx="4">
                  <c:v>58499.146094480486</c:v>
                </c:pt>
                <c:pt idx="5">
                  <c:v>61096.450338458351</c:v>
                </c:pt>
                <c:pt idx="6">
                  <c:v>68515.828634323072</c:v>
                </c:pt>
                <c:pt idx="7">
                  <c:v>79677.143954568892</c:v>
                </c:pt>
                <c:pt idx="8">
                  <c:v>92224.603796976124</c:v>
                </c:pt>
                <c:pt idx="9">
                  <c:v>69267.518437378472</c:v>
                </c:pt>
                <c:pt idx="10">
                  <c:v>74742.407953102214</c:v>
                </c:pt>
                <c:pt idx="11">
                  <c:v>79107.457031222439</c:v>
                </c:pt>
                <c:pt idx="12">
                  <c:v>68976.872164338973</c:v>
                </c:pt>
                <c:pt idx="13">
                  <c:v>72576.021059391132</c:v>
                </c:pt>
                <c:pt idx="14">
                  <c:v>75632.559799762996</c:v>
                </c:pt>
                <c:pt idx="15">
                  <c:v>65081.974321216367</c:v>
                </c:pt>
                <c:pt idx="16">
                  <c:v>65418.689104181045</c:v>
                </c:pt>
                <c:pt idx="17">
                  <c:v>75328.797669776352</c:v>
                </c:pt>
                <c:pt idx="18">
                  <c:v>84823.79450734437</c:v>
                </c:pt>
                <c:pt idx="19">
                  <c:v>83113.624004706813</c:v>
                </c:pt>
                <c:pt idx="20">
                  <c:v>73876.078101207648</c:v>
                </c:pt>
                <c:pt idx="21">
                  <c:v>92278.585145021716</c:v>
                </c:pt>
                <c:pt idx="22">
                  <c:v>107632.83020409936</c:v>
                </c:pt>
                <c:pt idx="23">
                  <c:v>107394.8</c:v>
                </c:pt>
              </c:numCache>
            </c:numRef>
          </c:val>
        </c:ser>
        <c:ser>
          <c:idx val="1"/>
          <c:order val="1"/>
          <c:tx>
            <c:strRef>
              <c:f>Tables!$A$15</c:f>
              <c:strCache>
                <c:ptCount val="1"/>
                <c:pt idx="0">
                  <c:v>Греція (млн. дол. США)</c:v>
                </c:pt>
              </c:strCache>
            </c:strRef>
          </c:tx>
          <c:spPr>
            <a:solidFill>
              <a:schemeClr val="accent5">
                <a:lumMod val="75000"/>
              </a:schemeClr>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Tables!$B$15:$Y$15</c:f>
              <c:numCache>
                <c:formatCode>#,##0</c:formatCode>
                <c:ptCount val="24"/>
                <c:pt idx="0">
                  <c:v>30320.946978765311</c:v>
                </c:pt>
                <c:pt idx="1">
                  <c:v>29620.835751028237</c:v>
                </c:pt>
                <c:pt idx="2">
                  <c:v>31261.741970972176</c:v>
                </c:pt>
                <c:pt idx="3">
                  <c:v>38083.400120704609</c:v>
                </c:pt>
                <c:pt idx="4">
                  <c:v>47240.574301509791</c:v>
                </c:pt>
                <c:pt idx="5">
                  <c:v>51680.258912838501</c:v>
                </c:pt>
                <c:pt idx="6">
                  <c:v>64189.57481086583</c:v>
                </c:pt>
                <c:pt idx="7">
                  <c:v>80661.997394983235</c:v>
                </c:pt>
                <c:pt idx="8">
                  <c:v>93768.54574749335</c:v>
                </c:pt>
                <c:pt idx="9">
                  <c:v>63885.3</c:v>
                </c:pt>
                <c:pt idx="10">
                  <c:v>59785.80947485286</c:v>
                </c:pt>
                <c:pt idx="11">
                  <c:v>65380.913501390947</c:v>
                </c:pt>
                <c:pt idx="12">
                  <c:v>53157.220535215434</c:v>
                </c:pt>
                <c:pt idx="13">
                  <c:v>63315.640333556425</c:v>
                </c:pt>
                <c:pt idx="14">
                  <c:v>65127.20323540266</c:v>
                </c:pt>
                <c:pt idx="15">
                  <c:v>47121.117239880237</c:v>
                </c:pt>
                <c:pt idx="16">
                  <c:v>47087.774929845611</c:v>
                </c:pt>
                <c:pt idx="17">
                  <c:v>54091.782782625502</c:v>
                </c:pt>
                <c:pt idx="18">
                  <c:v>64740.591423380756</c:v>
                </c:pt>
                <c:pt idx="19">
                  <c:v>61880.587200818889</c:v>
                </c:pt>
                <c:pt idx="20">
                  <c:v>54171.105482633233</c:v>
                </c:pt>
                <c:pt idx="21">
                  <c:v>77461.478479430487</c:v>
                </c:pt>
                <c:pt idx="22">
                  <c:v>98034.679482554508</c:v>
                </c:pt>
                <c:pt idx="23">
                  <c:v>88499.8</c:v>
                </c:pt>
              </c:numCache>
            </c:numRef>
          </c:val>
        </c:ser>
        <c:dLbls>
          <c:showLegendKey val="0"/>
          <c:showVal val="0"/>
          <c:showCatName val="0"/>
          <c:showSerName val="0"/>
          <c:showPercent val="0"/>
          <c:showBubbleSize val="0"/>
        </c:dLbls>
        <c:gapWidth val="98"/>
        <c:axId val="134908416"/>
        <c:axId val="187198272"/>
      </c:barChart>
      <c:lineChart>
        <c:grouping val="standard"/>
        <c:varyColors val="0"/>
        <c:ser>
          <c:idx val="2"/>
          <c:order val="2"/>
          <c:tx>
            <c:strRef>
              <c:f>Tables!$A$16</c:f>
              <c:strCache>
                <c:ptCount val="1"/>
                <c:pt idx="0">
                  <c:v>Португалія (% ВВП)</c:v>
                </c:pt>
              </c:strCache>
            </c:strRef>
          </c:tx>
          <c:spPr>
            <a:ln w="28575" cap="rnd">
              <a:solidFill>
                <a:schemeClr val="tx2">
                  <a:lumMod val="60000"/>
                  <a:lumOff val="40000"/>
                </a:schemeClr>
              </a:solidFill>
              <a:prstDash val="sysDash"/>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Tables!$B$16:$Y$16</c:f>
              <c:numCache>
                <c:formatCode>0.0%</c:formatCode>
                <c:ptCount val="24"/>
                <c:pt idx="0">
                  <c:v>0.33776493321534734</c:v>
                </c:pt>
                <c:pt idx="1">
                  <c:v>0.32631041916937958</c:v>
                </c:pt>
                <c:pt idx="2">
                  <c:v>0.30407674794316797</c:v>
                </c:pt>
                <c:pt idx="3">
                  <c:v>0.29257569766624453</c:v>
                </c:pt>
                <c:pt idx="4">
                  <c:v>0.3088947642591961</c:v>
                </c:pt>
                <c:pt idx="5">
                  <c:v>0.30973510563675555</c:v>
                </c:pt>
                <c:pt idx="6">
                  <c:v>0.3282093984257568</c:v>
                </c:pt>
                <c:pt idx="7">
                  <c:v>0.33130320316283329</c:v>
                </c:pt>
                <c:pt idx="8">
                  <c:v>0.35010958193618918</c:v>
                </c:pt>
                <c:pt idx="9">
                  <c:v>0.28310847998368133</c:v>
                </c:pt>
                <c:pt idx="10">
                  <c:v>0.31389469259633695</c:v>
                </c:pt>
                <c:pt idx="11">
                  <c:v>0.32273215422924023</c:v>
                </c:pt>
                <c:pt idx="12">
                  <c:v>0.3190061945874661</c:v>
                </c:pt>
                <c:pt idx="13">
                  <c:v>0.32051753080831097</c:v>
                </c:pt>
                <c:pt idx="14">
                  <c:v>0.3289774406919293</c:v>
                </c:pt>
                <c:pt idx="15">
                  <c:v>0.32639875125327633</c:v>
                </c:pt>
                <c:pt idx="16">
                  <c:v>0.3169108583018953</c:v>
                </c:pt>
                <c:pt idx="17">
                  <c:v>0.34030322058985002</c:v>
                </c:pt>
                <c:pt idx="18">
                  <c:v>0.35005861715311387</c:v>
                </c:pt>
                <c:pt idx="19">
                  <c:v>0.34632563762553203</c:v>
                </c:pt>
                <c:pt idx="20">
                  <c:v>0.32255808398546265</c:v>
                </c:pt>
                <c:pt idx="21">
                  <c:v>0.36332605145400021</c:v>
                </c:pt>
                <c:pt idx="22">
                  <c:v>0.42720700518327442</c:v>
                </c:pt>
                <c:pt idx="23">
                  <c:v>0.37812695058165563</c:v>
                </c:pt>
              </c:numCache>
            </c:numRef>
          </c:val>
          <c:smooth val="0"/>
        </c:ser>
        <c:ser>
          <c:idx val="3"/>
          <c:order val="3"/>
          <c:tx>
            <c:strRef>
              <c:f>Tables!$A$17</c:f>
              <c:strCache>
                <c:ptCount val="1"/>
                <c:pt idx="0">
                  <c:v>Греція (% ВВП)</c:v>
                </c:pt>
              </c:strCache>
            </c:strRef>
          </c:tx>
          <c:spPr>
            <a:ln w="28575" cap="rnd">
              <a:solidFill>
                <a:schemeClr val="accent5">
                  <a:lumMod val="50000"/>
                </a:schemeClr>
              </a:solidFill>
              <a:prstDash val="lgDash"/>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Tables!$B$17:$Y$17</c:f>
              <c:numCache>
                <c:formatCode>0.0%</c:formatCode>
                <c:ptCount val="24"/>
                <c:pt idx="0">
                  <c:v>0.23241965646491991</c:v>
                </c:pt>
                <c:pt idx="1">
                  <c:v>0.21730605900397762</c:v>
                </c:pt>
                <c:pt idx="2">
                  <c:v>0.20225732249437106</c:v>
                </c:pt>
                <c:pt idx="3">
                  <c:v>0.1881868544254732</c:v>
                </c:pt>
                <c:pt idx="4">
                  <c:v>0.19604862188755895</c:v>
                </c:pt>
                <c:pt idx="5">
                  <c:v>0.20849287296511254</c:v>
                </c:pt>
                <c:pt idx="6">
                  <c:v>0.23465670808482922</c:v>
                </c:pt>
                <c:pt idx="7">
                  <c:v>0.25293597271814422</c:v>
                </c:pt>
                <c:pt idx="8">
                  <c:v>0.26346236694913761</c:v>
                </c:pt>
                <c:pt idx="9">
                  <c:v>0.19282722885516612</c:v>
                </c:pt>
                <c:pt idx="10">
                  <c:v>0.20121436138572346</c:v>
                </c:pt>
                <c:pt idx="11">
                  <c:v>0.23103127570598198</c:v>
                </c:pt>
                <c:pt idx="12">
                  <c:v>0.21963133789378197</c:v>
                </c:pt>
                <c:pt idx="13">
                  <c:v>0.26502135749588412</c:v>
                </c:pt>
                <c:pt idx="14">
                  <c:v>0.2765978068845743</c:v>
                </c:pt>
                <c:pt idx="15">
                  <c:v>0.24080267747354964</c:v>
                </c:pt>
                <c:pt idx="16">
                  <c:v>0.24379097476170805</c:v>
                </c:pt>
                <c:pt idx="17">
                  <c:v>0.27066948663533313</c:v>
                </c:pt>
                <c:pt idx="18">
                  <c:v>0.30530893744543475</c:v>
                </c:pt>
                <c:pt idx="19">
                  <c:v>0.30147854987186357</c:v>
                </c:pt>
                <c:pt idx="20">
                  <c:v>0.28673187728359389</c:v>
                </c:pt>
                <c:pt idx="21">
                  <c:v>0.36049741615592723</c:v>
                </c:pt>
                <c:pt idx="22">
                  <c:v>0.45056526855071405</c:v>
                </c:pt>
                <c:pt idx="23">
                  <c:v>0.38804982927380766</c:v>
                </c:pt>
              </c:numCache>
            </c:numRef>
          </c:val>
          <c:smooth val="0"/>
        </c:ser>
        <c:dLbls>
          <c:showLegendKey val="0"/>
          <c:showVal val="0"/>
          <c:showCatName val="0"/>
          <c:showSerName val="0"/>
          <c:showPercent val="0"/>
          <c:showBubbleSize val="0"/>
        </c:dLbls>
        <c:marker val="1"/>
        <c:smooth val="0"/>
        <c:axId val="135808512"/>
        <c:axId val="187198848"/>
      </c:lineChart>
      <c:catAx>
        <c:axId val="134908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7198272"/>
        <c:crosses val="autoZero"/>
        <c:auto val="1"/>
        <c:lblAlgn val="ctr"/>
        <c:lblOffset val="100"/>
        <c:noMultiLvlLbl val="0"/>
      </c:catAx>
      <c:valAx>
        <c:axId val="1871982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4908416"/>
        <c:crosses val="autoZero"/>
        <c:crossBetween val="between"/>
      </c:valAx>
      <c:valAx>
        <c:axId val="187198848"/>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5808512"/>
        <c:crosses val="max"/>
        <c:crossBetween val="between"/>
      </c:valAx>
      <c:catAx>
        <c:axId val="135808512"/>
        <c:scaling>
          <c:orientation val="minMax"/>
        </c:scaling>
        <c:delete val="1"/>
        <c:axPos val="b"/>
        <c:numFmt formatCode="General" sourceLinked="1"/>
        <c:majorTickMark val="out"/>
        <c:minorTickMark val="none"/>
        <c:tickLblPos val="nextTo"/>
        <c:crossAx val="187198848"/>
        <c:crosses val="autoZero"/>
        <c:auto val="1"/>
        <c:lblAlgn val="ctr"/>
        <c:lblOffset val="100"/>
        <c:noMultiLvlLbl val="0"/>
      </c:catAx>
      <c:spPr>
        <a:noFill/>
        <a:ln>
          <a:noFill/>
        </a:ln>
        <a:effectLst/>
      </c:spPr>
    </c:plotArea>
    <c:legend>
      <c:legendPos val="b"/>
      <c:layout>
        <c:manualLayout>
          <c:xMode val="edge"/>
          <c:yMode val="edge"/>
          <c:x val="4.5982253086419754E-2"/>
          <c:y val="0.83018090277777778"/>
          <c:w val="0.92749151234567906"/>
          <c:h val="0.1651781881697314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Tables!$A$20</c:f>
              <c:strCache>
                <c:ptCount val="1"/>
                <c:pt idx="0">
                  <c:v>Португалія (млн. дол. США)</c:v>
                </c:pt>
              </c:strCache>
            </c:strRef>
          </c:tx>
          <c:spPr>
            <a:solidFill>
              <a:srgbClr val="A5BAD3"/>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Tables!$B$20:$Y$20</c:f>
              <c:numCache>
                <c:formatCode>#,##0</c:formatCode>
                <c:ptCount val="24"/>
                <c:pt idx="0">
                  <c:v>9323.1262608245815</c:v>
                </c:pt>
                <c:pt idx="1">
                  <c:v>9458.8131337936993</c:v>
                </c:pt>
                <c:pt idx="2">
                  <c:v>10342.908084981682</c:v>
                </c:pt>
                <c:pt idx="3">
                  <c:v>12312.041557571703</c:v>
                </c:pt>
                <c:pt idx="4">
                  <c:v>14720.032846500722</c:v>
                </c:pt>
                <c:pt idx="5">
                  <c:v>15096.851050867877</c:v>
                </c:pt>
                <c:pt idx="6">
                  <c:v>18586.805937243284</c:v>
                </c:pt>
                <c:pt idx="7">
                  <c:v>23657.320953386854</c:v>
                </c:pt>
                <c:pt idx="8">
                  <c:v>26465.58956542801</c:v>
                </c:pt>
                <c:pt idx="9">
                  <c:v>23112.663366633842</c:v>
                </c:pt>
                <c:pt idx="10">
                  <c:v>23065.422037950899</c:v>
                </c:pt>
                <c:pt idx="11">
                  <c:v>26941.228740875067</c:v>
                </c:pt>
                <c:pt idx="12">
                  <c:v>25536.534058048826</c:v>
                </c:pt>
                <c:pt idx="13">
                  <c:v>29209.250812848957</c:v>
                </c:pt>
                <c:pt idx="14">
                  <c:v>30608.949901893935</c:v>
                </c:pt>
                <c:pt idx="15">
                  <c:v>27635.5167509112</c:v>
                </c:pt>
                <c:pt idx="16">
                  <c:v>29426.546477115775</c:v>
                </c:pt>
                <c:pt idx="17">
                  <c:v>35034.574502098461</c:v>
                </c:pt>
                <c:pt idx="18">
                  <c:v>39350.78229626362</c:v>
                </c:pt>
                <c:pt idx="19">
                  <c:v>39958.286822970294</c:v>
                </c:pt>
                <c:pt idx="20">
                  <c:v>25489.177337395056</c:v>
                </c:pt>
                <c:pt idx="21">
                  <c:v>32114.671114790915</c:v>
                </c:pt>
                <c:pt idx="22">
                  <c:v>46648.894461052601</c:v>
                </c:pt>
                <c:pt idx="23">
                  <c:v>55950.2</c:v>
                </c:pt>
              </c:numCache>
            </c:numRef>
          </c:val>
        </c:ser>
        <c:ser>
          <c:idx val="1"/>
          <c:order val="1"/>
          <c:tx>
            <c:strRef>
              <c:f>Tables!$A$21</c:f>
              <c:strCache>
                <c:ptCount val="1"/>
                <c:pt idx="0">
                  <c:v>Греція (млн. дол. США)</c:v>
                </c:pt>
              </c:strCache>
            </c:strRef>
          </c:tx>
          <c:spPr>
            <a:solidFill>
              <a:schemeClr val="accent5">
                <a:lumMod val="75000"/>
              </a:schemeClr>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Tables!$B$21:$Y$21</c:f>
              <c:numCache>
                <c:formatCode>#,##0</c:formatCode>
                <c:ptCount val="24"/>
                <c:pt idx="0">
                  <c:v>19286.349745220075</c:v>
                </c:pt>
                <c:pt idx="1">
                  <c:v>19546.311317674325</c:v>
                </c:pt>
                <c:pt idx="2">
                  <c:v>20235.733061840703</c:v>
                </c:pt>
                <c:pt idx="3">
                  <c:v>24386.730615693948</c:v>
                </c:pt>
                <c:pt idx="4">
                  <c:v>33213.133546648707</c:v>
                </c:pt>
                <c:pt idx="5">
                  <c:v>34045.529046511278</c:v>
                </c:pt>
                <c:pt idx="6">
                  <c:v>35916.377309553252</c:v>
                </c:pt>
                <c:pt idx="7">
                  <c:v>43279.467947898847</c:v>
                </c:pt>
                <c:pt idx="8">
                  <c:v>50753.851262036871</c:v>
                </c:pt>
                <c:pt idx="9">
                  <c:v>38075.5</c:v>
                </c:pt>
                <c:pt idx="10">
                  <c:v>37660.362569224548</c:v>
                </c:pt>
                <c:pt idx="11">
                  <c:v>40197.276221995002</c:v>
                </c:pt>
                <c:pt idx="12">
                  <c:v>35329.588220116282</c:v>
                </c:pt>
                <c:pt idx="13">
                  <c:v>37200.344516828067</c:v>
                </c:pt>
                <c:pt idx="14">
                  <c:v>41273.732823392944</c:v>
                </c:pt>
                <c:pt idx="15">
                  <c:v>35106.606354025651</c:v>
                </c:pt>
                <c:pt idx="16">
                  <c:v>33075.837344666448</c:v>
                </c:pt>
                <c:pt idx="17">
                  <c:v>38401.943375567615</c:v>
                </c:pt>
                <c:pt idx="18">
                  <c:v>43659.235483976605</c:v>
                </c:pt>
                <c:pt idx="19">
                  <c:v>44875.697908206581</c:v>
                </c:pt>
                <c:pt idx="20">
                  <c:v>25985.705038200311</c:v>
                </c:pt>
                <c:pt idx="21">
                  <c:v>41283.900756202544</c:v>
                </c:pt>
                <c:pt idx="22">
                  <c:v>49743.642625969667</c:v>
                </c:pt>
                <c:pt idx="23">
                  <c:v>53185.3</c:v>
                </c:pt>
              </c:numCache>
            </c:numRef>
          </c:val>
        </c:ser>
        <c:dLbls>
          <c:showLegendKey val="0"/>
          <c:showVal val="0"/>
          <c:showCatName val="0"/>
          <c:showSerName val="0"/>
          <c:showPercent val="0"/>
          <c:showBubbleSize val="0"/>
        </c:dLbls>
        <c:gapWidth val="98"/>
        <c:axId val="180762112"/>
        <c:axId val="187201152"/>
      </c:barChart>
      <c:lineChart>
        <c:grouping val="standard"/>
        <c:varyColors val="0"/>
        <c:ser>
          <c:idx val="2"/>
          <c:order val="2"/>
          <c:tx>
            <c:strRef>
              <c:f>Tables!$A$22</c:f>
              <c:strCache>
                <c:ptCount val="1"/>
                <c:pt idx="0">
                  <c:v>Португалія (% ВВП)</c:v>
                </c:pt>
              </c:strCache>
            </c:strRef>
          </c:tx>
          <c:spPr>
            <a:ln w="28575" cap="rnd">
              <a:solidFill>
                <a:schemeClr val="tx2">
                  <a:lumMod val="60000"/>
                  <a:lumOff val="40000"/>
                </a:schemeClr>
              </a:solidFill>
              <a:prstDash val="dash"/>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Tables!$B$22:$Y$22</c:f>
              <c:numCache>
                <c:formatCode>0.0%</c:formatCode>
                <c:ptCount val="24"/>
                <c:pt idx="0">
                  <c:v>7.8606391799915784E-2</c:v>
                </c:pt>
                <c:pt idx="1">
                  <c:v>7.7783664995456595E-2</c:v>
                </c:pt>
                <c:pt idx="2">
                  <c:v>7.673032894535177E-2</c:v>
                </c:pt>
                <c:pt idx="3">
                  <c:v>7.4516289671245545E-2</c:v>
                </c:pt>
                <c:pt idx="4">
                  <c:v>7.7726623029057806E-2</c:v>
                </c:pt>
                <c:pt idx="5">
                  <c:v>7.6535129768079357E-2</c:v>
                </c:pt>
                <c:pt idx="6">
                  <c:v>8.9035840577470868E-2</c:v>
                </c:pt>
                <c:pt idx="7">
                  <c:v>9.8368814707732025E-2</c:v>
                </c:pt>
                <c:pt idx="8">
                  <c:v>0.10047054817220676</c:v>
                </c:pt>
                <c:pt idx="9">
                  <c:v>9.4465503337149231E-2</c:v>
                </c:pt>
                <c:pt idx="10">
                  <c:v>9.6867544925101245E-2</c:v>
                </c:pt>
                <c:pt idx="11">
                  <c:v>0.10991126646497604</c:v>
                </c:pt>
                <c:pt idx="12">
                  <c:v>0.11810208693433653</c:v>
                </c:pt>
                <c:pt idx="13">
                  <c:v>0.12899683408702894</c:v>
                </c:pt>
                <c:pt idx="14">
                  <c:v>0.13313914043967215</c:v>
                </c:pt>
                <c:pt idx="15">
                  <c:v>0.13859748804202887</c:v>
                </c:pt>
                <c:pt idx="16">
                  <c:v>0.14255241473995472</c:v>
                </c:pt>
                <c:pt idx="17">
                  <c:v>0.15827119114955263</c:v>
                </c:pt>
                <c:pt idx="18">
                  <c:v>0.16239641853478484</c:v>
                </c:pt>
                <c:pt idx="19">
                  <c:v>0.16650193428703564</c:v>
                </c:pt>
                <c:pt idx="20">
                  <c:v>0.11129096746381593</c:v>
                </c:pt>
                <c:pt idx="21">
                  <c:v>0.12644425173558585</c:v>
                </c:pt>
                <c:pt idx="22">
                  <c:v>0.18515479394183862</c:v>
                </c:pt>
                <c:pt idx="23">
                  <c:v>0.19699537138142395</c:v>
                </c:pt>
              </c:numCache>
            </c:numRef>
          </c:val>
          <c:smooth val="0"/>
        </c:ser>
        <c:ser>
          <c:idx val="3"/>
          <c:order val="3"/>
          <c:tx>
            <c:strRef>
              <c:f>Tables!$A$23</c:f>
              <c:strCache>
                <c:ptCount val="1"/>
                <c:pt idx="0">
                  <c:v>Греція (% ВВП)</c:v>
                </c:pt>
              </c:strCache>
            </c:strRef>
          </c:tx>
          <c:spPr>
            <a:ln w="28575" cap="rnd">
              <a:solidFill>
                <a:schemeClr val="accent5">
                  <a:lumMod val="50000"/>
                </a:schemeClr>
              </a:solidFill>
              <a:prstDash val="lgDash"/>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Tables!$B$23:$Y$23</c:f>
              <c:numCache>
                <c:formatCode>0.0%</c:formatCode>
                <c:ptCount val="24"/>
                <c:pt idx="0">
                  <c:v>0.14783597574922699</c:v>
                </c:pt>
                <c:pt idx="1">
                  <c:v>0.14339676017957076</c:v>
                </c:pt>
                <c:pt idx="2">
                  <c:v>0.13092121327081133</c:v>
                </c:pt>
                <c:pt idx="3">
                  <c:v>0.12050557748896498</c:v>
                </c:pt>
                <c:pt idx="4">
                  <c:v>0.13783467192480406</c:v>
                </c:pt>
                <c:pt idx="5">
                  <c:v>0.13734935373477716</c:v>
                </c:pt>
                <c:pt idx="6">
                  <c:v>0.13129887354177877</c:v>
                </c:pt>
                <c:pt idx="7">
                  <c:v>0.13571365299226254</c:v>
                </c:pt>
                <c:pt idx="8">
                  <c:v>0.14260357435092424</c:v>
                </c:pt>
                <c:pt idx="9">
                  <c:v>0.11492460945279864</c:v>
                </c:pt>
                <c:pt idx="10">
                  <c:v>0.12674923816342576</c:v>
                </c:pt>
                <c:pt idx="11">
                  <c:v>0.14204188207427951</c:v>
                </c:pt>
                <c:pt idx="12">
                  <c:v>0.14597235615206891</c:v>
                </c:pt>
                <c:pt idx="13">
                  <c:v>0.15571011761432457</c:v>
                </c:pt>
                <c:pt idx="14">
                  <c:v>0.17529117501985075</c:v>
                </c:pt>
                <c:pt idx="15">
                  <c:v>0.17940501631197725</c:v>
                </c:pt>
                <c:pt idx="16">
                  <c:v>0.1712459473680715</c:v>
                </c:pt>
                <c:pt idx="17">
                  <c:v>0.19215921096619296</c:v>
                </c:pt>
                <c:pt idx="18">
                  <c:v>0.20589176747123464</c:v>
                </c:pt>
                <c:pt idx="19">
                  <c:v>0.21863173802712244</c:v>
                </c:pt>
                <c:pt idx="20">
                  <c:v>0.13754435915157057</c:v>
                </c:pt>
                <c:pt idx="21">
                  <c:v>0.19213084804985728</c:v>
                </c:pt>
                <c:pt idx="22">
                  <c:v>0.2286207066393191</c:v>
                </c:pt>
                <c:pt idx="23">
                  <c:v>0.23320444322898179</c:v>
                </c:pt>
              </c:numCache>
            </c:numRef>
          </c:val>
          <c:smooth val="0"/>
        </c:ser>
        <c:dLbls>
          <c:showLegendKey val="0"/>
          <c:showVal val="0"/>
          <c:showCatName val="0"/>
          <c:showSerName val="0"/>
          <c:showPercent val="0"/>
          <c:showBubbleSize val="0"/>
        </c:dLbls>
        <c:marker val="1"/>
        <c:smooth val="0"/>
        <c:axId val="180762624"/>
        <c:axId val="187201728"/>
      </c:lineChart>
      <c:catAx>
        <c:axId val="180762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7201152"/>
        <c:crosses val="autoZero"/>
        <c:auto val="1"/>
        <c:lblAlgn val="ctr"/>
        <c:lblOffset val="100"/>
        <c:noMultiLvlLbl val="0"/>
      </c:catAx>
      <c:valAx>
        <c:axId val="1872011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0762112"/>
        <c:crosses val="autoZero"/>
        <c:crossBetween val="between"/>
      </c:valAx>
      <c:valAx>
        <c:axId val="187201728"/>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0762624"/>
        <c:crosses val="max"/>
        <c:crossBetween val="between"/>
      </c:valAx>
      <c:catAx>
        <c:axId val="180762624"/>
        <c:scaling>
          <c:orientation val="minMax"/>
        </c:scaling>
        <c:delete val="1"/>
        <c:axPos val="b"/>
        <c:numFmt formatCode="General" sourceLinked="1"/>
        <c:majorTickMark val="out"/>
        <c:minorTickMark val="none"/>
        <c:tickLblPos val="nextTo"/>
        <c:crossAx val="187201728"/>
        <c:crosses val="autoZero"/>
        <c:auto val="1"/>
        <c:lblAlgn val="ctr"/>
        <c:lblOffset val="100"/>
        <c:noMultiLvlLbl val="0"/>
      </c:catAx>
      <c:spPr>
        <a:noFill/>
        <a:ln>
          <a:noFill/>
        </a:ln>
        <a:effectLst/>
      </c:spPr>
    </c:plotArea>
    <c:legend>
      <c:legendPos val="b"/>
      <c:layout>
        <c:manualLayout>
          <c:xMode val="edge"/>
          <c:yMode val="edge"/>
          <c:x val="4.5982253086419754E-2"/>
          <c:y val="0.83018090277777778"/>
          <c:w val="0.92749151234567906"/>
          <c:h val="0.1651781881697314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Tables!$A$26</c:f>
              <c:strCache>
                <c:ptCount val="1"/>
                <c:pt idx="0">
                  <c:v>Португалія (млн. дол. США)</c:v>
                </c:pt>
              </c:strCache>
            </c:strRef>
          </c:tx>
          <c:spPr>
            <a:solidFill>
              <a:srgbClr val="A5BAD3"/>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Tables!$B$26:$Y$26</c:f>
              <c:numCache>
                <c:formatCode>#,##0</c:formatCode>
                <c:ptCount val="24"/>
                <c:pt idx="0">
                  <c:v>6419.1581823665083</c:v>
                </c:pt>
                <c:pt idx="1">
                  <c:v>6106.4888042190305</c:v>
                </c:pt>
                <c:pt idx="2">
                  <c:v>6510.0320014115478</c:v>
                </c:pt>
                <c:pt idx="3">
                  <c:v>7619.178159690653</c:v>
                </c:pt>
                <c:pt idx="4">
                  <c:v>8938.4705264430013</c:v>
                </c:pt>
                <c:pt idx="5">
                  <c:v>9483.1442539816435</c:v>
                </c:pt>
                <c:pt idx="6">
                  <c:v>11302.344212112323</c:v>
                </c:pt>
                <c:pt idx="7">
                  <c:v>13699.808686795001</c:v>
                </c:pt>
                <c:pt idx="8">
                  <c:v>15506.245498936996</c:v>
                </c:pt>
                <c:pt idx="9">
                  <c:v>14217.353721273053</c:v>
                </c:pt>
                <c:pt idx="10">
                  <c:v>14757.498483116837</c:v>
                </c:pt>
                <c:pt idx="11">
                  <c:v>15809.763792789397</c:v>
                </c:pt>
                <c:pt idx="12">
                  <c:v>13593.565911966423</c:v>
                </c:pt>
                <c:pt idx="13">
                  <c:v>14482.019526048132</c:v>
                </c:pt>
                <c:pt idx="14">
                  <c:v>15938.521700665959</c:v>
                </c:pt>
                <c:pt idx="15">
                  <c:v>14027.450293456326</c:v>
                </c:pt>
                <c:pt idx="16">
                  <c:v>14803.434659527613</c:v>
                </c:pt>
                <c:pt idx="17">
                  <c:v>16582.130374976896</c:v>
                </c:pt>
                <c:pt idx="18">
                  <c:v>18768.086837197792</c:v>
                </c:pt>
                <c:pt idx="19">
                  <c:v>19894.658276974875</c:v>
                </c:pt>
                <c:pt idx="20">
                  <c:v>15639.819128872545</c:v>
                </c:pt>
                <c:pt idx="21">
                  <c:v>20135.975956493559</c:v>
                </c:pt>
                <c:pt idx="22">
                  <c:v>23993.068470535782</c:v>
                </c:pt>
                <c:pt idx="23">
                  <c:v>25613.1</c:v>
                </c:pt>
              </c:numCache>
            </c:numRef>
          </c:val>
        </c:ser>
        <c:ser>
          <c:idx val="1"/>
          <c:order val="1"/>
          <c:tx>
            <c:strRef>
              <c:f>Tables!$A$27</c:f>
              <c:strCache>
                <c:ptCount val="1"/>
                <c:pt idx="0">
                  <c:v>Греція (млн. дол. США)</c:v>
                </c:pt>
              </c:strCache>
            </c:strRef>
          </c:tx>
          <c:spPr>
            <a:solidFill>
              <a:schemeClr val="accent5">
                <a:lumMod val="75000"/>
              </a:schemeClr>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Tables!$B$27:$Y$27</c:f>
              <c:numCache>
                <c:formatCode>#,##0</c:formatCode>
                <c:ptCount val="24"/>
                <c:pt idx="0">
                  <c:v>11369.782850925987</c:v>
                </c:pt>
                <c:pt idx="1">
                  <c:v>11651.117820076292</c:v>
                </c:pt>
                <c:pt idx="2">
                  <c:v>9892.5547615183677</c:v>
                </c:pt>
                <c:pt idx="3">
                  <c:v>11369.948820531014</c:v>
                </c:pt>
                <c:pt idx="4">
                  <c:v>14171.105651877071</c:v>
                </c:pt>
                <c:pt idx="5">
                  <c:v>14906.67167358302</c:v>
                </c:pt>
                <c:pt idx="6">
                  <c:v>16762.809455960483</c:v>
                </c:pt>
                <c:pt idx="7">
                  <c:v>20598.901191538811</c:v>
                </c:pt>
                <c:pt idx="8">
                  <c:v>25313.361451859651</c:v>
                </c:pt>
                <c:pt idx="9">
                  <c:v>20261.099999999999</c:v>
                </c:pt>
                <c:pt idx="10">
                  <c:v>20370.016489314981</c:v>
                </c:pt>
                <c:pt idx="11">
                  <c:v>19637.06338640488</c:v>
                </c:pt>
                <c:pt idx="12">
                  <c:v>16053.041350401605</c:v>
                </c:pt>
                <c:pt idx="13">
                  <c:v>16329.001857202278</c:v>
                </c:pt>
                <c:pt idx="14">
                  <c:v>16970.660130637585</c:v>
                </c:pt>
                <c:pt idx="15">
                  <c:v>16723.922997140184</c:v>
                </c:pt>
                <c:pt idx="16">
                  <c:v>14931.12492268287</c:v>
                </c:pt>
                <c:pt idx="17">
                  <c:v>17669.088149249706</c:v>
                </c:pt>
                <c:pt idx="18">
                  <c:v>21062.376432569068</c:v>
                </c:pt>
                <c:pt idx="19">
                  <c:v>21311.529645417362</c:v>
                </c:pt>
                <c:pt idx="20">
                  <c:v>17587.227644881081</c:v>
                </c:pt>
                <c:pt idx="21">
                  <c:v>26070.914258382385</c:v>
                </c:pt>
                <c:pt idx="22">
                  <c:v>29785.015673240112</c:v>
                </c:pt>
                <c:pt idx="23">
                  <c:v>29422.400000000001</c:v>
                </c:pt>
              </c:numCache>
            </c:numRef>
          </c:val>
        </c:ser>
        <c:dLbls>
          <c:showLegendKey val="0"/>
          <c:showVal val="0"/>
          <c:showCatName val="0"/>
          <c:showSerName val="0"/>
          <c:showPercent val="0"/>
          <c:showBubbleSize val="0"/>
        </c:dLbls>
        <c:gapWidth val="98"/>
        <c:axId val="191500800"/>
        <c:axId val="146554880"/>
      </c:barChart>
      <c:lineChart>
        <c:grouping val="standard"/>
        <c:varyColors val="0"/>
        <c:ser>
          <c:idx val="2"/>
          <c:order val="2"/>
          <c:tx>
            <c:strRef>
              <c:f>Tables!$A$28</c:f>
              <c:strCache>
                <c:ptCount val="1"/>
                <c:pt idx="0">
                  <c:v>Португалія (% ВВП)</c:v>
                </c:pt>
              </c:strCache>
            </c:strRef>
          </c:tx>
          <c:spPr>
            <a:ln w="28575" cap="rnd">
              <a:solidFill>
                <a:schemeClr val="tx2">
                  <a:lumMod val="60000"/>
                  <a:lumOff val="40000"/>
                </a:schemeClr>
              </a:solidFill>
              <a:prstDash val="dash"/>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Tables!$B$28:$Y$28</c:f>
              <c:numCache>
                <c:formatCode>0.0%</c:formatCode>
                <c:ptCount val="24"/>
                <c:pt idx="0">
                  <c:v>5.4122066889621741E-2</c:v>
                </c:pt>
                <c:pt idx="1">
                  <c:v>5.0216139459282723E-2</c:v>
                </c:pt>
                <c:pt idx="2">
                  <c:v>4.8295594702073529E-2</c:v>
                </c:pt>
                <c:pt idx="3">
                  <c:v>4.6113626578459493E-2</c:v>
                </c:pt>
                <c:pt idx="4">
                  <c:v>4.7198069210174227E-2</c:v>
                </c:pt>
                <c:pt idx="5">
                  <c:v>4.8075832081961041E-2</c:v>
                </c:pt>
                <c:pt idx="6">
                  <c:v>5.414129360467114E-2</c:v>
                </c:pt>
                <c:pt idx="7">
                  <c:v>5.6964774029063657E-2</c:v>
                </c:pt>
                <c:pt idx="8">
                  <c:v>5.8865908938832985E-2</c:v>
                </c:pt>
                <c:pt idx="9">
                  <c:v>5.8108814812801647E-2</c:v>
                </c:pt>
                <c:pt idx="10">
                  <c:v>6.1976869313006971E-2</c:v>
                </c:pt>
                <c:pt idx="11">
                  <c:v>6.4498586077524428E-2</c:v>
                </c:pt>
                <c:pt idx="12">
                  <c:v>6.2867909146687009E-2</c:v>
                </c:pt>
                <c:pt idx="13">
                  <c:v>6.3956952611224263E-2</c:v>
                </c:pt>
                <c:pt idx="14">
                  <c:v>6.9327470753069692E-2</c:v>
                </c:pt>
                <c:pt idx="15">
                  <c:v>7.0350389747764142E-2</c:v>
                </c:pt>
                <c:pt idx="16">
                  <c:v>7.171298061775265E-2</c:v>
                </c:pt>
                <c:pt idx="17">
                  <c:v>7.4910957633796113E-2</c:v>
                </c:pt>
                <c:pt idx="18">
                  <c:v>7.7453862598308637E-2</c:v>
                </c:pt>
                <c:pt idx="19">
                  <c:v>8.2898926567384457E-2</c:v>
                </c:pt>
                <c:pt idx="20">
                  <c:v>6.8286652753509522E-2</c:v>
                </c:pt>
                <c:pt idx="21">
                  <c:v>7.928084966786221E-2</c:v>
                </c:pt>
                <c:pt idx="22">
                  <c:v>9.5231231093879112E-2</c:v>
                </c:pt>
                <c:pt idx="23">
                  <c:v>9.0181306710781187E-2</c:v>
                </c:pt>
              </c:numCache>
            </c:numRef>
          </c:val>
          <c:smooth val="0"/>
        </c:ser>
        <c:ser>
          <c:idx val="3"/>
          <c:order val="3"/>
          <c:tx>
            <c:strRef>
              <c:f>Tables!$A$29</c:f>
              <c:strCache>
                <c:ptCount val="1"/>
                <c:pt idx="0">
                  <c:v>Греція (% ВВП)</c:v>
                </c:pt>
              </c:strCache>
            </c:strRef>
          </c:tx>
          <c:spPr>
            <a:ln w="28575" cap="rnd">
              <a:solidFill>
                <a:schemeClr val="accent5">
                  <a:lumMod val="50000"/>
                </a:schemeClr>
              </a:solidFill>
              <a:prstDash val="lgDash"/>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Tables!$B$29:$Y$29</c:f>
              <c:numCache>
                <c:formatCode>0.0%</c:formatCode>
                <c:ptCount val="24"/>
                <c:pt idx="0">
                  <c:v>8.7152984573457493E-2</c:v>
                </c:pt>
                <c:pt idx="1">
                  <c:v>8.5475592847980481E-2</c:v>
                </c:pt>
                <c:pt idx="2">
                  <c:v>6.400288379807853E-2</c:v>
                </c:pt>
                <c:pt idx="3">
                  <c:v>5.618392519398719E-2</c:v>
                </c:pt>
                <c:pt idx="4">
                  <c:v>5.8810160010791958E-2</c:v>
                </c:pt>
                <c:pt idx="5">
                  <c:v>6.0137756059130493E-2</c:v>
                </c:pt>
                <c:pt idx="6">
                  <c:v>6.1279509901397279E-2</c:v>
                </c:pt>
                <c:pt idx="7">
                  <c:v>6.4593033622681623E-2</c:v>
                </c:pt>
                <c:pt idx="8">
                  <c:v>7.1123190302055869E-2</c:v>
                </c:pt>
                <c:pt idx="9">
                  <c:v>6.115478469315172E-2</c:v>
                </c:pt>
                <c:pt idx="10">
                  <c:v>6.855706889840113E-2</c:v>
                </c:pt>
                <c:pt idx="11">
                  <c:v>6.9389911555515854E-2</c:v>
                </c:pt>
                <c:pt idx="12">
                  <c:v>6.6326849175968108E-2</c:v>
                </c:pt>
                <c:pt idx="13">
                  <c:v>6.8348582055720378E-2</c:v>
                </c:pt>
                <c:pt idx="14">
                  <c:v>7.2075064494189586E-2</c:v>
                </c:pt>
                <c:pt idx="15">
                  <c:v>8.5464133099214745E-2</c:v>
                </c:pt>
                <c:pt idx="16">
                  <c:v>7.7304003100866506E-2</c:v>
                </c:pt>
                <c:pt idx="17">
                  <c:v>8.841422435438788E-2</c:v>
                </c:pt>
                <c:pt idx="18">
                  <c:v>9.9327664874885174E-2</c:v>
                </c:pt>
                <c:pt idx="19">
                  <c:v>0.10382850815880158</c:v>
                </c:pt>
                <c:pt idx="20">
                  <c:v>9.3090564682076771E-2</c:v>
                </c:pt>
                <c:pt idx="21">
                  <c:v>0.12133123988157929</c:v>
                </c:pt>
                <c:pt idx="22">
                  <c:v>0.13689128843419937</c:v>
                </c:pt>
                <c:pt idx="23">
                  <c:v>0.12900997851775572</c:v>
                </c:pt>
              </c:numCache>
            </c:numRef>
          </c:val>
          <c:smooth val="0"/>
        </c:ser>
        <c:dLbls>
          <c:showLegendKey val="0"/>
          <c:showVal val="0"/>
          <c:showCatName val="0"/>
          <c:showSerName val="0"/>
          <c:showPercent val="0"/>
          <c:showBubbleSize val="0"/>
        </c:dLbls>
        <c:marker val="1"/>
        <c:smooth val="0"/>
        <c:axId val="191502336"/>
        <c:axId val="146555456"/>
      </c:lineChart>
      <c:catAx>
        <c:axId val="191500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6554880"/>
        <c:crosses val="autoZero"/>
        <c:auto val="1"/>
        <c:lblAlgn val="ctr"/>
        <c:lblOffset val="100"/>
        <c:noMultiLvlLbl val="0"/>
      </c:catAx>
      <c:valAx>
        <c:axId val="1465548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1500800"/>
        <c:crosses val="autoZero"/>
        <c:crossBetween val="between"/>
      </c:valAx>
      <c:valAx>
        <c:axId val="146555456"/>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1502336"/>
        <c:crosses val="max"/>
        <c:crossBetween val="between"/>
      </c:valAx>
      <c:catAx>
        <c:axId val="191502336"/>
        <c:scaling>
          <c:orientation val="minMax"/>
        </c:scaling>
        <c:delete val="1"/>
        <c:axPos val="b"/>
        <c:numFmt formatCode="General" sourceLinked="1"/>
        <c:majorTickMark val="out"/>
        <c:minorTickMark val="none"/>
        <c:tickLblPos val="nextTo"/>
        <c:crossAx val="146555456"/>
        <c:crosses val="autoZero"/>
        <c:auto val="1"/>
        <c:lblAlgn val="ctr"/>
        <c:lblOffset val="100"/>
        <c:noMultiLvlLbl val="0"/>
      </c:catAx>
      <c:spPr>
        <a:noFill/>
        <a:ln>
          <a:noFill/>
        </a:ln>
        <a:effectLst/>
      </c:spPr>
    </c:plotArea>
    <c:legend>
      <c:legendPos val="b"/>
      <c:layout>
        <c:manualLayout>
          <c:xMode val="edge"/>
          <c:yMode val="edge"/>
          <c:x val="4.5982253086419754E-2"/>
          <c:y val="0.83018090277777778"/>
          <c:w val="0.92749151234567906"/>
          <c:h val="0.1651781881697314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Tables!$A$44</c:f>
              <c:strCache>
                <c:ptCount val="1"/>
                <c:pt idx="0">
                  <c:v>Португалія (млн. дол. США)</c:v>
                </c:pt>
              </c:strCache>
            </c:strRef>
          </c:tx>
          <c:spPr>
            <a:solidFill>
              <a:srgbClr val="A5BAD3"/>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Tables!$B$44:$Y$44</c:f>
              <c:numCache>
                <c:formatCode>#,##0</c:formatCode>
                <c:ptCount val="24"/>
                <c:pt idx="0">
                  <c:v>-12926.315214608119</c:v>
                </c:pt>
                <c:pt idx="1">
                  <c:v>-12215.479060693473</c:v>
                </c:pt>
                <c:pt idx="2">
                  <c:v>-10822.178498014646</c:v>
                </c:pt>
                <c:pt idx="3">
                  <c:v>-10541.686031793226</c:v>
                </c:pt>
                <c:pt idx="4">
                  <c:v>-14709.125856782102</c:v>
                </c:pt>
                <c:pt idx="5">
                  <c:v>-16835.801748922342</c:v>
                </c:pt>
                <c:pt idx="6">
                  <c:v>-16191.219865893079</c:v>
                </c:pt>
                <c:pt idx="7">
                  <c:v>-17631.717450461998</c:v>
                </c:pt>
                <c:pt idx="8">
                  <c:v>-24352.320741766038</c:v>
                </c:pt>
                <c:pt idx="9">
                  <c:v>-16490.046323681519</c:v>
                </c:pt>
                <c:pt idx="10">
                  <c:v>-17496.926693217796</c:v>
                </c:pt>
                <c:pt idx="11">
                  <c:v>-9087.6032785037587</c:v>
                </c:pt>
                <c:pt idx="12">
                  <c:v>-75.252894178094721</c:v>
                </c:pt>
                <c:pt idx="13">
                  <c:v>3911.3652663079502</c:v>
                </c:pt>
                <c:pt idx="14">
                  <c:v>1864.5589489522717</c:v>
                </c:pt>
                <c:pt idx="15">
                  <c:v>2805.5812310280107</c:v>
                </c:pt>
                <c:pt idx="16">
                  <c:v>3559.9406964497521</c:v>
                </c:pt>
                <c:pt idx="17">
                  <c:v>3350.6444369798228</c:v>
                </c:pt>
                <c:pt idx="18">
                  <c:v>2168.4219047343358</c:v>
                </c:pt>
                <c:pt idx="19">
                  <c:v>1836.2770370941325</c:v>
                </c:pt>
                <c:pt idx="20">
                  <c:v>-4387.953092418802</c:v>
                </c:pt>
                <c:pt idx="21">
                  <c:v>-6766.3347308802477</c:v>
                </c:pt>
                <c:pt idx="22">
                  <c:v>-5083.4579090097577</c:v>
                </c:pt>
                <c:pt idx="23">
                  <c:v>3579.7999999999956</c:v>
                </c:pt>
              </c:numCache>
            </c:numRef>
          </c:val>
        </c:ser>
        <c:ser>
          <c:idx val="1"/>
          <c:order val="1"/>
          <c:tx>
            <c:strRef>
              <c:f>Tables!$A$45</c:f>
              <c:strCache>
                <c:ptCount val="1"/>
                <c:pt idx="0">
                  <c:v>Греція (млн. дол. США)</c:v>
                </c:pt>
              </c:strCache>
            </c:strRef>
          </c:tx>
          <c:spPr>
            <a:solidFill>
              <a:schemeClr val="accent5">
                <a:lumMod val="75000"/>
              </a:schemeClr>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Tables!$B$45:$Y$45</c:f>
              <c:numCache>
                <c:formatCode>#,##0</c:formatCode>
                <c:ptCount val="24"/>
                <c:pt idx="0">
                  <c:v>-12284.230677971222</c:v>
                </c:pt>
                <c:pt idx="1">
                  <c:v>-11223.539207779613</c:v>
                </c:pt>
                <c:pt idx="2">
                  <c:v>-11147.091802645071</c:v>
                </c:pt>
                <c:pt idx="3">
                  <c:v>-12580.76125814342</c:v>
                </c:pt>
                <c:pt idx="4">
                  <c:v>-12569.191035846132</c:v>
                </c:pt>
                <c:pt idx="5">
                  <c:v>-15079.881453318041</c:v>
                </c:pt>
                <c:pt idx="6">
                  <c:v>-24897.011117985097</c:v>
                </c:pt>
                <c:pt idx="7">
                  <c:v>-34234.036426200219</c:v>
                </c:pt>
                <c:pt idx="8">
                  <c:v>-39459.03137795144</c:v>
                </c:pt>
                <c:pt idx="9">
                  <c:v>-25077.5</c:v>
                </c:pt>
                <c:pt idx="10">
                  <c:v>-20250.975319824214</c:v>
                </c:pt>
                <c:pt idx="11">
                  <c:v>-17349.218680890124</c:v>
                </c:pt>
                <c:pt idx="12">
                  <c:v>-5996.0998105103099</c:v>
                </c:pt>
                <c:pt idx="13">
                  <c:v>-6744.4974656756276</c:v>
                </c:pt>
                <c:pt idx="14">
                  <c:v>-5246.3110257985718</c:v>
                </c:pt>
                <c:pt idx="15">
                  <c:v>-1220.0571968355871</c:v>
                </c:pt>
                <c:pt idx="16">
                  <c:v>-1713.4917916050363</c:v>
                </c:pt>
                <c:pt idx="17">
                  <c:v>-1656.2896428092936</c:v>
                </c:pt>
                <c:pt idx="18">
                  <c:v>-3935.248275212889</c:v>
                </c:pt>
                <c:pt idx="19">
                  <c:v>-2008.0017932206574</c:v>
                </c:pt>
                <c:pt idx="20">
                  <c:v>-12736.823985085899</c:v>
                </c:pt>
                <c:pt idx="21">
                  <c:v>-16011.319345702977</c:v>
                </c:pt>
                <c:pt idx="22">
                  <c:v>-21630.962871037311</c:v>
                </c:pt>
                <c:pt idx="23">
                  <c:v>-11272.300000000003</c:v>
                </c:pt>
              </c:numCache>
            </c:numRef>
          </c:val>
        </c:ser>
        <c:dLbls>
          <c:showLegendKey val="0"/>
          <c:showVal val="0"/>
          <c:showCatName val="0"/>
          <c:showSerName val="0"/>
          <c:showPercent val="0"/>
          <c:showBubbleSize val="0"/>
        </c:dLbls>
        <c:gapWidth val="98"/>
        <c:axId val="191582208"/>
        <c:axId val="146558336"/>
      </c:barChart>
      <c:lineChart>
        <c:grouping val="standard"/>
        <c:varyColors val="0"/>
        <c:ser>
          <c:idx val="2"/>
          <c:order val="2"/>
          <c:tx>
            <c:strRef>
              <c:f>Tables!$A$46</c:f>
              <c:strCache>
                <c:ptCount val="1"/>
                <c:pt idx="0">
                  <c:v>Португалія (% ВВП)</c:v>
                </c:pt>
              </c:strCache>
            </c:strRef>
          </c:tx>
          <c:spPr>
            <a:ln w="28575" cap="rnd">
              <a:solidFill>
                <a:schemeClr val="tx2">
                  <a:lumMod val="60000"/>
                  <a:lumOff val="40000"/>
                </a:schemeClr>
              </a:solidFill>
              <a:prstDash val="dash"/>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Tables!$B$46:$Y$46</c:f>
              <c:numCache>
                <c:formatCode>0.0%</c:formatCode>
                <c:ptCount val="24"/>
                <c:pt idx="0">
                  <c:v>-0.10898608147765558</c:v>
                </c:pt>
                <c:pt idx="1">
                  <c:v>-0.10045284937719327</c:v>
                </c:pt>
                <c:pt idx="2">
                  <c:v>-8.0285864404396612E-2</c:v>
                </c:pt>
                <c:pt idx="3">
                  <c:v>-6.3801549588284212E-2</c:v>
                </c:pt>
                <c:pt idx="4">
                  <c:v>-7.7669030529972968E-2</c:v>
                </c:pt>
                <c:pt idx="5">
                  <c:v>-8.5350929625112426E-2</c:v>
                </c:pt>
                <c:pt idx="6">
                  <c:v>-7.7560333690568861E-2</c:v>
                </c:pt>
                <c:pt idx="7">
                  <c:v>-7.3313928922086075E-2</c:v>
                </c:pt>
                <c:pt idx="8">
                  <c:v>-9.244800718086954E-2</c:v>
                </c:pt>
                <c:pt idx="9">
                  <c:v>-6.739770753846934E-2</c:v>
                </c:pt>
                <c:pt idx="10">
                  <c:v>-7.3481609385589605E-2</c:v>
                </c:pt>
                <c:pt idx="11">
                  <c:v>-3.7074403512865679E-2</c:v>
                </c:pt>
                <c:pt idx="12">
                  <c:v>-3.4803171918628176E-4</c:v>
                </c:pt>
                <c:pt idx="13">
                  <c:v>1.727376506657078E-2</c:v>
                </c:pt>
                <c:pt idx="14">
                  <c:v>8.1102349658602226E-3</c:v>
                </c:pt>
                <c:pt idx="15">
                  <c:v>1.4070535196542843E-2</c:v>
                </c:pt>
                <c:pt idx="16">
                  <c:v>1.7245589556511509E-2</c:v>
                </c:pt>
                <c:pt idx="17">
                  <c:v>1.5136775419597426E-2</c:v>
                </c:pt>
                <c:pt idx="18">
                  <c:v>8.9488424537539323E-3</c:v>
                </c:pt>
                <c:pt idx="19">
                  <c:v>7.6515712477262894E-3</c:v>
                </c:pt>
                <c:pt idx="20">
                  <c:v>-1.9158701686487572E-2</c:v>
                </c:pt>
                <c:pt idx="21">
                  <c:v>-2.6640912154464381E-2</c:v>
                </c:pt>
                <c:pt idx="22">
                  <c:v>-2.017682546454657E-2</c:v>
                </c:pt>
                <c:pt idx="23">
                  <c:v>1.2604137795239707E-2</c:v>
                </c:pt>
              </c:numCache>
            </c:numRef>
          </c:val>
          <c:smooth val="0"/>
        </c:ser>
        <c:ser>
          <c:idx val="3"/>
          <c:order val="3"/>
          <c:tx>
            <c:strRef>
              <c:f>Tables!$A$47</c:f>
              <c:strCache>
                <c:ptCount val="1"/>
                <c:pt idx="0">
                  <c:v>Греція (% ВВП)</c:v>
                </c:pt>
              </c:strCache>
            </c:strRef>
          </c:tx>
          <c:spPr>
            <a:ln w="28575" cap="rnd">
              <a:solidFill>
                <a:schemeClr val="accent5">
                  <a:lumMod val="50000"/>
                </a:schemeClr>
              </a:solidFill>
              <a:prstDash val="lgDash"/>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Tables!$B$47:$Y$47</c:f>
              <c:numCache>
                <c:formatCode>0.0%</c:formatCode>
                <c:ptCount val="24"/>
                <c:pt idx="0">
                  <c:v>-9.4162516629490933E-2</c:v>
                </c:pt>
                <c:pt idx="1">
                  <c:v>-8.2338766327163776E-2</c:v>
                </c:pt>
                <c:pt idx="2">
                  <c:v>-7.2119491731951979E-2</c:v>
                </c:pt>
                <c:pt idx="3">
                  <c:v>-6.2167082769501031E-2</c:v>
                </c:pt>
                <c:pt idx="4">
                  <c:v>-5.2162206265564802E-2</c:v>
                </c:pt>
                <c:pt idx="5">
                  <c:v>-6.083653360712063E-2</c:v>
                </c:pt>
                <c:pt idx="6">
                  <c:v>-9.1015568919282142E-2</c:v>
                </c:pt>
                <c:pt idx="7">
                  <c:v>-0.10734942827076435</c:v>
                </c:pt>
                <c:pt idx="8">
                  <c:v>-0.1108684124455805</c:v>
                </c:pt>
                <c:pt idx="9">
                  <c:v>-7.5692292774948669E-2</c:v>
                </c:pt>
                <c:pt idx="10">
                  <c:v>-6.8156425449594604E-2</c:v>
                </c:pt>
                <c:pt idx="11">
                  <c:v>-6.1305538722135268E-2</c:v>
                </c:pt>
                <c:pt idx="12">
                  <c:v>-2.4774271684400714E-2</c:v>
                </c:pt>
                <c:pt idx="13">
                  <c:v>-2.8230558272243963E-2</c:v>
                </c:pt>
                <c:pt idx="14">
                  <c:v>-2.2281290334626707E-2</c:v>
                </c:pt>
                <c:pt idx="15">
                  <c:v>-6.2348487658572677E-3</c:v>
                </c:pt>
                <c:pt idx="16">
                  <c:v>-8.8713861452137839E-3</c:v>
                </c:pt>
                <c:pt idx="17">
                  <c:v>-8.2878959478963378E-3</c:v>
                </c:pt>
                <c:pt idx="18">
                  <c:v>-1.8558163326498792E-2</c:v>
                </c:pt>
                <c:pt idx="19">
                  <c:v>-9.7828656149574218E-3</c:v>
                </c:pt>
                <c:pt idx="20">
                  <c:v>-6.7417000619365258E-2</c:v>
                </c:pt>
                <c:pt idx="21">
                  <c:v>-7.4514963652624722E-2</c:v>
                </c:pt>
                <c:pt idx="22">
                  <c:v>-9.9415437949524801E-2</c:v>
                </c:pt>
                <c:pt idx="23">
                  <c:v>-4.9426259613277582E-2</c:v>
                </c:pt>
              </c:numCache>
            </c:numRef>
          </c:val>
          <c:smooth val="0"/>
        </c:ser>
        <c:dLbls>
          <c:showLegendKey val="0"/>
          <c:showVal val="0"/>
          <c:showCatName val="0"/>
          <c:showSerName val="0"/>
          <c:showPercent val="0"/>
          <c:showBubbleSize val="0"/>
        </c:dLbls>
        <c:marker val="1"/>
        <c:smooth val="0"/>
        <c:axId val="191584256"/>
        <c:axId val="146558912"/>
      </c:lineChart>
      <c:catAx>
        <c:axId val="191582208"/>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6558336"/>
        <c:crosses val="autoZero"/>
        <c:auto val="1"/>
        <c:lblAlgn val="ctr"/>
        <c:lblOffset val="50"/>
        <c:noMultiLvlLbl val="0"/>
      </c:catAx>
      <c:valAx>
        <c:axId val="1465583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1582208"/>
        <c:crosses val="autoZero"/>
        <c:crossBetween val="between"/>
      </c:valAx>
      <c:valAx>
        <c:axId val="146558912"/>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1584256"/>
        <c:crosses val="max"/>
        <c:crossBetween val="between"/>
      </c:valAx>
      <c:catAx>
        <c:axId val="191584256"/>
        <c:scaling>
          <c:orientation val="minMax"/>
        </c:scaling>
        <c:delete val="1"/>
        <c:axPos val="b"/>
        <c:numFmt formatCode="General" sourceLinked="1"/>
        <c:majorTickMark val="out"/>
        <c:minorTickMark val="none"/>
        <c:tickLblPos val="nextTo"/>
        <c:crossAx val="146558912"/>
        <c:crosses val="autoZero"/>
        <c:auto val="1"/>
        <c:lblAlgn val="ctr"/>
        <c:lblOffset val="100"/>
        <c:noMultiLvlLbl val="0"/>
      </c:catAx>
      <c:spPr>
        <a:noFill/>
        <a:ln>
          <a:noFill/>
        </a:ln>
        <a:effectLst/>
      </c:spPr>
    </c:plotArea>
    <c:legend>
      <c:legendPos val="b"/>
      <c:layout>
        <c:manualLayout>
          <c:xMode val="edge"/>
          <c:yMode val="edge"/>
          <c:x val="4.5982253086419754E-2"/>
          <c:y val="0.83018090277777778"/>
          <c:w val="0.92749151234567906"/>
          <c:h val="0.1651781881697314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Tables!$A$53</c:f>
              <c:strCache>
                <c:ptCount val="1"/>
                <c:pt idx="0">
                  <c:v>Португалія (млн. дол. США)</c:v>
                </c:pt>
              </c:strCache>
            </c:strRef>
          </c:tx>
          <c:spPr>
            <a:solidFill>
              <a:srgbClr val="A5BAD3"/>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Tables!$B$53:$Y$53</c:f>
              <c:numCache>
                <c:formatCode>#,##0</c:formatCode>
                <c:ptCount val="24"/>
                <c:pt idx="0">
                  <c:v>152496.93845679687</c:v>
                </c:pt>
                <c:pt idx="1">
                  <c:v>167835.17390612231</c:v>
                </c:pt>
                <c:pt idx="2">
                  <c:v>209318.38968211313</c:v>
                </c:pt>
                <c:pt idx="3">
                  <c:v>288337.1393404032</c:v>
                </c:pt>
                <c:pt idx="4">
                  <c:v>334878.53779095766</c:v>
                </c:pt>
                <c:pt idx="5">
                  <c:v>324768.77576848469</c:v>
                </c:pt>
                <c:pt idx="6">
                  <c:v>393387.03695604129</c:v>
                </c:pt>
                <c:pt idx="7">
                  <c:v>471710.85472709581</c:v>
                </c:pt>
                <c:pt idx="8">
                  <c:v>435309.17795855884</c:v>
                </c:pt>
                <c:pt idx="9">
                  <c:v>488340.64174053434</c:v>
                </c:pt>
                <c:pt idx="10">
                  <c:v>478359.2642624983</c:v>
                </c:pt>
                <c:pt idx="11">
                  <c:v>424474.01957667572</c:v>
                </c:pt>
                <c:pt idx="12">
                  <c:v>430783.61371584062</c:v>
                </c:pt>
                <c:pt idx="13">
                  <c:v>429031.97808479337</c:v>
                </c:pt>
                <c:pt idx="14">
                  <c:v>391006.5451301143</c:v>
                </c:pt>
                <c:pt idx="15">
                  <c:v>348203.26933108288</c:v>
                </c:pt>
                <c:pt idx="16">
                  <c:v>341380.29492557672</c:v>
                </c:pt>
                <c:pt idx="17">
                  <c:v>396386.17864414211</c:v>
                </c:pt>
                <c:pt idx="18">
                  <c:v>379688.0612373178</c:v>
                </c:pt>
                <c:pt idx="19">
                  <c:v>399853.45072151319</c:v>
                </c:pt>
                <c:pt idx="20">
                  <c:v>442958.28522279096</c:v>
                </c:pt>
                <c:pt idx="21">
                  <c:v>428184.90507014841</c:v>
                </c:pt>
                <c:pt idx="22">
                  <c:v>408922.03576878697</c:v>
                </c:pt>
                <c:pt idx="23">
                  <c:v>447180.4</c:v>
                </c:pt>
              </c:numCache>
            </c:numRef>
          </c:val>
        </c:ser>
        <c:ser>
          <c:idx val="1"/>
          <c:order val="1"/>
          <c:tx>
            <c:strRef>
              <c:f>Tables!$A$54</c:f>
              <c:strCache>
                <c:ptCount val="1"/>
                <c:pt idx="0">
                  <c:v>Греція (млн. дол. США)</c:v>
                </c:pt>
              </c:strCache>
            </c:strRef>
          </c:tx>
          <c:spPr>
            <a:solidFill>
              <a:schemeClr val="accent5">
                <a:lumMod val="75000"/>
              </a:schemeClr>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Tables!$B$54:$Y$54</c:f>
              <c:numCache>
                <c:formatCode>#,##0</c:formatCode>
                <c:ptCount val="24"/>
                <c:pt idx="0">
                  <c:v>57193.987678554397</c:v>
                </c:pt>
                <c:pt idx="1">
                  <c:v>59753.382154258397</c:v>
                </c:pt>
                <c:pt idx="2">
                  <c:v>87855.925866410442</c:v>
                </c:pt>
                <c:pt idx="3">
                  <c:v>118276.58365712367</c:v>
                </c:pt>
                <c:pt idx="4">
                  <c:v>145630.46871407056</c:v>
                </c:pt>
                <c:pt idx="5">
                  <c:v>161607.18685301457</c:v>
                </c:pt>
                <c:pt idx="6">
                  <c:v>207501.55481451369</c:v>
                </c:pt>
                <c:pt idx="7">
                  <c:v>294303.90060016251</c:v>
                </c:pt>
                <c:pt idx="8">
                  <c:v>329502.2</c:v>
                </c:pt>
                <c:pt idx="9">
                  <c:v>380897.28646512679</c:v>
                </c:pt>
                <c:pt idx="10">
                  <c:v>316423.50534844497</c:v>
                </c:pt>
                <c:pt idx="11">
                  <c:v>305854.04233137995</c:v>
                </c:pt>
                <c:pt idx="12">
                  <c:v>346025.5069997065</c:v>
                </c:pt>
                <c:pt idx="13">
                  <c:v>312758.08049133507</c:v>
                </c:pt>
                <c:pt idx="14">
                  <c:v>275296.02223874524</c:v>
                </c:pt>
                <c:pt idx="15">
                  <c:v>263964.30415309721</c:v>
                </c:pt>
                <c:pt idx="16">
                  <c:v>241679.14926657514</c:v>
                </c:pt>
                <c:pt idx="17">
                  <c:v>236120.92019768918</c:v>
                </c:pt>
                <c:pt idx="18">
                  <c:v>222207.02410644508</c:v>
                </c:pt>
                <c:pt idx="19">
                  <c:v>253938.62436227466</c:v>
                </c:pt>
                <c:pt idx="20">
                  <c:v>317930.46745446575</c:v>
                </c:pt>
                <c:pt idx="21">
                  <c:v>341980.59534996649</c:v>
                </c:pt>
                <c:pt idx="22">
                  <c:v>339632.45189696725</c:v>
                </c:pt>
                <c:pt idx="23">
                  <c:v>360480.4</c:v>
                </c:pt>
              </c:numCache>
            </c:numRef>
          </c:val>
        </c:ser>
        <c:dLbls>
          <c:showLegendKey val="0"/>
          <c:showVal val="0"/>
          <c:showCatName val="0"/>
          <c:showSerName val="0"/>
          <c:showPercent val="0"/>
          <c:showBubbleSize val="0"/>
        </c:dLbls>
        <c:gapWidth val="98"/>
        <c:axId val="196489216"/>
        <c:axId val="146561216"/>
      </c:barChart>
      <c:lineChart>
        <c:grouping val="standard"/>
        <c:varyColors val="0"/>
        <c:ser>
          <c:idx val="2"/>
          <c:order val="2"/>
          <c:tx>
            <c:strRef>
              <c:f>Tables!$A$55</c:f>
              <c:strCache>
                <c:ptCount val="1"/>
                <c:pt idx="0">
                  <c:v>Португалія (% ВВП)</c:v>
                </c:pt>
              </c:strCache>
            </c:strRef>
          </c:tx>
          <c:spPr>
            <a:ln w="28575" cap="rnd">
              <a:solidFill>
                <a:schemeClr val="accent1">
                  <a:lumMod val="75000"/>
                </a:schemeClr>
              </a:solidFill>
              <a:prstDash val="dash"/>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Tables!$B$55:$Y$55</c:f>
              <c:numCache>
                <c:formatCode>0.0%</c:formatCode>
                <c:ptCount val="24"/>
                <c:pt idx="0">
                  <c:v>1.2857526281707152</c:v>
                </c:pt>
                <c:pt idx="1">
                  <c:v>1.3801768527307865</c:v>
                </c:pt>
                <c:pt idx="2">
                  <c:v>1.552858128744389</c:v>
                </c:pt>
                <c:pt idx="3">
                  <c:v>1.7451056916595895</c:v>
                </c:pt>
                <c:pt idx="4">
                  <c:v>1.7682690071977332</c:v>
                </c:pt>
                <c:pt idx="5">
                  <c:v>1.6464506614200398</c:v>
                </c:pt>
                <c:pt idx="6">
                  <c:v>1.8844305808067514</c:v>
                </c:pt>
                <c:pt idx="7">
                  <c:v>1.9614071160340996</c:v>
                </c:pt>
                <c:pt idx="8">
                  <c:v>1.6525515755379623</c:v>
                </c:pt>
                <c:pt idx="9">
                  <c:v>1.9959337351230011</c:v>
                </c:pt>
                <c:pt idx="10">
                  <c:v>2.0089590142787821</c:v>
                </c:pt>
                <c:pt idx="11">
                  <c:v>1.7317130381053323</c:v>
                </c:pt>
                <c:pt idx="12">
                  <c:v>1.9923002738470759</c:v>
                </c:pt>
                <c:pt idx="13">
                  <c:v>1.8947342145005848</c:v>
                </c:pt>
                <c:pt idx="14">
                  <c:v>1.7007533904875378</c:v>
                </c:pt>
                <c:pt idx="15">
                  <c:v>1.7463070762271484</c:v>
                </c:pt>
                <c:pt idx="16">
                  <c:v>1.6537647536765485</c:v>
                </c:pt>
                <c:pt idx="17">
                  <c:v>1.790702856844173</c:v>
                </c:pt>
                <c:pt idx="18">
                  <c:v>1.5669315247948992</c:v>
                </c:pt>
                <c:pt idx="19">
                  <c:v>1.666146831355291</c:v>
                </c:pt>
                <c:pt idx="20">
                  <c:v>1.9340465741996917</c:v>
                </c:pt>
                <c:pt idx="21">
                  <c:v>1.6858811890846999</c:v>
                </c:pt>
                <c:pt idx="22">
                  <c:v>1.6230582985039617</c:v>
                </c:pt>
                <c:pt idx="23">
                  <c:v>1.574479965621101</c:v>
                </c:pt>
              </c:numCache>
            </c:numRef>
          </c:val>
          <c:smooth val="0"/>
        </c:ser>
        <c:ser>
          <c:idx val="3"/>
          <c:order val="3"/>
          <c:tx>
            <c:strRef>
              <c:f>Tables!$A$56</c:f>
              <c:strCache>
                <c:ptCount val="1"/>
                <c:pt idx="0">
                  <c:v>Греція (% ВВП)</c:v>
                </c:pt>
              </c:strCache>
            </c:strRef>
          </c:tx>
          <c:spPr>
            <a:ln w="28575" cap="rnd">
              <a:solidFill>
                <a:schemeClr val="accent5">
                  <a:lumMod val="50000"/>
                </a:schemeClr>
              </a:solidFill>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Tables!$B$56:$Y$56</c:f>
              <c:numCache>
                <c:formatCode>0.0%</c:formatCode>
                <c:ptCount val="24"/>
                <c:pt idx="0">
                  <c:v>0.43841001989212197</c:v>
                </c:pt>
                <c:pt idx="1">
                  <c:v>0.43836615878232787</c:v>
                </c:pt>
                <c:pt idx="2">
                  <c:v>0.56841056226181685</c:v>
                </c:pt>
                <c:pt idx="3">
                  <c:v>0.58445669662054378</c:v>
                </c:pt>
                <c:pt idx="4">
                  <c:v>0.60436718050907212</c:v>
                </c:pt>
                <c:pt idx="5">
                  <c:v>0.65196938613681099</c:v>
                </c:pt>
                <c:pt idx="6">
                  <c:v>0.75855981160067043</c:v>
                </c:pt>
                <c:pt idx="7">
                  <c:v>0.92286387365949263</c:v>
                </c:pt>
                <c:pt idx="8">
                  <c:v>0.92580543757946465</c:v>
                </c:pt>
                <c:pt idx="9">
                  <c:v>1.1496755627276192</c:v>
                </c:pt>
                <c:pt idx="10">
                  <c:v>1.0649509325937934</c:v>
                </c:pt>
                <c:pt idx="11">
                  <c:v>1.0807718307292666</c:v>
                </c:pt>
                <c:pt idx="12">
                  <c:v>1.4296843266546038</c:v>
                </c:pt>
                <c:pt idx="13">
                  <c:v>1.3091168410041543</c:v>
                </c:pt>
                <c:pt idx="14">
                  <c:v>1.1691930900218879</c:v>
                </c:pt>
                <c:pt idx="15">
                  <c:v>1.3489347222801498</c:v>
                </c:pt>
                <c:pt idx="16">
                  <c:v>1.2512631031527883</c:v>
                </c:pt>
                <c:pt idx="17">
                  <c:v>1.181523790972173</c:v>
                </c:pt>
                <c:pt idx="18">
                  <c:v>1.0479019256897013</c:v>
                </c:pt>
                <c:pt idx="19">
                  <c:v>1.2371739133752329</c:v>
                </c:pt>
                <c:pt idx="20">
                  <c:v>1.6828307077487066</c:v>
                </c:pt>
                <c:pt idx="21">
                  <c:v>1.591541026832658</c:v>
                </c:pt>
                <c:pt idx="22">
                  <c:v>1.5609434100789399</c:v>
                </c:pt>
                <c:pt idx="23">
                  <c:v>1.5806177830520962</c:v>
                </c:pt>
              </c:numCache>
            </c:numRef>
          </c:val>
          <c:smooth val="0"/>
        </c:ser>
        <c:dLbls>
          <c:showLegendKey val="0"/>
          <c:showVal val="0"/>
          <c:showCatName val="0"/>
          <c:showSerName val="0"/>
          <c:showPercent val="0"/>
          <c:showBubbleSize val="0"/>
        </c:dLbls>
        <c:marker val="1"/>
        <c:smooth val="0"/>
        <c:axId val="196490240"/>
        <c:axId val="146561792"/>
      </c:lineChart>
      <c:catAx>
        <c:axId val="19648921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6561216"/>
        <c:crosses val="autoZero"/>
        <c:auto val="1"/>
        <c:lblAlgn val="ctr"/>
        <c:lblOffset val="50"/>
        <c:noMultiLvlLbl val="0"/>
      </c:catAx>
      <c:valAx>
        <c:axId val="1465612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6489216"/>
        <c:crosses val="autoZero"/>
        <c:crossBetween val="between"/>
      </c:valAx>
      <c:valAx>
        <c:axId val="146561792"/>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6490240"/>
        <c:crosses val="max"/>
        <c:crossBetween val="between"/>
      </c:valAx>
      <c:catAx>
        <c:axId val="196490240"/>
        <c:scaling>
          <c:orientation val="minMax"/>
        </c:scaling>
        <c:delete val="1"/>
        <c:axPos val="b"/>
        <c:numFmt formatCode="General" sourceLinked="1"/>
        <c:majorTickMark val="out"/>
        <c:minorTickMark val="none"/>
        <c:tickLblPos val="nextTo"/>
        <c:crossAx val="146561792"/>
        <c:crosses val="autoZero"/>
        <c:auto val="1"/>
        <c:lblAlgn val="ctr"/>
        <c:lblOffset val="100"/>
        <c:noMultiLvlLbl val="0"/>
      </c:catAx>
      <c:spPr>
        <a:noFill/>
        <a:ln>
          <a:noFill/>
        </a:ln>
        <a:effectLst/>
      </c:spPr>
    </c:plotArea>
    <c:legend>
      <c:legendPos val="b"/>
      <c:layout>
        <c:manualLayout>
          <c:xMode val="edge"/>
          <c:yMode val="edge"/>
          <c:x val="4.5982253086419754E-2"/>
          <c:y val="0.83018090277777778"/>
          <c:w val="0.92749151234567906"/>
          <c:h val="0.1651781881697314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percentStacked"/>
        <c:varyColors val="0"/>
        <c:ser>
          <c:idx val="0"/>
          <c:order val="0"/>
          <c:tx>
            <c:strRef>
              <c:f>Tables!$A$72</c:f>
              <c:strCache>
                <c:ptCount val="1"/>
                <c:pt idx="0">
                  <c:v>Прямі інвестиції</c:v>
                </c:pt>
              </c:strCache>
            </c:strRef>
          </c:tx>
          <c:spPr>
            <a:solidFill>
              <a:schemeClr val="accent4">
                <a:lumMod val="50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Tables!$B$72:$Y$72</c:f>
              <c:numCache>
                <c:formatCode>0.0%</c:formatCode>
                <c:ptCount val="24"/>
                <c:pt idx="0">
                  <c:v>0.16320382397087216</c:v>
                </c:pt>
                <c:pt idx="1">
                  <c:v>0.17801364639280817</c:v>
                </c:pt>
                <c:pt idx="2">
                  <c:v>0.14955563028906241</c:v>
                </c:pt>
                <c:pt idx="3">
                  <c:v>0.17348134588013098</c:v>
                </c:pt>
                <c:pt idx="4">
                  <c:v>0.18653709046888553</c:v>
                </c:pt>
                <c:pt idx="5">
                  <c:v>0.18728448310979018</c:v>
                </c:pt>
                <c:pt idx="6">
                  <c:v>0.19339848254456221</c:v>
                </c:pt>
                <c:pt idx="7">
                  <c:v>0.19271988865423528</c:v>
                </c:pt>
                <c:pt idx="8">
                  <c:v>0.19734356693985944</c:v>
                </c:pt>
                <c:pt idx="9">
                  <c:v>0.19179654854482636</c:v>
                </c:pt>
                <c:pt idx="10">
                  <c:v>0.19350851570255018</c:v>
                </c:pt>
                <c:pt idx="11">
                  <c:v>0.21722694781639978</c:v>
                </c:pt>
                <c:pt idx="12">
                  <c:v>0.23172461073657902</c:v>
                </c:pt>
                <c:pt idx="13">
                  <c:v>0.26364240797371252</c:v>
                </c:pt>
                <c:pt idx="14">
                  <c:v>0.24539003271178303</c:v>
                </c:pt>
                <c:pt idx="15">
                  <c:v>0.25014851918917541</c:v>
                </c:pt>
                <c:pt idx="16">
                  <c:v>0.25511371744226308</c:v>
                </c:pt>
                <c:pt idx="17">
                  <c:v>0.24958351635367237</c:v>
                </c:pt>
                <c:pt idx="18">
                  <c:v>0.23597934501289972</c:v>
                </c:pt>
                <c:pt idx="19">
                  <c:v>0.2281562583376042</c:v>
                </c:pt>
                <c:pt idx="20">
                  <c:v>0.21161850252525097</c:v>
                </c:pt>
                <c:pt idx="21">
                  <c:v>0.20738525984574888</c:v>
                </c:pt>
                <c:pt idx="22">
                  <c:v>0.22331924135199782</c:v>
                </c:pt>
                <c:pt idx="23">
                  <c:v>0.22699697929515694</c:v>
                </c:pt>
              </c:numCache>
            </c:numRef>
          </c:val>
        </c:ser>
        <c:ser>
          <c:idx val="1"/>
          <c:order val="1"/>
          <c:tx>
            <c:strRef>
              <c:f>Tables!$A$73</c:f>
              <c:strCache>
                <c:ptCount val="1"/>
                <c:pt idx="0">
                  <c:v>Портфельні інвестиції</c:v>
                </c:pt>
              </c:strCache>
            </c:strRef>
          </c:tx>
          <c:spPr>
            <a:solidFill>
              <a:schemeClr val="accent4">
                <a:lumMod val="75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Tables!$B$73:$Y$73</c:f>
              <c:numCache>
                <c:formatCode>0.0%</c:formatCode>
                <c:ptCount val="24"/>
                <c:pt idx="0">
                  <c:v>0.27469521633621313</c:v>
                </c:pt>
                <c:pt idx="1">
                  <c:v>0.27929989828127388</c:v>
                </c:pt>
                <c:pt idx="2">
                  <c:v>0.30184174928897334</c:v>
                </c:pt>
                <c:pt idx="3">
                  <c:v>0.34267000853939267</c:v>
                </c:pt>
                <c:pt idx="4">
                  <c:v>0.37697892803988681</c:v>
                </c:pt>
                <c:pt idx="5">
                  <c:v>0.40921872056672215</c:v>
                </c:pt>
                <c:pt idx="6">
                  <c:v>0.39596002503103805</c:v>
                </c:pt>
                <c:pt idx="7">
                  <c:v>0.39189352491570184</c:v>
                </c:pt>
                <c:pt idx="8">
                  <c:v>0.38959105524796722</c:v>
                </c:pt>
                <c:pt idx="9">
                  <c:v>0.41550313870416894</c:v>
                </c:pt>
                <c:pt idx="10">
                  <c:v>0.38881032875311466</c:v>
                </c:pt>
                <c:pt idx="11">
                  <c:v>0.32670459864257889</c:v>
                </c:pt>
                <c:pt idx="12">
                  <c:v>0.30822086860431008</c:v>
                </c:pt>
                <c:pt idx="13">
                  <c:v>0.32118098612398993</c:v>
                </c:pt>
                <c:pt idx="14">
                  <c:v>0.33169836698472993</c:v>
                </c:pt>
                <c:pt idx="15">
                  <c:v>0.33796282449061754</c:v>
                </c:pt>
                <c:pt idx="16">
                  <c:v>0.33542323532459101</c:v>
                </c:pt>
                <c:pt idx="17">
                  <c:v>0.38111173910435853</c:v>
                </c:pt>
                <c:pt idx="18">
                  <c:v>0.39152571591415941</c:v>
                </c:pt>
                <c:pt idx="19">
                  <c:v>0.4210585425640338</c:v>
                </c:pt>
                <c:pt idx="20">
                  <c:v>0.43947060139554672</c:v>
                </c:pt>
                <c:pt idx="21">
                  <c:v>0.44056571954374502</c:v>
                </c:pt>
                <c:pt idx="22">
                  <c:v>0.40037469023208105</c:v>
                </c:pt>
                <c:pt idx="23">
                  <c:v>0.40888531787171351</c:v>
                </c:pt>
              </c:numCache>
            </c:numRef>
          </c:val>
        </c:ser>
        <c:ser>
          <c:idx val="2"/>
          <c:order val="2"/>
          <c:tx>
            <c:strRef>
              <c:f>Tables!$A$74</c:f>
              <c:strCache>
                <c:ptCount val="1"/>
                <c:pt idx="0">
                  <c:v>Фінансові деривативи</c:v>
                </c:pt>
              </c:strCache>
            </c:strRef>
          </c:tx>
          <c:spPr>
            <a:solidFill>
              <a:schemeClr val="accent1">
                <a:lumMod val="75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Tables!$B$74:$Y$74</c:f>
              <c:numCache>
                <c:formatCode>0.0%</c:formatCode>
                <c:ptCount val="24"/>
                <c:pt idx="0">
                  <c:v>1.8085622097792839E-2</c:v>
                </c:pt>
                <c:pt idx="1">
                  <c:v>1.1494406417328606E-2</c:v>
                </c:pt>
                <c:pt idx="2">
                  <c:v>1.0340786604020798E-2</c:v>
                </c:pt>
                <c:pt idx="3">
                  <c:v>9.2643112368760768E-3</c:v>
                </c:pt>
                <c:pt idx="4">
                  <c:v>6.2597976980793002E-3</c:v>
                </c:pt>
                <c:pt idx="5">
                  <c:v>5.7210780057394342E-3</c:v>
                </c:pt>
                <c:pt idx="6">
                  <c:v>5.3230783001982744E-3</c:v>
                </c:pt>
                <c:pt idx="7">
                  <c:v>5.876405582406403E-3</c:v>
                </c:pt>
                <c:pt idx="8">
                  <c:v>1.8664308062839589E-2</c:v>
                </c:pt>
                <c:pt idx="9">
                  <c:v>1.5826696243124671E-2</c:v>
                </c:pt>
                <c:pt idx="10">
                  <c:v>2.2430183340427824E-2</c:v>
                </c:pt>
                <c:pt idx="11">
                  <c:v>2.1724828551807827E-2</c:v>
                </c:pt>
                <c:pt idx="12">
                  <c:v>1.7206757555289602E-2</c:v>
                </c:pt>
                <c:pt idx="13">
                  <c:v>1.180665908078039E-2</c:v>
                </c:pt>
                <c:pt idx="14">
                  <c:v>1.1203067709627014E-2</c:v>
                </c:pt>
                <c:pt idx="15">
                  <c:v>1.3475740790757517E-2</c:v>
                </c:pt>
                <c:pt idx="16">
                  <c:v>1.1613060738799473E-2</c:v>
                </c:pt>
                <c:pt idx="17">
                  <c:v>5.1132383246379164E-3</c:v>
                </c:pt>
                <c:pt idx="18">
                  <c:v>4.3817153338412216E-3</c:v>
                </c:pt>
                <c:pt idx="19">
                  <c:v>4.1552938883030804E-3</c:v>
                </c:pt>
                <c:pt idx="20">
                  <c:v>3.354758562090312E-3</c:v>
                </c:pt>
                <c:pt idx="21">
                  <c:v>4.7638592015891452E-3</c:v>
                </c:pt>
                <c:pt idx="22">
                  <c:v>1.0034211514881633E-2</c:v>
                </c:pt>
                <c:pt idx="23">
                  <c:v>6.1429347082296087E-3</c:v>
                </c:pt>
              </c:numCache>
            </c:numRef>
          </c:val>
        </c:ser>
        <c:ser>
          <c:idx val="3"/>
          <c:order val="3"/>
          <c:tx>
            <c:strRef>
              <c:f>Tables!$A$75</c:f>
              <c:strCache>
                <c:ptCount val="1"/>
                <c:pt idx="0">
                  <c:v>Інші інвестиції</c:v>
                </c:pt>
              </c:strCache>
            </c:strRef>
          </c:tx>
          <c:spPr>
            <a:solidFill>
              <a:schemeClr val="accent4"/>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Tables!$B$75:$Y$75</c:f>
              <c:numCache>
                <c:formatCode>0.0%</c:formatCode>
                <c:ptCount val="24"/>
                <c:pt idx="0">
                  <c:v>0.45073714722130803</c:v>
                </c:pt>
                <c:pt idx="1">
                  <c:v>0.44132954598319657</c:v>
                </c:pt>
                <c:pt idx="2">
                  <c:v>0.45369700218038339</c:v>
                </c:pt>
                <c:pt idx="3">
                  <c:v>0.43013999959810584</c:v>
                </c:pt>
                <c:pt idx="4">
                  <c:v>0.39533123941983084</c:v>
                </c:pt>
                <c:pt idx="5">
                  <c:v>0.3658583979289371</c:v>
                </c:pt>
                <c:pt idx="6">
                  <c:v>0.38019500885768354</c:v>
                </c:pt>
                <c:pt idx="7">
                  <c:v>0.38503407750724228</c:v>
                </c:pt>
                <c:pt idx="8">
                  <c:v>0.36695282890453329</c:v>
                </c:pt>
                <c:pt idx="9">
                  <c:v>0.34423433077543669</c:v>
                </c:pt>
                <c:pt idx="10">
                  <c:v>0.35135778850050492</c:v>
                </c:pt>
                <c:pt idx="11">
                  <c:v>0.38407558196986596</c:v>
                </c:pt>
                <c:pt idx="12">
                  <c:v>0.39024852628422574</c:v>
                </c:pt>
                <c:pt idx="13">
                  <c:v>0.36245446899826717</c:v>
                </c:pt>
                <c:pt idx="14">
                  <c:v>0.36153802349512787</c:v>
                </c:pt>
                <c:pt idx="15">
                  <c:v>0.34270903667631825</c:v>
                </c:pt>
                <c:pt idx="16">
                  <c:v>0.3242331975374575</c:v>
                </c:pt>
                <c:pt idx="17">
                  <c:v>0.29832266201733643</c:v>
                </c:pt>
                <c:pt idx="18">
                  <c:v>0.30241978013691201</c:v>
                </c:pt>
                <c:pt idx="19">
                  <c:v>0.28415579706759536</c:v>
                </c:pt>
                <c:pt idx="20">
                  <c:v>0.27895745473606132</c:v>
                </c:pt>
                <c:pt idx="21">
                  <c:v>0.27121991509946952</c:v>
                </c:pt>
                <c:pt idx="22">
                  <c:v>0.28722832649305052</c:v>
                </c:pt>
                <c:pt idx="23">
                  <c:v>0.27911867335867135</c:v>
                </c:pt>
              </c:numCache>
            </c:numRef>
          </c:val>
        </c:ser>
        <c:ser>
          <c:idx val="4"/>
          <c:order val="4"/>
          <c:tx>
            <c:strRef>
              <c:f>Tables!$A$76</c:f>
              <c:strCache>
                <c:ptCount val="1"/>
                <c:pt idx="0">
                  <c:v>Резервні активи</c:v>
                </c:pt>
              </c:strCache>
            </c:strRef>
          </c:tx>
          <c:spPr>
            <a:solidFill>
              <a:schemeClr val="accent4">
                <a:lumMod val="60000"/>
                <a:lumOff val="40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Tables!$B$76:$Y$76</c:f>
              <c:numCache>
                <c:formatCode>0.0%</c:formatCode>
                <c:ptCount val="24"/>
                <c:pt idx="0">
                  <c:v>9.3290393897496618E-2</c:v>
                </c:pt>
                <c:pt idx="1">
                  <c:v>8.9857251940277674E-2</c:v>
                </c:pt>
                <c:pt idx="2">
                  <c:v>8.456483163755979E-2</c:v>
                </c:pt>
                <c:pt idx="3">
                  <c:v>4.4439954456493319E-2</c:v>
                </c:pt>
                <c:pt idx="4">
                  <c:v>3.4892944373317428E-2</c:v>
                </c:pt>
                <c:pt idx="5">
                  <c:v>3.191368795833132E-2</c:v>
                </c:pt>
                <c:pt idx="6">
                  <c:v>2.5123405266518149E-2</c:v>
                </c:pt>
                <c:pt idx="7">
                  <c:v>2.4476103340414342E-2</c:v>
                </c:pt>
                <c:pt idx="8">
                  <c:v>2.7448240844800381E-2</c:v>
                </c:pt>
                <c:pt idx="9">
                  <c:v>3.2636335742463288E-2</c:v>
                </c:pt>
                <c:pt idx="10">
                  <c:v>4.3890390405352649E-2</c:v>
                </c:pt>
                <c:pt idx="11">
                  <c:v>5.02649947762508E-2</c:v>
                </c:pt>
                <c:pt idx="12">
                  <c:v>5.2596174029002005E-2</c:v>
                </c:pt>
                <c:pt idx="13">
                  <c:v>4.0912263377543251E-2</c:v>
                </c:pt>
                <c:pt idx="14">
                  <c:v>5.017361416184473E-2</c:v>
                </c:pt>
                <c:pt idx="15">
                  <c:v>5.5703878853131335E-2</c:v>
                </c:pt>
                <c:pt idx="16">
                  <c:v>7.3616788956889015E-2</c:v>
                </c:pt>
                <c:pt idx="17">
                  <c:v>6.5868844199994808E-2</c:v>
                </c:pt>
                <c:pt idx="18">
                  <c:v>6.5696459235590199E-2</c:v>
                </c:pt>
                <c:pt idx="19">
                  <c:v>6.2474108142463569E-2</c:v>
                </c:pt>
                <c:pt idx="20">
                  <c:v>6.6601453019334803E-2</c:v>
                </c:pt>
                <c:pt idx="21">
                  <c:v>7.6065246309447457E-2</c:v>
                </c:pt>
                <c:pt idx="22">
                  <c:v>7.9043530407989102E-2</c:v>
                </c:pt>
                <c:pt idx="23">
                  <c:v>7.8856094766228568E-2</c:v>
                </c:pt>
              </c:numCache>
            </c:numRef>
          </c:val>
        </c:ser>
        <c:dLbls>
          <c:showLegendKey val="0"/>
          <c:showVal val="0"/>
          <c:showCatName val="0"/>
          <c:showSerName val="0"/>
          <c:showPercent val="0"/>
          <c:showBubbleSize val="0"/>
        </c:dLbls>
        <c:gapWidth val="93"/>
        <c:overlap val="100"/>
        <c:axId val="203362304"/>
        <c:axId val="149864448"/>
      </c:barChart>
      <c:catAx>
        <c:axId val="203362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9864448"/>
        <c:crosses val="autoZero"/>
        <c:auto val="1"/>
        <c:lblAlgn val="ctr"/>
        <c:lblOffset val="100"/>
        <c:noMultiLvlLbl val="0"/>
      </c:catAx>
      <c:valAx>
        <c:axId val="1498644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03362304"/>
        <c:crosses val="autoZero"/>
        <c:crossBetween val="between"/>
      </c:valAx>
      <c:spPr>
        <a:noFill/>
        <a:ln>
          <a:noFill/>
        </a:ln>
        <a:effectLst/>
      </c:spPr>
    </c:plotArea>
    <c:legend>
      <c:legendPos val="b"/>
      <c:layout>
        <c:manualLayout>
          <c:xMode val="edge"/>
          <c:yMode val="edge"/>
          <c:x val="9.7777777777777776E-3"/>
          <c:y val="0.82002083333333331"/>
          <c:w val="0.99022222222222223"/>
          <c:h val="0.16234027777777776"/>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percentStacked"/>
        <c:varyColors val="0"/>
        <c:ser>
          <c:idx val="0"/>
          <c:order val="0"/>
          <c:tx>
            <c:strRef>
              <c:f>Tables!$A$86</c:f>
              <c:strCache>
                <c:ptCount val="1"/>
                <c:pt idx="0">
                  <c:v>Прямі інвестиції</c:v>
                </c:pt>
              </c:strCache>
            </c:strRef>
          </c:tx>
          <c:spPr>
            <a:solidFill>
              <a:srgbClr val="193337"/>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Tables!$B$86:$Y$86</c:f>
              <c:numCache>
                <c:formatCode>0.0%</c:formatCode>
                <c:ptCount val="24"/>
                <c:pt idx="0">
                  <c:v>0.10231695213995803</c:v>
                </c:pt>
                <c:pt idx="1">
                  <c:v>0.11749018293016676</c:v>
                </c:pt>
                <c:pt idx="2">
                  <c:v>0.10822904438407803</c:v>
                </c:pt>
                <c:pt idx="3">
                  <c:v>0.10948523029325818</c:v>
                </c:pt>
                <c:pt idx="4">
                  <c:v>0.10013455789002101</c:v>
                </c:pt>
                <c:pt idx="5">
                  <c:v>8.9904325933317722E-2</c:v>
                </c:pt>
                <c:pt idx="6">
                  <c:v>0.11301362064955359</c:v>
                </c:pt>
                <c:pt idx="7">
                  <c:v>0.11390491642019884</c:v>
                </c:pt>
                <c:pt idx="8">
                  <c:v>0.12013309774562962</c:v>
                </c:pt>
                <c:pt idx="9">
                  <c:v>0.12838034855487757</c:v>
                </c:pt>
                <c:pt idx="10">
                  <c:v>0.15604592505106907</c:v>
                </c:pt>
                <c:pt idx="11">
                  <c:v>0.16895991207469496</c:v>
                </c:pt>
                <c:pt idx="12">
                  <c:v>0.14121877552813308</c:v>
                </c:pt>
                <c:pt idx="13">
                  <c:v>0.12910952751904589</c:v>
                </c:pt>
                <c:pt idx="14">
                  <c:v>0.12146467619862991</c:v>
                </c:pt>
                <c:pt idx="15">
                  <c:v>0.10885172710070337</c:v>
                </c:pt>
                <c:pt idx="16">
                  <c:v>9.2543745986668216E-2</c:v>
                </c:pt>
                <c:pt idx="17">
                  <c:v>0.10560625284334305</c:v>
                </c:pt>
                <c:pt idx="18">
                  <c:v>0.10612299541306909</c:v>
                </c:pt>
                <c:pt idx="19">
                  <c:v>9.0725415473356635E-2</c:v>
                </c:pt>
                <c:pt idx="20">
                  <c:v>6.2302453610668516E-2</c:v>
                </c:pt>
                <c:pt idx="21">
                  <c:v>6.0746572999970203E-2</c:v>
                </c:pt>
                <c:pt idx="22">
                  <c:v>6.4030711077624772E-2</c:v>
                </c:pt>
                <c:pt idx="23">
                  <c:v>7.2393117628586731E-2</c:v>
                </c:pt>
              </c:numCache>
            </c:numRef>
          </c:val>
        </c:ser>
        <c:ser>
          <c:idx val="1"/>
          <c:order val="1"/>
          <c:tx>
            <c:strRef>
              <c:f>Tables!$A$87</c:f>
              <c:strCache>
                <c:ptCount val="1"/>
                <c:pt idx="0">
                  <c:v>Портфельні інвестиції</c:v>
                </c:pt>
              </c:strCache>
            </c:strRef>
          </c:tx>
          <c:spPr>
            <a:solidFill>
              <a:schemeClr val="accent5">
                <a:lumMod val="50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Tables!$B$87:$Y$87</c:f>
              <c:numCache>
                <c:formatCode>0.0%</c:formatCode>
                <c:ptCount val="24"/>
                <c:pt idx="0">
                  <c:v>6.7273111321152254E-2</c:v>
                </c:pt>
                <c:pt idx="1">
                  <c:v>0.15691414212830079</c:v>
                </c:pt>
                <c:pt idx="2">
                  <c:v>0.19975880200369978</c:v>
                </c:pt>
                <c:pt idx="3">
                  <c:v>0.29134838811287006</c:v>
                </c:pt>
                <c:pt idx="4">
                  <c:v>0.35785992148609136</c:v>
                </c:pt>
                <c:pt idx="5">
                  <c:v>0.42999466702680089</c:v>
                </c:pt>
                <c:pt idx="6">
                  <c:v>0.42385502642917211</c:v>
                </c:pt>
                <c:pt idx="7">
                  <c:v>0.43235549185898159</c:v>
                </c:pt>
                <c:pt idx="8">
                  <c:v>0.37085706863262219</c:v>
                </c:pt>
                <c:pt idx="9">
                  <c:v>0.33908236416860105</c:v>
                </c:pt>
                <c:pt idx="10">
                  <c:v>0.30129831819862468</c:v>
                </c:pt>
                <c:pt idx="11">
                  <c:v>0.26834162554921198</c:v>
                </c:pt>
                <c:pt idx="12">
                  <c:v>0.42587073429279004</c:v>
                </c:pt>
                <c:pt idx="13">
                  <c:v>0.47594586993931881</c:v>
                </c:pt>
                <c:pt idx="14">
                  <c:v>0.51406168948300401</c:v>
                </c:pt>
                <c:pt idx="15">
                  <c:v>0.48466074763578559</c:v>
                </c:pt>
                <c:pt idx="16">
                  <c:v>0.54171108470591856</c:v>
                </c:pt>
                <c:pt idx="17">
                  <c:v>0.52744207965872036</c:v>
                </c:pt>
                <c:pt idx="18">
                  <c:v>0.53840608991140326</c:v>
                </c:pt>
                <c:pt idx="19">
                  <c:v>0.58039845954956581</c:v>
                </c:pt>
                <c:pt idx="20">
                  <c:v>0.63266105676804252</c:v>
                </c:pt>
                <c:pt idx="21">
                  <c:v>0.63347584471248963</c:v>
                </c:pt>
                <c:pt idx="22">
                  <c:v>0.62071428788952698</c:v>
                </c:pt>
                <c:pt idx="23">
                  <c:v>0.62805495111523402</c:v>
                </c:pt>
              </c:numCache>
            </c:numRef>
          </c:val>
        </c:ser>
        <c:ser>
          <c:idx val="2"/>
          <c:order val="2"/>
          <c:tx>
            <c:strRef>
              <c:f>Tables!$A$88</c:f>
              <c:strCache>
                <c:ptCount val="1"/>
                <c:pt idx="0">
                  <c:v>Фінансові деривативи</c:v>
                </c:pt>
              </c:strCache>
            </c:strRef>
          </c:tx>
          <c:spPr>
            <a:solidFill>
              <a:srgbClr val="4DA1A1"/>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Tables!$B$88:$Y$88</c:f>
              <c:numCache>
                <c:formatCode>0.0%</c:formatCode>
                <c:ptCount val="24"/>
                <c:pt idx="0">
                  <c:v>2.1149950354896717E-4</c:v>
                </c:pt>
                <c:pt idx="1">
                  <c:v>1.4748955928968964E-3</c:v>
                </c:pt>
                <c:pt idx="2">
                  <c:v>3.9303603666422597E-2</c:v>
                </c:pt>
                <c:pt idx="3">
                  <c:v>2.7466772116260193E-2</c:v>
                </c:pt>
                <c:pt idx="4">
                  <c:v>3.2581330877372645E-2</c:v>
                </c:pt>
                <c:pt idx="5">
                  <c:v>3.7180066846067478E-2</c:v>
                </c:pt>
                <c:pt idx="6">
                  <c:v>3.5100484459071456E-2</c:v>
                </c:pt>
                <c:pt idx="7">
                  <c:v>3.0213264074540426E-2</c:v>
                </c:pt>
                <c:pt idx="8">
                  <c:v>3.1953807895668068E-2</c:v>
                </c:pt>
                <c:pt idx="9">
                  <c:v>2.251100093039134E-2</c:v>
                </c:pt>
                <c:pt idx="10">
                  <c:v>7.8859081194116564E-3</c:v>
                </c:pt>
                <c:pt idx="11">
                  <c:v>7.4818456069992573E-3</c:v>
                </c:pt>
                <c:pt idx="12">
                  <c:v>4.9547443969252068E-3</c:v>
                </c:pt>
                <c:pt idx="13">
                  <c:v>3.5451324431271347E-3</c:v>
                </c:pt>
                <c:pt idx="14">
                  <c:v>6.7700834753931724E-3</c:v>
                </c:pt>
                <c:pt idx="15">
                  <c:v>4.610938042948709E-3</c:v>
                </c:pt>
                <c:pt idx="16">
                  <c:v>4.6805685278719549E-3</c:v>
                </c:pt>
                <c:pt idx="17">
                  <c:v>4.9997998424349405E-3</c:v>
                </c:pt>
                <c:pt idx="18">
                  <c:v>4.3432156291228954E-3</c:v>
                </c:pt>
                <c:pt idx="19">
                  <c:v>4.5379076180078522E-3</c:v>
                </c:pt>
                <c:pt idx="20">
                  <c:v>4.3490524549932652E-3</c:v>
                </c:pt>
                <c:pt idx="21">
                  <c:v>4.464419387414667E-3</c:v>
                </c:pt>
                <c:pt idx="22">
                  <c:v>4.3269171476164311E-2</c:v>
                </c:pt>
                <c:pt idx="23">
                  <c:v>2.6828088295507882E-2</c:v>
                </c:pt>
              </c:numCache>
            </c:numRef>
          </c:val>
        </c:ser>
        <c:ser>
          <c:idx val="3"/>
          <c:order val="3"/>
          <c:tx>
            <c:strRef>
              <c:f>Tables!$A$89</c:f>
              <c:strCache>
                <c:ptCount val="1"/>
                <c:pt idx="0">
                  <c:v>Інші інвестиції</c:v>
                </c:pt>
              </c:strCache>
            </c:strRef>
          </c:tx>
          <c:spPr>
            <a:solidFill>
              <a:srgbClr val="8FC7B6"/>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Tables!$B$89:$Y$89</c:f>
              <c:numCache>
                <c:formatCode>0.0%</c:formatCode>
                <c:ptCount val="24"/>
                <c:pt idx="0">
                  <c:v>0.61591909271975376</c:v>
                </c:pt>
                <c:pt idx="1">
                  <c:v>0.62087204878587743</c:v>
                </c:pt>
                <c:pt idx="2">
                  <c:v>0.54534542068112213</c:v>
                </c:pt>
                <c:pt idx="3">
                  <c:v>0.52265129369461072</c:v>
                </c:pt>
                <c:pt idx="4">
                  <c:v>0.49082665289211841</c:v>
                </c:pt>
                <c:pt idx="5">
                  <c:v>0.42877210036064256</c:v>
                </c:pt>
                <c:pt idx="6">
                  <c:v>0.4142981451485373</c:v>
                </c:pt>
                <c:pt idx="7">
                  <c:v>0.41109789765380356</c:v>
                </c:pt>
                <c:pt idx="8">
                  <c:v>0.46643342593767201</c:v>
                </c:pt>
                <c:pt idx="9">
                  <c:v>0.49546405948157302</c:v>
                </c:pt>
                <c:pt idx="10">
                  <c:v>0.51464389384009523</c:v>
                </c:pt>
                <c:pt idx="11">
                  <c:v>0.53265971630182052</c:v>
                </c:pt>
                <c:pt idx="12">
                  <c:v>0.40698696166325071</c:v>
                </c:pt>
                <c:pt idx="13">
                  <c:v>0.3730057756333815</c:v>
                </c:pt>
                <c:pt idx="14">
                  <c:v>0.33513821964706975</c:v>
                </c:pt>
                <c:pt idx="15">
                  <c:v>0.37904802484945976</c:v>
                </c:pt>
                <c:pt idx="16">
                  <c:v>0.33254540649187109</c:v>
                </c:pt>
                <c:pt idx="17">
                  <c:v>0.32888838041410989</c:v>
                </c:pt>
                <c:pt idx="18">
                  <c:v>0.31699087853230229</c:v>
                </c:pt>
                <c:pt idx="19">
                  <c:v>0.29085820340619989</c:v>
                </c:pt>
                <c:pt idx="20">
                  <c:v>0.2631233490174984</c:v>
                </c:pt>
                <c:pt idx="21">
                  <c:v>0.25903725223511809</c:v>
                </c:pt>
                <c:pt idx="22">
                  <c:v>0.23639133326843537</c:v>
                </c:pt>
                <c:pt idx="23">
                  <c:v>0.23496034735869134</c:v>
                </c:pt>
              </c:numCache>
            </c:numRef>
          </c:val>
        </c:ser>
        <c:ser>
          <c:idx val="4"/>
          <c:order val="4"/>
          <c:tx>
            <c:strRef>
              <c:f>Tables!$A$90</c:f>
              <c:strCache>
                <c:ptCount val="1"/>
                <c:pt idx="0">
                  <c:v>Резервні активи</c:v>
                </c:pt>
              </c:strCache>
            </c:strRef>
          </c:tx>
          <c:spPr>
            <a:solidFill>
              <a:schemeClr val="bg1">
                <a:lumMod val="85000"/>
              </a:schemeClr>
            </a:solidFill>
            <a:ln>
              <a:noFill/>
            </a:ln>
            <a:effectLst/>
          </c:spPr>
          <c:invertIfNegative val="0"/>
          <c:cat>
            <c:numRef>
              <c:f>Tables!$B$71:$Y$71</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Tables!$B$90:$Y$90</c:f>
              <c:numCache>
                <c:formatCode>0.0%</c:formatCode>
                <c:ptCount val="24"/>
                <c:pt idx="0">
                  <c:v>0.21427934431558698</c:v>
                </c:pt>
                <c:pt idx="1">
                  <c:v>0.10324873056275803</c:v>
                </c:pt>
                <c:pt idx="2">
                  <c:v>0.10736312926467728</c:v>
                </c:pt>
                <c:pt idx="3">
                  <c:v>4.9048315783001069E-2</c:v>
                </c:pt>
                <c:pt idx="4">
                  <c:v>1.8597536854391861E-2</c:v>
                </c:pt>
                <c:pt idx="5">
                  <c:v>1.4148839833171533E-2</c:v>
                </c:pt>
                <c:pt idx="6">
                  <c:v>1.3732723313668595E-2</c:v>
                </c:pt>
                <c:pt idx="7">
                  <c:v>1.2428429992473134E-2</c:v>
                </c:pt>
                <c:pt idx="8">
                  <c:v>1.0622569439597064E-2</c:v>
                </c:pt>
                <c:pt idx="9">
                  <c:v>1.4562226864557168E-2</c:v>
                </c:pt>
                <c:pt idx="10">
                  <c:v>2.0125954790799365E-2</c:v>
                </c:pt>
                <c:pt idx="11">
                  <c:v>2.255690046727344E-2</c:v>
                </c:pt>
                <c:pt idx="12">
                  <c:v>2.096878411890089E-2</c:v>
                </c:pt>
                <c:pt idx="13">
                  <c:v>1.8393694465125392E-2</c:v>
                </c:pt>
                <c:pt idx="14">
                  <c:v>2.2565331195904832E-2</c:v>
                </c:pt>
                <c:pt idx="15">
                  <c:v>2.2828562371102919E-2</c:v>
                </c:pt>
                <c:pt idx="16">
                  <c:v>2.8519194287669313E-2</c:v>
                </c:pt>
                <c:pt idx="17">
                  <c:v>3.306348724139288E-2</c:v>
                </c:pt>
                <c:pt idx="18">
                  <c:v>3.4136820514104549E-2</c:v>
                </c:pt>
                <c:pt idx="19">
                  <c:v>3.3480013952872048E-2</c:v>
                </c:pt>
                <c:pt idx="20">
                  <c:v>3.7564088148799149E-2</c:v>
                </c:pt>
                <c:pt idx="21">
                  <c:v>4.2275910665005773E-2</c:v>
                </c:pt>
                <c:pt idx="22">
                  <c:v>3.5594496288249948E-2</c:v>
                </c:pt>
                <c:pt idx="23">
                  <c:v>3.7763495601980022E-2</c:v>
                </c:pt>
              </c:numCache>
            </c:numRef>
          </c:val>
        </c:ser>
        <c:dLbls>
          <c:showLegendKey val="0"/>
          <c:showVal val="0"/>
          <c:showCatName val="0"/>
          <c:showSerName val="0"/>
          <c:showPercent val="0"/>
          <c:showBubbleSize val="0"/>
        </c:dLbls>
        <c:gapWidth val="93"/>
        <c:overlap val="100"/>
        <c:axId val="203365376"/>
        <c:axId val="149867904"/>
      </c:barChart>
      <c:catAx>
        <c:axId val="203365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9867904"/>
        <c:crosses val="autoZero"/>
        <c:auto val="1"/>
        <c:lblAlgn val="ctr"/>
        <c:lblOffset val="100"/>
        <c:noMultiLvlLbl val="0"/>
      </c:catAx>
      <c:valAx>
        <c:axId val="1498679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03365376"/>
        <c:crosses val="autoZero"/>
        <c:crossBetween val="between"/>
      </c:valAx>
      <c:spPr>
        <a:noFill/>
        <a:ln>
          <a:noFill/>
        </a:ln>
        <a:effectLst/>
      </c:spPr>
    </c:plotArea>
    <c:legend>
      <c:legendPos val="b"/>
      <c:layout>
        <c:manualLayout>
          <c:xMode val="edge"/>
          <c:yMode val="edge"/>
          <c:x val="9.7777777777777776E-3"/>
          <c:y val="0.82002083333333331"/>
          <c:w val="0.99022222222222223"/>
          <c:h val="0.16234027777777776"/>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Tables!$A$59</c:f>
              <c:strCache>
                <c:ptCount val="1"/>
                <c:pt idx="0">
                  <c:v>Португалія (млн. дол. США)</c:v>
                </c:pt>
              </c:strCache>
            </c:strRef>
          </c:tx>
          <c:spPr>
            <a:solidFill>
              <a:srgbClr val="A5BAD3"/>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Tables!$B$59:$Y$59</c:f>
              <c:numCache>
                <c:formatCode>#,##0</c:formatCode>
                <c:ptCount val="24"/>
                <c:pt idx="0">
                  <c:v>203820.1255454793</c:v>
                </c:pt>
                <c:pt idx="1">
                  <c:v>228275.23733229632</c:v>
                </c:pt>
                <c:pt idx="2">
                  <c:v>292963.91277638573</c:v>
                </c:pt>
                <c:pt idx="3">
                  <c:v>399947.55793171673</c:v>
                </c:pt>
                <c:pt idx="4">
                  <c:v>471369.40634620859</c:v>
                </c:pt>
                <c:pt idx="5">
                  <c:v>456920.93194410147</c:v>
                </c:pt>
                <c:pt idx="6">
                  <c:v>572221.89070823637</c:v>
                </c:pt>
                <c:pt idx="7">
                  <c:v>704467.91573200736</c:v>
                </c:pt>
                <c:pt idx="8">
                  <c:v>679028.53897389828</c:v>
                </c:pt>
                <c:pt idx="9">
                  <c:v>768065.43368596921</c:v>
                </c:pt>
                <c:pt idx="10">
                  <c:v>735549.37633489724</c:v>
                </c:pt>
                <c:pt idx="11">
                  <c:v>661493.05188002181</c:v>
                </c:pt>
                <c:pt idx="12">
                  <c:v>695395.36288543674</c:v>
                </c:pt>
                <c:pt idx="13">
                  <c:v>711556.09136588732</c:v>
                </c:pt>
                <c:pt idx="14">
                  <c:v>650872.25826744945</c:v>
                </c:pt>
                <c:pt idx="15">
                  <c:v>580773.13568496436</c:v>
                </c:pt>
                <c:pt idx="16">
                  <c:v>558401.06256273505</c:v>
                </c:pt>
                <c:pt idx="17">
                  <c:v>655722.17553515034</c:v>
                </c:pt>
                <c:pt idx="18">
                  <c:v>629566.34135379666</c:v>
                </c:pt>
                <c:pt idx="19">
                  <c:v>640654.47956948262</c:v>
                </c:pt>
                <c:pt idx="20">
                  <c:v>700266.18243119714</c:v>
                </c:pt>
                <c:pt idx="21">
                  <c:v>658211.13308551023</c:v>
                </c:pt>
                <c:pt idx="22">
                  <c:v>625090.49081869819</c:v>
                </c:pt>
                <c:pt idx="23">
                  <c:v>659931</c:v>
                </c:pt>
              </c:numCache>
            </c:numRef>
          </c:val>
        </c:ser>
        <c:ser>
          <c:idx val="1"/>
          <c:order val="1"/>
          <c:tx>
            <c:strRef>
              <c:f>Tables!$A$60</c:f>
              <c:strCache>
                <c:ptCount val="1"/>
                <c:pt idx="0">
                  <c:v>Греція (млн. дол. США)</c:v>
                </c:pt>
              </c:strCache>
            </c:strRef>
          </c:tx>
          <c:spPr>
            <a:solidFill>
              <a:schemeClr val="accent5">
                <a:lumMod val="75000"/>
              </a:schemeClr>
            </a:solidFill>
            <a:ln>
              <a:noFill/>
            </a:ln>
            <a:effectLst/>
          </c:spPr>
          <c:invertIfNegative val="0"/>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Tables!$B$60:$Y$60</c:f>
              <c:numCache>
                <c:formatCode>#,##0</c:formatCode>
                <c:ptCount val="24"/>
                <c:pt idx="0">
                  <c:v>106825.10778831787</c:v>
                </c:pt>
                <c:pt idx="1">
                  <c:v>119893.50902916989</c:v>
                </c:pt>
                <c:pt idx="2">
                  <c:v>175803.90367598116</c:v>
                </c:pt>
                <c:pt idx="3">
                  <c:v>253071.81462618621</c:v>
                </c:pt>
                <c:pt idx="4">
                  <c:v>322400.01108835137</c:v>
                </c:pt>
                <c:pt idx="5">
                  <c:v>339476.6285507711</c:v>
                </c:pt>
                <c:pt idx="6">
                  <c:v>444730.39133825252</c:v>
                </c:pt>
                <c:pt idx="7">
                  <c:v>615384.03130870045</c:v>
                </c:pt>
                <c:pt idx="8">
                  <c:v>584638.85</c:v>
                </c:pt>
                <c:pt idx="9">
                  <c:v>680252.42573689378</c:v>
                </c:pt>
                <c:pt idx="10">
                  <c:v>615192.04788362619</c:v>
                </c:pt>
                <c:pt idx="11">
                  <c:v>544590.01120044361</c:v>
                </c:pt>
                <c:pt idx="12">
                  <c:v>638685.147882686</c:v>
                </c:pt>
                <c:pt idx="13">
                  <c:v>636515.62878261576</c:v>
                </c:pt>
                <c:pt idx="14">
                  <c:v>561500.82440270495</c:v>
                </c:pt>
                <c:pt idx="15">
                  <c:v>525266.751196892</c:v>
                </c:pt>
                <c:pt idx="16">
                  <c:v>497590.32939366839</c:v>
                </c:pt>
                <c:pt idx="17">
                  <c:v>540326.0672266247</c:v>
                </c:pt>
                <c:pt idx="18">
                  <c:v>527804.20331252902</c:v>
                </c:pt>
                <c:pt idx="19">
                  <c:v>571307.93330461753</c:v>
                </c:pt>
                <c:pt idx="20">
                  <c:v>670729.88439672545</c:v>
                </c:pt>
                <c:pt idx="21">
                  <c:v>697653.63661382115</c:v>
                </c:pt>
                <c:pt idx="22">
                  <c:v>657328.9584187452</c:v>
                </c:pt>
                <c:pt idx="23">
                  <c:v>702570</c:v>
                </c:pt>
              </c:numCache>
            </c:numRef>
          </c:val>
        </c:ser>
        <c:dLbls>
          <c:showLegendKey val="0"/>
          <c:showVal val="0"/>
          <c:showCatName val="0"/>
          <c:showSerName val="0"/>
          <c:showPercent val="0"/>
          <c:showBubbleSize val="0"/>
        </c:dLbls>
        <c:gapWidth val="98"/>
        <c:axId val="196491264"/>
        <c:axId val="149867328"/>
      </c:barChart>
      <c:lineChart>
        <c:grouping val="standard"/>
        <c:varyColors val="0"/>
        <c:ser>
          <c:idx val="2"/>
          <c:order val="2"/>
          <c:tx>
            <c:strRef>
              <c:f>Tables!$A$61</c:f>
              <c:strCache>
                <c:ptCount val="1"/>
                <c:pt idx="0">
                  <c:v>Португалія (% ВВП)</c:v>
                </c:pt>
              </c:strCache>
            </c:strRef>
          </c:tx>
          <c:spPr>
            <a:ln w="28575" cap="rnd">
              <a:solidFill>
                <a:schemeClr val="accent1">
                  <a:lumMod val="75000"/>
                </a:schemeClr>
              </a:solidFill>
              <a:prstDash val="dash"/>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Tables!$B$61:$Y$61</c:f>
              <c:numCache>
                <c:formatCode>0.0%</c:formatCode>
                <c:ptCount val="24"/>
                <c:pt idx="0">
                  <c:v>1.7184755625007428</c:v>
                </c:pt>
                <c:pt idx="1">
                  <c:v>1.8772000605420727</c:v>
                </c:pt>
                <c:pt idx="2">
                  <c:v>2.1733942921807596</c:v>
                </c:pt>
                <c:pt idx="3">
                  <c:v>2.4206065209241396</c:v>
                </c:pt>
                <c:pt idx="4">
                  <c:v>2.4889857608715986</c:v>
                </c:pt>
                <c:pt idx="5">
                  <c:v>2.3164104025576382</c:v>
                </c:pt>
                <c:pt idx="6">
                  <c:v>2.7410980244835939</c:v>
                </c:pt>
                <c:pt idx="7">
                  <c:v>2.9292274474664528</c:v>
                </c:pt>
                <c:pt idx="8">
                  <c:v>2.5777762995463012</c:v>
                </c:pt>
                <c:pt idx="9">
                  <c:v>3.1392179532954447</c:v>
                </c:pt>
                <c:pt idx="10">
                  <c:v>3.0890768935212898</c:v>
                </c:pt>
                <c:pt idx="11">
                  <c:v>2.698671979263028</c:v>
                </c:pt>
                <c:pt idx="12">
                  <c:v>3.2160841958638722</c:v>
                </c:pt>
                <c:pt idx="13">
                  <c:v>3.1424456467456889</c:v>
                </c:pt>
                <c:pt idx="14">
                  <c:v>2.8310861130324052</c:v>
                </c:pt>
                <c:pt idx="15">
                  <c:v>2.9126901607719864</c:v>
                </c:pt>
                <c:pt idx="16">
                  <c:v>2.7050887511919988</c:v>
                </c:pt>
                <c:pt idx="17">
                  <c:v>2.9622717347090393</c:v>
                </c:pt>
                <c:pt idx="18">
                  <c:v>2.5981521357356105</c:v>
                </c:pt>
                <c:pt idx="19">
                  <c:v>2.6695391254024661</c:v>
                </c:pt>
                <c:pt idx="20">
                  <c:v>3.0575055402288474</c:v>
                </c:pt>
                <c:pt idx="21">
                  <c:v>2.5915574196460613</c:v>
                </c:pt>
                <c:pt idx="22">
                  <c:v>2.481055603990133</c:v>
                </c:pt>
                <c:pt idx="23">
                  <c:v>2.3235547403068173</c:v>
                </c:pt>
              </c:numCache>
            </c:numRef>
          </c:val>
          <c:smooth val="0"/>
        </c:ser>
        <c:ser>
          <c:idx val="3"/>
          <c:order val="3"/>
          <c:tx>
            <c:strRef>
              <c:f>Tables!$A$62</c:f>
              <c:strCache>
                <c:ptCount val="1"/>
                <c:pt idx="0">
                  <c:v>Греція (% ВВП)</c:v>
                </c:pt>
              </c:strCache>
            </c:strRef>
          </c:tx>
          <c:spPr>
            <a:ln w="28575" cap="rnd">
              <a:solidFill>
                <a:schemeClr val="accent5">
                  <a:lumMod val="50000"/>
                </a:schemeClr>
              </a:solidFill>
              <a:round/>
            </a:ln>
            <a:effectLst/>
          </c:spPr>
          <c:marker>
            <c:symbol val="none"/>
          </c:marker>
          <c:cat>
            <c:numRef>
              <c:f>Tables!$B$7:$Y$7</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Tables!$B$62:$Y$62</c:f>
              <c:numCache>
                <c:formatCode>0.0%</c:formatCode>
                <c:ptCount val="24"/>
                <c:pt idx="0">
                  <c:v>0.81884826589937543</c:v>
                </c:pt>
                <c:pt idx="1">
                  <c:v>0.87956957616843434</c:v>
                </c:pt>
                <c:pt idx="2">
                  <c:v>1.1374166824925815</c:v>
                </c:pt>
                <c:pt idx="3">
                  <c:v>1.2505393055058789</c:v>
                </c:pt>
                <c:pt idx="4">
                  <c:v>1.3379616739414821</c:v>
                </c:pt>
                <c:pt idx="5">
                  <c:v>1.3695453366522843</c:v>
                </c:pt>
                <c:pt idx="6">
                  <c:v>1.6257931279994486</c:v>
                </c:pt>
                <c:pt idx="7">
                  <c:v>1.929691348852711</c:v>
                </c:pt>
                <c:pt idx="8">
                  <c:v>1.6426652882748733</c:v>
                </c:pt>
                <c:pt idx="9">
                  <c:v>2.0532296189710295</c:v>
                </c:pt>
                <c:pt idx="10">
                  <c:v>2.070482546473607</c:v>
                </c:pt>
                <c:pt idx="11">
                  <c:v>1.9243739233116832</c:v>
                </c:pt>
                <c:pt idx="12">
                  <c:v>2.6388752479906876</c:v>
                </c:pt>
                <c:pt idx="13">
                  <c:v>2.6642743423051436</c:v>
                </c:pt>
                <c:pt idx="14">
                  <c:v>2.3847161996546995</c:v>
                </c:pt>
                <c:pt idx="15">
                  <c:v>2.6842665769604297</c:v>
                </c:pt>
                <c:pt idx="16">
                  <c:v>2.5762107386814157</c:v>
                </c:pt>
                <c:pt idx="17">
                  <c:v>2.7037337597032396</c:v>
                </c:pt>
                <c:pt idx="18">
                  <c:v>2.4890619154026803</c:v>
                </c:pt>
                <c:pt idx="19">
                  <c:v>2.7833783590968926</c:v>
                </c:pt>
                <c:pt idx="20">
                  <c:v>3.5502254788752086</c:v>
                </c:pt>
                <c:pt idx="21">
                  <c:v>3.2468052289739595</c:v>
                </c:pt>
                <c:pt idx="22">
                  <c:v>3.0210696892093898</c:v>
                </c:pt>
                <c:pt idx="23">
                  <c:v>3.0805964369738583</c:v>
                </c:pt>
              </c:numCache>
            </c:numRef>
          </c:val>
          <c:smooth val="0"/>
        </c:ser>
        <c:dLbls>
          <c:showLegendKey val="0"/>
          <c:showVal val="0"/>
          <c:showCatName val="0"/>
          <c:showSerName val="0"/>
          <c:showPercent val="0"/>
          <c:showBubbleSize val="0"/>
        </c:dLbls>
        <c:marker val="1"/>
        <c:smooth val="0"/>
        <c:axId val="184374784"/>
        <c:axId val="149869056"/>
      </c:lineChart>
      <c:catAx>
        <c:axId val="196491264"/>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9867328"/>
        <c:crosses val="autoZero"/>
        <c:auto val="1"/>
        <c:lblAlgn val="ctr"/>
        <c:lblOffset val="50"/>
        <c:noMultiLvlLbl val="0"/>
      </c:catAx>
      <c:valAx>
        <c:axId val="1498673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6491264"/>
        <c:crosses val="autoZero"/>
        <c:crossBetween val="between"/>
      </c:valAx>
      <c:valAx>
        <c:axId val="149869056"/>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4374784"/>
        <c:crosses val="max"/>
        <c:crossBetween val="between"/>
      </c:valAx>
      <c:catAx>
        <c:axId val="184374784"/>
        <c:scaling>
          <c:orientation val="minMax"/>
        </c:scaling>
        <c:delete val="1"/>
        <c:axPos val="b"/>
        <c:numFmt formatCode="General" sourceLinked="1"/>
        <c:majorTickMark val="out"/>
        <c:minorTickMark val="none"/>
        <c:tickLblPos val="nextTo"/>
        <c:crossAx val="149869056"/>
        <c:crosses val="autoZero"/>
        <c:auto val="1"/>
        <c:lblAlgn val="ctr"/>
        <c:lblOffset val="100"/>
        <c:noMultiLvlLbl val="0"/>
      </c:catAx>
      <c:spPr>
        <a:noFill/>
        <a:ln>
          <a:noFill/>
        </a:ln>
        <a:effectLst/>
      </c:spPr>
    </c:plotArea>
    <c:legend>
      <c:legendPos val="b"/>
      <c:layout>
        <c:manualLayout>
          <c:xMode val="edge"/>
          <c:yMode val="edge"/>
          <c:x val="4.5982253086419754E-2"/>
          <c:y val="0.83018090277777778"/>
          <c:w val="0.92749151234567906"/>
          <c:h val="0.1651781881697314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Теплый синий">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0521FF-6D9C-4496-AB57-EEB97E7A8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Pages>
  <Words>13559</Words>
  <Characters>77288</Characters>
  <Application>Microsoft Office Word</Application>
  <DocSecurity>0</DocSecurity>
  <Lines>644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90666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Учетная запись Майкрософт</dc:creator>
  <cp:lastModifiedBy>HedgehogPh</cp:lastModifiedBy>
  <cp:revision>2</cp:revision>
  <cp:lastPrinted>2024-06-12T10:19:00Z</cp:lastPrinted>
  <dcterms:created xsi:type="dcterms:W3CDTF">2024-06-12T10:26:00Z</dcterms:created>
  <dcterms:modified xsi:type="dcterms:W3CDTF">2024-06-12T10:26:00Z</dcterms:modified>
</cp:coreProperties>
</file>