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jc w:val="center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ОДЕСЬКИЙ НАЦІОНАЛЬНИЙ УНІВЕРСИТЕТ імені І. І. МЕЧНИКОВА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Біологічний факультет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Кафедра біохімії</w:t>
      </w:r>
    </w:p>
    <w:p w:rsidR="00AB2083" w:rsidRPr="00AB2083" w:rsidRDefault="00AB2083" w:rsidP="00AB2083">
      <w:pPr>
        <w:widowControl w:val="0"/>
        <w:suppressAutoHyphens/>
        <w:autoSpaceDN w:val="0"/>
        <w:spacing w:after="0"/>
        <w:jc w:val="center"/>
        <w:rPr>
          <w:rFonts w:ascii="Times New Roman" w:eastAsia="SimSun" w:hAnsi="Times New Roman" w:cs="Times New Roman"/>
          <w:sz w:val="28"/>
          <w:szCs w:val="28"/>
        </w:rPr>
      </w:pPr>
    </w:p>
    <w:p w:rsidR="00AB2083" w:rsidRPr="00AB2083" w:rsidRDefault="00AB2083" w:rsidP="00AB2083">
      <w:pPr>
        <w:widowControl w:val="0"/>
        <w:suppressAutoHyphens/>
        <w:autoSpaceDN w:val="0"/>
        <w:spacing w:after="0"/>
        <w:rPr>
          <w:rFonts w:ascii="Calibri" w:eastAsia="SimSun" w:hAnsi="Calibri" w:cs="Tahoma"/>
          <w:kern w:val="3"/>
          <w:sz w:val="28"/>
          <w:szCs w:val="28"/>
        </w:rPr>
      </w:pPr>
    </w:p>
    <w:p w:rsidR="00AB2083" w:rsidRPr="00AB2083" w:rsidRDefault="00AB2083" w:rsidP="00AB2083">
      <w:pPr>
        <w:widowControl w:val="0"/>
        <w:suppressAutoHyphens/>
        <w:autoSpaceDN w:val="0"/>
        <w:spacing w:after="160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SimSun" w:hAnsi="Times New Roman" w:cs="Times New Roman"/>
          <w:b/>
          <w:w w:val="150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w w:val="150"/>
          <w:kern w:val="28"/>
          <w:sz w:val="28"/>
          <w:szCs w:val="28"/>
        </w:rPr>
        <w:t>Дипломна робота</w:t>
      </w:r>
    </w:p>
    <w:p w:rsidR="00AB2083" w:rsidRPr="00AB2083" w:rsidRDefault="00AB2083" w:rsidP="00AB2083">
      <w:pPr>
        <w:widowControl w:val="0"/>
        <w:suppressAutoHyphens/>
        <w:autoSpaceDN w:val="0"/>
        <w:spacing w:after="0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28"/>
          <w:sz w:val="28"/>
          <w:szCs w:val="28"/>
          <w:lang w:val="ru-RU"/>
        </w:rPr>
        <w:t>бакалавра</w:t>
      </w:r>
    </w:p>
    <w:p w:rsidR="00AB2083" w:rsidRPr="00AB2083" w:rsidRDefault="00AB2083" w:rsidP="00AB2083">
      <w:pPr>
        <w:widowControl w:val="0"/>
        <w:suppressAutoHyphens/>
        <w:autoSpaceDN w:val="0"/>
        <w:spacing w:after="0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widowControl w:val="0"/>
        <w:suppressAutoHyphens/>
        <w:autoSpaceDN w:val="0"/>
        <w:spacing w:after="0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на тему</w:t>
      </w:r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t>: «Особливості розподілу ГАМК-</w:t>
      </w:r>
      <w:proofErr w:type="spellStart"/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t>трансамінази</w:t>
      </w:r>
      <w:proofErr w:type="spellEnd"/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t xml:space="preserve"> в відділах мозку білих щурів»</w:t>
      </w:r>
    </w:p>
    <w:p w:rsidR="00AB2083" w:rsidRPr="00AB2083" w:rsidRDefault="00AB2083" w:rsidP="00AB20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AB2083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AB2083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Special features of GABA transaminases division in the brain of white rats</w:t>
      </w:r>
      <w:r w:rsidRPr="00AB2083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AB2083" w:rsidRPr="00AB2083" w:rsidRDefault="00AB2083" w:rsidP="00AB2083">
      <w:pPr>
        <w:widowControl w:val="0"/>
        <w:suppressAutoHyphens/>
        <w:autoSpaceDN w:val="0"/>
        <w:spacing w:after="0"/>
        <w:ind w:left="-108" w:right="-108"/>
        <w:jc w:val="center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 xml:space="preserve">Виконала: студентка 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заочної форми навчання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напрям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 6.040102 Біологія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b/>
          <w:kern w:val="28"/>
          <w:sz w:val="28"/>
          <w:szCs w:val="28"/>
          <w:lang w:eastAsia="ru-RU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Нікуліна Олена Олександрівна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b/>
          <w:kern w:val="28"/>
          <w:sz w:val="28"/>
          <w:szCs w:val="28"/>
        </w:rPr>
      </w:pP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b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28"/>
          <w:sz w:val="28"/>
          <w:szCs w:val="28"/>
        </w:rPr>
        <w:t xml:space="preserve">Науковий керівник 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 xml:space="preserve">доктор  біологічних наук, професор 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Петров Сергій Анатолійович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28"/>
          <w:sz w:val="28"/>
          <w:szCs w:val="28"/>
        </w:rPr>
        <w:t>Рецензен</w:t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т: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ind w:left="414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proofErr w:type="spellStart"/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Чернічко</w:t>
      </w:r>
      <w:proofErr w:type="spellEnd"/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 xml:space="preserve"> Катерина Йосипівна</w:t>
      </w: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Calibri" w:eastAsia="SimSun" w:hAnsi="Calibri" w:cs="Tahoma"/>
          <w:kern w:val="28"/>
          <w:sz w:val="28"/>
          <w:szCs w:val="28"/>
          <w:lang w:eastAsia="ru-RU"/>
        </w:rPr>
      </w:pP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Calibri" w:eastAsia="SimSun" w:hAnsi="Calibri" w:cs="Tahoma"/>
          <w:kern w:val="28"/>
          <w:sz w:val="28"/>
          <w:szCs w:val="28"/>
        </w:rPr>
      </w:pP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Calibri" w:eastAsia="SimSun" w:hAnsi="Calibri" w:cs="Tahoma"/>
          <w:kern w:val="28"/>
          <w:sz w:val="28"/>
          <w:szCs w:val="28"/>
        </w:rPr>
      </w:pP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Рекомендовано до захисту:</w:t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ab/>
        <w:t>Захищено на засіданні ЕК № 1</w:t>
      </w: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Протокол засідання кафедри</w:t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ab/>
        <w:t>Протокол №_____від «___» _______р.</w:t>
      </w: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№_____від «___» _______р.</w:t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ab/>
        <w:t xml:space="preserve">             </w:t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 w:rsidRPr="00AB2083">
        <w:rPr>
          <w:rFonts w:ascii="Times New Roman" w:eastAsia="SimSun" w:hAnsi="Times New Roman" w:cs="Times New Roman"/>
          <w:kern w:val="28"/>
          <w:sz w:val="28"/>
          <w:szCs w:val="28"/>
          <w:vertAlign w:val="superscript"/>
        </w:rPr>
        <w:t>ЕСТS,бал</w:t>
      </w:r>
      <w:proofErr w:type="spellEnd"/>
      <w:r w:rsidRPr="00AB2083">
        <w:rPr>
          <w:rFonts w:ascii="Times New Roman" w:eastAsia="SimSun" w:hAnsi="Times New Roman" w:cs="Times New Roman"/>
          <w:kern w:val="28"/>
          <w:sz w:val="28"/>
          <w:szCs w:val="28"/>
          <w:vertAlign w:val="superscript"/>
        </w:rPr>
        <w:t>)</w:t>
      </w: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Завідувач  кафедри</w:t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ab/>
        <w:t>Голова ЕК</w:t>
      </w: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rPr>
          <w:rFonts w:ascii="Times New Roman" w:eastAsia="SimSun" w:hAnsi="Times New Roman" w:cs="Times New Roman"/>
          <w:kern w:val="28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_______            ………………..</w:t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ab/>
        <w:t>_______             ………………………..</w:t>
      </w:r>
    </w:p>
    <w:p w:rsidR="00AB2083" w:rsidRPr="00AB2083" w:rsidRDefault="00AB2083" w:rsidP="00AB2083">
      <w:pPr>
        <w:widowControl w:val="0"/>
        <w:suppressAutoHyphens/>
        <w:autoSpaceDE w:val="0"/>
        <w:autoSpaceDN w:val="0"/>
        <w:adjustRightInd w:val="0"/>
        <w:spacing w:after="0"/>
        <w:rPr>
          <w:rFonts w:ascii="Times New Roman" w:eastAsia="SimSun" w:hAnsi="Times New Roman" w:cs="Times New Roman"/>
          <w:kern w:val="28"/>
          <w:sz w:val="28"/>
          <w:szCs w:val="28"/>
          <w:vertAlign w:val="superscript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  <w:vertAlign w:val="superscript"/>
        </w:rPr>
        <w:t xml:space="preserve">     (підпис)                        </w:t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  <w:vertAlign w:val="superscript"/>
        </w:rPr>
        <w:tab/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  <w:vertAlign w:val="superscript"/>
        </w:rPr>
        <w:tab/>
      </w:r>
      <w:r w:rsidRPr="00AB2083">
        <w:rPr>
          <w:rFonts w:ascii="Times New Roman" w:eastAsia="SimSun" w:hAnsi="Times New Roman" w:cs="Times New Roman"/>
          <w:kern w:val="28"/>
          <w:sz w:val="28"/>
          <w:szCs w:val="28"/>
          <w:vertAlign w:val="superscript"/>
        </w:rPr>
        <w:tab/>
        <w:t xml:space="preserve">                              (підпис)                        </w:t>
      </w:r>
    </w:p>
    <w:p w:rsidR="00AB2083" w:rsidRPr="00AB2083" w:rsidRDefault="00AB2083" w:rsidP="00AB2083">
      <w:pPr>
        <w:widowControl w:val="0"/>
        <w:tabs>
          <w:tab w:val="left" w:pos="4678"/>
        </w:tabs>
        <w:suppressAutoHyphens/>
        <w:autoSpaceDE w:val="0"/>
        <w:autoSpaceDN w:val="0"/>
        <w:adjustRightInd w:val="0"/>
        <w:spacing w:after="0"/>
        <w:jc w:val="both"/>
        <w:rPr>
          <w:rFonts w:ascii="Times New Roman" w:eastAsia="SimSun" w:hAnsi="Times New Roman" w:cs="Times New Roman"/>
          <w:kern w:val="28"/>
          <w:sz w:val="28"/>
          <w:szCs w:val="28"/>
        </w:rPr>
      </w:pPr>
    </w:p>
    <w:p w:rsidR="00AB2083" w:rsidRPr="00AB2083" w:rsidRDefault="00AB2083" w:rsidP="00AB2083">
      <w:pPr>
        <w:widowControl w:val="0"/>
        <w:suppressAutoHyphens/>
        <w:autoSpaceDN w:val="0"/>
        <w:spacing w:after="0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28"/>
          <w:sz w:val="28"/>
          <w:szCs w:val="28"/>
        </w:rPr>
        <w:t>Одеса – 2018</w:t>
      </w:r>
    </w:p>
    <w:p w:rsidR="00AB2083" w:rsidRDefault="00AB2083" w:rsidP="00AB2083">
      <w:pPr>
        <w:widowControl w:val="0"/>
        <w:suppressAutoHyphens/>
        <w:autoSpaceDN w:val="0"/>
        <w:spacing w:after="160" w:line="24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  <w:lang w:val="ru-RU"/>
        </w:rPr>
      </w:pPr>
    </w:p>
    <w:p w:rsidR="00AB2083" w:rsidRDefault="00AB2083" w:rsidP="00AB2083">
      <w:pPr>
        <w:widowControl w:val="0"/>
        <w:suppressAutoHyphens/>
        <w:autoSpaceDN w:val="0"/>
        <w:spacing w:after="160" w:line="24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  <w:lang w:val="ru-RU"/>
        </w:rPr>
      </w:pPr>
    </w:p>
    <w:p w:rsidR="00AB2083" w:rsidRPr="00AB2083" w:rsidRDefault="00AB2083" w:rsidP="00AB2083">
      <w:pPr>
        <w:widowControl w:val="0"/>
        <w:suppressAutoHyphens/>
        <w:autoSpaceDN w:val="0"/>
        <w:spacing w:after="160" w:line="24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lastRenderedPageBreak/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42"/>
        <w:gridCol w:w="633"/>
      </w:tblGrid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ВСТУП………………………………………………………………………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4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360" w:lineRule="auto"/>
              <w:ind w:firstLine="22"/>
              <w:jc w:val="both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1.ОГЛЯД ЛІТЕРАТУРНИХ ДАНИХ……………………………………..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6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360" w:lineRule="auto"/>
              <w:ind w:left="164"/>
              <w:jc w:val="both"/>
              <w:rPr>
                <w:rFonts w:ascii="Calibri" w:eastAsia="SimSun" w:hAnsi="Calibri" w:cs="Tahoma"/>
                <w:kern w:val="3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1.1. Обмін гамма-</w:t>
            </w:r>
            <w:proofErr w:type="spellStart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аміномаслянної</w:t>
            </w:r>
            <w:proofErr w:type="spellEnd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 xml:space="preserve"> кислоти в центральний нервовій системі……………………………………………………………………..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</w:p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6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numPr>
                <w:ilvl w:val="2"/>
                <w:numId w:val="2"/>
              </w:numPr>
              <w:suppressAutoHyphens/>
              <w:autoSpaceDN w:val="0"/>
              <w:spacing w:after="0" w:line="360" w:lineRule="auto"/>
              <w:contextualSpacing/>
              <w:jc w:val="both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Шляхи утворення ГАМК в ЦНС…………………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6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numPr>
                <w:ilvl w:val="2"/>
                <w:numId w:val="2"/>
              </w:numPr>
              <w:suppressAutoHyphens/>
              <w:autoSpaceDN w:val="0"/>
              <w:spacing w:after="0" w:line="360" w:lineRule="auto"/>
              <w:contextualSpacing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proofErr w:type="spellStart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Глутаматдекарбокилазний</w:t>
            </w:r>
            <w:proofErr w:type="spellEnd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 xml:space="preserve"> шлях 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……………………………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7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numPr>
                <w:ilvl w:val="2"/>
                <w:numId w:val="2"/>
              </w:numPr>
              <w:suppressAutoHyphens/>
              <w:autoSpaceDN w:val="0"/>
              <w:spacing w:after="0" w:line="360" w:lineRule="auto"/>
              <w:contextualSpacing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proofErr w:type="spellStart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Орнітиндекарбоксилазний</w:t>
            </w:r>
            <w:proofErr w:type="spellEnd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 xml:space="preserve"> та деякі інші шляхи утворення ГАМК в організмі…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………………………………………….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</w:p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10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numPr>
                <w:ilvl w:val="2"/>
                <w:numId w:val="2"/>
              </w:numPr>
              <w:suppressAutoHyphens/>
              <w:autoSpaceDN w:val="0"/>
              <w:spacing w:after="0" w:line="360" w:lineRule="auto"/>
              <w:contextualSpacing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Метаболічні шляхи усунення ГАМК в ЦНС…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……………..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12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numPr>
                <w:ilvl w:val="2"/>
                <w:numId w:val="2"/>
              </w:numPr>
              <w:suppressAutoHyphens/>
              <w:autoSpaceDN w:val="0"/>
              <w:spacing w:after="0" w:line="360" w:lineRule="auto"/>
              <w:contextualSpacing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ГАМК-α-</w:t>
            </w:r>
            <w:proofErr w:type="spellStart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кетоглутаратамінотрансфераза</w:t>
            </w:r>
            <w:proofErr w:type="spellEnd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, її молекулярна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 xml:space="preserve"> 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структура та основні властивості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……………………………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</w:p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12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pacing w:after="0" w:line="360" w:lineRule="auto"/>
              <w:ind w:left="709" w:hanging="425"/>
              <w:contextualSpacing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1.2.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 xml:space="preserve">Розподілення ГАМК-Т в </w:t>
            </w:r>
            <w:proofErr w:type="spellStart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морфофункціональних</w:t>
            </w:r>
            <w:proofErr w:type="spellEnd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 xml:space="preserve"> утвореннях нервової системи в </w:t>
            </w:r>
            <w:proofErr w:type="spellStart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субцелюлярних</w:t>
            </w:r>
            <w:proofErr w:type="spellEnd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 xml:space="preserve"> структурах…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…………….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</w:p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15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numPr>
                <w:ilvl w:val="2"/>
                <w:numId w:val="2"/>
              </w:numPr>
              <w:suppressAutoHyphens/>
              <w:autoSpaceDN w:val="0"/>
              <w:spacing w:after="0" w:line="360" w:lineRule="auto"/>
              <w:contextualSpacing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Важливіші біологічні механізми регуляції активності ГАМК-Т в центральній нервовій системі…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………………...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</w:p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15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numPr>
                <w:ilvl w:val="2"/>
                <w:numId w:val="2"/>
              </w:numPr>
              <w:suppressAutoHyphens/>
              <w:autoSpaceDN w:val="0"/>
              <w:spacing w:after="0" w:line="360" w:lineRule="auto"/>
              <w:contextualSpacing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Інші шляхи утилізації ГАМК в центральній нервовій системі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…………………………………………………………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</w:p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16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uppressAutoHyphens/>
              <w:autoSpaceDN w:val="0"/>
              <w:spacing w:after="0" w:line="360" w:lineRule="auto"/>
              <w:ind w:left="720" w:hanging="436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1.3.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 xml:space="preserve">ГАМК як компонент регуляторних систем організму, саморегуляція </w:t>
            </w:r>
            <w:proofErr w:type="gramStart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в</w:t>
            </w:r>
            <w:proofErr w:type="gramEnd"/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 xml:space="preserve"> системі ГАМК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……………………………………..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</w:p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18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uppressAutoHyphens/>
              <w:autoSpaceDN w:val="0"/>
              <w:spacing w:after="0" w:line="36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2.МАТЕРІАЛИ ТА МЕТОДИ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…………………………………………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…..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21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uppressAutoHyphens/>
              <w:autoSpaceDN w:val="0"/>
              <w:spacing w:after="0" w:line="360" w:lineRule="auto"/>
              <w:ind w:firstLine="284"/>
              <w:jc w:val="both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2.1. Матеріали роботи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………………………………………………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21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uppressAutoHyphens/>
              <w:autoSpaceDN w:val="0"/>
              <w:spacing w:after="0" w:line="360" w:lineRule="auto"/>
              <w:ind w:firstLine="284"/>
              <w:jc w:val="both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2.2. Методи роботи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……………………………………………………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21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uppressAutoHyphens/>
              <w:autoSpaceDN w:val="0"/>
              <w:spacing w:after="0" w:line="360" w:lineRule="auto"/>
              <w:ind w:firstLine="284"/>
              <w:jc w:val="both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2.3.СТАТИСТИЧНА ОБРОБКА РЕЗУЛЬТАТІВ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……………………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…..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24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widowControl w:val="0"/>
              <w:numPr>
                <w:ilvl w:val="0"/>
                <w:numId w:val="3"/>
              </w:numPr>
              <w:suppressAutoHyphens/>
              <w:autoSpaceDN w:val="0"/>
              <w:spacing w:after="0" w:line="36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РЕЗУЛЬТАТИ ДОСЛІДЖЕНЬ ТА ЇХ ОБГОВОРЕННЯ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……………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25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uppressAutoHyphens/>
              <w:autoSpaceDN w:val="0"/>
              <w:spacing w:after="0" w:line="36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УЗАГАЛЬНЕННЯ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……………………………………………………………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39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uppressAutoHyphens/>
              <w:autoSpaceDN w:val="0"/>
              <w:spacing w:after="0" w:line="360" w:lineRule="auto"/>
              <w:jc w:val="both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ВИСНОВКИ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…………………………………………………………………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40</w:t>
            </w:r>
          </w:p>
        </w:tc>
      </w:tr>
      <w:tr w:rsidR="00AB2083" w:rsidRPr="00AB2083" w:rsidTr="002D744E">
        <w:tc>
          <w:tcPr>
            <w:tcW w:w="8712" w:type="dxa"/>
          </w:tcPr>
          <w:p w:rsidR="00AB2083" w:rsidRPr="00AB2083" w:rsidRDefault="00AB2083" w:rsidP="00AB2083">
            <w:pPr>
              <w:suppressAutoHyphens/>
              <w:autoSpaceDN w:val="0"/>
              <w:spacing w:after="0" w:line="36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СПИСОК ВИКОРИСТАНОЇ ЛІТЕРАТУРИ</w:t>
            </w: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……………………………….</w:t>
            </w:r>
          </w:p>
        </w:tc>
        <w:tc>
          <w:tcPr>
            <w:tcW w:w="633" w:type="dxa"/>
          </w:tcPr>
          <w:p w:rsidR="00AB2083" w:rsidRPr="00AB2083" w:rsidRDefault="00AB2083" w:rsidP="00AB2083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</w:pPr>
            <w:r w:rsidRPr="00AB2083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en-US"/>
              </w:rPr>
              <w:t>41</w:t>
            </w:r>
          </w:p>
        </w:tc>
      </w:tr>
    </w:tbl>
    <w:p w:rsidR="00AB2083" w:rsidRPr="00AB2083" w:rsidRDefault="00AB2083" w:rsidP="00AB2083">
      <w:pPr>
        <w:widowControl w:val="0"/>
        <w:suppressAutoHyphens/>
        <w:autoSpaceDN w:val="0"/>
        <w:spacing w:after="160" w:line="240" w:lineRule="auto"/>
        <w:rPr>
          <w:rFonts w:ascii="Calibri" w:eastAsia="SimSun" w:hAnsi="Calibri" w:cs="Tahoma"/>
          <w:kern w:val="3"/>
        </w:rPr>
      </w:pPr>
    </w:p>
    <w:p w:rsidR="00AB2083" w:rsidRPr="00AB2083" w:rsidRDefault="00AB2083" w:rsidP="00AB2083">
      <w:pPr>
        <w:widowControl w:val="0"/>
        <w:suppressAutoHyphens/>
        <w:autoSpaceDN w:val="0"/>
        <w:spacing w:after="0"/>
        <w:rPr>
          <w:rFonts w:ascii="Calibri" w:eastAsia="SimSun" w:hAnsi="Calibri" w:cs="Tahoma"/>
          <w:kern w:val="3"/>
          <w:sz w:val="24"/>
          <w:szCs w:val="24"/>
        </w:rPr>
      </w:pPr>
    </w:p>
    <w:p w:rsidR="00AB2083" w:rsidRPr="00AB2083" w:rsidRDefault="00AB2083" w:rsidP="00AB2083">
      <w:pPr>
        <w:widowControl w:val="0"/>
        <w:suppressAutoHyphens/>
        <w:autoSpaceDN w:val="0"/>
        <w:spacing w:after="0"/>
        <w:rPr>
          <w:rFonts w:ascii="Calibri" w:eastAsia="SimSun" w:hAnsi="Calibri" w:cs="Tahoma"/>
          <w:kern w:val="3"/>
          <w:sz w:val="24"/>
          <w:szCs w:val="24"/>
        </w:rPr>
      </w:pPr>
    </w:p>
    <w:p w:rsidR="00AB2083" w:rsidRDefault="00AB2083" w:rsidP="00AB2083">
      <w:pPr>
        <w:suppressAutoHyphens/>
        <w:autoSpaceDN w:val="0"/>
        <w:spacing w:after="0" w:line="360" w:lineRule="auto"/>
        <w:ind w:firstLine="709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  <w:lang w:val="ru-RU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lastRenderedPageBreak/>
        <w:t>АНОТАЦІЯ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Calibri" w:eastAsia="SimSun" w:hAnsi="Calibri" w:cs="Tahoma"/>
          <w:kern w:val="3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Дослідження з вивчення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субцелюлярної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локалізації ГАМК-амінотрансферази вмістом ГАМК та ГЛ в корі, мозочку, стовбурової частини головного мозку щурів проводились на кафедрі біохімії Одеського національного університету ім. І. І. Мечникова. Робота виконана на 75 щурах лінії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Вістар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Встановлені розбіжності ГАМК-амінотрансферази в залежності від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субцелюлярної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локалізації та досліджуваних відділів головного мозку щурів. Встановлені також розбіжності вмісту амінокислот в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субцелюлярних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фракціях досліджених відділів. Отримані дані проаналізовані з точки зору розбіжності в інтенсивності обміну і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компартменталізації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компонентів системи ГАМК.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Робота викладена на 43 сторінках друкованого тексту, ілюстрована 4 таблицями, 4 рисунками. Список літератури включає 37 джерел, з них 19 зарубіжних.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i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i/>
          <w:kern w:val="3"/>
          <w:sz w:val="28"/>
          <w:szCs w:val="28"/>
        </w:rPr>
        <w:t xml:space="preserve">Ключові слова: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субцелюлярна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 xml:space="preserve">, ГАМК,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трансферази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, амінокислоти</w:t>
      </w:r>
    </w:p>
    <w:p w:rsidR="00AB2083" w:rsidRPr="00AB2083" w:rsidRDefault="00AB2083" w:rsidP="00AB2083">
      <w:pPr>
        <w:suppressAutoHyphens/>
        <w:autoSpaceDN w:val="0"/>
        <w:spacing w:after="16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t>SUMMARY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8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Studies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subcellular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localization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GA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BA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aminotransferase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containing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GA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BA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and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GL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cortex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,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cerebellum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,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and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stem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parts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brain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rats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were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conducted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at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Department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Biochemistry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Odessa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National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University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. I. I.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Mechnikov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work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was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performed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75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Wistar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rats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Differences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G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ABA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aminotransferase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were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established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,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depending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subcellular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localization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and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investigated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brain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regions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rats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Also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established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differences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content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amino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acids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subcellular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fractions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investigated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departments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obtained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data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are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analyzed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from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point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view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differences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intensity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exchange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and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compartmentization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components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GA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BA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system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8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work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outlined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43 p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ages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the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printed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text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,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illustrated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with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4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tables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,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4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figures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References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include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37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sources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,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of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which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1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9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are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foreign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.</w:t>
      </w:r>
    </w:p>
    <w:p w:rsidR="00AB2083" w:rsidRPr="00AB2083" w:rsidRDefault="00AB2083" w:rsidP="00AB2083">
      <w:pPr>
        <w:suppressAutoHyphens/>
        <w:autoSpaceDN w:val="0"/>
        <w:spacing w:after="160" w:line="360" w:lineRule="auto"/>
        <w:jc w:val="both"/>
        <w:rPr>
          <w:rFonts w:ascii="Times New Roman" w:eastAsia="SimSun" w:hAnsi="Times New Roman" w:cs="Times New Roman"/>
          <w:b/>
          <w:i/>
          <w:kern w:val="3"/>
          <w:sz w:val="28"/>
          <w:szCs w:val="28"/>
        </w:rPr>
      </w:pPr>
      <w:proofErr w:type="spellStart"/>
      <w:r w:rsidRPr="00AB2083">
        <w:rPr>
          <w:rFonts w:ascii="Times New Roman" w:eastAsia="SimSun" w:hAnsi="Times New Roman" w:cs="Times New Roman"/>
          <w:b/>
          <w:i/>
          <w:kern w:val="3"/>
          <w:sz w:val="28"/>
          <w:szCs w:val="28"/>
        </w:rPr>
        <w:t>Keywords</w:t>
      </w:r>
      <w:proofErr w:type="spellEnd"/>
      <w:r w:rsidRPr="00AB2083">
        <w:rPr>
          <w:rFonts w:ascii="Times New Roman" w:eastAsia="SimSun" w:hAnsi="Times New Roman" w:cs="Times New Roman"/>
          <w:b/>
          <w:i/>
          <w:kern w:val="3"/>
          <w:sz w:val="28"/>
          <w:szCs w:val="28"/>
        </w:rPr>
        <w:t xml:space="preserve">: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subcellular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, G</w:t>
      </w: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ABA</w:t>
      </w: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 xml:space="preserve">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transferase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 xml:space="preserve">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amino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acids</w:t>
      </w:r>
      <w:proofErr w:type="spellEnd"/>
    </w:p>
    <w:p w:rsidR="00AB2083" w:rsidRPr="00AB2083" w:rsidRDefault="00AB2083" w:rsidP="00AB2083">
      <w:pPr>
        <w:widowControl w:val="0"/>
        <w:suppressAutoHyphens/>
        <w:autoSpaceDN w:val="0"/>
        <w:spacing w:after="0"/>
        <w:rPr>
          <w:rFonts w:ascii="Calibri" w:eastAsia="SimSun" w:hAnsi="Calibri" w:cs="Tahoma"/>
          <w:kern w:val="3"/>
          <w:sz w:val="24"/>
          <w:szCs w:val="24"/>
        </w:rPr>
      </w:pPr>
    </w:p>
    <w:p w:rsidR="00AB2083" w:rsidRPr="00AB2083" w:rsidRDefault="00AB2083" w:rsidP="00AB2083">
      <w:pPr>
        <w:pageBreakBefore/>
        <w:suppressAutoHyphens/>
        <w:autoSpaceDN w:val="0"/>
        <w:spacing w:after="0" w:line="360" w:lineRule="auto"/>
        <w:ind w:firstLine="709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lastRenderedPageBreak/>
        <w:t>ВСТУП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Система обміну ГАМК, в ЦНС, як відомо, функціонує як альтернативний шлях метаболізму, роль якого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заключається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одночасно в продукції і усуненні універсального гальмівного медіатору ЦНС – ГАМК.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В той же час, питання про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шунтуючу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роль системи ГАМК по відношенню циклу Кребса та взаємопов’язане з ним питання про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субцелюлярну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локалізацію і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компартменталізацію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схеми ГАМК не може вважатися вирішеним. Відомі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протиречиві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точки зору відносно локалізації компонентів схеми ГАМК в мітохондріях недостатньо розроблена проблема регуляції схеми ГАМК і питання про відносну біохімічну топографії компонентів цієї схеми в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субцелюлярних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структурах різних відділів мозку. В той же час, детальне розглядання цих питань виявляється необхідною умовою для подальшого розуміння механізмів метаболічного контролю схеми метаболізму ГАМК, і врешті решт, для розроблення ефективних підходів направленого впливу цієї схеми з врахуванням природніх механізмів її саморегуляції. В даній роботі перед нами була поставлена мета вивчити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субцелюлярне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розподілення деяких компонентів схеми ГАМК в трьох відділах головного мозку: корі,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мозжечку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, стовбурі та обговорити специфіку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компартменталізації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і функціонування ГАМК-шунта в цих відділах мозку, що відрізняються по структурі та функції.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>Предмет дослідження: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ГАМК-амінотрансферази.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</w:rPr>
        <w:t xml:space="preserve">Об’єкт дослідження: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Розподіл ГАМК-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трансфераз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в відділах головного мозку.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Для досягнення поставленої мети нами вирішувались наступні задачі:</w:t>
      </w:r>
    </w:p>
    <w:p w:rsidR="00AB2083" w:rsidRPr="00AB2083" w:rsidRDefault="00AB2083" w:rsidP="00AB2083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Визначити активність ГАМК-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трансаміназ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в відділах головного мозку.</w:t>
      </w:r>
    </w:p>
    <w:p w:rsidR="00AB2083" w:rsidRPr="00AB2083" w:rsidRDefault="00AB2083" w:rsidP="00AB2083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Порівняти показники вмісту ГАМК-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трансаміназ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в різних відділах головного мозку.</w:t>
      </w:r>
    </w:p>
    <w:p w:rsidR="00AB2083" w:rsidRPr="00AB2083" w:rsidRDefault="00AB2083" w:rsidP="00AB2083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Дослідити концентрацію ГАМК в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мітохондріальній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та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постмітохондріальній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фракціях тканин головного мозку.</w:t>
      </w:r>
    </w:p>
    <w:p w:rsidR="00AB2083" w:rsidRPr="00AB2083" w:rsidRDefault="00AB2083" w:rsidP="00AB2083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Порівняти концентрацію ГАМК в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мітохондріальній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та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позамітохондріальних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фракціях.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lastRenderedPageBreak/>
        <w:t>При цьому основну увагу приділяли ферменту утилізації ГАМК-α-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кетоглутараттрансаміназі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(ГАМК-Т), який відіграє основну роль в забезпеченні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шунтуючої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функції при метаболізмі ГАМК.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Враховуючи рівноважний характер ГАМК-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трансаміназної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реакції, отримані дані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співставлялись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з вмістом субстратів (ГАМК та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глутамату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) у відповідних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субцелюлярних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фракціях нервової тканини.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Такий підхід дозволяє зробити обґрунтовані припущення і заключення, що стосуються регуляції схеми ГАМК в ЦНС ссавців та, зокрема, щурів лінії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Вістар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.</w:t>
      </w:r>
    </w:p>
    <w:p w:rsidR="008B5DC6" w:rsidRDefault="008B5DC6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Default="00AB2083">
      <w:pPr>
        <w:rPr>
          <w:lang w:val="ru-RU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lastRenderedPageBreak/>
        <w:t>УЗАГАЛЬНЕННЯ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Отримані в даній роботі результати можна розглядати як один з етапів в комплексі досліджень, направлених на уточнення вкладу ГАМК-шунта в енергетичний метаболізм мозку та розробку теорії метаболічного контролю цього шляху обміну. Зрозуміло, що рішення цієї великої задачі потребує виконання всіх необхідних умов, що передують побудові теорії метаболічного контролю.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В нашій роботі зроблена спроба оцінити різницю у функціонуванні ГАМК-шунта у відділах головного мозку, що сильно відрізняються один від одного, що на наш погляд, допомагає у виявленні специфічних механізмів регуляції обміну. Особливо багато питань виникає при обговоренні ролі нейронів та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глії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та їх роздільному внеску в досліджуваний метаболічний процес. Нам не вдалось отримати конкретні прямі результати, що дають відповідь на це питання. Однак, вивчаючи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субцелюлярну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локалізацію та залучаючи до обговорення представлення про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компартменталізацію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ферментів у нервовій тканині можна висунути припущення відносно специфіки роботи ГАМК-шунта в нейронах та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глії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. Положення сильно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ускладнюється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нашими недостатніми знаннями про кількісні співвідношення між нейронами та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глією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в різних відділах мозку.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Відомо, що для виявлення точних біохімічних механізмів функціонування клітини необхідні різносторонні методичні підходи. Вірогідно, у відношенні нервових клітин, це положення є особливо важливим. Ми припускаємо, що подальші перспективи розвитку досліджень у вибраному напрямі зв’язано з роздільним вивченням нейронів та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глії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на біохімічному та гістохімічному рівнях з широким залученням даних про субклітинну морфологію нервової системи.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t xml:space="preserve">                                                         ВИСНОВКИ</w:t>
      </w:r>
    </w:p>
    <w:p w:rsidR="00AB2083" w:rsidRPr="00AB2083" w:rsidRDefault="00AB2083" w:rsidP="00AB2083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Мозочок відрізняється більш  високою активністю ГАМК-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трансамінази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, ніж кора, та найменшим рівнем ГАМК, що узгоджується між собою.</w:t>
      </w:r>
    </w:p>
    <w:p w:rsidR="00AB2083" w:rsidRPr="00AB2083" w:rsidRDefault="00AB2083" w:rsidP="00AB2083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При розрахунку на 1 мг білку, ГАМК-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трансаміназна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активність в мозочку, корі та стовбурі на 85% сконцентрована в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мітохондріальній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фракції та на 15% - в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постмітохондріальному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супернатанті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.</w:t>
      </w:r>
    </w:p>
    <w:p w:rsidR="00AB2083" w:rsidRPr="00AB2083" w:rsidRDefault="00AB2083" w:rsidP="00AB2083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При розрахунку на мітохондрії та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постмітохондріальну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фракцію із 1 г вихідної тканини виявляється приблизно рівне розподілення ГАМК-Т між фракціями, при цьому стає очевидним, що переважання активності ГАМК-Т в мозочку обумовлене високою активністю її в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позамітохондріальному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компартменті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.</w:t>
      </w:r>
    </w:p>
    <w:p w:rsidR="00AB2083" w:rsidRPr="00AB2083" w:rsidRDefault="00AB2083" w:rsidP="00AB2083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У всіх досліджуваних відділах мозку концентрація ГАМК найбільш висока у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позамітохондріальному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компартменті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, в мітохондріях її вміст на порядок нижче, тому можна припустити, що в мітохондріях ГАМК знаходиться в постійному кругообігу та не накопичується у великій концентрації. Рівень ГЛ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підчиняється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тій же закономірності.</w:t>
      </w:r>
    </w:p>
    <w:p w:rsidR="00AB2083" w:rsidRPr="00AB2083" w:rsidRDefault="00AB2083" w:rsidP="00AB2083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Висока концентрація ГАМК в мітохондріях мозочку, значне переважання ГАМК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трансаміназної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активності </w:t>
      </w:r>
      <w:proofErr w:type="spellStart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>постмітохондріальному</w:t>
      </w:r>
      <w:proofErr w:type="spellEnd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>супернатанті</w:t>
      </w:r>
      <w:proofErr w:type="spellEnd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 xml:space="preserve"> в порівнянні з корою дозволяє висунути припущення, що в </w:t>
      </w:r>
      <w:proofErr w:type="spellStart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>мозжечку</w:t>
      </w:r>
      <w:proofErr w:type="spellEnd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 xml:space="preserve"> ГАМК-</w:t>
      </w:r>
      <w:proofErr w:type="spellStart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>трансаміназа</w:t>
      </w:r>
      <w:proofErr w:type="spellEnd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 xml:space="preserve"> найбільш </w:t>
      </w:r>
      <w:proofErr w:type="spellStart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>інтенсивно</w:t>
      </w:r>
      <w:proofErr w:type="spellEnd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 xml:space="preserve"> функціонує у </w:t>
      </w:r>
      <w:proofErr w:type="spellStart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>позамітохондріальному</w:t>
      </w:r>
      <w:proofErr w:type="spellEnd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>компартменті</w:t>
      </w:r>
      <w:proofErr w:type="spellEnd"/>
      <w:r w:rsidRPr="00AB2083">
        <w:rPr>
          <w:rFonts w:ascii="Times New Roman" w:eastAsia="SimSun" w:hAnsi="Times New Roman" w:cs="Times New Roman"/>
          <w:bCs/>
          <w:kern w:val="3"/>
          <w:sz w:val="28"/>
          <w:szCs w:val="28"/>
        </w:rPr>
        <w:t>. Про це свідчить і високий вміст ГАМК в мітохондріях мозочку в порівнянні з корою та стовбуром.</w:t>
      </w: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AB2083" w:rsidRPr="00AB2083" w:rsidRDefault="00AB2083" w:rsidP="00AB2083">
      <w:pPr>
        <w:suppressAutoHyphens/>
        <w:autoSpaceDN w:val="0"/>
        <w:spacing w:after="0" w:line="360" w:lineRule="auto"/>
        <w:jc w:val="center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AB2083">
        <w:rPr>
          <w:rFonts w:ascii="Times New Roman" w:eastAsia="SimSun" w:hAnsi="Times New Roman" w:cs="Times New Roman"/>
          <w:b/>
          <w:kern w:val="3"/>
          <w:sz w:val="28"/>
          <w:szCs w:val="28"/>
        </w:rPr>
        <w:lastRenderedPageBreak/>
        <w:t>СПИСОК ВИКОРИСТАНОЇ ЛІТЕРАТУРИ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Вулаев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В.М.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Итог наук и техники. Фармакология.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Химиотерапевтически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средства.// Москва. – В.13, с. 101-184.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Гладких В. Д., Колосова Н. А.,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Лошадкин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Н. А.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Особенности токсического действия ГАМК-антагонистов "клеточной" структуры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норборнанового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ряда //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Токсикол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вестн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 – 1995. – №2. – с.10-14.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Головко А. И., Головко С. И., Зефиров С. Ю., Софронов Г. А.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Токсикология ГАМК-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литиков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 – СПб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.: "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Нива". – 1996. – 141 с.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Головко А. И., Иванов М. Б.,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Свидерский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О. А. и др.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Механизмы формирования повышенной судорожной готовности при интоксикации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норборнаном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//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Бюл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эксперим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 биологии и медицины. – 1998. – Т.125. – №6. - с. 653-556.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Гомазков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О. А.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Нейрохимия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ишемических и возрастных патологий мозга /Информационно-аналитическое издание. – М. – 2003.- 2000 С.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Дубицкий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А.Е., Беляев А.В.. Рыжий СМ</w:t>
      </w:r>
      <w:proofErr w:type="gram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.. </w:t>
      </w:r>
      <w:proofErr w:type="spellStart"/>
      <w:proofErr w:type="gram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Воликовская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ЕВ.,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Щегелъский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 Д.А.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Клиническа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хирургия. –1992. –№ 6. – с. 53-57.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Иванов М. Б.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Механизмы формирования повышенной судорожной готовности при интоксикации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норборнаном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//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Дисс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 … канд. мед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н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аук. – СПб. – 1998.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− 158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с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Козловский А.В., Лелевич В.В..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Виницкая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А.Г.,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Максимчук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В.П.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Медицинские новости. –2000. – № 2. – с. 34-36.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Лелевич В.В.,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Виницкая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А.Г., Дорошенко Е.М., Нефедов Л.И.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Нейрохимия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 –2000. –Т. 17. –с. 202-206.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Мишунина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Т. М., Большова О. В., Самсон О. Я., Кононенко В. Я.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Физиологический журнал. – 1997. –Т.43. –№1-2. – с. 64-69.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Мишунина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Т. М., Кононенко В. Я., Комиссаренко И. В.,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Лучицкий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Е. В.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lastRenderedPageBreak/>
        <w:t>Проблемы  эндокринологию. –1998. – Т. 37. – №4. – с. 28-31.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Нидервайзер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А.,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Патаки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Дж.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Новый метод анализ аминокислот, пептидов и белков. М.: Мир. –1974. – 315 с.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after="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Про захист тварин від жорстокого поводження : Закон України № 3447-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IV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 в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i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д 21.02.2006 р. / Верховна Рада України [Електронний ресурс].–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Режимдоступу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: </w:t>
      </w:r>
      <w:hyperlink r:id="rId6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  <w:lang w:val="ru-RU"/>
          </w:rPr>
          <w:t>http</w:t>
        </w:r>
      </w:hyperlink>
      <w:hyperlink r:id="rId7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</w:rPr>
          <w:t>://</w:t>
        </w:r>
      </w:hyperlink>
      <w:hyperlink r:id="rId8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  <w:lang w:val="ru-RU"/>
          </w:rPr>
          <w:t>zakon</w:t>
        </w:r>
      </w:hyperlink>
      <w:hyperlink r:id="rId9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</w:rPr>
          <w:t>.</w:t>
        </w:r>
      </w:hyperlink>
      <w:hyperlink r:id="rId10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  <w:lang w:val="ru-RU"/>
          </w:rPr>
          <w:t>rada</w:t>
        </w:r>
      </w:hyperlink>
      <w:hyperlink r:id="rId11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</w:rPr>
          <w:t>.</w:t>
        </w:r>
      </w:hyperlink>
      <w:hyperlink r:id="rId12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  <w:lang w:val="ru-RU"/>
          </w:rPr>
          <w:t>gov</w:t>
        </w:r>
      </w:hyperlink>
      <w:hyperlink r:id="rId13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</w:rPr>
          <w:t>.</w:t>
        </w:r>
      </w:hyperlink>
      <w:hyperlink r:id="rId14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  <w:lang w:val="ru-RU"/>
          </w:rPr>
          <w:t>ua</w:t>
        </w:r>
      </w:hyperlink>
      <w:hyperlink r:id="rId15" w:history="1">
        <w:r w:rsidRPr="00AB2083">
          <w:rPr>
            <w:rFonts w:ascii="Times New Roman" w:eastAsia="SimSun" w:hAnsi="Times New Roman" w:cs="Times New Roman"/>
            <w:color w:val="0000FF"/>
            <w:kern w:val="3"/>
            <w:u w:val="single" w:color="000000"/>
          </w:rPr>
          <w:t>/</w:t>
        </w:r>
      </w:hyperlink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cgibin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/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laws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/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main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cgi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?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nreg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>= 3447-15.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tabs>
          <w:tab w:val="left" w:pos="7054"/>
        </w:tabs>
        <w:suppressAutoHyphens/>
        <w:autoSpaceDN w:val="0"/>
        <w:spacing w:after="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color w:val="231F20"/>
          <w:kern w:val="3"/>
          <w:sz w:val="28"/>
          <w:szCs w:val="28"/>
          <w:lang w:val="ru-RU"/>
        </w:rPr>
        <w:t>Рокицкий</w:t>
      </w:r>
      <w:proofErr w:type="spellEnd"/>
      <w:r w:rsidRPr="00AB2083">
        <w:rPr>
          <w:rFonts w:ascii="Times New Roman" w:eastAsia="SimSun" w:hAnsi="Times New Roman" w:cs="Times New Roman"/>
          <w:i/>
          <w:color w:val="231F20"/>
          <w:kern w:val="3"/>
          <w:sz w:val="28"/>
          <w:szCs w:val="28"/>
          <w:lang w:val="ru-RU"/>
        </w:rPr>
        <w:t xml:space="preserve"> П.Ф.</w:t>
      </w:r>
      <w:r w:rsidRPr="00AB2083">
        <w:rPr>
          <w:rFonts w:ascii="Times New Roman" w:eastAsia="SimSun" w:hAnsi="Times New Roman" w:cs="Times New Roman"/>
          <w:color w:val="231F20"/>
          <w:kern w:val="3"/>
          <w:sz w:val="28"/>
          <w:szCs w:val="28"/>
          <w:lang w:val="ru-RU"/>
        </w:rPr>
        <w:t xml:space="preserve"> ( 1967) Биологическая </w:t>
      </w:r>
      <w:proofErr w:type="spellStart"/>
      <w:r w:rsidRPr="00AB2083">
        <w:rPr>
          <w:rFonts w:ascii="Times New Roman" w:eastAsia="SimSun" w:hAnsi="Times New Roman" w:cs="Times New Roman"/>
          <w:color w:val="231F20"/>
          <w:kern w:val="3"/>
          <w:sz w:val="28"/>
          <w:szCs w:val="28"/>
          <w:lang w:val="ru-RU"/>
        </w:rPr>
        <w:t>статистика</w:t>
      </w:r>
      <w:proofErr w:type="gramStart"/>
      <w:r w:rsidRPr="00AB2083">
        <w:rPr>
          <w:rFonts w:ascii="Times New Roman" w:eastAsia="SimSun" w:hAnsi="Times New Roman" w:cs="Times New Roman"/>
          <w:color w:val="231F20"/>
          <w:kern w:val="3"/>
          <w:sz w:val="28"/>
          <w:szCs w:val="28"/>
          <w:lang w:val="ru-RU"/>
        </w:rPr>
        <w:t>,В</w:t>
      </w:r>
      <w:proofErr w:type="gramEnd"/>
      <w:r w:rsidRPr="00AB2083">
        <w:rPr>
          <w:rFonts w:ascii="Times New Roman" w:eastAsia="SimSun" w:hAnsi="Times New Roman" w:cs="Times New Roman"/>
          <w:color w:val="231F20"/>
          <w:kern w:val="3"/>
          <w:sz w:val="28"/>
          <w:szCs w:val="28"/>
          <w:lang w:val="ru-RU"/>
        </w:rPr>
        <w:t>ысш</w:t>
      </w:r>
      <w:proofErr w:type="spellEnd"/>
      <w:r w:rsidRPr="00AB2083">
        <w:rPr>
          <w:rFonts w:ascii="Times New Roman" w:eastAsia="SimSun" w:hAnsi="Times New Roman" w:cs="Times New Roman"/>
          <w:color w:val="231F20"/>
          <w:kern w:val="3"/>
          <w:sz w:val="28"/>
          <w:szCs w:val="28"/>
          <w:lang w:val="ru-RU"/>
        </w:rPr>
        <w:t>. школа, Минск.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Розанов</w:t>
      </w:r>
      <w:proofErr w:type="gram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В</w:t>
      </w:r>
      <w:proofErr w:type="gram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А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 Успехи современной биологии. –1989. – Т. 107. – № 3. С.375-391.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Розанов</w:t>
      </w:r>
      <w:proofErr w:type="gram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В</w:t>
      </w:r>
      <w:proofErr w:type="gram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А..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Карпович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Л. А, Сергеева О. Н.,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Копелевич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В. М.,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Гунар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В. И.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Вопросы медицинской химии. – 2002. –№ 8. –с. 29-33.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Сафаров М. И.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Украинский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.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б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иохимический. Журнал. –2000. – Т. 72. – с. 77-81.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tabs>
          <w:tab w:val="left" w:pos="7054"/>
        </w:tabs>
        <w:suppressAutoHyphens/>
        <w:autoSpaceDN w:val="0"/>
        <w:spacing w:after="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Северин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 xml:space="preserve"> С. Е.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 xml:space="preserve"> Практикум по биохимии// Изд-во МГУ. 1986. С. 162.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Beani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 L,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Bianch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 C,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Ferror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о</w:t>
      </w: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L,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Morari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M,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Simonato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M.,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Spalluio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G,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Tanganelli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S.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J.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Pharmacol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. Exp.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Ther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–1991. – № 2. –p. 472-476.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Beck </w:t>
      </w:r>
      <w:proofErr w:type="gram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Т</w:t>
      </w: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.,</w:t>
      </w:r>
      <w:proofErr w:type="gram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Wenzel S.,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Kuschinsky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K.,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Kriege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-Stein S.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Brain Res. –1998. – № 2. –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р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205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-213.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Dahchour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A., De Witte P.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Pharmacol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Biochem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Behav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–2000. – V. 65. – p. 345-350.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De Boer Th.,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Bruinvels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J.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J.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Neurochem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–1999. –V. 28. – p. 471-478.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Haerfely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W.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The biological basis of benzodiazepine action // J. Psychoactive Drugs. – 1983. – Vol. 15. – № 1-2. – p.19-39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Hassel B.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Johannessen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</w:t>
      </w: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ru-RU"/>
        </w:rPr>
        <w:t>С</w:t>
      </w: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. U.,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Sonnewald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U.,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Fonnum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F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J.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Neurochem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–1998. –V. 71. – p. 1511-1518.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lastRenderedPageBreak/>
        <w:t xml:space="preserve">Ito M.,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Suda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S.,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Namba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H., Sokoloff L, Kennedy C.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J. Cerebral. Blood Flow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Metab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.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–  1983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–V. 36. – p. 73-74.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Kanunnikova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N. P.,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Vinitskaya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A. G.,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Doroshenko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Ye. M.,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Zimatkin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S. M.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Addict. Biol. –1997.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–  №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2. –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p.57-66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Kreek M.J.,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Koob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G.F.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Drug and Alcohol Dependence. –1998. – V. 51 –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</w:rPr>
        <w:t xml:space="preserve">р.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23-47.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Lowry O. H.,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Rozenbrough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N. J., Farr A. L, Randall R.J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J. Biol. Chem. – 1951.  –V. 193. – p. 265-275.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Matos F Fatima,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Rollema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Hans,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Taiwo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Yetunde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O., Levine Jon D.,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Basbaum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A.I.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Brain Res. –1998. – № 1-2. –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р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187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-195.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Ono J.,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Vieth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R. F.,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Walson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P. D.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Electrocorticographical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observation of seizures induced by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pentylenetetrazol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(PTZ)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ingection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in rats //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Funct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Neurol. – 1990. – V.5. – № 4. –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р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345-352.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Shank R.R, Leo G. C.,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Zielke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H. R.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J.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Neurochem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–1993. – V. 61. –p. 315-323.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Sharif N. A.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Multiple synaptic receptors for neuroactive amino acid transmitters – new vistas //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Int.Rev.Neurobiol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. – Orlando etc. –1985. – Vol.26. – 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р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.85- 150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Sibson N. R,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Dhankhar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A., Mason G. E, Rothman D. L, Behar K. L, Shulman R. G.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Proc. Natl. Acad. Sci. USA. –1998. –V. 95. –p. 316-321.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Waagepetersen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H. S.,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Sonnewald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F., Larsson O. M.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Shousboe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A.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J.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Neurosci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Res. –1999. –V. 57. – № 3. – p. 342-249.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Waagepetersen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H.S.,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Sonnewald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U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. </w:t>
      </w:r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Larsson O. M.,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Schousboe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A.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Neurochem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 Internal. – 2000. –V. 36. –p. 349-358.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ru-RU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Westergaard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N.,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Sonnewald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U.,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Schousboe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A.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Dev.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Neurosci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. –1995. –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V.17(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4). – p. 203-211.</w:t>
      </w:r>
    </w:p>
    <w:p w:rsidR="00AB2083" w:rsidRPr="00AB2083" w:rsidRDefault="00AB2083" w:rsidP="00AB2083">
      <w:pPr>
        <w:widowControl w:val="0"/>
        <w:numPr>
          <w:ilvl w:val="0"/>
          <w:numId w:val="5"/>
        </w:numPr>
        <w:suppressAutoHyphens/>
        <w:autoSpaceDN w:val="0"/>
        <w:spacing w:before="240" w:after="160" w:line="360" w:lineRule="auto"/>
        <w:jc w:val="both"/>
        <w:rPr>
          <w:rFonts w:ascii="Calibri" w:eastAsia="SimSun" w:hAnsi="Calibri" w:cs="Tahoma"/>
          <w:kern w:val="3"/>
          <w:lang w:val="en-US"/>
        </w:rPr>
      </w:pP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lastRenderedPageBreak/>
        <w:t>Yukhananov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R.,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Rebrov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I., </w:t>
      </w:r>
      <w:proofErr w:type="spellStart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>Tennila</w:t>
      </w:r>
      <w:proofErr w:type="spellEnd"/>
      <w:r w:rsidRPr="00AB2083">
        <w:rPr>
          <w:rFonts w:ascii="Times New Roman" w:eastAsia="SimSun" w:hAnsi="Times New Roman" w:cs="Times New Roman"/>
          <w:i/>
          <w:kern w:val="3"/>
          <w:sz w:val="28"/>
          <w:szCs w:val="28"/>
          <w:lang w:val="en-US"/>
        </w:rPr>
        <w:t xml:space="preserve"> T. et al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. Effect of ethanol and DSIP on the 36Cl flux in </w:t>
      </w:r>
      <w:proofErr w:type="spell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synaptosomal</w:t>
      </w:r>
      <w:proofErr w:type="spell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vesicles // Molecular and chemical neuropathology. – 1991. – T.15. – </w:t>
      </w:r>
      <w:proofErr w:type="gramStart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  <w:t>р</w:t>
      </w:r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.235-248</w:t>
      </w:r>
      <w:proofErr w:type="gramEnd"/>
      <w:r w:rsidRPr="00AB2083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.</w:t>
      </w:r>
    </w:p>
    <w:p w:rsidR="00AB2083" w:rsidRPr="00AB2083" w:rsidRDefault="00AB2083">
      <w:pPr>
        <w:rPr>
          <w:lang w:val="en-US"/>
        </w:rPr>
      </w:pPr>
      <w:bookmarkStart w:id="0" w:name="_GoBack"/>
      <w:bookmarkEnd w:id="0"/>
    </w:p>
    <w:sectPr w:rsidR="00AB2083" w:rsidRPr="00AB208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B6D60"/>
    <w:multiLevelType w:val="multilevel"/>
    <w:tmpl w:val="845075D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">
    <w:nsid w:val="16474E95"/>
    <w:multiLevelType w:val="multilevel"/>
    <w:tmpl w:val="D610BCE2"/>
    <w:lvl w:ilvl="0">
      <w:start w:val="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">
    <w:nsid w:val="246D2978"/>
    <w:multiLevelType w:val="hybridMultilevel"/>
    <w:tmpl w:val="D82E0D20"/>
    <w:lvl w:ilvl="0" w:tplc="7DF6B92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40F83E28"/>
    <w:multiLevelType w:val="multilevel"/>
    <w:tmpl w:val="9DDEF36C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4">
    <w:nsid w:val="5BA7504B"/>
    <w:multiLevelType w:val="multilevel"/>
    <w:tmpl w:val="CFE2B2CA"/>
    <w:lvl w:ilvl="0">
      <w:start w:val="1"/>
      <w:numFmt w:val="decimal"/>
      <w:lvlText w:val="%1."/>
      <w:lvlJc w:val="left"/>
      <w:pPr>
        <w:ind w:left="675" w:hanging="67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EE7"/>
    <w:rsid w:val="00136EE7"/>
    <w:rsid w:val="008B5DC6"/>
    <w:rsid w:val="00AB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" TargetMode="External"/><Relationship Id="rId13" Type="http://schemas.openxmlformats.org/officeDocument/2006/relationships/hyperlink" Target="http://zakon.rada.gov.ua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zakon.rada.gov.ua/" TargetMode="External"/><Relationship Id="rId12" Type="http://schemas.openxmlformats.org/officeDocument/2006/relationships/hyperlink" Target="http://zakon.rada.gov.ua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" TargetMode="External"/><Relationship Id="rId11" Type="http://schemas.openxmlformats.org/officeDocument/2006/relationships/hyperlink" Target="http://zakon.rada.gov.u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.rada.gov.ua/" TargetMode="External"/><Relationship Id="rId10" Type="http://schemas.openxmlformats.org/officeDocument/2006/relationships/hyperlink" Target="http://zakon.rada.gov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.rada.gov.ua/" TargetMode="External"/><Relationship Id="rId14" Type="http://schemas.openxmlformats.org/officeDocument/2006/relationships/hyperlink" Target="http://zakon.rada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9027</Words>
  <Characters>5146</Characters>
  <Application>Microsoft Office Word</Application>
  <DocSecurity>0</DocSecurity>
  <Lines>42</Lines>
  <Paragraphs>28</Paragraphs>
  <ScaleCrop>false</ScaleCrop>
  <Company/>
  <LinksUpToDate>false</LinksUpToDate>
  <CharactersWithSpaces>14145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2018-10-25T09:23:00Z</dcterms:created>
  <dcterms:modified xsi:type="dcterms:W3CDTF">2018-10-25T09:24:00Z</dcterms:modified>
</cp:coreProperties>
</file>