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>ОДЕСЬКИЙ НАЦІОНАЛЬНИЙ УНІВЕРСИТЕТ імені І. І. МЕЧНИКОВА</w:t>
      </w: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>Біологічний факультет</w:t>
      </w: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</w:pP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>Кафедра фізіології людини та тварин</w:t>
      </w: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</w:pPr>
    </w:p>
    <w:p w:rsidR="004D6BBD" w:rsidRPr="004D6BBD" w:rsidRDefault="004D6BBD" w:rsidP="004D6BBD">
      <w:pPr>
        <w:widowControl w:val="0"/>
        <w:tabs>
          <w:tab w:val="left" w:pos="4159"/>
        </w:tabs>
        <w:autoSpaceDE w:val="0"/>
        <w:autoSpaceDN w:val="0"/>
        <w:adjustRightInd w:val="0"/>
        <w:spacing w:after="0"/>
        <w:ind w:firstLine="720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ab/>
      </w: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Calibri" w:hAnsi="Times New Roman" w:cs="Times New Roman"/>
          <w:b/>
          <w:kern w:val="28"/>
          <w:sz w:val="32"/>
          <w:szCs w:val="32"/>
        </w:rPr>
      </w:pPr>
      <w:r w:rsidRPr="004D6BBD">
        <w:rPr>
          <w:rFonts w:ascii="Times New Roman" w:eastAsia="Calibri" w:hAnsi="Times New Roman" w:cs="Times New Roman"/>
          <w:b/>
          <w:kern w:val="28"/>
          <w:sz w:val="32"/>
          <w:szCs w:val="32"/>
        </w:rPr>
        <w:t>Дипломна робота</w:t>
      </w: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4D6BBD">
        <w:rPr>
          <w:rFonts w:ascii="Times New Roman" w:eastAsia="Calibri" w:hAnsi="Times New Roman" w:cs="Times New Roman"/>
          <w:b/>
          <w:kern w:val="28"/>
          <w:sz w:val="28"/>
          <w:szCs w:val="28"/>
        </w:rPr>
        <w:t>на здобуття ступеня вищої освіти «магістр»</w:t>
      </w: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/>
        <w:ind w:firstLine="720"/>
        <w:rPr>
          <w:rFonts w:ascii="Times New Roman" w:eastAsia="Calibri" w:hAnsi="Times New Roman" w:cs="Times New Roman"/>
          <w:b/>
          <w:sz w:val="28"/>
          <w:szCs w:val="28"/>
        </w:rPr>
      </w:pP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/>
        <w:ind w:firstLine="720"/>
        <w:rPr>
          <w:rFonts w:ascii="Times New Roman" w:eastAsia="Calibri" w:hAnsi="Times New Roman" w:cs="Times New Roman"/>
          <w:b/>
          <w:sz w:val="28"/>
          <w:szCs w:val="28"/>
        </w:rPr>
      </w:pP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/>
        <w:ind w:firstLine="720"/>
        <w:rPr>
          <w:rFonts w:ascii="Times New Roman" w:eastAsia="Calibri" w:hAnsi="Times New Roman" w:cs="Times New Roman"/>
          <w:b/>
          <w:sz w:val="28"/>
          <w:szCs w:val="28"/>
        </w:rPr>
      </w:pP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4D6BBD">
        <w:rPr>
          <w:rFonts w:ascii="Times New Roman" w:eastAsia="Calibri" w:hAnsi="Times New Roman" w:cs="Times New Roman"/>
          <w:sz w:val="28"/>
          <w:szCs w:val="28"/>
        </w:rPr>
        <w:t>на тему</w:t>
      </w:r>
      <w:r w:rsidRPr="004D6BBD">
        <w:rPr>
          <w:rFonts w:ascii="Times New Roman" w:eastAsia="Calibri" w:hAnsi="Times New Roman" w:cs="Times New Roman"/>
          <w:b/>
          <w:sz w:val="28"/>
          <w:szCs w:val="28"/>
        </w:rPr>
        <w:t xml:space="preserve">: «Антимікробна функція печінки на тлі розвитку </w:t>
      </w:r>
      <w:proofErr w:type="spellStart"/>
      <w:r w:rsidRPr="004D6BBD">
        <w:rPr>
          <w:rFonts w:ascii="Times New Roman" w:eastAsia="Calibri" w:hAnsi="Times New Roman" w:cs="Times New Roman"/>
          <w:b/>
          <w:sz w:val="28"/>
          <w:szCs w:val="28"/>
        </w:rPr>
        <w:t>дисбіозу</w:t>
      </w:r>
      <w:proofErr w:type="spellEnd"/>
      <w:r w:rsidRPr="004D6BBD">
        <w:rPr>
          <w:rFonts w:ascii="Times New Roman" w:eastAsia="Calibri" w:hAnsi="Times New Roman" w:cs="Times New Roman"/>
          <w:b/>
          <w:sz w:val="28"/>
          <w:szCs w:val="28"/>
        </w:rPr>
        <w:t xml:space="preserve"> та гепатиту»</w:t>
      </w:r>
    </w:p>
    <w:p w:rsidR="004D6BBD" w:rsidRPr="004D6BBD" w:rsidRDefault="004D6BBD" w:rsidP="004D6BBD">
      <w:pPr>
        <w:widowControl w:val="0"/>
        <w:tabs>
          <w:tab w:val="left" w:pos="1056"/>
          <w:tab w:val="center" w:pos="5037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4D6BBD">
        <w:rPr>
          <w:rFonts w:ascii="Times New Roman" w:eastAsia="Calibri" w:hAnsi="Times New Roman" w:cs="Times New Roman"/>
          <w:sz w:val="24"/>
          <w:szCs w:val="24"/>
        </w:rPr>
        <w:t>«</w:t>
      </w:r>
      <w:proofErr w:type="spellStart"/>
      <w:r w:rsidRPr="004D6BBD">
        <w:rPr>
          <w:rFonts w:ascii="Times New Roman" w:eastAsia="Calibri" w:hAnsi="Times New Roman" w:cs="Times New Roman"/>
          <w:sz w:val="24"/>
          <w:szCs w:val="24"/>
        </w:rPr>
        <w:t>Antimicrobial</w:t>
      </w:r>
      <w:proofErr w:type="spellEnd"/>
      <w:r w:rsidRPr="004D6B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4"/>
          <w:szCs w:val="24"/>
        </w:rPr>
        <w:t>function</w:t>
      </w:r>
      <w:proofErr w:type="spellEnd"/>
      <w:r w:rsidRPr="004D6B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4"/>
          <w:szCs w:val="24"/>
        </w:rPr>
        <w:t>of</w:t>
      </w:r>
      <w:proofErr w:type="spellEnd"/>
      <w:r w:rsidRPr="004D6B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4"/>
          <w:szCs w:val="24"/>
        </w:rPr>
        <w:t>the</w:t>
      </w:r>
      <w:proofErr w:type="spellEnd"/>
      <w:r w:rsidRPr="004D6B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4"/>
          <w:szCs w:val="24"/>
        </w:rPr>
        <w:t>liver</w:t>
      </w:r>
      <w:proofErr w:type="spellEnd"/>
      <w:r w:rsidRPr="004D6B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4"/>
          <w:szCs w:val="24"/>
        </w:rPr>
        <w:t>in</w:t>
      </w:r>
      <w:proofErr w:type="spellEnd"/>
      <w:r w:rsidRPr="004D6B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4"/>
          <w:szCs w:val="24"/>
        </w:rPr>
        <w:t>the</w:t>
      </w:r>
      <w:proofErr w:type="spellEnd"/>
      <w:r w:rsidRPr="004D6B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4"/>
          <w:szCs w:val="24"/>
        </w:rPr>
        <w:t>progression</w:t>
      </w:r>
      <w:proofErr w:type="spellEnd"/>
      <w:r w:rsidRPr="004D6B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4"/>
          <w:szCs w:val="24"/>
        </w:rPr>
        <w:t>of</w:t>
      </w:r>
      <w:proofErr w:type="spellEnd"/>
      <w:r w:rsidRPr="004D6B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4"/>
          <w:szCs w:val="24"/>
        </w:rPr>
        <w:t>dysbiosis</w:t>
      </w:r>
      <w:proofErr w:type="spellEnd"/>
      <w:r w:rsidRPr="004D6B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4"/>
          <w:szCs w:val="24"/>
        </w:rPr>
        <w:t>and</w:t>
      </w:r>
      <w:proofErr w:type="spellEnd"/>
      <w:r w:rsidRPr="004D6B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4"/>
          <w:szCs w:val="24"/>
        </w:rPr>
        <w:t>hepatitis</w:t>
      </w:r>
      <w:proofErr w:type="spellEnd"/>
      <w:r w:rsidRPr="004D6BBD">
        <w:rPr>
          <w:rFonts w:ascii="Times New Roman" w:eastAsia="Calibri" w:hAnsi="Times New Roman" w:cs="Times New Roman"/>
          <w:sz w:val="24"/>
          <w:szCs w:val="24"/>
        </w:rPr>
        <w:t>»</w:t>
      </w: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/>
        <w:ind w:left="3828"/>
        <w:rPr>
          <w:rFonts w:ascii="Times New Roman" w:eastAsia="Calibri" w:hAnsi="Times New Roman" w:cs="Times New Roman"/>
          <w:sz w:val="28"/>
          <w:szCs w:val="28"/>
        </w:rPr>
      </w:pP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 xml:space="preserve">Виконала: студентка денної </w:t>
      </w:r>
      <w:r w:rsidRPr="004D6BBD">
        <w:rPr>
          <w:rFonts w:ascii="Times New Roman" w:eastAsia="Calibri" w:hAnsi="Times New Roman" w:cs="Times New Roman"/>
          <w:sz w:val="28"/>
          <w:szCs w:val="28"/>
        </w:rPr>
        <w:t>форми навчання</w:t>
      </w: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/>
        <w:ind w:left="3828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D6BBD">
        <w:rPr>
          <w:rFonts w:ascii="Times New Roman" w:eastAsia="Calibri" w:hAnsi="Times New Roman" w:cs="Times New Roman"/>
          <w:sz w:val="28"/>
          <w:szCs w:val="28"/>
        </w:rPr>
        <w:t>Спеціальність 091 Біологія</w:t>
      </w: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</w:t>
      </w:r>
    </w:p>
    <w:p w:rsidR="004D6BBD" w:rsidRPr="004D6BBD" w:rsidRDefault="004D6BBD" w:rsidP="004D6BBD">
      <w:pPr>
        <w:spacing w:after="0"/>
        <w:ind w:firstLine="3828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4D6BBD">
        <w:rPr>
          <w:rFonts w:ascii="Times New Roman" w:eastAsia="Calibri" w:hAnsi="Times New Roman" w:cs="Times New Roman"/>
          <w:b/>
          <w:sz w:val="28"/>
          <w:szCs w:val="28"/>
        </w:rPr>
        <w:t>Євтодій</w:t>
      </w:r>
      <w:proofErr w:type="spellEnd"/>
      <w:r w:rsidRPr="004D6BBD">
        <w:rPr>
          <w:rFonts w:ascii="Times New Roman" w:eastAsia="Calibri" w:hAnsi="Times New Roman" w:cs="Times New Roman"/>
          <w:b/>
          <w:sz w:val="28"/>
          <w:szCs w:val="28"/>
        </w:rPr>
        <w:t xml:space="preserve"> Марина Вікторівна</w:t>
      </w:r>
    </w:p>
    <w:p w:rsidR="004D6BBD" w:rsidRPr="004D6BBD" w:rsidRDefault="004D6BBD" w:rsidP="004D6BBD">
      <w:pPr>
        <w:tabs>
          <w:tab w:val="left" w:pos="5245"/>
          <w:tab w:val="right" w:pos="9355"/>
        </w:tabs>
        <w:spacing w:after="0"/>
        <w:ind w:left="3828"/>
        <w:rPr>
          <w:rFonts w:ascii="Times New Roman" w:eastAsia="Calibri" w:hAnsi="Times New Roman" w:cs="Times New Roman"/>
          <w:sz w:val="28"/>
          <w:szCs w:val="28"/>
        </w:rPr>
      </w:pPr>
    </w:p>
    <w:p w:rsidR="004D6BBD" w:rsidRPr="004D6BBD" w:rsidRDefault="004D6BBD" w:rsidP="004D6BBD">
      <w:pPr>
        <w:tabs>
          <w:tab w:val="left" w:pos="5245"/>
          <w:tab w:val="right" w:pos="9355"/>
        </w:tabs>
        <w:spacing w:after="0"/>
        <w:ind w:left="3828"/>
        <w:rPr>
          <w:rFonts w:ascii="Times New Roman" w:eastAsia="Calibri" w:hAnsi="Times New Roman" w:cs="Times New Roman"/>
          <w:sz w:val="28"/>
          <w:szCs w:val="28"/>
        </w:rPr>
      </w:pP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Керівник: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к.б.н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>., доц.</w:t>
      </w:r>
    </w:p>
    <w:p w:rsidR="004D6BBD" w:rsidRPr="004D6BBD" w:rsidRDefault="004D6BBD" w:rsidP="004D6BBD">
      <w:pPr>
        <w:tabs>
          <w:tab w:val="left" w:pos="5245"/>
          <w:tab w:val="right" w:pos="9355"/>
        </w:tabs>
        <w:spacing w:after="0"/>
        <w:ind w:left="3828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4D6BBD">
        <w:rPr>
          <w:rFonts w:ascii="Times New Roman" w:eastAsia="Calibri" w:hAnsi="Times New Roman" w:cs="Times New Roman"/>
          <w:b/>
          <w:sz w:val="28"/>
          <w:szCs w:val="28"/>
        </w:rPr>
        <w:t>Майкова</w:t>
      </w:r>
      <w:proofErr w:type="spellEnd"/>
      <w:r w:rsidRPr="004D6BBD">
        <w:rPr>
          <w:rFonts w:ascii="Times New Roman" w:eastAsia="Calibri" w:hAnsi="Times New Roman" w:cs="Times New Roman"/>
          <w:b/>
          <w:sz w:val="28"/>
          <w:szCs w:val="28"/>
        </w:rPr>
        <w:t xml:space="preserve"> Ганна Вікторівна</w:t>
      </w:r>
    </w:p>
    <w:p w:rsidR="004D6BBD" w:rsidRPr="004D6BBD" w:rsidRDefault="004D6BBD" w:rsidP="004D6BBD">
      <w:pPr>
        <w:tabs>
          <w:tab w:val="left" w:pos="5245"/>
          <w:tab w:val="right" w:pos="9355"/>
        </w:tabs>
        <w:spacing w:after="0"/>
        <w:ind w:left="3828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D6BBD" w:rsidRPr="004D6BBD" w:rsidRDefault="004D6BBD" w:rsidP="004D6BBD">
      <w:pPr>
        <w:tabs>
          <w:tab w:val="left" w:pos="5245"/>
          <w:tab w:val="right" w:pos="9355"/>
        </w:tabs>
        <w:spacing w:after="0"/>
        <w:ind w:left="3828"/>
        <w:rPr>
          <w:rFonts w:ascii="Times New Roman" w:eastAsia="Calibri" w:hAnsi="Times New Roman" w:cs="Times New Roman"/>
          <w:sz w:val="28"/>
          <w:szCs w:val="28"/>
        </w:rPr>
      </w:pP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Рецензент: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к.б.н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>., доц.</w:t>
      </w:r>
    </w:p>
    <w:p w:rsidR="004D6BBD" w:rsidRPr="004D6BBD" w:rsidRDefault="004D6BBD" w:rsidP="004D6BBD">
      <w:pPr>
        <w:tabs>
          <w:tab w:val="left" w:pos="5245"/>
          <w:tab w:val="right" w:pos="9355"/>
        </w:tabs>
        <w:spacing w:after="0"/>
        <w:ind w:left="3828"/>
        <w:rPr>
          <w:rFonts w:ascii="Times New Roman" w:eastAsia="Calibri" w:hAnsi="Times New Roman" w:cs="Times New Roman"/>
          <w:b/>
          <w:sz w:val="28"/>
          <w:szCs w:val="28"/>
        </w:rPr>
      </w:pPr>
      <w:r w:rsidRPr="004D6BBD">
        <w:rPr>
          <w:rFonts w:ascii="Times New Roman" w:eastAsia="Calibri" w:hAnsi="Times New Roman" w:cs="Times New Roman"/>
          <w:b/>
          <w:sz w:val="28"/>
          <w:szCs w:val="28"/>
        </w:rPr>
        <w:t>Зінченко Оксана Юріївна</w:t>
      </w:r>
    </w:p>
    <w:p w:rsidR="004D6BBD" w:rsidRPr="004D6BBD" w:rsidRDefault="004D6BBD" w:rsidP="004D6BBD">
      <w:pPr>
        <w:tabs>
          <w:tab w:val="left" w:pos="5245"/>
          <w:tab w:val="right" w:pos="9355"/>
        </w:tabs>
        <w:spacing w:after="0"/>
        <w:ind w:left="3828"/>
        <w:rPr>
          <w:rFonts w:ascii="Times New Roman" w:eastAsia="Calibri" w:hAnsi="Times New Roman" w:cs="Times New Roman"/>
          <w:b/>
          <w:sz w:val="28"/>
          <w:szCs w:val="28"/>
        </w:rPr>
      </w:pPr>
    </w:p>
    <w:p w:rsidR="004D6BBD" w:rsidRPr="004D6BBD" w:rsidRDefault="004D6BBD" w:rsidP="004D6BBD">
      <w:pPr>
        <w:tabs>
          <w:tab w:val="left" w:pos="5245"/>
          <w:tab w:val="right" w:pos="9355"/>
        </w:tabs>
        <w:spacing w:after="0"/>
        <w:ind w:left="3828"/>
        <w:rPr>
          <w:rFonts w:ascii="Times New Roman" w:eastAsia="Calibri" w:hAnsi="Times New Roman" w:cs="Times New Roman"/>
          <w:sz w:val="28"/>
          <w:szCs w:val="28"/>
        </w:rPr>
      </w:pP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/>
        <w:ind w:firstLine="720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4D6BBD" w:rsidRPr="004D6BBD" w:rsidRDefault="004D6BBD" w:rsidP="004D6BB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>Рекомендовано до захисту:</w:t>
      </w: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ab/>
        <w:t>Захищено на засіданні ЕК № ____</w:t>
      </w:r>
    </w:p>
    <w:p w:rsidR="004D6BBD" w:rsidRPr="004D6BBD" w:rsidRDefault="004D6BBD" w:rsidP="004D6BB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>Протокол засідання кафедри</w:t>
      </w: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ab/>
        <w:t>Протокол №___від «__» ______2018 р.</w:t>
      </w:r>
    </w:p>
    <w:p w:rsidR="004D6BBD" w:rsidRPr="004D6BBD" w:rsidRDefault="004D6BBD" w:rsidP="004D6BB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>№__від «__»___________2018р.</w:t>
      </w: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ab/>
        <w:t>Оцінка _____/ ________/__________</w:t>
      </w:r>
    </w:p>
    <w:p w:rsidR="004D6BBD" w:rsidRPr="004D6BBD" w:rsidRDefault="004D6BBD" w:rsidP="004D6BB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0"/>
          <w:szCs w:val="20"/>
        </w:rPr>
      </w:pPr>
      <w:r w:rsidRPr="004D6BBD">
        <w:rPr>
          <w:rFonts w:ascii="Times New Roman" w:eastAsia="Calibri" w:hAnsi="Times New Roman" w:cs="Times New Roman"/>
          <w:kern w:val="28"/>
          <w:sz w:val="20"/>
          <w:szCs w:val="20"/>
        </w:rPr>
        <w:tab/>
        <w:t xml:space="preserve"> </w:t>
      </w:r>
      <w:r w:rsidRPr="004D6BBD">
        <w:rPr>
          <w:rFonts w:ascii="Times New Roman" w:eastAsia="Calibri" w:hAnsi="Times New Roman" w:cs="Times New Roman"/>
          <w:kern w:val="28"/>
          <w:sz w:val="20"/>
          <w:szCs w:val="20"/>
          <w:vertAlign w:val="superscript"/>
        </w:rPr>
        <w:t xml:space="preserve">(за національною шкалою, шкалою </w:t>
      </w:r>
      <w:proofErr w:type="spellStart"/>
      <w:r w:rsidRPr="004D6BBD">
        <w:rPr>
          <w:rFonts w:ascii="Times New Roman" w:eastAsia="Calibri" w:hAnsi="Times New Roman" w:cs="Times New Roman"/>
          <w:kern w:val="28"/>
          <w:sz w:val="20"/>
          <w:szCs w:val="20"/>
          <w:vertAlign w:val="superscript"/>
        </w:rPr>
        <w:t>ЕСТS,бал</w:t>
      </w:r>
      <w:proofErr w:type="spellEnd"/>
      <w:r w:rsidRPr="004D6BBD">
        <w:rPr>
          <w:rFonts w:ascii="Times New Roman" w:eastAsia="Calibri" w:hAnsi="Times New Roman" w:cs="Times New Roman"/>
          <w:kern w:val="28"/>
          <w:sz w:val="20"/>
          <w:szCs w:val="20"/>
          <w:vertAlign w:val="superscript"/>
        </w:rPr>
        <w:t>)</w:t>
      </w:r>
    </w:p>
    <w:p w:rsidR="004D6BBD" w:rsidRPr="004D6BBD" w:rsidRDefault="004D6BBD" w:rsidP="004D6BB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>Завідувач кафедри</w:t>
      </w: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ab/>
        <w:t>Голова ЕК</w:t>
      </w:r>
    </w:p>
    <w:p w:rsidR="004D6BBD" w:rsidRPr="004D6BBD" w:rsidRDefault="004D6BBD" w:rsidP="004D6BB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>_______ ____</w:t>
      </w:r>
      <w:r w:rsidRPr="004D6BBD">
        <w:rPr>
          <w:rFonts w:ascii="Times New Roman" w:eastAsia="Calibri" w:hAnsi="Times New Roman" w:cs="Times New Roman"/>
          <w:kern w:val="28"/>
          <w:sz w:val="28"/>
          <w:szCs w:val="28"/>
          <w:u w:val="single"/>
        </w:rPr>
        <w:t>Макаренко О. А.</w:t>
      </w: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 xml:space="preserve">_ </w:t>
      </w: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ab/>
        <w:t>_________</w:t>
      </w:r>
      <w:r w:rsidRPr="004D6BBD">
        <w:rPr>
          <w:rFonts w:ascii="Times New Roman" w:eastAsia="Calibri" w:hAnsi="Times New Roman" w:cs="Times New Roman"/>
          <w:kern w:val="28"/>
          <w:sz w:val="28"/>
          <w:szCs w:val="28"/>
          <w:u w:val="single"/>
        </w:rPr>
        <w:t>.</w:t>
      </w: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>__________</w:t>
      </w:r>
      <w:r w:rsidRPr="004D6BBD">
        <w:rPr>
          <w:rFonts w:ascii="Times New Roman" w:eastAsia="Calibri" w:hAnsi="Times New Roman" w:cs="Times New Roman"/>
          <w:kern w:val="28"/>
          <w:sz w:val="28"/>
          <w:szCs w:val="28"/>
          <w:u w:val="single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kern w:val="28"/>
          <w:sz w:val="28"/>
          <w:szCs w:val="28"/>
          <w:u w:val="single"/>
        </w:rPr>
        <w:t>Чеботар</w:t>
      </w:r>
      <w:proofErr w:type="spellEnd"/>
      <w:r w:rsidRPr="004D6BBD">
        <w:rPr>
          <w:rFonts w:ascii="Times New Roman" w:eastAsia="Calibri" w:hAnsi="Times New Roman" w:cs="Times New Roman"/>
          <w:kern w:val="28"/>
          <w:sz w:val="28"/>
          <w:szCs w:val="28"/>
          <w:u w:val="single"/>
        </w:rPr>
        <w:t xml:space="preserve"> С. В.</w:t>
      </w: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0"/>
          <w:szCs w:val="20"/>
          <w:vertAlign w:val="superscript"/>
        </w:rPr>
      </w:pPr>
      <w:r w:rsidRPr="004D6BBD">
        <w:rPr>
          <w:rFonts w:ascii="Times New Roman" w:eastAsia="Calibri" w:hAnsi="Times New Roman" w:cs="Times New Roman"/>
          <w:kern w:val="28"/>
          <w:sz w:val="20"/>
          <w:szCs w:val="20"/>
          <w:vertAlign w:val="superscript"/>
        </w:rPr>
        <w:t>(підпис) (прізвище та ініціали)</w:t>
      </w:r>
      <w:r w:rsidRPr="004D6BBD">
        <w:rPr>
          <w:rFonts w:ascii="Times New Roman" w:eastAsia="Calibri" w:hAnsi="Times New Roman" w:cs="Times New Roman"/>
          <w:kern w:val="28"/>
          <w:sz w:val="20"/>
          <w:szCs w:val="20"/>
          <w:vertAlign w:val="superscript"/>
        </w:rPr>
        <w:tab/>
      </w:r>
      <w:r w:rsidRPr="004D6BBD">
        <w:rPr>
          <w:rFonts w:ascii="Times New Roman" w:eastAsia="Calibri" w:hAnsi="Times New Roman" w:cs="Times New Roman"/>
          <w:kern w:val="28"/>
          <w:sz w:val="20"/>
          <w:szCs w:val="20"/>
          <w:vertAlign w:val="superscript"/>
        </w:rPr>
        <w:tab/>
      </w:r>
      <w:r w:rsidRPr="004D6BBD">
        <w:rPr>
          <w:rFonts w:ascii="Times New Roman" w:eastAsia="Calibri" w:hAnsi="Times New Roman" w:cs="Times New Roman"/>
          <w:kern w:val="28"/>
          <w:sz w:val="20"/>
          <w:szCs w:val="20"/>
          <w:vertAlign w:val="superscript"/>
        </w:rPr>
        <w:tab/>
        <w:t xml:space="preserve"> (підпис)  (прізвище та ініціали)</w:t>
      </w:r>
    </w:p>
    <w:p w:rsidR="004D6BBD" w:rsidRPr="004D6BBD" w:rsidRDefault="004D6BBD" w:rsidP="004D6BBD">
      <w:pPr>
        <w:spacing w:after="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4D6BBD" w:rsidRPr="004D6BBD" w:rsidRDefault="004D6BBD" w:rsidP="004D6BBD">
      <w:pPr>
        <w:spacing w:after="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4D6BBD" w:rsidRPr="004D6BBD" w:rsidRDefault="004D6BBD" w:rsidP="004D6BB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4D6BBD">
        <w:rPr>
          <w:rFonts w:ascii="Times New Roman" w:eastAsia="Calibri" w:hAnsi="Times New Roman" w:cs="Times New Roman"/>
          <w:kern w:val="28"/>
          <w:sz w:val="28"/>
          <w:szCs w:val="28"/>
        </w:rPr>
        <w:t>Одеса - 2018</w:t>
      </w:r>
      <w:r w:rsidRPr="004D6BBD">
        <w:rPr>
          <w:rFonts w:ascii="Times New Roman" w:eastAsia="Calibri" w:hAnsi="Times New Roman" w:cs="Times New Roman"/>
          <w:b/>
          <w:sz w:val="28"/>
          <w:szCs w:val="28"/>
        </w:rPr>
        <w:br w:type="page"/>
      </w:r>
    </w:p>
    <w:p w:rsidR="004D6BBD" w:rsidRPr="004D6BBD" w:rsidRDefault="004D6BBD" w:rsidP="004D6BB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4D6BBD">
        <w:rPr>
          <w:rFonts w:ascii="Calibri" w:eastAsia="Calibri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F98E1E" wp14:editId="11CDF9C1">
                <wp:simplePos x="0" y="0"/>
                <wp:positionH relativeFrom="column">
                  <wp:posOffset>5812155</wp:posOffset>
                </wp:positionH>
                <wp:positionV relativeFrom="paragraph">
                  <wp:posOffset>-368300</wp:posOffset>
                </wp:positionV>
                <wp:extent cx="160020" cy="232410"/>
                <wp:effectExtent l="1905" t="3175" r="0" b="2540"/>
                <wp:wrapNone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" cy="232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457.65pt;margin-top:-29pt;width:12.6pt;height:18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" stroked="f"/>
            </w:pict>
          </mc:Fallback>
        </mc:AlternateContent>
      </w:r>
      <w:r w:rsidRPr="004D6BBD">
        <w:rPr>
          <w:rFonts w:ascii="Times New Roman" w:eastAsia="Calibri" w:hAnsi="Times New Roman" w:cs="Times New Roman"/>
          <w:b/>
          <w:sz w:val="28"/>
          <w:szCs w:val="28"/>
        </w:rPr>
        <w:t>АНОТАЦІЯ</w:t>
      </w:r>
    </w:p>
    <w:p w:rsidR="004D6BBD" w:rsidRPr="004D6BBD" w:rsidRDefault="004D6BBD" w:rsidP="004D6BB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Досліджували активність ферментів у печінці, ворітній та порожній венах щурів на тлі розвитку гепатиту,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дисбіозу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та за сумісної патології.</w:t>
      </w:r>
    </w:p>
    <w:p w:rsidR="004D6BBD" w:rsidRPr="004D6BBD" w:rsidRDefault="004D6BBD" w:rsidP="004D6BB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Виявлено, що при розвитку гепатиту спостерігалось  руйнування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гепатоцитів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, про що свідчить підвищення активності лужної фосфатази,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еластази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в печінці, сироватці ворітної та порожньої вен.  При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дисбіозі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було посилення розвитку умовно-патогенної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мікробіоти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, про що свідчить підвищення активності уреази. При одночасному розвитку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дисбіозу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та гепатиту  ці зміни були більш вираженими.  Після проходження крові через печінку на тлі патології спостерігалось зниження її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детоксикаційної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та антимікробної функції.</w:t>
      </w:r>
    </w:p>
    <w:p w:rsidR="004D6BBD" w:rsidRPr="004D6BBD" w:rsidRDefault="004D6BBD" w:rsidP="004D6BB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D6BBD">
        <w:rPr>
          <w:rFonts w:ascii="Times New Roman" w:eastAsia="Calibri" w:hAnsi="Times New Roman" w:cs="Times New Roman"/>
          <w:sz w:val="28"/>
          <w:szCs w:val="28"/>
        </w:rPr>
        <w:t>Роботу викладено на 53 сторінках, вона містить 6 таблиць та 5 рисунків. Наведено посилання на 68 джерел літератури (43 кирилицею та 25 латиницею).</w:t>
      </w:r>
    </w:p>
    <w:p w:rsidR="004D6BBD" w:rsidRPr="004D6BBD" w:rsidRDefault="004D6BBD" w:rsidP="004D6BBD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4D6BBD">
        <w:rPr>
          <w:rFonts w:ascii="Times New Roman" w:eastAsia="Calibri" w:hAnsi="Times New Roman" w:cs="Times New Roman"/>
          <w:b/>
          <w:sz w:val="28"/>
          <w:szCs w:val="28"/>
        </w:rPr>
        <w:t>Ключові слова: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ворітна вена, порожня вена, лужна фосфатаза,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</w:rPr>
        <w:t>аланінамінотрансфераза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, уреаза, лізоцим,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</w:rPr>
        <w:t>еластаза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</w:p>
    <w:p w:rsidR="004D6BBD" w:rsidRPr="004D6BBD" w:rsidRDefault="004D6BBD" w:rsidP="004D6BBD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4D6BBD">
        <w:rPr>
          <w:rFonts w:ascii="Times New Roman" w:eastAsia="Calibri" w:hAnsi="Times New Roman" w:cs="Times New Roman"/>
          <w:b/>
          <w:sz w:val="28"/>
          <w:szCs w:val="28"/>
        </w:rPr>
        <w:t>SUMMARY</w:t>
      </w:r>
    </w:p>
    <w:p w:rsidR="004D6BBD" w:rsidRPr="004D6BBD" w:rsidRDefault="004D6BBD" w:rsidP="004D6BBD">
      <w:pPr>
        <w:ind w:firstLine="708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activity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investigated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enzymes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liver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portal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empty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veins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rats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under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development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hepatitis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dysbiosis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co-morbidity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was investigated. </w:t>
      </w:r>
    </w:p>
    <w:p w:rsidR="004D6BBD" w:rsidRPr="004D6BBD" w:rsidRDefault="004D6BBD" w:rsidP="004D6BBD">
      <w:pPr>
        <w:ind w:firstLine="708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It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was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revealed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that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at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development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hepatitis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destruction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hepatocytes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was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observed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as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evidenced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by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an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increase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activity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alkaline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phosphatase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elastase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liver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serum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portal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empty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veins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dysbiosis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enterocyte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damage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was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observed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development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opportunistic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microbiota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is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increased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as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evidenced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by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increased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urease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elastase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activity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increased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elastase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activity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>.</w:t>
      </w:r>
    </w:p>
    <w:p w:rsidR="004D6BBD" w:rsidRPr="004D6BBD" w:rsidRDefault="004D6BBD" w:rsidP="004D6BBD">
      <w:pPr>
        <w:ind w:firstLine="708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These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changes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were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more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pronounced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with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simultaneous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development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dysbiosis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hepatitis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There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was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decrease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its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detoxification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antimicrobial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function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fter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passage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blood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through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liver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background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pathology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>.</w:t>
      </w:r>
    </w:p>
    <w:p w:rsidR="004D6BBD" w:rsidRPr="004D6BBD" w:rsidRDefault="004D6BBD" w:rsidP="004D6BBD">
      <w:pPr>
        <w:rPr>
          <w:rFonts w:ascii="Times New Roman" w:eastAsia="Calibri" w:hAnsi="Times New Roman" w:cs="Times New Roman"/>
          <w:sz w:val="28"/>
          <w:szCs w:val="28"/>
        </w:rPr>
      </w:pPr>
      <w:r w:rsidRPr="004D6BBD">
        <w:rPr>
          <w:rFonts w:ascii="Times New Roman" w:eastAsia="Times New Roman" w:hAnsi="Times New Roman" w:cs="Times New Roman"/>
          <w:sz w:val="28"/>
          <w:lang w:val="en-US"/>
        </w:rPr>
        <w:t>Diploma thesis is expounded on</w:t>
      </w:r>
      <w:r w:rsidRPr="004D6BBD">
        <w:rPr>
          <w:rFonts w:ascii="Times New Roman" w:eastAsia="Times New Roman" w:hAnsi="Times New Roman" w:cs="Times New Roman"/>
          <w:sz w:val="28"/>
        </w:rPr>
        <w:t xml:space="preserve"> 53 </w:t>
      </w:r>
      <w:r w:rsidRPr="004D6BBD">
        <w:rPr>
          <w:rFonts w:ascii="Times New Roman" w:eastAsia="Times New Roman" w:hAnsi="Times New Roman" w:cs="Times New Roman"/>
          <w:sz w:val="28"/>
          <w:lang w:val="en-US"/>
        </w:rPr>
        <w:t xml:space="preserve">pages; it contains </w:t>
      </w:r>
      <w:r w:rsidRPr="004D6BBD">
        <w:rPr>
          <w:rFonts w:ascii="Times New Roman" w:eastAsia="Times New Roman" w:hAnsi="Times New Roman" w:cs="Times New Roman"/>
          <w:sz w:val="28"/>
        </w:rPr>
        <w:t>6</w:t>
      </w:r>
      <w:r w:rsidRPr="004D6BBD">
        <w:rPr>
          <w:rFonts w:ascii="Times New Roman" w:eastAsia="Times New Roman" w:hAnsi="Times New Roman" w:cs="Times New Roman"/>
          <w:sz w:val="28"/>
          <w:lang w:val="en-US"/>
        </w:rPr>
        <w:t xml:space="preserve"> tables and </w:t>
      </w:r>
      <w:r w:rsidRPr="004D6BBD">
        <w:rPr>
          <w:rFonts w:ascii="Times New Roman" w:eastAsia="Times New Roman" w:hAnsi="Times New Roman" w:cs="Times New Roman"/>
          <w:sz w:val="28"/>
        </w:rPr>
        <w:t>5</w:t>
      </w:r>
      <w:r w:rsidRPr="004D6BBD">
        <w:rPr>
          <w:rFonts w:ascii="Times New Roman" w:eastAsia="Times New Roman" w:hAnsi="Times New Roman" w:cs="Times New Roman"/>
          <w:sz w:val="28"/>
          <w:lang w:val="en-US"/>
        </w:rPr>
        <w:t xml:space="preserve"> figures. It provides links to </w:t>
      </w:r>
      <w:r w:rsidRPr="004D6BBD">
        <w:rPr>
          <w:rFonts w:ascii="Times New Roman" w:eastAsia="Times New Roman" w:hAnsi="Times New Roman" w:cs="Times New Roman"/>
          <w:sz w:val="28"/>
        </w:rPr>
        <w:t>68</w:t>
      </w:r>
      <w:r w:rsidRPr="004D6BBD">
        <w:rPr>
          <w:rFonts w:ascii="Times New Roman" w:eastAsia="Times New Roman" w:hAnsi="Times New Roman" w:cs="Times New Roman"/>
          <w:sz w:val="28"/>
          <w:lang w:val="en-US"/>
        </w:rPr>
        <w:t xml:space="preserve"> references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(43 </w:t>
      </w:r>
      <w:proofErr w:type="spellStart"/>
      <w:proofErr w:type="gramStart"/>
      <w:r w:rsidRPr="004D6BBD">
        <w:rPr>
          <w:rFonts w:ascii="Times New Roman" w:eastAsia="Times New Roman" w:hAnsi="Times New Roman" w:cs="Times New Roman"/>
          <w:sz w:val="28"/>
          <w:lang w:val="en-US"/>
        </w:rPr>
        <w:t>cyrillic</w:t>
      </w:r>
      <w:proofErr w:type="spellEnd"/>
      <w:proofErr w:type="gramEnd"/>
      <w:r w:rsidRPr="004D6BBD">
        <w:rPr>
          <w:rFonts w:ascii="Times New Roman" w:eastAsia="Times New Roman" w:hAnsi="Times New Roman" w:cs="Times New Roman"/>
          <w:sz w:val="28"/>
          <w:lang w:val="en-US"/>
        </w:rPr>
        <w:t xml:space="preserve"> and </w:t>
      </w:r>
      <w:r w:rsidRPr="004D6BBD">
        <w:rPr>
          <w:rFonts w:ascii="Times New Roman" w:eastAsia="Times New Roman" w:hAnsi="Times New Roman" w:cs="Times New Roman"/>
          <w:sz w:val="28"/>
        </w:rPr>
        <w:t xml:space="preserve">25 </w:t>
      </w:r>
      <w:proofErr w:type="spellStart"/>
      <w:r w:rsidRPr="004D6BBD">
        <w:rPr>
          <w:rFonts w:ascii="Times New Roman" w:eastAsia="Times New Roman" w:hAnsi="Times New Roman" w:cs="Times New Roman"/>
          <w:sz w:val="28"/>
          <w:lang w:val="en-US"/>
        </w:rPr>
        <w:t>latinic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4D6BBD" w:rsidRPr="004D6BBD" w:rsidRDefault="004D6BBD" w:rsidP="004D6BBD">
      <w:pPr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D6BBD">
        <w:rPr>
          <w:rFonts w:ascii="Times New Roman" w:eastAsia="Calibri" w:hAnsi="Times New Roman" w:cs="Times New Roman"/>
          <w:b/>
          <w:sz w:val="28"/>
          <w:szCs w:val="28"/>
        </w:rPr>
        <w:t>Key</w:t>
      </w:r>
      <w:proofErr w:type="spellEnd"/>
      <w:r w:rsidRPr="004D6BBD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b/>
          <w:sz w:val="28"/>
          <w:szCs w:val="28"/>
        </w:rPr>
        <w:t>words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v.porta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v.cowa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inf.,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</w:rPr>
        <w:t>alkaline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</w:rPr>
        <w:t>phosphatase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</w:rPr>
        <w:t>alanine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</w:rPr>
        <w:t>aminotransferase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</w:rPr>
        <w:t>urease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</w:rPr>
        <w:t>lysozyme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</w:rPr>
        <w:t>elastase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>.</w:t>
      </w:r>
    </w:p>
    <w:p w:rsidR="004D6BBD" w:rsidRPr="004D6BBD" w:rsidRDefault="004D6BBD" w:rsidP="004D6BBD">
      <w:pPr>
        <w:rPr>
          <w:rFonts w:ascii="Times New Roman" w:eastAsia="Calibri" w:hAnsi="Times New Roman" w:cs="Times New Roman"/>
          <w:sz w:val="28"/>
          <w:szCs w:val="28"/>
        </w:rPr>
      </w:pPr>
    </w:p>
    <w:p w:rsidR="004D6BBD" w:rsidRDefault="004D6BBD" w:rsidP="004D6BBD">
      <w:pPr>
        <w:spacing w:line="360" w:lineRule="auto"/>
        <w:ind w:left="142" w:firstLine="284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4D6BBD" w:rsidRDefault="004D6BBD" w:rsidP="004D6BBD">
      <w:pPr>
        <w:spacing w:line="360" w:lineRule="auto"/>
        <w:ind w:left="142" w:firstLine="284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4D6BBD" w:rsidRDefault="004D6BBD" w:rsidP="004D6BBD">
      <w:pPr>
        <w:spacing w:line="360" w:lineRule="auto"/>
        <w:ind w:left="142" w:firstLine="284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4D6BBD" w:rsidRDefault="004D6BBD" w:rsidP="004D6BBD">
      <w:pPr>
        <w:spacing w:line="360" w:lineRule="auto"/>
        <w:ind w:left="142" w:firstLine="284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4D6BBD" w:rsidRPr="004D6BBD" w:rsidRDefault="004D6BBD" w:rsidP="004D6BBD">
      <w:pPr>
        <w:spacing w:line="360" w:lineRule="auto"/>
        <w:ind w:left="142" w:firstLine="284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4D6BBD">
        <w:rPr>
          <w:rFonts w:ascii="Calibri" w:eastAsia="Calibri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5F32753" wp14:editId="7C385631">
                <wp:simplePos x="0" y="0"/>
                <wp:positionH relativeFrom="column">
                  <wp:posOffset>5751830</wp:posOffset>
                </wp:positionH>
                <wp:positionV relativeFrom="paragraph">
                  <wp:posOffset>-342265</wp:posOffset>
                </wp:positionV>
                <wp:extent cx="302260" cy="233045"/>
                <wp:effectExtent l="0" t="635" r="3810" b="4445"/>
                <wp:wrapNone/>
                <wp:docPr id="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2260" cy="233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452.9pt;margin-top:-26.95pt;width:23.8pt;height:18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" stroked="f"/>
            </w:pict>
          </mc:Fallback>
        </mc:AlternateContent>
      </w:r>
      <w:r w:rsidRPr="004D6BBD">
        <w:rPr>
          <w:rFonts w:ascii="Times New Roman" w:eastAsia="Calibri" w:hAnsi="Times New Roman" w:cs="Times New Roman"/>
          <w:b/>
          <w:sz w:val="28"/>
          <w:szCs w:val="28"/>
        </w:rPr>
        <w:t>ЗМІСТ</w:t>
      </w:r>
    </w:p>
    <w:p w:rsidR="004D6BBD" w:rsidRPr="004D6BBD" w:rsidRDefault="004D6BBD" w:rsidP="004D6BBD">
      <w:pPr>
        <w:keepNext/>
        <w:keepLines/>
        <w:spacing w:before="480" w:after="0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</w:p>
    <w:p w:rsidR="004D6BBD" w:rsidRPr="004D6BBD" w:rsidRDefault="004D6BBD" w:rsidP="004D6BBD">
      <w:pPr>
        <w:tabs>
          <w:tab w:val="right" w:leader="dot" w:pos="9346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TOC \o "1-3" \h \z \u </w:instrTex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hyperlink r:id="rId6" w:anchor="_Toc532682407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ВСТУП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_Toc532682407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4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7" w:anchor="_Toc532682408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1. ОГЛЯД ЛІТЕРАТУРИ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_Toc532682408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6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ind w:left="22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8" w:anchor="_Toc532682409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1.1. Будова та загальна характеристика печінки, її функції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_Toc532682409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6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ind w:left="22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9" w:anchor="_Toc532682410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1.2. Механізми патогенезу печінки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_Toc532682410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8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ind w:left="22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0" w:anchor="_Toc532682411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1.3. Загальна характеристика токсичного гепатиту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_Toc532682411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14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ind w:left="22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1" w:anchor="_Toc532682412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1.4. Роль мікробіоти кишечника в функціонуванні шлунково-кишкового тракту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_Toc532682412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15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2" w:anchor="_Toc532682413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2. МАТЕРІАЛИ ТА МЕТОДИ ДОСЛІДЖЕННЯ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_Toc532682413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22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ind w:left="22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3" w:anchor="_Toc532682414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2.1. Схема експерименту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_Toc532682414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22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ind w:left="22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4" w:anchor="_Toc532682415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2.2. Методика визначення активності уреази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_Toc532682415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23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ind w:left="22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5" w:anchor="_Toc532682416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  <w:lang w:eastAsia="ru-RU"/>
          </w:rPr>
          <w:t>2.3. Методика визначення активності лізоциму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_Toc532682416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24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left" w:pos="880"/>
          <w:tab w:val="right" w:leader="dot" w:pos="9346"/>
        </w:tabs>
        <w:spacing w:after="100"/>
        <w:ind w:left="22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6" w:anchor="_Toc532682417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2.5.</w:t>
        </w:r>
        <w:r w:rsidRPr="004D6BBD">
          <w:rPr>
            <w:rFonts w:ascii="Times New Roman" w:eastAsia="Calibri" w:hAnsi="Times New Roman" w:cs="Times New Roman"/>
            <w:noProof/>
            <w:u w:val="single"/>
            <w:lang w:val="ru-RU" w:eastAsia="ru-RU"/>
          </w:rPr>
          <w:tab/>
        </w:r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Методика визначення активності еластази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_Toc532682417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27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ind w:left="22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7" w:anchor="_Toc532682418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2.6. Статистична обробка результатів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_Toc532682418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28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8" w:anchor="_Toc532682419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3. РЕЗУЛЬТАТИ ДОСЛІДЖЕННЯ ТА ЇХ ОБГОВОРЕННЯ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_Toc532682419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29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ind w:left="22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9" w:anchor="_Toc532682420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3.1. Визначення активності ферментів печінки щурів за умов моделювання гепатиту та дисбіозу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_Toc532682420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29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ind w:left="22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20" w:anchor="_Toc532682421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3.2. Визначення активності ферментів в ворітній вені щурів за умов моделювання гепатиту та дисбіозу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_Toc532682421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32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ind w:left="22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21" w:anchor="_Toc532682422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3.3. Визначення активності ферментів в порожній вені щурів за умов моделювання гепатиту та дисбіозу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_Toc532682422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34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ind w:left="22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22" w:anchor="_Toc532682423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3.4. Порівняння змін активності ферментів в сироватці ворітньої та нижньої порожніх венах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_Toc532682423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37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23" w:anchor="_Toc532682424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УЗАГАЛЬНЕННЯ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_Toc532682424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44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24" w:anchor="_Toc532682425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ВИСНОВКИ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_Toc532682425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47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tabs>
          <w:tab w:val="right" w:leader="dot" w:pos="9346"/>
        </w:tabs>
        <w:spacing w:after="100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25" w:anchor="_Toc532682426" w:history="1">
        <w:r w:rsidRPr="004D6BBD">
          <w:rPr>
            <w:rFonts w:ascii="Times New Roman" w:eastAsia="Calibri" w:hAnsi="Times New Roman" w:cs="Times New Roman"/>
            <w:noProof/>
            <w:color w:val="0000FF"/>
            <w:u w:val="single"/>
          </w:rPr>
          <w:t>СПИСОК ЛІТЕРАТУРИ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ab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begin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instrText xml:space="preserve"> PAGEREF _Toc532682426 \h </w:instrTex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separate"/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t>48</w:t>
        </w:r>
        <w:r w:rsidRPr="004D6BBD">
          <w:rPr>
            <w:rFonts w:ascii="Times New Roman" w:eastAsia="Calibri" w:hAnsi="Times New Roman" w:cs="Times New Roman"/>
            <w:noProof/>
            <w:webHidden/>
            <w:u w:val="single"/>
            <w:lang w:val="ru-RU"/>
          </w:rPr>
          <w:fldChar w:fldCharType="end"/>
        </w:r>
      </w:hyperlink>
    </w:p>
    <w:p w:rsidR="004D6BBD" w:rsidRPr="004D6BBD" w:rsidRDefault="004D6BBD" w:rsidP="004D6BBD">
      <w:pPr>
        <w:rPr>
          <w:rFonts w:ascii="Calibri" w:eastAsia="Calibri" w:hAnsi="Calibri" w:cs="Times New Roman"/>
          <w:lang w:val="ru-RU"/>
        </w:rPr>
      </w:pPr>
      <w:r w:rsidRPr="004D6BBD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</w:p>
    <w:p w:rsidR="004D6BBD" w:rsidRPr="004D6BBD" w:rsidRDefault="004D6BBD" w:rsidP="004D6BBD">
      <w:pPr>
        <w:rPr>
          <w:rFonts w:ascii="Times New Roman" w:eastAsia="Calibri" w:hAnsi="Times New Roman" w:cs="Times New Roman"/>
          <w:b/>
          <w:sz w:val="28"/>
          <w:szCs w:val="28"/>
        </w:rPr>
      </w:pPr>
      <w:r w:rsidRPr="004D6BBD">
        <w:rPr>
          <w:rFonts w:ascii="Times New Roman" w:eastAsia="Calibri" w:hAnsi="Times New Roman" w:cs="Times New Roman"/>
          <w:b/>
          <w:sz w:val="28"/>
          <w:szCs w:val="28"/>
        </w:rPr>
        <w:br w:type="page"/>
      </w:r>
    </w:p>
    <w:p w:rsidR="004D6BBD" w:rsidRPr="004D6BBD" w:rsidRDefault="004D6BBD" w:rsidP="004D6BBD">
      <w:pPr>
        <w:keepNext/>
        <w:keepLines/>
        <w:spacing w:before="480" w:after="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0" w:name="_Toc532682407"/>
      <w:r w:rsidRPr="004D6BBD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ВСТУП</w:t>
      </w:r>
      <w:bookmarkEnd w:id="0"/>
    </w:p>
    <w:p w:rsidR="004D6BBD" w:rsidRPr="004D6BBD" w:rsidRDefault="004D6BBD" w:rsidP="004D6BBD">
      <w:pPr>
        <w:rPr>
          <w:rFonts w:ascii="Calibri" w:eastAsia="Calibri" w:hAnsi="Calibri" w:cs="Times New Roman"/>
        </w:rPr>
      </w:pPr>
    </w:p>
    <w:p w:rsidR="004D6BBD" w:rsidRPr="004D6BBD" w:rsidRDefault="004D6BBD" w:rsidP="004D6BB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Проблема хронічних захворювань печінки на теперішній час є однією з найбільш важливих у сучасній гастроентерології. Внаслідок порушень функціонального стану печінки, синтезу і транспорту жовчі, морфологічних та функціональних розладів шлунково-кишкового тракту створюються умови для зміни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мікробіоценозу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кишечника [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Елбакідзе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Меденцев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, 2013]. </w:t>
      </w:r>
    </w:p>
    <w:p w:rsidR="004D6BBD" w:rsidRPr="004D6BBD" w:rsidRDefault="004D6BBD" w:rsidP="004D6BB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В той же час, у світлі сучасних уявлень, мікроорганізми кишечника впливають на функціонування травної системи і печінки, приймають участь в процесах метаболізму та формуванні імунної системи, відіграють важливу роль у розвитку адаптивної імунної відповіді в слизовій оболонці кишечника. Порушення кількісного і якісного складу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мікробіоти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кишечника збільшують токсичне навантаження на печінку, циркуляцію ендотоксинів кишкових бактерій в організмі та створює додаткове навантаження на клітини печінки, підтримує запальні зміни, що ускладнює функціонування та регенерацію печінки [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Кныш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>, 2007].</w:t>
      </w:r>
    </w:p>
    <w:p w:rsidR="004D6BBD" w:rsidRPr="004D6BBD" w:rsidRDefault="004D6BBD" w:rsidP="004D6BBD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За даними літератури, практично у всіх пацієнтів з хронічними вірусними гепатитами при обстеженні виявляються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дисбіотичні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зміни в кишечнику [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Chen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Yang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at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gram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2011</w:t>
      </w:r>
      <w:r w:rsidRPr="004D6BBD">
        <w:rPr>
          <w:rFonts w:ascii="Times New Roman" w:eastAsia="Calibri" w:hAnsi="Times New Roman" w:cs="Times New Roman"/>
          <w:sz w:val="28"/>
          <w:szCs w:val="28"/>
        </w:rPr>
        <w:t>].</w:t>
      </w:r>
      <w:proofErr w:type="gram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Порушення мікробного рівноваги взаємопов'язані зі ступенем активності запалення, морфологічними змінами в печінці, а також корелюють з характером перебігу і стадією захворювання [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Ершова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>, 2014]. Синдром надлишкового бактеріального росту в тонкій і товстій кишці діагностується у 94,6% хворих на хронічний гепатит С (ХГС) і у 87,5% пацієнтів з хронічним гепатитом В (ХГB) [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Князькина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>, 2010].</w:t>
      </w:r>
    </w:p>
    <w:p w:rsidR="004D6BBD" w:rsidRPr="004D6BBD" w:rsidRDefault="004D6BBD" w:rsidP="004D6BBD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Метою даної роботи було вивчення антимікробної та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детоксикаційної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функції печінки при моделюванні гепатиту та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дисбіозу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D6BBD" w:rsidRPr="004D6BBD" w:rsidRDefault="004D6BBD" w:rsidP="004D6BBD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>У зв`язку з цим були поставлені наступні задачі:</w:t>
      </w:r>
    </w:p>
    <w:p w:rsidR="004D6BBD" w:rsidRPr="004D6BBD" w:rsidRDefault="004D6BBD" w:rsidP="004D6BBD">
      <w:pPr>
        <w:numPr>
          <w:ilvl w:val="0"/>
          <w:numId w:val="1"/>
        </w:numPr>
        <w:tabs>
          <w:tab w:val="right" w:pos="9498"/>
        </w:tabs>
        <w:spacing w:after="0" w:line="360" w:lineRule="auto"/>
        <w:ind w:right="-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Визначити 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активність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лужної фосфатази,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еластази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, уреази та лізоциму в тканинах печінки на тлі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дисбіозу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>, гепатиту та сумісної патології.</w:t>
      </w:r>
    </w:p>
    <w:p w:rsidR="00212769" w:rsidRDefault="00212769"/>
    <w:p w:rsidR="004D6BBD" w:rsidRPr="004D6BBD" w:rsidRDefault="004D6BBD" w:rsidP="004D6BB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bookmarkStart w:id="1" w:name="_Toc532682425"/>
      <w:r w:rsidRPr="004D6BBD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  <w:bookmarkEnd w:id="1"/>
    </w:p>
    <w:p w:rsidR="004D6BBD" w:rsidRPr="004D6BBD" w:rsidRDefault="004D6BBD" w:rsidP="004D6BBD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В тканинах печінки при розвитку гепатиту,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дисбіозу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і сумісної патології спостерігалось підвищення активності  показників лужної фосфатази відносно даних інтактної групи на 21%, 47% та 91%,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еластази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на 24%, 11%, 29%, уреази – на 11%, 166%, 289%; зниження активності лізоциму на 19%, 16%, 44% .</w:t>
      </w:r>
    </w:p>
    <w:p w:rsidR="004D6BBD" w:rsidRPr="004D6BBD" w:rsidRDefault="004D6BBD" w:rsidP="004D6BBD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В ворітній вені при розвитку гепатиту,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дисбіозу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 та сумісної патології підвищувалась відносно даних інтактної групи активність лужної фосфатази на 58%, 42%, 67%, АЛТ – на 46%, 14%, 81%,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еластази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на 52%, 59%, уреази – на 33%, 92%, 204%. Активність лізоциму знижувалась на 8%, 17% та 23%.</w:t>
      </w:r>
    </w:p>
    <w:p w:rsidR="004D6BBD" w:rsidRPr="004D6BBD" w:rsidRDefault="004D6BBD" w:rsidP="004D6BBD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В нижній порожній вені при розвитку гепатиту,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дисбіозу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 та сумісної патології підвищувалась відносно даних інтактної групи активність лужної фосфатази на 40%, 58%, 61%, АЛТ – на 101%, 64%, 165%,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еластази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на 17%, 11%, 66%, уреази – на  66%, 89%, 221%. Активність лізоциму  знижувалась на 19%, 26%, 35%.</w:t>
      </w:r>
    </w:p>
    <w:p w:rsidR="004D6BBD" w:rsidRPr="004D6BBD" w:rsidRDefault="004D6BBD" w:rsidP="004D6BBD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Після проходження крові через печінку спостерігалось зниження активності уреази на 32%, 46% та 42%, а лізоциму на 9%, 8% та 12%, що свідчить про зниження антимікробної та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детоксикаційної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функції печінки.</w:t>
      </w:r>
    </w:p>
    <w:p w:rsidR="004D6BBD" w:rsidRPr="004D6BBD" w:rsidRDefault="004D6BBD" w:rsidP="004D6BBD">
      <w:pPr>
        <w:rPr>
          <w:rFonts w:ascii="Calibri" w:eastAsia="Calibri" w:hAnsi="Calibri" w:cs="Times New Roman"/>
        </w:rPr>
      </w:pPr>
    </w:p>
    <w:p w:rsidR="004D6BBD" w:rsidRPr="004D6BBD" w:rsidRDefault="004D6BBD" w:rsidP="004D6BBD">
      <w:pPr>
        <w:rPr>
          <w:rFonts w:ascii="Times New Roman" w:eastAsia="Calibri" w:hAnsi="Times New Roman" w:cs="Times New Roman"/>
          <w:sz w:val="28"/>
          <w:szCs w:val="28"/>
        </w:rPr>
      </w:pPr>
      <w:r w:rsidRPr="004D6BBD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4D6BBD" w:rsidRPr="004D6BBD" w:rsidRDefault="004D6BBD" w:rsidP="004D6BBD">
      <w:pPr>
        <w:keepNext/>
        <w:keepLines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2" w:name="_Toc532682426"/>
      <w:r w:rsidRPr="004D6BBD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СПИСОК ЛІТЕРАТУРИ</w:t>
      </w:r>
      <w:bookmarkEnd w:id="2"/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bookmarkStart w:id="3" w:name="_GoBack"/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Алиева Э.И.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Патогенетические механизмы заболеваний толстой кишки // Педиатрия. – 2002. – №5. – 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87-92.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Березов Т.Т., </w:t>
      </w: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Коровкин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Б.Ф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 Биологическая химия: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Медицина, 1998. – 704 с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Бондаренко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В.М., Боев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Б.В., Лыкова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Е.А., Воробьев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А.А.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Дисбактериозы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желудочно-кишечного тракта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//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Рос</w:t>
      </w:r>
      <w:proofErr w:type="gram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ж</w:t>
      </w:r>
      <w:proofErr w:type="gram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урн.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гастроэнтерол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гепатол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колопроктол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1999.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№ 1.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С. 66 </w:t>
      </w:r>
      <w:r w:rsidRPr="004D6BBD">
        <w:rPr>
          <w:rFonts w:ascii="Times New Roman" w:eastAsia="Calibri" w:hAnsi="Times New Roman" w:cs="Times New Roman"/>
          <w:sz w:val="28"/>
          <w:szCs w:val="28"/>
        </w:rPr>
        <w:t>-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70.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Бондаренко В.М., Грачева Н.М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.: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Дисбиотические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состояния и лечебные мероприятия при них //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Вестн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Рос. АМН.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2005.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№ 12.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C.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24-29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Горецкая М.В.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Роль нейтрофилов, лимфоцитов, клеток Ито,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купферовских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дендритных и синусоидальных эндотелиальных клеток в печени // Журнал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ГрГМУ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2008.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№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 (21).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С.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28-34 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Горячковский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А.М.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Клиническая биохимия в лабораторной диагностике. – Одеса: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Екологія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, 2005. – 616 с.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Гребенева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А.Л., </w:t>
      </w: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Мягковая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Л.П</w:t>
      </w:r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Кишечный дисбактериоз: Руководство по гастроэнтерологии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М.: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>едицина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1996. – 332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Григорьев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П.Я.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,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Яковенко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A.B.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Клиническая гастроэнтерология.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М.: Медицинское информационное агентство, 2001. – 693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с.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Гриневич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В.Б., Успенский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Ю.П., Добрынин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В.М.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Клинические аспекты диагностики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илечения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дисбиоза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кишечника в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общетерапевтической практике.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СПб</w:t>
      </w:r>
      <w:proofErr w:type="gram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proofErr w:type="gramEnd"/>
      <w:r w:rsidRPr="004D6BBD">
        <w:rPr>
          <w:rFonts w:ascii="Times New Roman" w:eastAsia="Calibri" w:hAnsi="Times New Roman" w:cs="Times New Roman"/>
          <w:sz w:val="28"/>
          <w:szCs w:val="28"/>
        </w:rPr>
        <w:t>Питер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, 2003.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36 с. 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Елбакідзе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Г. М.,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Меденцев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 Г.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Внутриорганные и внутритканевые механизмы регуляторных воздействий клеток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Купфера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гепатоциты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Вестник РАМН.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2013. </w:t>
      </w:r>
      <w:r w:rsidRPr="004D6BBD">
        <w:rPr>
          <w:rFonts w:ascii="Times New Roman" w:eastAsia="Calibri" w:hAnsi="Times New Roman" w:cs="Times New Roman"/>
          <w:sz w:val="28"/>
          <w:szCs w:val="28"/>
        </w:rPr>
        <w:t>– №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С.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50-55</w:t>
      </w:r>
      <w:r w:rsidRPr="004D6BBD">
        <w:rPr>
          <w:rFonts w:ascii="Times New Roman" w:eastAsia="Calibri" w:hAnsi="Times New Roman" w:cs="Times New Roman"/>
          <w:sz w:val="28"/>
          <w:szCs w:val="28"/>
        </w:rPr>
        <w:t>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Елбакідзе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Г.М.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Механизмы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протекторного действия активированных эндотоксином клеток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Купфера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гепатоциты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Вестник РАМН.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2012.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</w:p>
    <w:p w:rsidR="004D6BBD" w:rsidRPr="004D6BBD" w:rsidRDefault="004D6BBD" w:rsidP="004D6BBD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№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5.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С.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48-54</w:t>
      </w:r>
      <w:r w:rsidRPr="004D6BBD">
        <w:rPr>
          <w:rFonts w:ascii="Times New Roman" w:eastAsia="Calibri" w:hAnsi="Times New Roman" w:cs="Times New Roman"/>
          <w:sz w:val="28"/>
          <w:szCs w:val="28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lastRenderedPageBreak/>
        <w:t>Ершова И.Б.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Особенности кишечного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микробиоценоза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 вирусных гепатитах и возможности его коррекции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Актуальная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инфектология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2014.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№ 2 (3).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С. 7–11.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Жданов К.В., Гусев Д.А., Захаренко С.М.,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Куртуков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М.В., Сукачев В.С.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Дисбиоз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кишечника при циррозе печени // Экспериментальная и клиническая гастроэнтерология. – 2011.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№ 6.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С. 38-44.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Захаренко</w:t>
      </w:r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С.М.,</w:t>
      </w:r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Лобзин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Ю.В.,</w:t>
      </w:r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Шустрова</w:t>
      </w:r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Т.А</w:t>
      </w:r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Антибиотикоустойчивость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некоторых современных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эубиотиков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//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Современные технологии диагностики и терапии инфекционных болезней: Тез</w:t>
      </w:r>
      <w:proofErr w:type="gramStart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proofErr w:type="gramEnd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окл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науч.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СПб, 1999.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42-43.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Зобнин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Ю.В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Токсическое повреждение печени //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Сиб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. мед</w:t>
      </w:r>
      <w:proofErr w:type="gram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ж</w:t>
      </w:r>
      <w:proofErr w:type="gram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урн. Иркутск.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2006.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№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9.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С.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87-90</w:t>
      </w:r>
      <w:r w:rsidRPr="004D6BBD">
        <w:rPr>
          <w:rFonts w:ascii="Times New Roman" w:eastAsia="Calibri" w:hAnsi="Times New Roman" w:cs="Times New Roman"/>
          <w:sz w:val="28"/>
          <w:szCs w:val="28"/>
        </w:rPr>
        <w:t>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И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вашкин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В.Т.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Гепатопульмональный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синдром: диагностика, патогенез, клиническая симптоматика и способы лечения</w:t>
      </w:r>
      <w:r w:rsidRPr="004D6BBD">
        <w:rPr>
          <w:rFonts w:ascii="Times New Roman" w:eastAsia="Calibri" w:hAnsi="Times New Roman" w:cs="Times New Roman"/>
          <w:sz w:val="28"/>
          <w:szCs w:val="28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М.: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Вильямс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2009.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117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с.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Морозова М.В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Маевская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>К.В.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Основ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ы гастроэнтерологии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Российский журнал гастроэнтерологии,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гепатологии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колопроктологии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. – 2008. – № 2. – С. 12-17.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Клиническая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иммунология и аллергология: Учебное пособие / под ред. A.B.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Караулова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М.: Медицинское информационное агентство, 2002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651 с.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Князькина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О.В.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Микрофлора кишечника у больных вирусными гепатитами // Информационный архив. – 2010. – Т. 4, № 2. – C. 130–131.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Кныш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И.О.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Клинико-патогенетическое значение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дизбиоза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толстой кишки при вирусных гепатитах А, </w:t>
      </w:r>
      <w:proofErr w:type="gramStart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С у детей.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М.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Вильямс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1999.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24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Лакин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Ф.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Биометрия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М.: В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ысшая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школа, 1990. – 352 с.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Левицкий А.П.,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Васюк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В.Л.,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Шухтина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И.Н.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Развитие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дисбиоза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гепатита у крыс с экспериментальным метаболическим синдромом // Актуальные проблемы транспортной медицины. – 2016. –  № 2 (44). – С. 142-148.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lastRenderedPageBreak/>
        <w:t xml:space="preserve"> Левицкий А.П.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Демьяненко С. А.,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Цисельский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Ю.В.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Антимикробная функция печени</w:t>
      </w:r>
      <w:r w:rsidRPr="004D6BBD">
        <w:rPr>
          <w:rFonts w:ascii="Times New Roman" w:eastAsia="Calibri" w:hAnsi="Times New Roman" w:cs="Times New Roman"/>
          <w:sz w:val="28"/>
          <w:szCs w:val="28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Одесса: КП ОГТ, 2011. – 141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с.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Левицкий А. П., Макаренко О. А.,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Майкова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 В.,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Коломийчук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Т. В., Павличенко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О. Д.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Активность лизоцима в печени и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дисбиоз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толстой кишки после экспериментальной антибиотикотерапии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Scientific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Journal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ScienceRise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cience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»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. – 2017.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№5(8)</w:t>
      </w:r>
      <w:r w:rsidRPr="004D6BBD">
        <w:rPr>
          <w:rFonts w:ascii="Times New Roman" w:eastAsia="Calibri" w:hAnsi="Times New Roman" w:cs="Times New Roman"/>
          <w:sz w:val="28"/>
          <w:szCs w:val="28"/>
        </w:rPr>
        <w:t>. – С. 7-11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Лобзин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Ю.В., Жданов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К.В., Гусев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Д.А., Яременко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М.В.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Оценка состояния желудка, двенадцатиперстной кишки и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желчевыводящих путей у больных хроническим гепатитом С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// Тер</w:t>
      </w:r>
      <w:proofErr w:type="gram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а</w:t>
      </w:r>
      <w:proofErr w:type="gram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рх.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2005.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Т.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77, № 2.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С. 66 – 69.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Лобзин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Ю.В., Макарова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В.Г.,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Корвякова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Е.Р., Захаренко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С.М.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Дисбактериоз кишечника (клиника, диагностика, лечение): Руководство для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врачей.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СПб: Фолиант, 2006.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256 с. </w:t>
      </w:r>
    </w:p>
    <w:p w:rsidR="004D6BBD" w:rsidRPr="004D6BBD" w:rsidRDefault="004D6BBD" w:rsidP="004D6BBD">
      <w:pPr>
        <w:numPr>
          <w:ilvl w:val="0"/>
          <w:numId w:val="3"/>
        </w:numPr>
        <w:spacing w:before="375" w:after="375" w:line="360" w:lineRule="auto"/>
        <w:ind w:left="0" w:firstLine="567"/>
        <w:contextualSpacing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Любецкая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А.В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Применение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потоковой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модели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для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изучения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метаболизма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Escherichia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coli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Биохимия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2006. – Т. 71, №11. – 1549 с.</w:t>
      </w:r>
    </w:p>
    <w:p w:rsidR="004D6BBD" w:rsidRPr="004D6BBD" w:rsidRDefault="004D6BBD" w:rsidP="004D6BBD">
      <w:pPr>
        <w:numPr>
          <w:ilvl w:val="0"/>
          <w:numId w:val="3"/>
        </w:numPr>
        <w:spacing w:before="375" w:after="375" w:line="360" w:lineRule="auto"/>
        <w:ind w:left="0" w:firstLine="567"/>
        <w:contextualSpacing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Мацулевич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Т.В.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Дисбактериозы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кишечника у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взрослых: Руководство для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врачей.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М.: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КМК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Scientifi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c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Press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, 2003.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224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с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4D6BBD" w:rsidRPr="004D6BBD" w:rsidRDefault="004D6BBD" w:rsidP="004D6BBD">
      <w:pPr>
        <w:numPr>
          <w:ilvl w:val="0"/>
          <w:numId w:val="3"/>
        </w:numPr>
        <w:spacing w:before="375" w:after="375" w:line="360" w:lineRule="auto"/>
        <w:ind w:left="0" w:firstLine="567"/>
        <w:contextualSpacing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Олескин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А.В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Нейрохимия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симбиотическая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микрофлора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питание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биополитический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подход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 //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Гастроэнтерология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Санкт-Петербурга. – 2009. – № 1. – С. 8-16.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Орешко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Л.С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Метаболические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эффекты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их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роль в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функционировании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желудочно-кишечного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тракта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больных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целиакией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Гастроэнтерология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Санкт-Петербурга. – 2012. – №1.</w:t>
      </w:r>
      <w:r w:rsidRPr="004D6BBD">
        <w:rPr>
          <w:rFonts w:ascii="Times New Roman" w:eastAsia="Calibri" w:hAnsi="Times New Roman" w:cs="Times New Roman"/>
          <w:sz w:val="28"/>
          <w:szCs w:val="28"/>
        </w:rPr>
        <w:t>-С.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28.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Парфенов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А.И.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Мальабсорбция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Рос</w:t>
      </w:r>
      <w:proofErr w:type="gram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ж</w:t>
      </w:r>
      <w:proofErr w:type="gram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урн.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гастроэнтерол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гепатол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колопроктол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1999.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Т. 9, № 1.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С. 62</w:t>
      </w:r>
      <w:r w:rsidRPr="004D6BBD">
        <w:rPr>
          <w:rFonts w:ascii="Times New Roman" w:eastAsia="Calibri" w:hAnsi="Times New Roman" w:cs="Times New Roman"/>
          <w:sz w:val="28"/>
          <w:szCs w:val="28"/>
        </w:rPr>
        <w:t>-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66. 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Парфенов А.И., Осипов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Г. А., Ручкина И. Н.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Теоретические вопросы дисбактериоза кишечника //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Consilium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medicum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2003.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№ 6.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С. 328</w:t>
      </w:r>
      <w:r w:rsidRPr="004D6BBD">
        <w:rPr>
          <w:rFonts w:ascii="Times New Roman" w:eastAsia="Calibri" w:hAnsi="Times New Roman" w:cs="Times New Roman"/>
          <w:sz w:val="28"/>
          <w:szCs w:val="28"/>
        </w:rPr>
        <w:t>-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330. 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Петухов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В.А.,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Стернина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Л.А., Травкин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А.Е.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Нарушения функции печени и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дисбиоз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липидном</w:t>
      </w:r>
      <w:proofErr w:type="gram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дистресс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-синдроме Савельева: современный взгляд на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проблему //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Consilium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medicum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2004.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Т.6, № 6.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С. 406</w:t>
      </w:r>
      <w:r w:rsidRPr="004D6BBD">
        <w:rPr>
          <w:rFonts w:ascii="Times New Roman" w:eastAsia="Calibri" w:hAnsi="Times New Roman" w:cs="Times New Roman"/>
          <w:sz w:val="28"/>
          <w:szCs w:val="28"/>
        </w:rPr>
        <w:t>-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412. 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</w:rPr>
        <w:lastRenderedPageBreak/>
        <w:t xml:space="preserve">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</w:rPr>
        <w:t>Пількевич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Н.Б.,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</w:rPr>
        <w:t>Раздайбедін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В. М., Боярчук О. Д.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Анатомія, фізіологія та біохімія печінки. – М.: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</w:rPr>
        <w:t>Вильямс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>, 2009. – 55 с.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Полищук Н.Н.,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Камышный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А.М.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Влияние </w:t>
      </w:r>
      <w:proofErr w:type="gram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кишечного</w:t>
      </w:r>
      <w:proofErr w:type="gram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микробиома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прогрессию вирусных гепатитов // Инфекция и иммунитет. – 2016. – Т. 6, №4. – С. 325-334.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Приказ Минздрава РФ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от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09.06.2003 N 231 «Об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утверждении Отраслевого стандарта «Протокол ведения больных. Дисбактериоз кишечника»» (вместе с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ОСТ 91500.11.0004 – 2003). 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Савилов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П. Н.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Дьячкова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 Я., Кузьмина Н. И.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Лизоцимобогащающая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функция печени после частичной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гепатэктомии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гипербарической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оксигенации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Вопросы биологической, медицинской и фармацевтической химии. – 2005. – № 4. – С. 35–39.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Самсыгина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Г.А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Особенности становления биоценоза кишечника и кишечный дисбактериоз // Лечащий врач.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2003.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№5.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С. 52-57.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4D6BBD">
        <w:rPr>
          <w:rFonts w:ascii="Calibri" w:eastAsia="Calibri" w:hAnsi="Calibri" w:cs="Times New Roman"/>
          <w:i/>
          <w:iCs/>
          <w:sz w:val="28"/>
          <w:szCs w:val="28"/>
          <w:shd w:val="clear" w:color="auto" w:fill="FFFFFF"/>
          <w:lang w:val="ru-RU"/>
        </w:rPr>
        <w:t>Сапин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М.Р.,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D6BBD">
        <w:rPr>
          <w:rFonts w:ascii="Calibri" w:eastAsia="Calibri" w:hAnsi="Calibri" w:cs="Times New Roman"/>
          <w:i/>
          <w:iCs/>
          <w:sz w:val="28"/>
          <w:szCs w:val="28"/>
          <w:shd w:val="clear" w:color="auto" w:fill="FFFFFF"/>
          <w:lang w:val="ru-RU"/>
        </w:rPr>
        <w:t>Билич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Г.Л.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Анатомія людини.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М.: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ГЭОТАР-Медиа, 2008.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– 560 с.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Селиверстов П.В., Чихачева Е.Н., Тетерина Л.А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Коррекция нарушений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микробиоценоза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кишечника на фоне хронических заболеваний печени // Врач.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2011.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№ 3.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С. 18–24.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gram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Соловьева Н.В.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Механизмы нарушений функций печени и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микробиоценоза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толстой кишки при хронических вирусных гепатитах В и С и их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пробиотическая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коррекция // Ученые записки Петрозаводского государственного университета. – 2014.</w:t>
      </w:r>
      <w:proofErr w:type="gram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Т. 1, № 8. – С.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52-58.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Туровский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 В.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Дьячкова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 Я.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Влияние различных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объ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</w:rPr>
        <w:t>е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мов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резекции печени на фоне СС14-гепатита на активность гуморальных факторов естественной резистентности организма // Вестник ВГУ. Серия: Химия. Биология. Фармация. – 2013. – № 1. – С. 230–234</w:t>
      </w:r>
      <w:r w:rsidRPr="004D6BBD">
        <w:rPr>
          <w:rFonts w:ascii="Times New Roman" w:eastAsia="Calibri" w:hAnsi="Times New Roman" w:cs="Times New Roman"/>
          <w:sz w:val="28"/>
          <w:szCs w:val="28"/>
        </w:rPr>
        <w:t>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Шендеров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Б.А.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Нормальная микрофлора и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ее роль в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поддержании здоровья человека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//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Рос</w:t>
      </w:r>
      <w:proofErr w:type="gram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ж</w:t>
      </w:r>
      <w:proofErr w:type="gram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урн.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гастроэнтерол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гепатол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колопроктол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1998.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Т. 8, № 1.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С. 61</w:t>
      </w:r>
      <w:r w:rsidRPr="004D6BBD">
        <w:rPr>
          <w:rFonts w:ascii="Times New Roman" w:eastAsia="Calibri" w:hAnsi="Times New Roman" w:cs="Times New Roman"/>
          <w:sz w:val="28"/>
          <w:szCs w:val="28"/>
        </w:rPr>
        <w:t>-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65. 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lastRenderedPageBreak/>
        <w:t>Шендеров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Б.А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Функциональное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питание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его роль в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профилактике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метаболического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синдрома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М.: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ДеЛи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принт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, 2008. – 318 с.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Albenber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L. G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Diet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intestinal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microbiome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associations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functions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implications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health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disease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Gastroenterology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2014. –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 146, N6. – P. 1564-1572.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Anastasilakis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C. D.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Artificial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nutrition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intestinal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mucosal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barrier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functionality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Digestion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2013. –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 88. – P. 193-208.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Balzan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S.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Bacterial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translocation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overview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mechanisms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clinical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impact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// J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Gastroenterol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Hepatol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–2007. –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 22. – P. 464-471.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Bannai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M., </w:t>
      </w: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Torii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K.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Detection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dietary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glutamate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via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gut-brain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axis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J.Anim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Sci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2013. –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 91. –P. 1974-1981.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Bieth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4D6BBD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J</w:t>
      </w:r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  <w:r w:rsidRPr="004D6BBD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G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The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elastases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r w:rsidRPr="004D6BB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J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Soc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Biol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2001. – 195(2). – Р. 173-9.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Bouhnik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Yo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, Alain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S., Attar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A.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Bacterial populations contaminating the upper gut in patients with small intestinal bacterial overgrowth syndrome // Am.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J.Gastroenterol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1999.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Vol. 94, № 5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. 1327 – 1331.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Cani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P.D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Involvement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gut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microbiota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development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low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grade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inflammation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associated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obesity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focus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this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neglected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partner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Acta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Gastroenterol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Belg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2010. –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 73. – P. 267-269.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Cani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P.D.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Interplay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between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obesity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associated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metabolic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disorders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new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insights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into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gut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microbiota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Curr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Opin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Pharmacol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2009. –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9. – </w:t>
      </w:r>
    </w:p>
    <w:p w:rsidR="004D6BBD" w:rsidRPr="004D6BBD" w:rsidRDefault="004D6BBD" w:rsidP="004D6BBD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P. 737-743.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Cantarel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B.L.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Complex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carbohydrate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utilization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healthy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human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microbiome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PLoS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One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2012. –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 7. – P. 1-10.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Chen Y., Yang F., Lu H., Wang B., Chen Y., Lei D., Wang Y., Zhu B., Li L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. Characterization of fecal microbial communities in patients with liver cirrhosis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Hepatology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2011</w:t>
      </w:r>
      <w:r w:rsidRPr="004D6BBD">
        <w:rPr>
          <w:rFonts w:ascii="Times New Roman" w:eastAsia="Calibri" w:hAnsi="Times New Roman" w:cs="Times New Roman"/>
          <w:sz w:val="28"/>
          <w:szCs w:val="28"/>
        </w:rPr>
        <w:t>. –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Vol. 54</w:t>
      </w:r>
      <w:proofErr w:type="gramStart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№</w:t>
      </w:r>
      <w:proofErr w:type="gramEnd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</w:t>
      </w:r>
      <w:r w:rsidRPr="004D6BBD">
        <w:rPr>
          <w:rFonts w:ascii="Times New Roman" w:eastAsia="Calibri" w:hAnsi="Times New Roman" w:cs="Times New Roman"/>
          <w:sz w:val="28"/>
          <w:szCs w:val="28"/>
        </w:rPr>
        <w:t>. – Р.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562–572</w:t>
      </w:r>
      <w:r w:rsidRPr="004D6BBD">
        <w:rPr>
          <w:rFonts w:ascii="Times New Roman" w:eastAsia="Calibri" w:hAnsi="Times New Roman" w:cs="Times New Roman"/>
          <w:sz w:val="28"/>
          <w:szCs w:val="28"/>
        </w:rPr>
        <w:t>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Cheng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H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., </w:t>
      </w: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Leblond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C. P.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Origin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differentiation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renewal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four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main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epithelial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cell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types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mouse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small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intestine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III.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Entero-endocrine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cells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Am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J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Anat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1974. –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 141. – P. 503-19.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Circu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M.L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.: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Intestinal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redox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biology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oxidative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stress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M. L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Circu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T. Y.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Aw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Semin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Cell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Dev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Biol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2012. –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 23. – P. 729-737.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lastRenderedPageBreak/>
        <w:t>Claus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S. P., </w:t>
      </w: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Tsang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T. </w:t>
      </w: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Wang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M., Y.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Systemic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multicompartmental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effects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gut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microbiome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mouse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metabolic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phenotypes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//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Mol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Syst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Biol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2008. –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 4. – P. 219 - 222.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Delzenne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N. M., </w:t>
      </w: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Neyrinck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A. M., </w:t>
      </w: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Backhed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F.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Targeting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gut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microbiotain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obesity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effects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prebiotics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probiotics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Nat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Rev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Endocrinol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2011. – </w:t>
      </w:r>
    </w:p>
    <w:p w:rsidR="004D6BBD" w:rsidRPr="004D6BBD" w:rsidRDefault="004D6BBD" w:rsidP="004D6BBD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Vol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7. – P. 639-646. 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Goldberg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R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.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F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., 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Austen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W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.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G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., 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Zhang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X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., 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Munene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G</w:t>
      </w:r>
      <w:r w:rsidRPr="004D6BBD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. </w:t>
      </w:r>
      <w:hyperlink r:id="rId26" w:history="1">
        <w:r w:rsidRPr="004D6BBD">
          <w:rPr>
            <w:rFonts w:ascii="Times New Roman" w:eastAsia="Calibri" w:hAnsi="Times New Roman" w:cs="Times New Roman"/>
            <w:color w:val="0000FF"/>
            <w:u w:val="single"/>
            <w:lang w:val="en-US"/>
          </w:rPr>
          <w:t>Intestinal alkaline phosphatase is a gut mucosal defense factor maintained by enteral nutrition //</w:t>
        </w:r>
      </w:hyperlink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hyperlink r:id="rId27" w:tooltip="Proc. Natl. Acad. Sci. U.S.A." w:history="1">
        <w:r w:rsidRPr="004D6BBD">
          <w:rPr>
            <w:rFonts w:ascii="Times New Roman" w:eastAsia="Calibri" w:hAnsi="Times New Roman" w:cs="Times New Roman"/>
            <w:iCs/>
            <w:color w:val="0000FF"/>
            <w:u w:val="single"/>
            <w:shd w:val="clear" w:color="auto" w:fill="FFFFFF"/>
            <w:lang w:val="en-US"/>
          </w:rPr>
          <w:t xml:space="preserve">Proc. Natl. </w:t>
        </w:r>
        <w:proofErr w:type="spellStart"/>
        <w:r w:rsidRPr="004D6BBD">
          <w:rPr>
            <w:rFonts w:ascii="Times New Roman" w:eastAsia="Calibri" w:hAnsi="Times New Roman" w:cs="Times New Roman"/>
            <w:iCs/>
            <w:color w:val="0000FF"/>
            <w:u w:val="single"/>
            <w:shd w:val="clear" w:color="auto" w:fill="FFFFFF"/>
            <w:lang w:val="en-US"/>
          </w:rPr>
          <w:t>Acad</w:t>
        </w:r>
        <w:proofErr w:type="spellEnd"/>
        <w:r w:rsidRPr="004D6BBD">
          <w:rPr>
            <w:rFonts w:ascii="Times New Roman" w:eastAsia="Calibri" w:hAnsi="Times New Roman" w:cs="Times New Roman"/>
            <w:iCs/>
            <w:color w:val="0000FF"/>
            <w:u w:val="single"/>
            <w:shd w:val="clear" w:color="auto" w:fill="FFFFFF"/>
            <w:lang w:val="ru-RU"/>
          </w:rPr>
          <w:t xml:space="preserve">. </w:t>
        </w:r>
        <w:proofErr w:type="spellStart"/>
        <w:r w:rsidRPr="004D6BBD">
          <w:rPr>
            <w:rFonts w:ascii="Times New Roman" w:eastAsia="Calibri" w:hAnsi="Times New Roman" w:cs="Times New Roman"/>
            <w:iCs/>
            <w:color w:val="0000FF"/>
            <w:u w:val="single"/>
            <w:shd w:val="clear" w:color="auto" w:fill="FFFFFF"/>
            <w:lang w:val="en-US"/>
          </w:rPr>
          <w:t>Sci</w:t>
        </w:r>
        <w:proofErr w:type="spellEnd"/>
        <w:r w:rsidRPr="004D6BBD">
          <w:rPr>
            <w:rFonts w:ascii="Times New Roman" w:eastAsia="Calibri" w:hAnsi="Times New Roman" w:cs="Times New Roman"/>
            <w:iCs/>
            <w:color w:val="0000FF"/>
            <w:u w:val="single"/>
            <w:shd w:val="clear" w:color="auto" w:fill="FFFFFF"/>
            <w:lang w:val="ru-RU"/>
          </w:rPr>
          <w:t xml:space="preserve">. </w:t>
        </w:r>
        <w:r w:rsidRPr="004D6BBD">
          <w:rPr>
            <w:rFonts w:ascii="Times New Roman" w:eastAsia="Calibri" w:hAnsi="Times New Roman" w:cs="Times New Roman"/>
            <w:iCs/>
            <w:color w:val="0000FF"/>
            <w:u w:val="single"/>
            <w:shd w:val="clear" w:color="auto" w:fill="FFFFFF"/>
            <w:lang w:val="en-US"/>
          </w:rPr>
          <w:t>U</w:t>
        </w:r>
        <w:r w:rsidRPr="004D6BBD">
          <w:rPr>
            <w:rFonts w:ascii="Times New Roman" w:eastAsia="Calibri" w:hAnsi="Times New Roman" w:cs="Times New Roman"/>
            <w:iCs/>
            <w:color w:val="0000FF"/>
            <w:u w:val="single"/>
            <w:shd w:val="clear" w:color="auto" w:fill="FFFFFF"/>
            <w:lang w:val="ru-RU"/>
          </w:rPr>
          <w:t>.</w:t>
        </w:r>
        <w:r w:rsidRPr="004D6BBD">
          <w:rPr>
            <w:rFonts w:ascii="Times New Roman" w:eastAsia="Calibri" w:hAnsi="Times New Roman" w:cs="Times New Roman"/>
            <w:iCs/>
            <w:color w:val="0000FF"/>
            <w:u w:val="single"/>
            <w:shd w:val="clear" w:color="auto" w:fill="FFFFFF"/>
            <w:lang w:val="en-US"/>
          </w:rPr>
          <w:t>S</w:t>
        </w:r>
        <w:r w:rsidRPr="004D6BBD">
          <w:rPr>
            <w:rFonts w:ascii="Times New Roman" w:eastAsia="Calibri" w:hAnsi="Times New Roman" w:cs="Times New Roman"/>
            <w:iCs/>
            <w:color w:val="0000FF"/>
            <w:u w:val="single"/>
            <w:shd w:val="clear" w:color="auto" w:fill="FFFFFF"/>
            <w:lang w:val="ru-RU"/>
          </w:rPr>
          <w:t>.</w:t>
        </w:r>
        <w:r w:rsidRPr="004D6BBD">
          <w:rPr>
            <w:rFonts w:ascii="Times New Roman" w:eastAsia="Calibri" w:hAnsi="Times New Roman" w:cs="Times New Roman"/>
            <w:iCs/>
            <w:color w:val="0000FF"/>
            <w:u w:val="single"/>
            <w:shd w:val="clear" w:color="auto" w:fill="FFFFFF"/>
            <w:lang w:val="en-US"/>
          </w:rPr>
          <w:t>A</w:t>
        </w:r>
        <w:r w:rsidRPr="004D6BBD">
          <w:rPr>
            <w:rFonts w:ascii="Times New Roman" w:eastAsia="Calibri" w:hAnsi="Times New Roman" w:cs="Times New Roman"/>
            <w:iCs/>
            <w:color w:val="0000FF"/>
            <w:u w:val="single"/>
            <w:shd w:val="clear" w:color="auto" w:fill="FFFFFF"/>
            <w:lang w:val="ru-RU"/>
          </w:rPr>
          <w:t>.</w:t>
        </w:r>
      </w:hyperlink>
      <w:r w:rsidRPr="004D6BBD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 xml:space="preserve"> – 2008. 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– </w:t>
      </w:r>
      <w:r w:rsidRPr="004D6BBD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 xml:space="preserve"> </w:t>
      </w:r>
      <w:r w:rsidRPr="004D6BBD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ru-RU"/>
        </w:rPr>
        <w:t>105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(9). – 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P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3551-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355</w:t>
      </w:r>
      <w:r w:rsidRPr="004D6BB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6.</w:t>
      </w:r>
      <w:r w:rsidRPr="004D6BBD">
        <w:rPr>
          <w:rFonts w:ascii="Arial" w:eastAsia="Calibri" w:hAnsi="Arial" w:cs="Arial"/>
          <w:sz w:val="19"/>
          <w:szCs w:val="19"/>
          <w:shd w:val="clear" w:color="auto" w:fill="FFFFFF"/>
          <w:lang w:val="en-US"/>
        </w:rPr>
        <w:t> 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Gullo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L., </w:t>
      </w: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Ventrucci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M., </w:t>
      </w: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Pezzilli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R., </w:t>
      </w: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Platé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L., </w:t>
      </w:r>
      <w:proofErr w:type="spellStart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Naldoni</w:t>
      </w:r>
      <w:proofErr w:type="spellEnd"/>
      <w:r w:rsidRPr="004D6BB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P.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Diagnostic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value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serum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elastase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pancreatic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disease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British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Surgery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1987. – Vol.74, </w:t>
      </w:r>
      <w:proofErr w:type="spellStart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Issue</w:t>
      </w:r>
      <w:proofErr w:type="spellEnd"/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1. </w:t>
      </w:r>
      <w:r w:rsidRPr="004D6BBD">
        <w:rPr>
          <w:rFonts w:ascii="Times New Roman" w:eastAsia="Calibri" w:hAnsi="Times New Roman" w:cs="Times New Roman"/>
          <w:sz w:val="28"/>
          <w:szCs w:val="28"/>
        </w:rPr>
        <w:t>– Р</w:t>
      </w:r>
      <w:r w:rsidRPr="004D6BBD">
        <w:rPr>
          <w:rFonts w:ascii="Times New Roman" w:eastAsia="Times New Roman" w:hAnsi="Times New Roman" w:cs="Times New Roman"/>
          <w:sz w:val="28"/>
          <w:szCs w:val="28"/>
          <w:lang w:eastAsia="uk-UA"/>
        </w:rPr>
        <w:t>. 44-47.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Justensen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T., Nielsen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O., Jacobson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E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The normal cultivable microflora in upper je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junal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fluid in healthy adults // Scand. J.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Gastroenterol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1984. –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Vol. 19. 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P. 279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282.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Madden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J.A., Hunter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J.O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 review of the role of the gut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microfl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ora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irritable bowel syndrome and the eff </w:t>
      </w:r>
      <w:proofErr w:type="spellStart"/>
      <w:proofErr w:type="gramStart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ect</w:t>
      </w:r>
      <w:proofErr w:type="spellEnd"/>
      <w:proofErr w:type="gramEnd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probiotics // Br. J. 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Nutr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. 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2002. 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Vol. 88, № 1. 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67-72. 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Mathias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J.R., Clench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M.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Review: pathophysiology of diarrhea caused by bacterial overgrowth of the small intestine // Amer. J. Meg. Sci.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1985.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Vol. 6.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244-248. 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Pimentel M., Chow E. J., Lin H.S.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Eradication of small intestinal overgrowth reduce symptoms of irritable bowel syndrome // Am. J. 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Gastroenterol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2000.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Vol. 95, N 12.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P. 3503-3506. 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Shah E.D.,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Basseri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R.J., Chong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K., Pimentel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M.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Abnormal breath testing in IBS: A meta-analysis // Dig. Dis.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Sci.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2010.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Vol. 55, N9.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P. 2441-2449.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Simenhoff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M.L., Dunn S.R., </w:t>
      </w: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Zollner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G.P.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Biomodulation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the toxic and nutritional eff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ects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small bowel bacterial overgrowth in end-stage kidney disease using frees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dried Lactobacillus acidophilus // Miner. Electrolyte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Metab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1996.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Vol. 1, № 3.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P. 92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96.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lastRenderedPageBreak/>
        <w:t>Sultzman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I.P., Russel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R.M.</w:t>
      </w:r>
      <w:r w:rsidRPr="004D6BBD">
        <w:rPr>
          <w:rFonts w:ascii="Times New Roman" w:eastAsia="Calibri" w:hAnsi="Times New Roman" w:cs="Times New Roman"/>
          <w:i/>
          <w:sz w:val="28"/>
          <w:szCs w:val="28"/>
        </w:rPr>
        <w:t>: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Nutritional consequences of intestinal bacterial overgrowth //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Compr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Ther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1994.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Vol. 20.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23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30.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Toskes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P.P.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Bacterial overgrowth of the gastrointestinal tract // Adv. Int.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Med.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1993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Vol. 38.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387-407. </w:t>
      </w:r>
    </w:p>
    <w:p w:rsidR="004D6BBD" w:rsidRPr="004D6BBD" w:rsidRDefault="004D6BBD" w:rsidP="004D6BBD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Toskes</w:t>
      </w:r>
      <w:proofErr w:type="spellEnd"/>
      <w:r w:rsidRPr="004D6BBD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P.P., Kumar A.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Enteric bacterial flora and bacterial overgrowth syndrome // </w:t>
      </w:r>
      <w:proofErr w:type="spellStart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Fordtran’s</w:t>
      </w:r>
      <w:proofErr w:type="spellEnd"/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gastrointestinal and liver disease. 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Philadelphia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1998.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>Vol. 2.</w:t>
      </w:r>
      <w:r w:rsidRPr="004D6BB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4D6BBD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4D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.1523-1535. </w:t>
      </w:r>
    </w:p>
    <w:bookmarkEnd w:id="3"/>
    <w:p w:rsidR="004D6BBD" w:rsidRPr="004D6BBD" w:rsidRDefault="004D6BBD">
      <w:pPr>
        <w:rPr>
          <w:lang w:val="en-US"/>
        </w:rPr>
      </w:pPr>
    </w:p>
    <w:sectPr w:rsidR="004D6BBD" w:rsidRPr="004D6BB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744A02"/>
    <w:multiLevelType w:val="hybridMultilevel"/>
    <w:tmpl w:val="F53A440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D945BD"/>
    <w:multiLevelType w:val="hybridMultilevel"/>
    <w:tmpl w:val="1C8EBC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DC2541A"/>
    <w:multiLevelType w:val="hybridMultilevel"/>
    <w:tmpl w:val="E4A89544"/>
    <w:lvl w:ilvl="0" w:tplc="F864DF10">
      <w:start w:val="1"/>
      <w:numFmt w:val="decimal"/>
      <w:lvlText w:val="%1."/>
      <w:lvlJc w:val="left"/>
      <w:pPr>
        <w:ind w:left="8582" w:hanging="360"/>
      </w:pPr>
      <w:rPr>
        <w:color w:val="auto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ED9"/>
    <w:rsid w:val="00212769"/>
    <w:rsid w:val="004D6BBD"/>
    <w:rsid w:val="00B26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40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26" Type="http://schemas.openxmlformats.org/officeDocument/2006/relationships/hyperlink" Target="http://www.pnas.org/cgi/pmidlookup?view=long&amp;pmid=18292227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28" Type="http://schemas.openxmlformats.org/officeDocument/2006/relationships/fontTable" Target="fontTable.xm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28;&#1074;&#1090;&#1086;&#1076;&#1110;&#1081;%20&#1052;&#1072;&#1088;&#1080;&#1085;&#1072;%20&#1042;&#1110;&#1082;&#1090;&#1086;&#1088;&#1110;&#1074;&#1085;&#1072;.doc" TargetMode="External"/><Relationship Id="rId27" Type="http://schemas.openxmlformats.org/officeDocument/2006/relationships/hyperlink" Target="https://ru.wikipedia.org/wiki/Proc._Natl._Acad._Sci._U.S.A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12</Pages>
  <Words>14294</Words>
  <Characters>8148</Characters>
  <Application>Microsoft Office Word</Application>
  <DocSecurity>0</DocSecurity>
  <Lines>67</Lines>
  <Paragraphs>44</Paragraphs>
  <ScaleCrop>false</ScaleCrop>
  <Company/>
  <LinksUpToDate>false</LinksUpToDate>
  <CharactersWithSpaces>22398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2020-02-25T09:41:00Z</dcterms:created>
  <dcterms:modified xsi:type="dcterms:W3CDTF">2020-02-25T09:48:00Z</dcterms:modified>
</cp:coreProperties>
</file>