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2C54" w:rsidRDefault="00B92C54" w:rsidP="00B92C54">
      <w:pPr>
        <w:pBdr>
          <w:bottom w:val="single" w:sz="4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 І. Мечникова</w:t>
      </w:r>
    </w:p>
    <w:p w:rsidR="00B92C54" w:rsidRDefault="00B92C54" w:rsidP="00B92C54">
      <w:pPr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вищого навчального закладу)</w:t>
      </w:r>
    </w:p>
    <w:p w:rsidR="00B92C54" w:rsidRDefault="00B92C54" w:rsidP="00B92C54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Факультет міжнародних відносин, політології та соціології</w:t>
      </w:r>
    </w:p>
    <w:p w:rsidR="00B92C54" w:rsidRDefault="00B92C54" w:rsidP="00B92C54">
      <w:pPr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інституту/факультету)</w:t>
      </w:r>
    </w:p>
    <w:p w:rsidR="00B92C54" w:rsidRDefault="00B92C54" w:rsidP="00B92C54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Кафедра </w:t>
      </w:r>
      <w:r>
        <w:rPr>
          <w:sz w:val="28"/>
          <w:szCs w:val="28"/>
          <w:lang w:val="uk-UA"/>
        </w:rPr>
        <w:t>міжнародних відносин</w:t>
      </w:r>
    </w:p>
    <w:p w:rsidR="00B92C54" w:rsidRDefault="00B92C54" w:rsidP="00B92C54">
      <w:pPr>
        <w:jc w:val="center"/>
        <w:rPr>
          <w:sz w:val="20"/>
          <w:szCs w:val="20"/>
        </w:rPr>
      </w:pPr>
      <w:r>
        <w:rPr>
          <w:sz w:val="20"/>
          <w:szCs w:val="20"/>
        </w:rPr>
        <w:t>(повна назва кафедри)</w:t>
      </w:r>
    </w:p>
    <w:p w:rsidR="00B92C54" w:rsidRDefault="00B92C54" w:rsidP="00B92C54">
      <w:pPr>
        <w:rPr>
          <w:b/>
          <w:spacing w:val="60"/>
          <w:sz w:val="40"/>
          <w:szCs w:val="40"/>
        </w:rPr>
      </w:pPr>
    </w:p>
    <w:p w:rsidR="00B92C54" w:rsidRDefault="00B92C54" w:rsidP="00B92C54">
      <w:pPr>
        <w:jc w:val="center"/>
        <w:rPr>
          <w:b/>
          <w:spacing w:val="60"/>
          <w:sz w:val="32"/>
          <w:szCs w:val="32"/>
        </w:rPr>
      </w:pPr>
      <w:r>
        <w:rPr>
          <w:b/>
          <w:spacing w:val="60"/>
          <w:sz w:val="32"/>
          <w:szCs w:val="32"/>
        </w:rPr>
        <w:t>Дипломна робота</w:t>
      </w:r>
    </w:p>
    <w:p w:rsidR="00B92C54" w:rsidRPr="009727F5" w:rsidRDefault="00B92C54" w:rsidP="00B92C54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 w:rsidRPr="009727F5">
        <w:rPr>
          <w:sz w:val="28"/>
          <w:szCs w:val="28"/>
          <w:lang w:val="uk-UA"/>
        </w:rPr>
        <w:t>бакалавра</w:t>
      </w:r>
    </w:p>
    <w:p w:rsidR="00B92C54" w:rsidRDefault="00B92C54" w:rsidP="00B92C54">
      <w:pPr>
        <w:tabs>
          <w:tab w:val="right" w:pos="9355"/>
        </w:tabs>
        <w:jc w:val="center"/>
        <w:rPr>
          <w:sz w:val="28"/>
          <w:szCs w:val="28"/>
          <w:lang w:val="uk-UA"/>
        </w:rPr>
      </w:pPr>
    </w:p>
    <w:p w:rsidR="00B92C54" w:rsidRPr="00D81AE0" w:rsidRDefault="00B92C54" w:rsidP="00B92C54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  <w:r>
        <w:rPr>
          <w:sz w:val="28"/>
          <w:szCs w:val="28"/>
        </w:rPr>
        <w:t xml:space="preserve">на тему: </w:t>
      </w:r>
      <w:r w:rsidRPr="00917919">
        <w:rPr>
          <w:b/>
          <w:sz w:val="28"/>
          <w:szCs w:val="28"/>
          <w:u w:val="single"/>
        </w:rPr>
        <w:t xml:space="preserve">«Політика </w:t>
      </w:r>
      <w:r>
        <w:rPr>
          <w:b/>
          <w:sz w:val="28"/>
          <w:szCs w:val="28"/>
          <w:u w:val="single"/>
          <w:lang w:val="uk-UA"/>
        </w:rPr>
        <w:t>ЄС</w:t>
      </w:r>
      <w:r>
        <w:rPr>
          <w:b/>
          <w:sz w:val="28"/>
          <w:szCs w:val="28"/>
          <w:u w:val="single"/>
        </w:rPr>
        <w:t xml:space="preserve"> щодо</w:t>
      </w:r>
      <w:r w:rsidRPr="00917919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  <w:lang w:val="uk-UA"/>
        </w:rPr>
        <w:t>Туреччини у 90-х рр. ХХ - на початку ХХІ ст.»</w:t>
      </w:r>
    </w:p>
    <w:p w:rsidR="00B92C54" w:rsidRPr="00B72B24" w:rsidRDefault="00B92C54" w:rsidP="00B92C54">
      <w:pPr>
        <w:tabs>
          <w:tab w:val="right" w:pos="9355"/>
        </w:tabs>
        <w:jc w:val="center"/>
        <w:rPr>
          <w:u w:val="single"/>
          <w:lang w:val="en-US"/>
        </w:rPr>
      </w:pPr>
      <w:r w:rsidRPr="00EC2123">
        <w:rPr>
          <w:u w:val="single"/>
          <w:lang w:val="en-US"/>
        </w:rPr>
        <w:t xml:space="preserve">« </w:t>
      </w:r>
      <w:r w:rsidRPr="001922C2">
        <w:rPr>
          <w:u w:val="single"/>
          <w:lang w:val="en-US"/>
        </w:rPr>
        <w:t xml:space="preserve">EU policy on </w:t>
      </w:r>
      <w:smartTag w:uri="urn:schemas-microsoft-com:office:smarttags" w:element="place">
        <w:smartTag w:uri="urn:schemas-microsoft-com:office:smarttags" w:element="country-region">
          <w:r w:rsidRPr="001922C2">
            <w:rPr>
              <w:u w:val="single"/>
              <w:lang w:val="en-US"/>
            </w:rPr>
            <w:t>Turkey</w:t>
          </w:r>
        </w:smartTag>
      </w:smartTag>
      <w:r w:rsidRPr="001922C2">
        <w:rPr>
          <w:u w:val="single"/>
          <w:lang w:val="en-US"/>
        </w:rPr>
        <w:t xml:space="preserve"> in the 1990s </w:t>
      </w:r>
      <w:r>
        <w:rPr>
          <w:u w:val="single"/>
        </w:rPr>
        <w:t>ХХ</w:t>
      </w:r>
      <w:r w:rsidRPr="001922C2">
        <w:rPr>
          <w:u w:val="single"/>
          <w:lang w:val="en-US"/>
        </w:rPr>
        <w:t xml:space="preserve"> - early XXI century</w:t>
      </w:r>
      <w:r w:rsidRPr="00B72B24">
        <w:rPr>
          <w:u w:val="single"/>
          <w:lang w:val="en-US"/>
        </w:rPr>
        <w:t>»</w:t>
      </w:r>
    </w:p>
    <w:p w:rsidR="00B92C54" w:rsidRPr="00255E8D" w:rsidRDefault="00B92C54" w:rsidP="00B92C54">
      <w:pPr>
        <w:tabs>
          <w:tab w:val="right" w:pos="9355"/>
        </w:tabs>
        <w:jc w:val="center"/>
        <w:rPr>
          <w:u w:val="single"/>
          <w:lang w:val="en-US"/>
        </w:rPr>
      </w:pPr>
    </w:p>
    <w:p w:rsidR="00B92C54" w:rsidRPr="009727F5" w:rsidRDefault="00B92C54" w:rsidP="00B92C54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B92C54" w:rsidRDefault="00B92C54" w:rsidP="00B92C54">
      <w:pPr>
        <w:rPr>
          <w:sz w:val="28"/>
          <w:szCs w:val="28"/>
          <w:lang w:val="uk-UA"/>
        </w:rPr>
      </w:pPr>
      <w:r w:rsidRPr="00255E8D">
        <w:rPr>
          <w:sz w:val="28"/>
          <w:szCs w:val="28"/>
          <w:lang w:val="en-US"/>
        </w:rPr>
        <w:t xml:space="preserve">                                 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</w:rPr>
        <w:t>Виконала: студентка</w:t>
      </w:r>
      <w:r>
        <w:rPr>
          <w:sz w:val="28"/>
          <w:szCs w:val="28"/>
          <w:lang w:val="uk-UA"/>
        </w:rPr>
        <w:t xml:space="preserve"> </w:t>
      </w:r>
      <w:r w:rsidRPr="00044088">
        <w:rPr>
          <w:sz w:val="28"/>
          <w:szCs w:val="28"/>
        </w:rPr>
        <w:t>4</w:t>
      </w:r>
      <w:r w:rsidRPr="00D81AE0">
        <w:rPr>
          <w:sz w:val="28"/>
          <w:szCs w:val="28"/>
        </w:rPr>
        <w:t xml:space="preserve"> </w:t>
      </w:r>
      <w:r w:rsidRPr="00044088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курсу</w:t>
      </w:r>
    </w:p>
    <w:p w:rsidR="00B92C54" w:rsidRDefault="00B92C54" w:rsidP="00B92C54">
      <w:pPr>
        <w:ind w:left="2124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ab/>
        <w:t>денної</w:t>
      </w:r>
      <w:r>
        <w:rPr>
          <w:sz w:val="28"/>
          <w:szCs w:val="28"/>
        </w:rPr>
        <w:t xml:space="preserve"> форми навчання</w:t>
      </w:r>
    </w:p>
    <w:p w:rsidR="00B92C54" w:rsidRDefault="00B92C54" w:rsidP="00B92C54">
      <w:pPr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                               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</w:rPr>
        <w:t xml:space="preserve">напряму підготовки </w:t>
      </w:r>
    </w:p>
    <w:p w:rsidR="00B92C54" w:rsidRDefault="00B92C54" w:rsidP="00B92C54">
      <w:pPr>
        <w:ind w:left="2124" w:firstLine="708"/>
        <w:rPr>
          <w:sz w:val="28"/>
          <w:szCs w:val="28"/>
          <w:u w:val="single"/>
          <w:vertAlign w:val="subscript"/>
          <w:lang w:val="uk-UA"/>
        </w:rPr>
      </w:pPr>
      <w:r w:rsidRPr="0051254F">
        <w:rPr>
          <w:sz w:val="28"/>
          <w:szCs w:val="28"/>
          <w:u w:val="single"/>
        </w:rPr>
        <w:t>6.</w:t>
      </w:r>
      <w:r w:rsidRPr="0051254F">
        <w:rPr>
          <w:sz w:val="28"/>
          <w:szCs w:val="28"/>
          <w:u w:val="single"/>
          <w:lang w:val="uk-UA"/>
        </w:rPr>
        <w:t>030201</w:t>
      </w:r>
      <w:r w:rsidRPr="0051254F">
        <w:rPr>
          <w:sz w:val="28"/>
          <w:szCs w:val="28"/>
          <w:u w:val="single"/>
        </w:rPr>
        <w:t xml:space="preserve"> </w:t>
      </w:r>
      <w:r w:rsidRPr="0051254F">
        <w:rPr>
          <w:sz w:val="28"/>
          <w:szCs w:val="28"/>
          <w:u w:val="single"/>
          <w:lang w:val="uk-UA"/>
        </w:rPr>
        <w:t xml:space="preserve"> М</w:t>
      </w:r>
      <w:r w:rsidRPr="0051254F">
        <w:rPr>
          <w:sz w:val="28"/>
          <w:szCs w:val="28"/>
          <w:u w:val="single"/>
        </w:rPr>
        <w:t>іжнародні відносини</w:t>
      </w:r>
    </w:p>
    <w:p w:rsidR="00B92C54" w:rsidRPr="00B90D21" w:rsidRDefault="00B92C54" w:rsidP="00B92C54">
      <w:pPr>
        <w:spacing w:line="120" w:lineRule="auto"/>
        <w:ind w:left="2829"/>
        <w:rPr>
          <w:sz w:val="28"/>
          <w:szCs w:val="28"/>
          <w:vertAlign w:val="subscript"/>
          <w:lang w:val="uk-UA"/>
        </w:rPr>
      </w:pPr>
      <w:r w:rsidRPr="00B90D21">
        <w:rPr>
          <w:sz w:val="28"/>
          <w:szCs w:val="28"/>
          <w:vertAlign w:val="subscript"/>
          <w:lang w:val="uk-UA"/>
        </w:rPr>
        <w:t>(шифр і назва напряму підготовки або спеціальності</w:t>
      </w:r>
      <w:r>
        <w:rPr>
          <w:sz w:val="28"/>
          <w:szCs w:val="28"/>
          <w:vertAlign w:val="subscript"/>
          <w:lang w:val="uk-UA"/>
        </w:rPr>
        <w:t>)</w:t>
      </w:r>
    </w:p>
    <w:p w:rsidR="00B92C54" w:rsidRPr="00917919" w:rsidRDefault="00B92C54" w:rsidP="00B92C54">
      <w:pPr>
        <w:rPr>
          <w:sz w:val="28"/>
          <w:szCs w:val="28"/>
          <w:u w:val="single"/>
          <w:lang w:val="uk-UA"/>
        </w:rPr>
      </w:pPr>
      <w:r>
        <w:rPr>
          <w:sz w:val="28"/>
          <w:szCs w:val="28"/>
        </w:rPr>
        <w:t xml:space="preserve">                                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u w:val="single"/>
        </w:rPr>
        <w:t>Тихоненко Д</w:t>
      </w:r>
      <w:r>
        <w:rPr>
          <w:sz w:val="28"/>
          <w:szCs w:val="28"/>
          <w:u w:val="single"/>
          <w:lang w:val="en-US"/>
        </w:rPr>
        <w:t>i</w:t>
      </w:r>
      <w:r>
        <w:rPr>
          <w:sz w:val="28"/>
          <w:szCs w:val="28"/>
          <w:u w:val="single"/>
        </w:rPr>
        <w:t>ана Олег</w:t>
      </w:r>
      <w:r>
        <w:rPr>
          <w:sz w:val="28"/>
          <w:szCs w:val="28"/>
          <w:u w:val="single"/>
          <w:lang w:val="en-US"/>
        </w:rPr>
        <w:t>i</w:t>
      </w:r>
      <w:r>
        <w:rPr>
          <w:sz w:val="28"/>
          <w:szCs w:val="28"/>
          <w:u w:val="single"/>
        </w:rPr>
        <w:t>вна</w:t>
      </w:r>
      <w:r w:rsidRPr="00917919">
        <w:rPr>
          <w:sz w:val="28"/>
          <w:szCs w:val="28"/>
          <w:u w:val="single"/>
          <w:lang w:val="uk-UA"/>
        </w:rPr>
        <w:t xml:space="preserve"> </w:t>
      </w:r>
    </w:p>
    <w:p w:rsidR="00B92C54" w:rsidRDefault="00B92C54" w:rsidP="00B92C54">
      <w:pPr>
        <w:spacing w:line="120" w:lineRule="auto"/>
        <w:rPr>
          <w:sz w:val="20"/>
          <w:szCs w:val="20"/>
          <w:vertAlign w:val="subscript"/>
          <w:lang w:val="uk-UA"/>
        </w:rPr>
      </w:pP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  <w:t>(прізвище,ім’я,по-батькові)</w:t>
      </w:r>
    </w:p>
    <w:p w:rsidR="00B92C54" w:rsidRDefault="00B92C54" w:rsidP="00B92C54">
      <w:pPr>
        <w:spacing w:line="168" w:lineRule="auto"/>
        <w:rPr>
          <w:sz w:val="20"/>
          <w:szCs w:val="20"/>
          <w:vertAlign w:val="subscript"/>
          <w:lang w:val="uk-UA"/>
        </w:rPr>
      </w:pPr>
    </w:p>
    <w:p w:rsidR="00B92C54" w:rsidRDefault="00B92C54" w:rsidP="00B92C54">
      <w:pPr>
        <w:spacing w:line="168" w:lineRule="auto"/>
        <w:ind w:left="2124" w:firstLine="708"/>
        <w:rPr>
          <w:sz w:val="20"/>
          <w:szCs w:val="20"/>
          <w:lang w:val="uk-UA"/>
        </w:rPr>
      </w:pPr>
    </w:p>
    <w:p w:rsidR="00B92C54" w:rsidRDefault="00B92C54" w:rsidP="00B92C54">
      <w:pPr>
        <w:spacing w:line="168" w:lineRule="auto"/>
        <w:ind w:left="2124" w:firstLine="708"/>
        <w:rPr>
          <w:sz w:val="28"/>
          <w:szCs w:val="28"/>
          <w:lang w:val="uk-UA"/>
        </w:rPr>
      </w:pPr>
      <w:r>
        <w:rPr>
          <w:sz w:val="20"/>
          <w:szCs w:val="20"/>
        </w:rPr>
        <w:t xml:space="preserve"> </w:t>
      </w:r>
      <w:r>
        <w:rPr>
          <w:sz w:val="28"/>
          <w:szCs w:val="28"/>
        </w:rPr>
        <w:t>Керівник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u w:val="single"/>
          <w:lang w:val="uk-UA"/>
        </w:rPr>
        <w:t xml:space="preserve">к.політ. н., доц.Вакарчук К.В.  </w:t>
      </w:r>
      <w:r>
        <w:rPr>
          <w:sz w:val="28"/>
          <w:szCs w:val="28"/>
          <w:lang w:val="uk-UA"/>
        </w:rPr>
        <w:t xml:space="preserve">  ____</w:t>
      </w:r>
    </w:p>
    <w:p w:rsidR="00B92C54" w:rsidRPr="00552182" w:rsidRDefault="00B92C54" w:rsidP="00B92C54">
      <w:pPr>
        <w:spacing w:line="168" w:lineRule="auto"/>
        <w:ind w:left="2124" w:firstLine="70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(</w:t>
      </w:r>
      <w:r w:rsidRPr="00AB609D">
        <w:rPr>
          <w:sz w:val="20"/>
          <w:szCs w:val="20"/>
          <w:lang w:val="uk-UA"/>
        </w:rPr>
        <w:t>науковий ступінь</w:t>
      </w:r>
      <w:r>
        <w:rPr>
          <w:sz w:val="20"/>
          <w:szCs w:val="20"/>
          <w:lang w:val="uk-UA"/>
        </w:rPr>
        <w:t>, вчене звання,прізвище та ініціали, підпис)</w:t>
      </w:r>
    </w:p>
    <w:p w:rsidR="00B92C54" w:rsidRPr="00B72B24" w:rsidRDefault="00B92C54" w:rsidP="00B92C54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AB609D">
        <w:rPr>
          <w:sz w:val="28"/>
          <w:szCs w:val="28"/>
          <w:lang w:val="uk-UA"/>
        </w:rPr>
        <w:t xml:space="preserve">                  </w:t>
      </w:r>
      <w:r>
        <w:rPr>
          <w:sz w:val="28"/>
          <w:szCs w:val="28"/>
          <w:lang w:val="uk-UA"/>
        </w:rPr>
        <w:t xml:space="preserve">                       Рецензент </w:t>
      </w:r>
      <w:r w:rsidRPr="0060489C">
        <w:rPr>
          <w:sz w:val="28"/>
          <w:szCs w:val="28"/>
          <w:u w:val="single"/>
          <w:lang w:val="uk-UA"/>
        </w:rPr>
        <w:t>доц.</w:t>
      </w:r>
      <w:r>
        <w:rPr>
          <w:sz w:val="28"/>
          <w:szCs w:val="28"/>
          <w:u w:val="single"/>
          <w:lang w:val="uk-UA"/>
        </w:rPr>
        <w:t xml:space="preserve"> Войтович О.І.</w:t>
      </w:r>
    </w:p>
    <w:p w:rsidR="00B92C54" w:rsidRPr="0012669D" w:rsidRDefault="00B92C54" w:rsidP="00B92C54">
      <w:pPr>
        <w:tabs>
          <w:tab w:val="left" w:pos="5245"/>
          <w:tab w:val="right" w:pos="9355"/>
        </w:tabs>
        <w:spacing w:before="120" w:line="120" w:lineRule="auto"/>
        <w:rPr>
          <w:sz w:val="28"/>
          <w:szCs w:val="28"/>
          <w:vertAlign w:val="subscript"/>
          <w:lang w:val="uk-UA"/>
        </w:rPr>
      </w:pPr>
      <w:r>
        <w:rPr>
          <w:sz w:val="28"/>
          <w:szCs w:val="28"/>
          <w:vertAlign w:val="subscript"/>
          <w:lang w:val="uk-UA"/>
        </w:rPr>
        <w:t xml:space="preserve">                                                              </w:t>
      </w:r>
      <w:r>
        <w:rPr>
          <w:sz w:val="28"/>
          <w:szCs w:val="28"/>
          <w:lang w:val="uk-UA"/>
        </w:rPr>
        <w:t>(</w:t>
      </w:r>
      <w:r w:rsidRPr="00AB609D">
        <w:rPr>
          <w:sz w:val="20"/>
          <w:szCs w:val="20"/>
          <w:lang w:val="uk-UA"/>
        </w:rPr>
        <w:t>науковий ступінь</w:t>
      </w:r>
      <w:r>
        <w:rPr>
          <w:sz w:val="20"/>
          <w:szCs w:val="20"/>
          <w:lang w:val="uk-UA"/>
        </w:rPr>
        <w:t>, вчене звання,прізвище та ініціали)</w:t>
      </w:r>
    </w:p>
    <w:p w:rsidR="00B92C54" w:rsidRPr="00B72B24" w:rsidRDefault="00B92C54" w:rsidP="00B92C54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:rsidR="00B92C54" w:rsidRPr="00B72B24" w:rsidRDefault="00B92C54" w:rsidP="00B92C54">
      <w:pPr>
        <w:ind w:left="3969"/>
        <w:rPr>
          <w:sz w:val="28"/>
          <w:szCs w:val="28"/>
          <w:lang w:val="uk-UA"/>
        </w:rPr>
      </w:pPr>
    </w:p>
    <w:p w:rsidR="00B92C54" w:rsidRPr="00B72B24" w:rsidRDefault="00B92C54" w:rsidP="00B92C54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B92C54" w:rsidTr="00CE3EBC">
        <w:trPr>
          <w:jc w:val="center"/>
        </w:trPr>
        <w:tc>
          <w:tcPr>
            <w:tcW w:w="4967" w:type="dxa"/>
          </w:tcPr>
          <w:p w:rsidR="00B92C54" w:rsidRDefault="00B92C54" w:rsidP="00CE3EBC">
            <w:pPr>
              <w:spacing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Рекомендовано до захисту:</w:t>
            </w:r>
          </w:p>
          <w:p w:rsidR="00B92C54" w:rsidRDefault="00B92C54" w:rsidP="00CE3EBC">
            <w:pPr>
              <w:spacing w:before="12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Протокол</w:t>
            </w:r>
            <w:r>
              <w:rPr>
                <w:sz w:val="28"/>
                <w:szCs w:val="28"/>
                <w:lang w:val="uk-UA" w:eastAsia="en-US"/>
              </w:rPr>
              <w:t xml:space="preserve"> </w:t>
            </w:r>
            <w:r>
              <w:rPr>
                <w:sz w:val="28"/>
                <w:szCs w:val="28"/>
                <w:lang w:eastAsia="en-US"/>
              </w:rPr>
              <w:t>засідання кафедри</w:t>
            </w:r>
          </w:p>
          <w:p w:rsidR="00B92C54" w:rsidRDefault="00B92C54" w:rsidP="00CE3EBC">
            <w:pPr>
              <w:spacing w:before="12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№ ___ від ___________ р. </w:t>
            </w:r>
          </w:p>
          <w:p w:rsidR="00B92C54" w:rsidRPr="00E762FD" w:rsidRDefault="00B92C54" w:rsidP="00CE3EBC">
            <w:pPr>
              <w:spacing w:before="600" w:line="256" w:lineRule="auto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eastAsia="en-US"/>
              </w:rPr>
              <w:t>Зав</w:t>
            </w:r>
            <w:r>
              <w:rPr>
                <w:sz w:val="28"/>
                <w:szCs w:val="28"/>
                <w:lang w:val="uk-UA" w:eastAsia="en-US"/>
              </w:rPr>
              <w:t>ідувач</w:t>
            </w:r>
            <w:r>
              <w:rPr>
                <w:sz w:val="28"/>
                <w:szCs w:val="28"/>
                <w:lang w:eastAsia="en-US"/>
              </w:rPr>
              <w:t xml:space="preserve"> кафедр</w:t>
            </w:r>
            <w:r>
              <w:rPr>
                <w:sz w:val="28"/>
                <w:szCs w:val="28"/>
                <w:lang w:val="uk-UA" w:eastAsia="en-US"/>
              </w:rPr>
              <w:t>и</w:t>
            </w:r>
          </w:p>
          <w:p w:rsidR="00B92C54" w:rsidRDefault="00B92C54" w:rsidP="00CE3EBC">
            <w:pPr>
              <w:tabs>
                <w:tab w:val="left" w:pos="1168"/>
                <w:tab w:val="left" w:pos="3861"/>
              </w:tabs>
              <w:spacing w:before="360" w:line="256" w:lineRule="auto"/>
              <w:rPr>
                <w:sz w:val="28"/>
                <w:szCs w:val="28"/>
                <w:u w:val="single"/>
                <w:lang w:val="uk-UA" w:eastAsia="en-US"/>
              </w:rPr>
            </w:pPr>
            <w:r>
              <w:rPr>
                <w:sz w:val="28"/>
                <w:szCs w:val="28"/>
                <w:u w:val="single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 xml:space="preserve">            </w:t>
            </w:r>
            <w:r>
              <w:rPr>
                <w:sz w:val="28"/>
                <w:szCs w:val="28"/>
                <w:lang w:val="uk-UA" w:eastAsia="en-US"/>
              </w:rPr>
              <w:t>Брусиловська О.І.</w:t>
            </w:r>
          </w:p>
          <w:p w:rsidR="00B92C54" w:rsidRDefault="00B92C54" w:rsidP="00CE3EBC">
            <w:pPr>
              <w:tabs>
                <w:tab w:val="left" w:pos="284"/>
                <w:tab w:val="left" w:pos="1767"/>
              </w:tabs>
              <w:spacing w:line="25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ab/>
              <w:t>(підпис)</w:t>
            </w:r>
            <w:r>
              <w:rPr>
                <w:sz w:val="20"/>
                <w:szCs w:val="20"/>
                <w:lang w:eastAsia="en-US"/>
              </w:rPr>
              <w:tab/>
            </w:r>
          </w:p>
        </w:tc>
        <w:tc>
          <w:tcPr>
            <w:tcW w:w="4678" w:type="dxa"/>
          </w:tcPr>
          <w:p w:rsidR="00B92C54" w:rsidRPr="008548BE" w:rsidRDefault="00B92C54" w:rsidP="00CE3EBC">
            <w:pPr>
              <w:tabs>
                <w:tab w:val="right" w:pos="4462"/>
              </w:tabs>
              <w:spacing w:line="256" w:lineRule="auto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eastAsia="en-US"/>
              </w:rPr>
              <w:t>Захищено на засіданні ЕК №_</w:t>
            </w:r>
            <w:r>
              <w:rPr>
                <w:sz w:val="28"/>
                <w:szCs w:val="28"/>
                <w:lang w:val="uk-UA" w:eastAsia="en-US"/>
              </w:rPr>
              <w:t>_</w:t>
            </w:r>
            <w:r w:rsidRPr="008548BE">
              <w:rPr>
                <w:sz w:val="28"/>
                <w:szCs w:val="28"/>
                <w:u w:val="single"/>
                <w:lang w:val="uk-UA" w:eastAsia="en-US"/>
              </w:rPr>
              <w:t>3</w:t>
            </w:r>
            <w:r>
              <w:rPr>
                <w:sz w:val="28"/>
                <w:szCs w:val="28"/>
                <w:lang w:val="uk-UA" w:eastAsia="en-US"/>
              </w:rPr>
              <w:t>__</w:t>
            </w:r>
          </w:p>
          <w:p w:rsidR="00B92C54" w:rsidRDefault="00B92C54" w:rsidP="00CE3EBC">
            <w:pPr>
              <w:tabs>
                <w:tab w:val="right" w:pos="4462"/>
              </w:tabs>
              <w:spacing w:before="12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протокол № ___ від </w:t>
            </w:r>
            <w:r>
              <w:rPr>
                <w:sz w:val="28"/>
                <w:szCs w:val="28"/>
                <w:lang w:val="uk-UA" w:eastAsia="en-US"/>
              </w:rPr>
              <w:t>____________</w:t>
            </w:r>
            <w:r>
              <w:rPr>
                <w:sz w:val="28"/>
                <w:szCs w:val="28"/>
                <w:lang w:eastAsia="en-US"/>
              </w:rPr>
              <w:t xml:space="preserve"> р.</w:t>
            </w:r>
            <w:r>
              <w:rPr>
                <w:sz w:val="28"/>
                <w:szCs w:val="28"/>
                <w:lang w:eastAsia="en-US"/>
              </w:rPr>
              <w:tab/>
            </w:r>
          </w:p>
          <w:p w:rsidR="00B92C54" w:rsidRDefault="00B92C54" w:rsidP="00CE3EBC">
            <w:pPr>
              <w:tabs>
                <w:tab w:val="right" w:pos="4462"/>
              </w:tabs>
              <w:spacing w:before="12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Оцінка______________/___</w:t>
            </w:r>
            <w:r>
              <w:rPr>
                <w:sz w:val="20"/>
                <w:szCs w:val="20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>___/____</w:t>
            </w:r>
          </w:p>
          <w:p w:rsidR="00B92C54" w:rsidRDefault="00B92C54" w:rsidP="00CE3EBC">
            <w:pPr>
              <w:spacing w:line="25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(за національною шкалою, шкалою ЕСТ</w:t>
            </w:r>
            <w:r>
              <w:rPr>
                <w:sz w:val="20"/>
                <w:szCs w:val="20"/>
                <w:lang w:val="en-US" w:eastAsia="en-US"/>
              </w:rPr>
              <w:t>S</w:t>
            </w:r>
            <w:r>
              <w:rPr>
                <w:sz w:val="20"/>
                <w:szCs w:val="20"/>
                <w:lang w:eastAsia="en-US"/>
              </w:rPr>
              <w:t>, бали)</w:t>
            </w:r>
          </w:p>
          <w:p w:rsidR="00B92C54" w:rsidRDefault="00B92C54" w:rsidP="00CE3EBC">
            <w:pPr>
              <w:spacing w:before="36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Голова ЕК</w:t>
            </w:r>
          </w:p>
          <w:p w:rsidR="00B92C54" w:rsidRDefault="00B92C54" w:rsidP="00CE3EBC">
            <w:pPr>
              <w:tabs>
                <w:tab w:val="left" w:pos="1446"/>
                <w:tab w:val="right" w:pos="4462"/>
              </w:tabs>
              <w:spacing w:before="360" w:line="256" w:lineRule="auto"/>
              <w:rPr>
                <w:sz w:val="28"/>
                <w:szCs w:val="28"/>
                <w:u w:val="single"/>
                <w:lang w:val="uk-UA" w:eastAsia="en-US"/>
              </w:rPr>
            </w:pPr>
            <w:r>
              <w:rPr>
                <w:sz w:val="28"/>
                <w:szCs w:val="28"/>
                <w:u w:val="single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 xml:space="preserve">             </w:t>
            </w:r>
            <w:r>
              <w:rPr>
                <w:sz w:val="28"/>
                <w:szCs w:val="28"/>
                <w:lang w:val="uk-UA" w:eastAsia="en-US"/>
              </w:rPr>
              <w:t>Брусиловська О.І.</w:t>
            </w:r>
          </w:p>
          <w:p w:rsidR="00B92C54" w:rsidRDefault="00B92C54" w:rsidP="00CE3EBC">
            <w:pPr>
              <w:tabs>
                <w:tab w:val="left" w:pos="454"/>
                <w:tab w:val="left" w:pos="2155"/>
              </w:tabs>
              <w:spacing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ab/>
              <w:t>(підпис)</w:t>
            </w:r>
            <w:r>
              <w:rPr>
                <w:sz w:val="20"/>
                <w:szCs w:val="20"/>
                <w:lang w:eastAsia="en-US"/>
              </w:rPr>
              <w:tab/>
            </w:r>
          </w:p>
        </w:tc>
      </w:tr>
      <w:tr w:rsidR="00B92C54" w:rsidTr="00CE3EBC">
        <w:trPr>
          <w:jc w:val="center"/>
        </w:trPr>
        <w:tc>
          <w:tcPr>
            <w:tcW w:w="4967" w:type="dxa"/>
          </w:tcPr>
          <w:p w:rsidR="00B92C54" w:rsidRDefault="00B92C54" w:rsidP="00CE3EBC">
            <w:pPr>
              <w:spacing w:line="256" w:lineRule="auto"/>
              <w:rPr>
                <w:sz w:val="28"/>
                <w:szCs w:val="28"/>
                <w:lang w:eastAsia="en-US"/>
              </w:rPr>
            </w:pPr>
          </w:p>
        </w:tc>
        <w:tc>
          <w:tcPr>
            <w:tcW w:w="4678" w:type="dxa"/>
          </w:tcPr>
          <w:p w:rsidR="00B92C54" w:rsidRDefault="00B92C54" w:rsidP="00CE3EBC">
            <w:pPr>
              <w:spacing w:line="256" w:lineRule="auto"/>
              <w:rPr>
                <w:sz w:val="28"/>
                <w:szCs w:val="28"/>
                <w:lang w:eastAsia="en-US"/>
              </w:rPr>
            </w:pPr>
          </w:p>
        </w:tc>
      </w:tr>
    </w:tbl>
    <w:p w:rsidR="00B92C54" w:rsidRDefault="00B92C54" w:rsidP="00B92C54">
      <w:pPr>
        <w:jc w:val="center"/>
        <w:rPr>
          <w:b/>
          <w:sz w:val="28"/>
          <w:szCs w:val="28"/>
        </w:rPr>
      </w:pPr>
    </w:p>
    <w:p w:rsidR="00B92C54" w:rsidRPr="009727F5" w:rsidRDefault="00B92C54" w:rsidP="00B92C54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>Одеса</w:t>
      </w:r>
      <w:r>
        <w:rPr>
          <w:b/>
          <w:sz w:val="28"/>
          <w:szCs w:val="28"/>
          <w:lang w:val="en-US"/>
        </w:rPr>
        <w:t xml:space="preserve"> –</w:t>
      </w:r>
      <w:r>
        <w:rPr>
          <w:b/>
          <w:sz w:val="28"/>
          <w:szCs w:val="28"/>
        </w:rPr>
        <w:t xml:space="preserve"> 201</w:t>
      </w:r>
      <w:r>
        <w:rPr>
          <w:b/>
          <w:sz w:val="28"/>
          <w:szCs w:val="28"/>
          <w:lang w:val="uk-UA"/>
        </w:rPr>
        <w:t>8</w:t>
      </w:r>
    </w:p>
    <w:p w:rsidR="00B92C54" w:rsidRDefault="00B92C54" w:rsidP="00B92C54">
      <w:pPr>
        <w:pStyle w:val="a3"/>
        <w:jc w:val="center"/>
        <w:rPr>
          <w:b/>
          <w:iCs/>
        </w:rPr>
      </w:pPr>
    </w:p>
    <w:p w:rsidR="00B92C54" w:rsidRDefault="00B92C54" w:rsidP="00B92C54">
      <w:pPr>
        <w:pStyle w:val="a3"/>
        <w:jc w:val="center"/>
        <w:rPr>
          <w:b/>
          <w:iCs/>
        </w:rPr>
      </w:pPr>
      <w:r>
        <w:rPr>
          <w:b/>
          <w:iCs/>
        </w:rPr>
        <w:t>СОДЕРЖАНИЕ</w:t>
      </w:r>
    </w:p>
    <w:p w:rsidR="00B92C54" w:rsidRPr="00EC2123" w:rsidRDefault="00B92C54" w:rsidP="00B92C54">
      <w:pPr>
        <w:pStyle w:val="1"/>
        <w:spacing w:before="0" w:line="360" w:lineRule="auto"/>
        <w:ind w:left="284"/>
        <w:rPr>
          <w:rFonts w:ascii="Times New Roman" w:hAnsi="Times New Roman" w:cs="Times New Roman"/>
          <w:b w:val="0"/>
          <w:bCs w:val="0"/>
        </w:rPr>
      </w:pPr>
      <w:hyperlink w:anchor="_Toc514919523" w:history="1">
        <w:r w:rsidRPr="00EC2123">
          <w:rPr>
            <w:rStyle w:val="IndexLink"/>
            <w:rFonts w:ascii="Times New Roman" w:hAnsi="Times New Roman" w:cs="Times New Roman"/>
            <w:b w:val="0"/>
            <w:bCs w:val="0"/>
            <w:color w:val="00000A"/>
          </w:rPr>
          <w:t>Введение</w:t>
        </w:r>
        <w:r w:rsidRPr="00EC2123">
          <w:rPr>
            <w:rStyle w:val="IndexLink"/>
            <w:rFonts w:ascii="Times New Roman" w:hAnsi="Times New Roman" w:cs="Times New Roman"/>
            <w:b w:val="0"/>
            <w:bCs w:val="0"/>
          </w:rPr>
          <w:tab/>
          <w:t>3</w:t>
        </w:r>
      </w:hyperlink>
    </w:p>
    <w:p w:rsidR="00B92C54" w:rsidRPr="00EC2123" w:rsidRDefault="00B92C54" w:rsidP="00B92C54">
      <w:pPr>
        <w:pStyle w:val="1"/>
        <w:spacing w:before="0" w:line="360" w:lineRule="auto"/>
        <w:ind w:left="284"/>
        <w:rPr>
          <w:rFonts w:ascii="Times New Roman" w:hAnsi="Times New Roman" w:cs="Times New Roman"/>
          <w:b w:val="0"/>
          <w:bCs w:val="0"/>
        </w:rPr>
      </w:pPr>
      <w:hyperlink w:anchor="_Toc514919524" w:history="1">
        <w:r w:rsidRPr="00EC2123">
          <w:rPr>
            <w:rStyle w:val="IndexLink"/>
            <w:rFonts w:ascii="Times New Roman" w:hAnsi="Times New Roman" w:cs="Times New Roman"/>
            <w:b w:val="0"/>
            <w:bCs w:val="0"/>
            <w:color w:val="00000A"/>
          </w:rPr>
          <w:t>Глава 1. Взаимоотношения ЕС и Турции: предпосылки интеграции</w:t>
        </w:r>
        <w:r w:rsidRPr="00EC2123">
          <w:rPr>
            <w:rStyle w:val="IndexLink"/>
            <w:rFonts w:ascii="Times New Roman" w:hAnsi="Times New Roman" w:cs="Times New Roman"/>
            <w:b w:val="0"/>
            <w:bCs w:val="0"/>
          </w:rPr>
          <w:tab/>
        </w:r>
      </w:hyperlink>
      <w:r>
        <w:rPr>
          <w:rFonts w:ascii="Times New Roman" w:hAnsi="Times New Roman" w:cs="Times New Roman"/>
          <w:b w:val="0"/>
          <w:bCs w:val="0"/>
        </w:rPr>
        <w:t>7</w:t>
      </w:r>
    </w:p>
    <w:p w:rsidR="00B92C54" w:rsidRPr="00EC2123" w:rsidRDefault="00B92C54" w:rsidP="00B92C54">
      <w:pPr>
        <w:pStyle w:val="1"/>
        <w:spacing w:before="0" w:line="360" w:lineRule="auto"/>
        <w:ind w:left="284"/>
        <w:rPr>
          <w:rFonts w:ascii="Times New Roman" w:hAnsi="Times New Roman" w:cs="Times New Roman"/>
          <w:b w:val="0"/>
          <w:bCs w:val="0"/>
        </w:rPr>
      </w:pPr>
      <w:hyperlink w:anchor="_Toc514919525" w:history="1">
        <w:r w:rsidRPr="00EC2123">
          <w:rPr>
            <w:rStyle w:val="IndexLink"/>
            <w:rFonts w:ascii="Times New Roman" w:hAnsi="Times New Roman" w:cs="Times New Roman"/>
            <w:b w:val="0"/>
            <w:bCs w:val="0"/>
            <w:color w:val="00000A"/>
          </w:rPr>
          <w:t>Глава 2. Проблемы принятия Турции в ЕС в качестве полноправного члена</w:t>
        </w:r>
        <w:r w:rsidRPr="00EC2123">
          <w:rPr>
            <w:rStyle w:val="IndexLink"/>
            <w:rFonts w:ascii="Times New Roman" w:hAnsi="Times New Roman" w:cs="Times New Roman"/>
            <w:b w:val="0"/>
            <w:bCs w:val="0"/>
          </w:rPr>
          <w:tab/>
        </w:r>
      </w:hyperlink>
      <w:r>
        <w:rPr>
          <w:rFonts w:ascii="Times New Roman" w:hAnsi="Times New Roman" w:cs="Times New Roman"/>
          <w:b w:val="0"/>
          <w:bCs w:val="0"/>
        </w:rPr>
        <w:t>23</w:t>
      </w:r>
    </w:p>
    <w:p w:rsidR="00B92C54" w:rsidRPr="00EC2123" w:rsidRDefault="00B92C54" w:rsidP="00B92C54">
      <w:pPr>
        <w:pStyle w:val="1"/>
        <w:spacing w:before="0" w:line="360" w:lineRule="auto"/>
        <w:ind w:left="284"/>
        <w:rPr>
          <w:rFonts w:ascii="Times New Roman" w:hAnsi="Times New Roman" w:cs="Times New Roman"/>
          <w:b w:val="0"/>
          <w:bCs w:val="0"/>
        </w:rPr>
      </w:pPr>
      <w:hyperlink w:anchor="_Toc514919526" w:history="1">
        <w:r w:rsidRPr="00EC2123">
          <w:rPr>
            <w:rStyle w:val="IndexLink"/>
            <w:rFonts w:ascii="Times New Roman" w:hAnsi="Times New Roman" w:cs="Times New Roman"/>
            <w:b w:val="0"/>
            <w:bCs w:val="0"/>
            <w:color w:val="00000A"/>
          </w:rPr>
          <w:t>Глава 3. Основные тенденции политики ЕС в Турции на современном этапе</w:t>
        </w:r>
        <w:r w:rsidRPr="00EC2123">
          <w:rPr>
            <w:rStyle w:val="IndexLink"/>
            <w:rFonts w:ascii="Times New Roman" w:hAnsi="Times New Roman" w:cs="Times New Roman"/>
            <w:b w:val="0"/>
            <w:bCs w:val="0"/>
          </w:rPr>
          <w:tab/>
        </w:r>
      </w:hyperlink>
      <w:r>
        <w:rPr>
          <w:rFonts w:ascii="Times New Roman" w:hAnsi="Times New Roman" w:cs="Times New Roman"/>
          <w:b w:val="0"/>
          <w:bCs w:val="0"/>
        </w:rPr>
        <w:t>38</w:t>
      </w:r>
    </w:p>
    <w:p w:rsidR="00B92C54" w:rsidRPr="00EC2123" w:rsidRDefault="00B92C54" w:rsidP="00B92C54">
      <w:pPr>
        <w:pStyle w:val="1"/>
        <w:spacing w:before="0" w:line="360" w:lineRule="auto"/>
        <w:ind w:left="284"/>
        <w:rPr>
          <w:rFonts w:ascii="Times New Roman" w:hAnsi="Times New Roman" w:cs="Times New Roman"/>
          <w:b w:val="0"/>
          <w:bCs w:val="0"/>
        </w:rPr>
      </w:pPr>
      <w:hyperlink w:anchor="_Toc514919527" w:history="1">
        <w:r>
          <w:rPr>
            <w:rStyle w:val="IndexLink"/>
            <w:rFonts w:ascii="Times New Roman" w:hAnsi="Times New Roman" w:cs="Times New Roman"/>
            <w:b w:val="0"/>
            <w:bCs w:val="0"/>
            <w:color w:val="00000A"/>
          </w:rPr>
          <w:t>ВЫВОДЫ</w:t>
        </w:r>
        <w:r w:rsidRPr="00EC2123">
          <w:rPr>
            <w:rStyle w:val="IndexLink"/>
            <w:rFonts w:ascii="Times New Roman" w:hAnsi="Times New Roman" w:cs="Times New Roman"/>
            <w:b w:val="0"/>
            <w:bCs w:val="0"/>
          </w:rPr>
          <w:tab/>
        </w:r>
        <w:r w:rsidRPr="00EC2123">
          <w:rPr>
            <w:rStyle w:val="IndexLink"/>
            <w:rFonts w:ascii="Times New Roman" w:hAnsi="Times New Roman" w:cs="Times New Roman"/>
            <w:b w:val="0"/>
            <w:bCs w:val="0"/>
          </w:rPr>
          <w:t>5</w:t>
        </w:r>
      </w:hyperlink>
      <w:r>
        <w:rPr>
          <w:rFonts w:ascii="Times New Roman" w:hAnsi="Times New Roman" w:cs="Times New Roman"/>
          <w:b w:val="0"/>
          <w:bCs w:val="0"/>
        </w:rPr>
        <w:t>2</w:t>
      </w:r>
    </w:p>
    <w:p w:rsidR="00B92C54" w:rsidRPr="00EC2123" w:rsidRDefault="00B92C54" w:rsidP="00B92C54">
      <w:pPr>
        <w:pStyle w:val="1"/>
        <w:spacing w:before="0" w:line="360" w:lineRule="auto"/>
        <w:ind w:left="284"/>
        <w:rPr>
          <w:rFonts w:ascii="Times New Roman" w:hAnsi="Times New Roman" w:cs="Times New Roman"/>
        </w:rPr>
      </w:pPr>
      <w:hyperlink w:anchor="_Toc514919528" w:history="1">
        <w:r w:rsidRPr="00EC2123">
          <w:rPr>
            <w:rStyle w:val="IndexLink"/>
            <w:rFonts w:ascii="Times New Roman" w:hAnsi="Times New Roman" w:cs="Times New Roman"/>
            <w:b w:val="0"/>
            <w:bCs w:val="0"/>
            <w:color w:val="00000A"/>
          </w:rPr>
          <w:t>Список изученных источников</w:t>
        </w:r>
        <w:r w:rsidRPr="00EC2123">
          <w:rPr>
            <w:rStyle w:val="IndexLink"/>
            <w:rFonts w:ascii="Times New Roman" w:hAnsi="Times New Roman" w:cs="Times New Roman"/>
            <w:b w:val="0"/>
            <w:bCs w:val="0"/>
          </w:rPr>
          <w:tab/>
          <w:t>5</w:t>
        </w:r>
      </w:hyperlink>
      <w:r>
        <w:rPr>
          <w:rFonts w:ascii="Times New Roman" w:hAnsi="Times New Roman" w:cs="Times New Roman"/>
          <w:b w:val="0"/>
          <w:bCs w:val="0"/>
        </w:rPr>
        <w:t>5</w:t>
      </w:r>
    </w:p>
    <w:p w:rsidR="00B92C54" w:rsidRDefault="00B92C54" w:rsidP="00B92C54">
      <w:pPr>
        <w:pStyle w:val="a3"/>
        <w:jc w:val="center"/>
        <w:rPr>
          <w:b/>
          <w:iCs/>
        </w:rPr>
      </w:pPr>
    </w:p>
    <w:p w:rsidR="00B92C54" w:rsidRDefault="00B92C54" w:rsidP="00B92C54">
      <w:pPr>
        <w:pStyle w:val="a3"/>
        <w:jc w:val="center"/>
        <w:rPr>
          <w:b/>
          <w:iCs/>
        </w:rPr>
      </w:pPr>
    </w:p>
    <w:p w:rsidR="00B92C54" w:rsidRDefault="00B92C54" w:rsidP="00B92C54">
      <w:pPr>
        <w:pStyle w:val="a3"/>
        <w:jc w:val="center"/>
        <w:rPr>
          <w:b/>
          <w:iCs/>
        </w:rPr>
      </w:pPr>
    </w:p>
    <w:p w:rsidR="00B92C54" w:rsidRDefault="00B92C54" w:rsidP="00B92C54">
      <w:pPr>
        <w:pStyle w:val="a3"/>
        <w:jc w:val="center"/>
        <w:rPr>
          <w:b/>
          <w:iCs/>
        </w:rPr>
      </w:pPr>
    </w:p>
    <w:p w:rsidR="00B92C54" w:rsidRDefault="00B92C54" w:rsidP="00B92C54">
      <w:pPr>
        <w:pStyle w:val="a3"/>
        <w:jc w:val="center"/>
        <w:rPr>
          <w:b/>
          <w:iCs/>
        </w:rPr>
      </w:pPr>
    </w:p>
    <w:p w:rsidR="00B92C54" w:rsidRDefault="00B92C54" w:rsidP="00B92C54">
      <w:pPr>
        <w:pStyle w:val="a3"/>
        <w:jc w:val="center"/>
        <w:rPr>
          <w:b/>
          <w:iCs/>
        </w:rPr>
      </w:pPr>
    </w:p>
    <w:p w:rsidR="00B92C54" w:rsidRDefault="00B92C54" w:rsidP="00B92C54">
      <w:pPr>
        <w:pStyle w:val="a3"/>
        <w:jc w:val="center"/>
        <w:rPr>
          <w:b/>
          <w:iCs/>
        </w:rPr>
      </w:pPr>
    </w:p>
    <w:p w:rsidR="00B92C54" w:rsidRDefault="00B92C54" w:rsidP="00B92C54">
      <w:pPr>
        <w:pStyle w:val="a3"/>
        <w:jc w:val="center"/>
        <w:rPr>
          <w:b/>
          <w:iCs/>
        </w:rPr>
      </w:pPr>
    </w:p>
    <w:p w:rsidR="00B92C54" w:rsidRDefault="00B92C54" w:rsidP="00B92C54">
      <w:pPr>
        <w:pStyle w:val="a3"/>
        <w:jc w:val="center"/>
        <w:rPr>
          <w:b/>
          <w:iCs/>
        </w:rPr>
      </w:pPr>
    </w:p>
    <w:p w:rsidR="00B92C54" w:rsidRDefault="00B92C54" w:rsidP="00B92C54">
      <w:pPr>
        <w:pStyle w:val="a3"/>
        <w:jc w:val="center"/>
        <w:rPr>
          <w:b/>
          <w:iCs/>
        </w:rPr>
      </w:pPr>
    </w:p>
    <w:p w:rsidR="00B92C54" w:rsidRDefault="00B92C54" w:rsidP="00B92C54">
      <w:pPr>
        <w:pStyle w:val="a3"/>
        <w:jc w:val="center"/>
        <w:rPr>
          <w:b/>
          <w:iCs/>
        </w:rPr>
      </w:pPr>
    </w:p>
    <w:p w:rsidR="00B92C54" w:rsidRDefault="00B92C54" w:rsidP="00B92C54">
      <w:pPr>
        <w:pStyle w:val="a3"/>
        <w:jc w:val="center"/>
        <w:rPr>
          <w:b/>
          <w:iCs/>
        </w:rPr>
      </w:pPr>
    </w:p>
    <w:p w:rsidR="00B92C54" w:rsidRDefault="00B92C54" w:rsidP="00B92C54">
      <w:pPr>
        <w:pStyle w:val="a3"/>
        <w:jc w:val="center"/>
        <w:rPr>
          <w:b/>
          <w:iCs/>
        </w:rPr>
      </w:pPr>
    </w:p>
    <w:p w:rsidR="00B92C54" w:rsidRDefault="00B92C54" w:rsidP="00B92C54">
      <w:pPr>
        <w:pStyle w:val="a3"/>
        <w:jc w:val="center"/>
        <w:rPr>
          <w:b/>
          <w:iCs/>
        </w:rPr>
      </w:pPr>
    </w:p>
    <w:p w:rsidR="00B92C54" w:rsidRDefault="00B92C54" w:rsidP="00B92C54">
      <w:pPr>
        <w:pStyle w:val="a3"/>
        <w:jc w:val="center"/>
        <w:rPr>
          <w:b/>
          <w:iCs/>
        </w:rPr>
      </w:pPr>
    </w:p>
    <w:p w:rsidR="00B92C54" w:rsidRDefault="00B92C54" w:rsidP="00B92C54">
      <w:pPr>
        <w:pStyle w:val="a3"/>
        <w:jc w:val="center"/>
        <w:rPr>
          <w:b/>
          <w:iCs/>
        </w:rPr>
      </w:pPr>
    </w:p>
    <w:p w:rsidR="00B92C54" w:rsidRDefault="00B92C54" w:rsidP="00B92C54">
      <w:pPr>
        <w:pStyle w:val="a3"/>
        <w:jc w:val="center"/>
        <w:rPr>
          <w:b/>
          <w:iCs/>
        </w:rPr>
      </w:pPr>
    </w:p>
    <w:p w:rsidR="00B92C54" w:rsidRDefault="00B92C54" w:rsidP="00B92C54">
      <w:pPr>
        <w:pStyle w:val="a3"/>
        <w:jc w:val="center"/>
        <w:rPr>
          <w:b/>
          <w:iCs/>
        </w:rPr>
      </w:pPr>
    </w:p>
    <w:p w:rsidR="00B92C54" w:rsidRDefault="00B92C54" w:rsidP="00B92C54">
      <w:pPr>
        <w:pStyle w:val="a3"/>
        <w:jc w:val="center"/>
        <w:rPr>
          <w:b/>
          <w:iCs/>
        </w:rPr>
      </w:pPr>
    </w:p>
    <w:p w:rsidR="00B92C54" w:rsidRDefault="00B92C54" w:rsidP="00B92C54">
      <w:pPr>
        <w:pStyle w:val="a3"/>
        <w:jc w:val="center"/>
        <w:rPr>
          <w:b/>
          <w:iCs/>
        </w:rPr>
      </w:pPr>
    </w:p>
    <w:p w:rsidR="00B92C54" w:rsidRDefault="00B92C54" w:rsidP="00B92C54">
      <w:pPr>
        <w:pStyle w:val="a3"/>
        <w:jc w:val="center"/>
        <w:rPr>
          <w:b/>
          <w:iCs/>
        </w:rPr>
      </w:pPr>
      <w:r>
        <w:rPr>
          <w:b/>
          <w:iCs/>
        </w:rPr>
        <w:t>ВВЕДЕНИЕ</w:t>
      </w:r>
    </w:p>
    <w:p w:rsidR="00B92C54" w:rsidRPr="00DD2EF3" w:rsidRDefault="00B92C54" w:rsidP="00B92C54">
      <w:pPr>
        <w:pStyle w:val="a3"/>
        <w:jc w:val="center"/>
        <w:rPr>
          <w:b/>
          <w:iCs/>
        </w:rPr>
      </w:pPr>
    </w:p>
    <w:p w:rsidR="00B92C54" w:rsidRDefault="00B92C54" w:rsidP="00B92C54">
      <w:pPr>
        <w:pStyle w:val="a3"/>
      </w:pPr>
      <w:r>
        <w:t>Тема исследования «Политика ЕС касательно Турции в 90-х гг. ХХ – в начале Х</w:t>
      </w:r>
      <w:r>
        <w:rPr>
          <w:lang w:val="uk-UA"/>
        </w:rPr>
        <w:t>Х</w:t>
      </w:r>
      <w:r>
        <w:rPr>
          <w:lang w:val="en-US"/>
        </w:rPr>
        <w:t>I</w:t>
      </w:r>
      <w:r>
        <w:rPr>
          <w:lang w:val="uk-UA"/>
        </w:rPr>
        <w:t xml:space="preserve"> века» является актуальной, так как, история </w:t>
      </w:r>
      <w:r>
        <w:t>отношений Европейского Союза и Турецкой Республики, основной задачей которых является постепенное достижение Турцией полного членства в европейской интеграционной группировке, насчитывает свыше 50 лет.</w:t>
      </w:r>
    </w:p>
    <w:p w:rsidR="00B92C54" w:rsidRDefault="00B92C54" w:rsidP="00B92C54">
      <w:pPr>
        <w:pStyle w:val="a3"/>
      </w:pPr>
      <w:r>
        <w:t>Турция необходима и важна для Европейского Союза в качестве потенциального субрегионального экономического лидера и гаранта стабильности на геополитическом «перекрестке» Европы, Ближнего Востока и «южного пояса» Содружества Независимых Государств. Интеграция Турции в Европейский Союз даёт возможность создать своеобразный плацдарм для контроля над ключевым регионом для энергетической безопасности Евросоюза. С другой стороны, Турция фактически является ведущей державой на стыке Европы и Ближнего Востока. Так же, ЕС содействовал бы более успешной культурной интеграции мусульман, проживающих в европейских странах.</w:t>
      </w:r>
    </w:p>
    <w:p w:rsidR="00B92C54" w:rsidRDefault="00B92C54" w:rsidP="00B92C54">
      <w:pPr>
        <w:pStyle w:val="a3"/>
      </w:pPr>
      <w:r>
        <w:t>Важность этого государства, как стратегического партнера ЕС будет только возрастать, потому что, Европа желает получить доступ к новым рынкам и источникам сырья на Ближнем Востоке и в Центральной Азии. Расширение и углубление турецкого взаимодействия со странами постсоветского пространства, также будет увеличивать значение Турции для ЕС, как «моста» в Евразию.</w:t>
      </w:r>
    </w:p>
    <w:p w:rsidR="00B92C54" w:rsidRDefault="00B92C54" w:rsidP="00B92C54">
      <w:pPr>
        <w:pStyle w:val="a3"/>
      </w:pPr>
      <w:r>
        <w:t xml:space="preserve">Таким образом, </w:t>
      </w:r>
      <w:r>
        <w:rPr>
          <w:b/>
          <w:i/>
        </w:rPr>
        <w:t>целью</w:t>
      </w:r>
      <w:r>
        <w:t xml:space="preserve"> дипломной работы является исследование эволюции политики Европейского Союза касательно Турции в 90-х годах ХХ – в начале Х</w:t>
      </w:r>
      <w:r>
        <w:rPr>
          <w:lang w:val="uk-UA"/>
        </w:rPr>
        <w:t>Х</w:t>
      </w:r>
      <w:r>
        <w:rPr>
          <w:lang w:val="en-US"/>
        </w:rPr>
        <w:t>I</w:t>
      </w:r>
      <w:r>
        <w:rPr>
          <w:lang w:val="uk-UA"/>
        </w:rPr>
        <w:t xml:space="preserve"> века</w:t>
      </w:r>
      <w:r>
        <w:t>.</w:t>
      </w:r>
    </w:p>
    <w:p w:rsidR="00B92C54" w:rsidRDefault="00B92C54" w:rsidP="00B92C54">
      <w:pPr>
        <w:pStyle w:val="a3"/>
      </w:pPr>
      <w:r>
        <w:t xml:space="preserve"> Для достижения поставленной цели необходимо решить следующие </w:t>
      </w:r>
      <w:r>
        <w:rPr>
          <w:b/>
          <w:i/>
        </w:rPr>
        <w:t>задачи</w:t>
      </w:r>
      <w:r>
        <w:rPr>
          <w:i/>
        </w:rPr>
        <w:t>:</w:t>
      </w:r>
    </w:p>
    <w:p w:rsidR="00B92C54" w:rsidRDefault="00B92C54" w:rsidP="00B92C54">
      <w:pPr>
        <w:pStyle w:val="a3"/>
      </w:pPr>
      <w:r>
        <w:t>1) изучить предпосылки интеграции ЕС и Турции;</w:t>
      </w:r>
    </w:p>
    <w:p w:rsidR="00B92C54" w:rsidRDefault="00B92C54" w:rsidP="00B92C54">
      <w:pPr>
        <w:pStyle w:val="a3"/>
      </w:pPr>
      <w:r>
        <w:lastRenderedPageBreak/>
        <w:t>2) проанализировать проблемы принятия Турции в ЕС в качестве полноправного члена;</w:t>
      </w:r>
    </w:p>
    <w:p w:rsidR="00B92C54" w:rsidRDefault="00B92C54" w:rsidP="00B92C54">
      <w:pPr>
        <w:pStyle w:val="a3"/>
      </w:pPr>
      <w:r>
        <w:t>3) рассмотреть основные тенденции политики ЕС в Турции на современном этапе.</w:t>
      </w:r>
    </w:p>
    <w:p w:rsidR="00B92C54" w:rsidRPr="00B123F0" w:rsidRDefault="00B92C54" w:rsidP="00B92C54">
      <w:pPr>
        <w:pStyle w:val="a3"/>
        <w:rPr>
          <w:shd w:val="clear" w:color="auto" w:fill="FFFFFF"/>
        </w:rPr>
      </w:pPr>
      <w:r>
        <w:rPr>
          <w:shd w:val="clear" w:color="auto" w:fill="FFFFFF"/>
        </w:rPr>
        <w:t xml:space="preserve">Нужно отметить, что научное исследование темы актуально по сей день, так как существует множество работ, касательно этой темы и авторы продолжают предоставлять новые работы и сегодня. </w:t>
      </w:r>
      <w:r w:rsidRPr="00B123F0">
        <w:rPr>
          <w:shd w:val="clear" w:color="auto" w:fill="FFFFFF"/>
        </w:rPr>
        <w:t>Проведенное исследование базировалось на ряде источников как отечественных, так и зарубежных авторов.</w:t>
      </w:r>
    </w:p>
    <w:p w:rsidR="00B92C54" w:rsidRDefault="00B92C54" w:rsidP="00B92C54">
      <w:pPr>
        <w:pStyle w:val="a3"/>
      </w:pPr>
      <w:r>
        <w:rPr>
          <w:shd w:val="clear" w:color="auto" w:fill="FFFFFF"/>
        </w:rPr>
        <w:t>Стоит отметить важные работы отечественных учёных, таких как</w:t>
      </w:r>
      <w:r>
        <w:t>: Т.А. Ахмедов [</w:t>
      </w:r>
      <w:r>
        <w:fldChar w:fldCharType="begin"/>
      </w:r>
      <w:r>
        <w:instrText xml:space="preserve"> REF _Ref514934024 \r \h </w:instrText>
      </w:r>
      <w:r>
        <w:fldChar w:fldCharType="separate"/>
      </w:r>
      <w:r>
        <w:t>5</w:t>
      </w:r>
      <w:r>
        <w:fldChar w:fldCharType="end"/>
      </w:r>
      <w:r>
        <w:t>]; Л.О. Ашурова [6];  А.Д. Богатуров  [</w:t>
      </w:r>
      <w:r>
        <w:fldChar w:fldCharType="begin"/>
      </w:r>
      <w:r>
        <w:instrText xml:space="preserve"> REF _Ref514934446 \r \h </w:instrText>
      </w:r>
      <w:r>
        <w:fldChar w:fldCharType="separate"/>
      </w:r>
      <w:r>
        <w:t>7</w:t>
      </w:r>
      <w:r>
        <w:fldChar w:fldCharType="end"/>
      </w:r>
      <w:r>
        <w:t>]; Х. Джиллов [</w:t>
      </w:r>
      <w:r>
        <w:fldChar w:fldCharType="begin"/>
      </w:r>
      <w:r>
        <w:instrText xml:space="preserve"> REF _Ref514934074 \r \h </w:instrText>
      </w:r>
      <w:r>
        <w:fldChar w:fldCharType="separate"/>
      </w:r>
      <w:r>
        <w:t>13</w:t>
      </w:r>
      <w:r>
        <w:fldChar w:fldCharType="end"/>
      </w:r>
      <w:r>
        <w:t>]; С.Б. Дружиловский [</w:t>
      </w:r>
      <w:r>
        <w:fldChar w:fldCharType="begin"/>
      </w:r>
      <w:r>
        <w:instrText xml:space="preserve"> REF _Ref507422532 \r \h </w:instrText>
      </w:r>
      <w:r>
        <w:fldChar w:fldCharType="separate"/>
      </w:r>
      <w:r>
        <w:t>15</w:t>
      </w:r>
      <w:r>
        <w:fldChar w:fldCharType="end"/>
      </w:r>
      <w:r>
        <w:t>]; И.И. Иванова [</w:t>
      </w:r>
      <w:r>
        <w:fldChar w:fldCharType="begin"/>
      </w:r>
      <w:r>
        <w:instrText xml:space="preserve"> REF _Ref507422090 \r \h </w:instrText>
      </w:r>
      <w:r>
        <w:fldChar w:fldCharType="separate"/>
      </w:r>
      <w:r>
        <w:t>19</w:t>
      </w:r>
      <w:r>
        <w:fldChar w:fldCharType="end"/>
      </w:r>
      <w:r>
        <w:t>]; Н. Г. Киреев [</w:t>
      </w:r>
      <w:r>
        <w:fldChar w:fldCharType="begin"/>
      </w:r>
      <w:r>
        <w:instrText xml:space="preserve"> REF _Ref514934145 \r \h </w:instrText>
      </w:r>
      <w:r>
        <w:fldChar w:fldCharType="separate"/>
      </w:r>
      <w:r>
        <w:t>20</w:t>
      </w:r>
      <w:r>
        <w:fldChar w:fldCharType="end"/>
      </w:r>
      <w:r>
        <w:t>]; Ю.С. Кудряшова [</w:t>
      </w:r>
      <w:r>
        <w:fldChar w:fldCharType="begin"/>
      </w:r>
      <w:r>
        <w:instrText xml:space="preserve"> REF _Ref507421805 \r \h </w:instrText>
      </w:r>
      <w:r>
        <w:fldChar w:fldCharType="separate"/>
      </w:r>
      <w:r>
        <w:t>23</w:t>
      </w:r>
      <w:r>
        <w:fldChar w:fldCharType="end"/>
      </w:r>
      <w:r>
        <w:t>]; Б. М. Поцхверия [</w:t>
      </w:r>
      <w:r>
        <w:fldChar w:fldCharType="begin"/>
      </w:r>
      <w:r>
        <w:instrText xml:space="preserve"> REF _Ref514934198 \r \h </w:instrText>
      </w:r>
      <w:r>
        <w:fldChar w:fldCharType="separate"/>
      </w:r>
      <w:r>
        <w:t>30</w:t>
      </w:r>
      <w:r>
        <w:fldChar w:fldCharType="end"/>
      </w:r>
      <w:r>
        <w:t>]; Е.И. Уразова [</w:t>
      </w:r>
      <w:r>
        <w:fldChar w:fldCharType="begin"/>
      </w:r>
      <w:r>
        <w:instrText xml:space="preserve"> REF _Ref514934235 \r \h </w:instrText>
      </w:r>
      <w:r>
        <w:fldChar w:fldCharType="separate"/>
      </w:r>
      <w:r>
        <w:t>41</w:t>
      </w:r>
      <w:r>
        <w:fldChar w:fldCharType="end"/>
      </w:r>
      <w:r>
        <w:t xml:space="preserve">], которые исследовали предпосылки интеграции Европейского Союза и Турции. </w:t>
      </w:r>
    </w:p>
    <w:p w:rsidR="00B92C54" w:rsidRDefault="00B92C54" w:rsidP="00B92C54">
      <w:pPr>
        <w:pStyle w:val="a3"/>
      </w:pPr>
      <w:r>
        <w:t>Проблемы принятия Турции в ЕС в качестве полноправного члена стали объектом изучения таких ученых, как: В.А. Аваткова [</w:t>
      </w:r>
      <w:r>
        <w:fldChar w:fldCharType="begin"/>
      </w:r>
      <w:r>
        <w:instrText xml:space="preserve"> REF _Ref511483695 \r \h </w:instrText>
      </w:r>
      <w:r>
        <w:fldChar w:fldCharType="separate"/>
      </w:r>
      <w:r>
        <w:t>0</w:t>
      </w:r>
      <w:r>
        <w:fldChar w:fldCharType="end"/>
      </w:r>
      <w:r>
        <w:t>]; Е. Архангельской [</w:t>
      </w:r>
      <w:r>
        <w:fldChar w:fldCharType="begin"/>
      </w:r>
      <w:r>
        <w:instrText xml:space="preserve"> REF _Ref508534510 \r \h </w:instrText>
      </w:r>
      <w:r>
        <w:fldChar w:fldCharType="separate"/>
      </w:r>
      <w:r>
        <w:t>4</w:t>
      </w:r>
      <w:r>
        <w:fldChar w:fldCharType="end"/>
      </w:r>
      <w:r>
        <w:t>]; Г.М. Зиганшиной [</w:t>
      </w:r>
      <w:r>
        <w:fldChar w:fldCharType="begin"/>
      </w:r>
      <w:r>
        <w:instrText xml:space="preserve"> REF _Ref511483266 \r \h </w:instrText>
      </w:r>
      <w:r>
        <w:fldChar w:fldCharType="separate"/>
      </w:r>
      <w:r>
        <w:t>17</w:t>
      </w:r>
      <w:r>
        <w:fldChar w:fldCharType="end"/>
      </w:r>
      <w:r>
        <w:t>]; С. Ивановова [</w:t>
      </w:r>
      <w:r>
        <w:fldChar w:fldCharType="begin"/>
      </w:r>
      <w:r>
        <w:instrText xml:space="preserve"> REF _Ref508534470 \r \h </w:instrText>
      </w:r>
      <w:r>
        <w:fldChar w:fldCharType="separate"/>
      </w:r>
      <w:r>
        <w:t>18</w:t>
      </w:r>
      <w:r>
        <w:fldChar w:fldCharType="end"/>
      </w:r>
      <w:r>
        <w:t>]; Ю.С. Кудряшовой [</w:t>
      </w:r>
      <w:r>
        <w:fldChar w:fldCharType="begin"/>
      </w:r>
      <w:r>
        <w:instrText xml:space="preserve"> REF _Ref511483227 \r \h </w:instrText>
      </w:r>
      <w:r>
        <w:fldChar w:fldCharType="separate"/>
      </w:r>
      <w:r>
        <w:t>22</w:t>
      </w:r>
      <w:r>
        <w:fldChar w:fldCharType="end"/>
      </w:r>
      <w:r>
        <w:t>]; В.В. Кунакова [</w:t>
      </w:r>
      <w:r>
        <w:fldChar w:fldCharType="begin"/>
      </w:r>
      <w:r>
        <w:instrText xml:space="preserve"> REF _Ref507421886 \r \h </w:instrText>
      </w:r>
      <w:r>
        <w:fldChar w:fldCharType="separate"/>
      </w:r>
      <w:r>
        <w:t>24</w:t>
      </w:r>
      <w:r>
        <w:fldChar w:fldCharType="end"/>
      </w:r>
      <w:r>
        <w:t>].</w:t>
      </w:r>
    </w:p>
    <w:p w:rsidR="00B92C54" w:rsidRPr="001B1A72" w:rsidRDefault="00B92C54" w:rsidP="00B92C54">
      <w:pPr>
        <w:pStyle w:val="a3"/>
      </w:pPr>
      <w:r>
        <w:t xml:space="preserve">Реформы, которые были проведены Турцией для того, чтобы соответствовать критериям вступления в ЕС и мнения Евросоюза касательно того, готова ли Турецкая Республика стать полноправным членом были проанализированы в работах таких авторов, как: Л. Овсепятина </w:t>
      </w:r>
      <w:r w:rsidRPr="001B1A72">
        <w:t>[</w:t>
      </w:r>
      <w:r>
        <w:t>28</w:t>
      </w:r>
      <w:r w:rsidRPr="001B1A72">
        <w:t>]</w:t>
      </w:r>
      <w:r>
        <w:t xml:space="preserve">; Б.М. Поцхверии </w:t>
      </w:r>
      <w:r w:rsidRPr="001B1A72">
        <w:t>[</w:t>
      </w:r>
      <w:r>
        <w:t>31</w:t>
      </w:r>
      <w:r w:rsidRPr="001B1A72">
        <w:t>]</w:t>
      </w:r>
      <w:r>
        <w:t xml:space="preserve">; И.А. Сочневой </w:t>
      </w:r>
      <w:r w:rsidRPr="001B1A72">
        <w:t>[</w:t>
      </w:r>
      <w:r>
        <w:t>35</w:t>
      </w:r>
      <w:r w:rsidRPr="001B1A72">
        <w:t>]</w:t>
      </w:r>
      <w:r>
        <w:t xml:space="preserve">; П.П. Тимофеева </w:t>
      </w:r>
      <w:r w:rsidRPr="001B1A72">
        <w:t>[</w:t>
      </w:r>
      <w:r>
        <w:t>38</w:t>
      </w:r>
      <w:r w:rsidRPr="001B1A72">
        <w:t>]</w:t>
      </w:r>
      <w:r>
        <w:t xml:space="preserve">; Е.И. Уразовой </w:t>
      </w:r>
      <w:r w:rsidRPr="001B1A72">
        <w:t>[</w:t>
      </w:r>
      <w:r>
        <w:t>42</w:t>
      </w:r>
      <w:r w:rsidRPr="001B1A72">
        <w:t>]</w:t>
      </w:r>
      <w:r>
        <w:t xml:space="preserve">; Э. Шахина </w:t>
      </w:r>
      <w:r w:rsidRPr="001B1A72">
        <w:t>[</w:t>
      </w:r>
      <w:r>
        <w:t>43</w:t>
      </w:r>
      <w:r w:rsidRPr="001B1A72">
        <w:t>]</w:t>
      </w:r>
      <w:r>
        <w:t>.</w:t>
      </w:r>
    </w:p>
    <w:p w:rsidR="00B92C54" w:rsidRDefault="00B92C54" w:rsidP="00B92C54">
      <w:pPr>
        <w:pStyle w:val="a3"/>
      </w:pPr>
      <w:r>
        <w:t>Политика ЕС в отношении Турции на современном этапе анализировалась в научных трудах А. Деня [</w:t>
      </w:r>
      <w:r>
        <w:fldChar w:fldCharType="begin"/>
      </w:r>
      <w:r>
        <w:instrText xml:space="preserve"> REF _Ref508534552 \r \h </w:instrText>
      </w:r>
      <w:r>
        <w:fldChar w:fldCharType="separate"/>
      </w:r>
      <w:r>
        <w:t>12</w:t>
      </w:r>
      <w:r>
        <w:fldChar w:fldCharType="end"/>
      </w:r>
      <w:r>
        <w:t>]; А. Корицкого [</w:t>
      </w:r>
      <w:r>
        <w:fldChar w:fldCharType="begin"/>
      </w:r>
      <w:r>
        <w:instrText xml:space="preserve"> REF _Ref511483450 \r \h </w:instrText>
      </w:r>
      <w:r>
        <w:fldChar w:fldCharType="separate"/>
      </w:r>
      <w:r>
        <w:t>21</w:t>
      </w:r>
      <w:r>
        <w:fldChar w:fldCharType="end"/>
      </w:r>
      <w:r>
        <w:t xml:space="preserve">]; </w:t>
      </w:r>
      <w:r>
        <w:rPr>
          <w:lang w:val="en-US"/>
        </w:rPr>
        <w:t>C</w:t>
      </w:r>
      <w:r>
        <w:t>. Курца [</w:t>
      </w:r>
      <w:r>
        <w:fldChar w:fldCharType="begin"/>
      </w:r>
      <w:r>
        <w:instrText xml:space="preserve"> REF _Ref514931495 \r \h </w:instrText>
      </w:r>
      <w:r>
        <w:fldChar w:fldCharType="separate"/>
      </w:r>
      <w:r>
        <w:t>25</w:t>
      </w:r>
      <w:r>
        <w:fldChar w:fldCharType="end"/>
      </w:r>
      <w:r>
        <w:t>]; Ю. В. Мавриной [</w:t>
      </w:r>
      <w:r>
        <w:fldChar w:fldCharType="begin"/>
      </w:r>
      <w:r>
        <w:instrText xml:space="preserve"> REF _Ref508534337 \r \h </w:instrText>
      </w:r>
      <w:r>
        <w:fldChar w:fldCharType="separate"/>
      </w:r>
      <w:r>
        <w:t>26</w:t>
      </w:r>
      <w:r>
        <w:fldChar w:fldCharType="end"/>
      </w:r>
      <w:r>
        <w:t>]; В.  Надеин-Раевского [</w:t>
      </w:r>
      <w:r>
        <w:fldChar w:fldCharType="begin"/>
      </w:r>
      <w:r>
        <w:instrText xml:space="preserve"> REF _Ref511483189 \r \h </w:instrText>
      </w:r>
      <w:r>
        <w:fldChar w:fldCharType="separate"/>
      </w:r>
      <w:r>
        <w:t>27</w:t>
      </w:r>
      <w:r>
        <w:fldChar w:fldCharType="end"/>
      </w:r>
      <w:r>
        <w:t>]; Б.М. Поцхверии [</w:t>
      </w:r>
      <w:r>
        <w:fldChar w:fldCharType="begin"/>
      </w:r>
      <w:r>
        <w:instrText xml:space="preserve"> REF _Ref511483374 \r \h </w:instrText>
      </w:r>
      <w:r>
        <w:fldChar w:fldCharType="separate"/>
      </w:r>
      <w:r>
        <w:t>32</w:t>
      </w:r>
      <w:r>
        <w:fldChar w:fldCharType="end"/>
      </w:r>
      <w:r>
        <w:t>]; Н. Сорокиной [</w:t>
      </w:r>
      <w:r>
        <w:fldChar w:fldCharType="begin"/>
      </w:r>
      <w:r>
        <w:instrText xml:space="preserve"> REF _Ref508534520 \r \h </w:instrText>
      </w:r>
      <w:r>
        <w:fldChar w:fldCharType="separate"/>
      </w:r>
      <w:r>
        <w:t>34</w:t>
      </w:r>
      <w:r>
        <w:fldChar w:fldCharType="end"/>
      </w:r>
      <w:r>
        <w:t>]; И.А. Сочневой [</w:t>
      </w:r>
      <w:r>
        <w:fldChar w:fldCharType="begin"/>
      </w:r>
      <w:r>
        <w:instrText xml:space="preserve"> REF _Ref507421789 \r \h </w:instrText>
      </w:r>
      <w:r>
        <w:fldChar w:fldCharType="separate"/>
      </w:r>
      <w:r>
        <w:t>36</w:t>
      </w:r>
      <w:r>
        <w:fldChar w:fldCharType="end"/>
      </w:r>
      <w:r>
        <w:t>].</w:t>
      </w:r>
    </w:p>
    <w:p w:rsidR="00B92C54" w:rsidRDefault="00B92C54" w:rsidP="00B92C54">
      <w:pPr>
        <w:pStyle w:val="a3"/>
      </w:pPr>
      <w:r>
        <w:t xml:space="preserve">Проблемы интеграции на протяжении всего сотрудничества между Турцией и ЕС были подробно изучены следующими авторами: Т.В </w:t>
      </w:r>
      <w:r>
        <w:lastRenderedPageBreak/>
        <w:t xml:space="preserve">Спиридоновой </w:t>
      </w:r>
      <w:r w:rsidRPr="001B1A72">
        <w:t>[</w:t>
      </w:r>
      <w:r>
        <w:t>37</w:t>
      </w:r>
      <w:r w:rsidRPr="001B1A72">
        <w:t>]</w:t>
      </w:r>
      <w:r>
        <w:t xml:space="preserve">; Тэвдой-Бурмули </w:t>
      </w:r>
      <w:r w:rsidRPr="001B1A72">
        <w:t>[</w:t>
      </w:r>
      <w:r>
        <w:t>40</w:t>
      </w:r>
      <w:r w:rsidRPr="001B1A72">
        <w:t>]</w:t>
      </w:r>
      <w:r>
        <w:t xml:space="preserve">; В. Шлыкова </w:t>
      </w:r>
      <w:r w:rsidRPr="001B1A72">
        <w:t>[</w:t>
      </w:r>
      <w:r>
        <w:t>44</w:t>
      </w:r>
      <w:r w:rsidRPr="001B1A72">
        <w:t>]</w:t>
      </w:r>
      <w:r>
        <w:t>.</w:t>
      </w:r>
    </w:p>
    <w:p w:rsidR="00B92C54" w:rsidRDefault="00B92C54" w:rsidP="00B92C54">
      <w:pPr>
        <w:pStyle w:val="a3"/>
      </w:pPr>
      <w:r>
        <w:t xml:space="preserve">Много источников изучено при рассмотрении отдельных вопросов. К примеру, В.А. Аватков рассматривал основные направления кризиса во внутренней и внешней политике Турции </w:t>
      </w:r>
      <w:r w:rsidRPr="001B1A72">
        <w:t>[</w:t>
      </w:r>
      <w:r>
        <w:t>3</w:t>
      </w:r>
      <w:r w:rsidRPr="001B1A72">
        <w:t>]</w:t>
      </w:r>
      <w:r>
        <w:t xml:space="preserve">, А. Гаджиев рассматривал вопрос о значении Турецкой Республики на международной арене </w:t>
      </w:r>
      <w:r w:rsidRPr="001B1A72">
        <w:t>[</w:t>
      </w:r>
      <w:r>
        <w:t>9</w:t>
      </w:r>
      <w:r w:rsidRPr="001B1A72">
        <w:t>]</w:t>
      </w:r>
      <w:r>
        <w:t xml:space="preserve">. </w:t>
      </w:r>
    </w:p>
    <w:p w:rsidR="00B92C54" w:rsidRDefault="00B92C54" w:rsidP="00B92C54">
      <w:pPr>
        <w:pStyle w:val="a3"/>
      </w:pPr>
      <w:r>
        <w:t xml:space="preserve">Ю.С. Кудряшова изучила Копенгагенские критерии ЕС и Турции </w:t>
      </w:r>
      <w:r w:rsidRPr="001B1A72">
        <w:t>[</w:t>
      </w:r>
      <w:r>
        <w:t>22</w:t>
      </w:r>
      <w:r w:rsidRPr="001B1A72">
        <w:t>]</w:t>
      </w:r>
      <w:r>
        <w:t xml:space="preserve">, А. Гекдере глубоко исследовал экономику Турции и её развитие по секторам </w:t>
      </w:r>
      <w:r w:rsidRPr="001B1A72">
        <w:t>[</w:t>
      </w:r>
      <w:r>
        <w:t>11</w:t>
      </w:r>
      <w:r w:rsidRPr="001B1A72">
        <w:t>]</w:t>
      </w:r>
      <w:r>
        <w:t xml:space="preserve">. </w:t>
      </w:r>
    </w:p>
    <w:p w:rsidR="00B92C54" w:rsidRDefault="00B92C54" w:rsidP="00B92C54">
      <w:pPr>
        <w:pStyle w:val="a3"/>
        <w:rPr>
          <w:shd w:val="clear" w:color="auto" w:fill="FFFFFF"/>
        </w:rPr>
      </w:pPr>
      <w:r>
        <w:rPr>
          <w:shd w:val="clear" w:color="auto" w:fill="FFFFFF"/>
        </w:rPr>
        <w:t xml:space="preserve">Достаточно важную роль для исследования играла публицистика, которая позволила увидеть различные точки зрения на </w:t>
      </w:r>
      <w:r>
        <w:t xml:space="preserve">политику ЕС касательно Турции </w:t>
      </w:r>
      <w:r>
        <w:rPr>
          <w:shd w:val="clear" w:color="auto" w:fill="FFFFFF"/>
        </w:rPr>
        <w:t>[</w:t>
      </w:r>
      <w:r>
        <w:rPr>
          <w:shd w:val="clear" w:color="auto" w:fill="FFFFFF"/>
        </w:rPr>
        <w:fldChar w:fldCharType="begin"/>
      </w:r>
      <w:r>
        <w:rPr>
          <w:shd w:val="clear" w:color="auto" w:fill="FFFFFF"/>
        </w:rPr>
        <w:instrText xml:space="preserve"> REF _Ref514931478 \r \h </w:instrText>
      </w:r>
      <w:r>
        <w:rPr>
          <w:shd w:val="clear" w:color="auto" w:fill="FFFFFF"/>
        </w:rPr>
      </w:r>
      <w:r>
        <w:rPr>
          <w:shd w:val="clear" w:color="auto" w:fill="FFFFFF"/>
        </w:rPr>
        <w:fldChar w:fldCharType="separate"/>
      </w:r>
      <w:r>
        <w:rPr>
          <w:shd w:val="clear" w:color="auto" w:fill="FFFFFF"/>
        </w:rPr>
        <w:t>8</w:t>
      </w:r>
      <w:r>
        <w:rPr>
          <w:shd w:val="clear" w:color="auto" w:fill="FFFFFF"/>
        </w:rPr>
        <w:fldChar w:fldCharType="end"/>
      </w:r>
      <w:r>
        <w:rPr>
          <w:shd w:val="clear" w:color="auto" w:fill="FFFFFF"/>
        </w:rPr>
        <w:t xml:space="preserve">; </w:t>
      </w:r>
      <w:r>
        <w:rPr>
          <w:shd w:val="clear" w:color="auto" w:fill="FFFFFF"/>
        </w:rPr>
        <w:fldChar w:fldCharType="begin"/>
      </w:r>
      <w:r>
        <w:rPr>
          <w:shd w:val="clear" w:color="auto" w:fill="FFFFFF"/>
        </w:rPr>
        <w:instrText xml:space="preserve"> REF _Ref508534458 \r \h </w:instrText>
      </w:r>
      <w:r>
        <w:rPr>
          <w:shd w:val="clear" w:color="auto" w:fill="FFFFFF"/>
        </w:rPr>
      </w:r>
      <w:r>
        <w:rPr>
          <w:shd w:val="clear" w:color="auto" w:fill="FFFFFF"/>
        </w:rPr>
        <w:fldChar w:fldCharType="separate"/>
      </w:r>
      <w:r>
        <w:rPr>
          <w:shd w:val="clear" w:color="auto" w:fill="FFFFFF"/>
        </w:rPr>
        <w:t>16</w:t>
      </w:r>
      <w:r>
        <w:rPr>
          <w:shd w:val="clear" w:color="auto" w:fill="FFFFFF"/>
        </w:rPr>
        <w:fldChar w:fldCharType="end"/>
      </w:r>
      <w:r>
        <w:rPr>
          <w:shd w:val="clear" w:color="auto" w:fill="FFFFFF"/>
        </w:rPr>
        <w:t xml:space="preserve">; </w:t>
      </w:r>
      <w:r>
        <w:rPr>
          <w:shd w:val="clear" w:color="auto" w:fill="FFFFFF"/>
        </w:rPr>
        <w:fldChar w:fldCharType="begin"/>
      </w:r>
      <w:r>
        <w:rPr>
          <w:shd w:val="clear" w:color="auto" w:fill="FFFFFF"/>
        </w:rPr>
        <w:instrText xml:space="preserve"> REF _Ref511483727 \r \h </w:instrText>
      </w:r>
      <w:r>
        <w:rPr>
          <w:shd w:val="clear" w:color="auto" w:fill="FFFFFF"/>
        </w:rPr>
      </w:r>
      <w:r>
        <w:rPr>
          <w:shd w:val="clear" w:color="auto" w:fill="FFFFFF"/>
        </w:rPr>
        <w:fldChar w:fldCharType="separate"/>
      </w:r>
      <w:r>
        <w:rPr>
          <w:shd w:val="clear" w:color="auto" w:fill="FFFFFF"/>
        </w:rPr>
        <w:t>29</w:t>
      </w:r>
      <w:r>
        <w:rPr>
          <w:shd w:val="clear" w:color="auto" w:fill="FFFFFF"/>
        </w:rPr>
        <w:fldChar w:fldCharType="end"/>
      </w:r>
      <w:r>
        <w:rPr>
          <w:shd w:val="clear" w:color="auto" w:fill="FFFFFF"/>
        </w:rPr>
        <w:t xml:space="preserve">; </w:t>
      </w:r>
      <w:r>
        <w:rPr>
          <w:shd w:val="clear" w:color="auto" w:fill="FFFFFF"/>
        </w:rPr>
        <w:fldChar w:fldCharType="begin"/>
      </w:r>
      <w:r>
        <w:rPr>
          <w:shd w:val="clear" w:color="auto" w:fill="FFFFFF"/>
        </w:rPr>
        <w:instrText xml:space="preserve"> REF _Ref508534449 \r \h </w:instrText>
      </w:r>
      <w:r>
        <w:rPr>
          <w:shd w:val="clear" w:color="auto" w:fill="FFFFFF"/>
        </w:rPr>
      </w:r>
      <w:r>
        <w:rPr>
          <w:shd w:val="clear" w:color="auto" w:fill="FFFFFF"/>
        </w:rPr>
        <w:fldChar w:fldCharType="separate"/>
      </w:r>
      <w:r>
        <w:rPr>
          <w:shd w:val="clear" w:color="auto" w:fill="FFFFFF"/>
        </w:rPr>
        <w:t>39</w:t>
      </w:r>
      <w:r>
        <w:rPr>
          <w:shd w:val="clear" w:color="auto" w:fill="FFFFFF"/>
        </w:rPr>
        <w:fldChar w:fldCharType="end"/>
      </w:r>
      <w:r>
        <w:rPr>
          <w:shd w:val="clear" w:color="auto" w:fill="FFFFFF"/>
        </w:rPr>
        <w:t xml:space="preserve">]. </w:t>
      </w:r>
    </w:p>
    <w:p w:rsidR="00B92C54" w:rsidRDefault="00B92C54" w:rsidP="00B92C54">
      <w:pPr>
        <w:pStyle w:val="a3"/>
      </w:pPr>
      <w:r>
        <w:rPr>
          <w:shd w:val="clear" w:color="auto" w:fill="FFFFFF"/>
        </w:rPr>
        <w:t xml:space="preserve">Немало важными официальными документами в изучении данной темы, является официальное соглашение об ассоциации Турции и Европейского экономического сообщества </w:t>
      </w:r>
      <w:r w:rsidRPr="001B1A72">
        <w:t>[</w:t>
      </w:r>
      <w:r>
        <w:t>51</w:t>
      </w:r>
      <w:r w:rsidRPr="001B1A72">
        <w:t>]</w:t>
      </w:r>
      <w:r>
        <w:t xml:space="preserve">, а так же договор о функционировании Европейского Союза (Римский договор) от 25 марта 1957 года </w:t>
      </w:r>
      <w:r w:rsidRPr="001B1A72">
        <w:t>[</w:t>
      </w:r>
      <w:r>
        <w:t>14</w:t>
      </w:r>
      <w:r w:rsidRPr="001B1A72">
        <w:t>]</w:t>
      </w:r>
      <w:r>
        <w:t xml:space="preserve">. </w:t>
      </w:r>
    </w:p>
    <w:p w:rsidR="00B92C54" w:rsidRDefault="00B92C54" w:rsidP="00B92C54">
      <w:pPr>
        <w:pStyle w:val="a3"/>
      </w:pPr>
      <w:r>
        <w:rPr>
          <w:shd w:val="clear" w:color="auto" w:fill="FFFFFF"/>
        </w:rPr>
        <w:t>Также в работе были рассмотрены труды зарубежных авторов, которые изучили проблему касательно вступления Турции в ЕС, а так же политику Турции относительно Евросоюза: М. Ахтисаари [</w:t>
      </w:r>
      <w:r>
        <w:rPr>
          <w:shd w:val="clear" w:color="auto" w:fill="FFFFFF"/>
        </w:rPr>
        <w:fldChar w:fldCharType="begin"/>
      </w:r>
      <w:r>
        <w:rPr>
          <w:shd w:val="clear" w:color="auto" w:fill="FFFFFF"/>
        </w:rPr>
        <w:instrText xml:space="preserve"> REF _Ref511483738 \r \h </w:instrText>
      </w:r>
      <w:r>
        <w:rPr>
          <w:shd w:val="clear" w:color="auto" w:fill="FFFFFF"/>
        </w:rPr>
      </w:r>
      <w:r>
        <w:rPr>
          <w:shd w:val="clear" w:color="auto" w:fill="FFFFFF"/>
        </w:rPr>
        <w:fldChar w:fldCharType="separate"/>
      </w:r>
      <w:r>
        <w:rPr>
          <w:shd w:val="clear" w:color="auto" w:fill="FFFFFF"/>
        </w:rPr>
        <w:t>45</w:t>
      </w:r>
      <w:r>
        <w:rPr>
          <w:shd w:val="clear" w:color="auto" w:fill="FFFFFF"/>
        </w:rPr>
        <w:fldChar w:fldCharType="end"/>
      </w:r>
      <w:r>
        <w:rPr>
          <w:shd w:val="clear" w:color="auto" w:fill="FFFFFF"/>
        </w:rPr>
        <w:t>]; Т.Бабали [</w:t>
      </w:r>
      <w:r>
        <w:rPr>
          <w:shd w:val="clear" w:color="auto" w:fill="FFFFFF"/>
        </w:rPr>
        <w:fldChar w:fldCharType="begin"/>
      </w:r>
      <w:r>
        <w:rPr>
          <w:shd w:val="clear" w:color="auto" w:fill="FFFFFF"/>
        </w:rPr>
        <w:instrText xml:space="preserve"> REF _Ref511483778 \r \h </w:instrText>
      </w:r>
      <w:r>
        <w:rPr>
          <w:shd w:val="clear" w:color="auto" w:fill="FFFFFF"/>
        </w:rPr>
      </w:r>
      <w:r>
        <w:rPr>
          <w:shd w:val="clear" w:color="auto" w:fill="FFFFFF"/>
        </w:rPr>
        <w:fldChar w:fldCharType="separate"/>
      </w:r>
      <w:r>
        <w:rPr>
          <w:shd w:val="clear" w:color="auto" w:fill="FFFFFF"/>
        </w:rPr>
        <w:t>46</w:t>
      </w:r>
      <w:r>
        <w:rPr>
          <w:shd w:val="clear" w:color="auto" w:fill="FFFFFF"/>
        </w:rPr>
        <w:fldChar w:fldCharType="end"/>
      </w:r>
      <w:r>
        <w:rPr>
          <w:shd w:val="clear" w:color="auto" w:fill="FFFFFF"/>
        </w:rPr>
        <w:t>]; С. Билдта [</w:t>
      </w:r>
      <w:r>
        <w:rPr>
          <w:shd w:val="clear" w:color="auto" w:fill="FFFFFF"/>
        </w:rPr>
        <w:fldChar w:fldCharType="begin"/>
      </w:r>
      <w:r>
        <w:rPr>
          <w:shd w:val="clear" w:color="auto" w:fill="FFFFFF"/>
        </w:rPr>
        <w:instrText xml:space="preserve"> REF _Ref511483763 \r \h </w:instrText>
      </w:r>
      <w:r>
        <w:rPr>
          <w:shd w:val="clear" w:color="auto" w:fill="FFFFFF"/>
        </w:rPr>
      </w:r>
      <w:r>
        <w:rPr>
          <w:shd w:val="clear" w:color="auto" w:fill="FFFFFF"/>
        </w:rPr>
        <w:fldChar w:fldCharType="separate"/>
      </w:r>
      <w:r>
        <w:rPr>
          <w:shd w:val="clear" w:color="auto" w:fill="FFFFFF"/>
        </w:rPr>
        <w:t>47</w:t>
      </w:r>
      <w:r>
        <w:rPr>
          <w:shd w:val="clear" w:color="auto" w:fill="FFFFFF"/>
        </w:rPr>
        <w:fldChar w:fldCharType="end"/>
      </w:r>
      <w:r>
        <w:rPr>
          <w:shd w:val="clear" w:color="auto" w:fill="FFFFFF"/>
        </w:rPr>
        <w:t xml:space="preserve">]; </w:t>
      </w:r>
      <w:r>
        <w:t>А. Давутоглу [</w:t>
      </w:r>
      <w:r>
        <w:fldChar w:fldCharType="begin"/>
      </w:r>
      <w:r>
        <w:instrText xml:space="preserve"> REF _Ref511483177 \r \h </w:instrText>
      </w:r>
      <w:r>
        <w:fldChar w:fldCharType="separate"/>
      </w:r>
      <w:r>
        <w:t>48</w:t>
      </w:r>
      <w:r>
        <w:fldChar w:fldCharType="end"/>
      </w:r>
      <w:r>
        <w:t>]; Дж. Редмонда [</w:t>
      </w:r>
      <w:r>
        <w:fldChar w:fldCharType="begin"/>
      </w:r>
      <w:r>
        <w:instrText xml:space="preserve"> REF _Ref507421833 \r \h </w:instrText>
      </w:r>
      <w:r>
        <w:fldChar w:fldCharType="separate"/>
      </w:r>
      <w:r>
        <w:t>49</w:t>
      </w:r>
      <w:r>
        <w:fldChar w:fldCharType="end"/>
      </w:r>
      <w:r>
        <w:t>]; П. Стефенса [</w:t>
      </w:r>
      <w:r>
        <w:fldChar w:fldCharType="begin"/>
      </w:r>
      <w:r>
        <w:instrText xml:space="preserve"> REF _Ref508534567 \r \h </w:instrText>
      </w:r>
      <w:r>
        <w:fldChar w:fldCharType="separate"/>
      </w:r>
      <w:r>
        <w:t>50</w:t>
      </w:r>
      <w:r>
        <w:fldChar w:fldCharType="end"/>
      </w:r>
      <w:r>
        <w:t>]; Дж. Унлухисаркиса [</w:t>
      </w:r>
      <w:r>
        <w:fldChar w:fldCharType="begin"/>
      </w:r>
      <w:r>
        <w:instrText xml:space="preserve"> REF _Ref511483524 \r \h </w:instrText>
      </w:r>
      <w:r>
        <w:fldChar w:fldCharType="separate"/>
      </w:r>
      <w:r>
        <w:t>52</w:t>
      </w:r>
      <w:r>
        <w:fldChar w:fldCharType="end"/>
      </w:r>
      <w:r>
        <w:t>]; О. Вардана [</w:t>
      </w:r>
      <w:r>
        <w:fldChar w:fldCharType="begin"/>
      </w:r>
      <w:r>
        <w:instrText xml:space="preserve"> REF _Ref511483211 \r \h </w:instrText>
      </w:r>
      <w:r>
        <w:fldChar w:fldCharType="separate"/>
      </w:r>
      <w:r>
        <w:t>53</w:t>
      </w:r>
      <w:r>
        <w:fldChar w:fldCharType="end"/>
      </w:r>
      <w:r>
        <w:t>]; Н. Винклера [</w:t>
      </w:r>
      <w:r>
        <w:fldChar w:fldCharType="begin"/>
      </w:r>
      <w:r>
        <w:instrText xml:space="preserve"> REF _Ref511483281 \r \h </w:instrText>
      </w:r>
      <w:r>
        <w:fldChar w:fldCharType="separate"/>
      </w:r>
      <w:r>
        <w:t>54</w:t>
      </w:r>
      <w:r>
        <w:fldChar w:fldCharType="end"/>
      </w:r>
      <w:r>
        <w:t>].</w:t>
      </w:r>
    </w:p>
    <w:p w:rsidR="00B92C54" w:rsidRPr="00654611" w:rsidRDefault="00B92C54" w:rsidP="00B92C54">
      <w:pPr>
        <w:pStyle w:val="a3"/>
        <w:rPr>
          <w:color w:val="000000"/>
        </w:rPr>
      </w:pPr>
      <w:r w:rsidRPr="00F33A1A">
        <w:rPr>
          <w:b/>
        </w:rPr>
        <w:t>Хронологические рамки</w:t>
      </w:r>
      <w:r>
        <w:t xml:space="preserve"> данной работы охватывают период истории, начиная с 1989 года по 2015 год. </w:t>
      </w:r>
      <w:r>
        <w:rPr>
          <w:color w:val="000000"/>
        </w:rPr>
        <w:t>Нижняя хронологическая рамка обусловлена тем, что в 1989 году Комиссия ЕЭС предоставила мнения о заявке Турции на вступление в Сообщество. Верхняя хронологическая рамка обусловлена тем, что в 2015 году президент Турции заявил о незаинтересованности Турции касательно вступления в Европейский Союз.</w:t>
      </w:r>
    </w:p>
    <w:p w:rsidR="00B92C54" w:rsidRDefault="00B92C54" w:rsidP="00B92C54">
      <w:pPr>
        <w:pStyle w:val="a3"/>
      </w:pPr>
      <w:r>
        <w:rPr>
          <w:b/>
        </w:rPr>
        <w:t>Структура исследования</w:t>
      </w:r>
      <w:r>
        <w:t xml:space="preserve">. Дипломная работа состоит из введения, трех разделов, выводов и списка изученных источников. </w:t>
      </w:r>
    </w:p>
    <w:p w:rsidR="00B92C54" w:rsidRDefault="00B92C54" w:rsidP="00B92C54">
      <w:pPr>
        <w:pStyle w:val="a3"/>
      </w:pPr>
      <w:r>
        <w:t xml:space="preserve">В первом разделе данной работы был сделан акцент на изучении взаимоотношений Европейского союза и Турецкой Республики, а так же, предпосылок интеграции. </w:t>
      </w:r>
    </w:p>
    <w:p w:rsidR="00B92C54" w:rsidRDefault="00B92C54" w:rsidP="00B92C54">
      <w:pPr>
        <w:pStyle w:val="a3"/>
      </w:pPr>
      <w:r>
        <w:lastRenderedPageBreak/>
        <w:t xml:space="preserve">Во втором разделе были изучены и выделены проблемы принятия Турции в Европейский союз в качестве полноправного члена. </w:t>
      </w:r>
    </w:p>
    <w:p w:rsidR="00B92C54" w:rsidRDefault="00B92C54" w:rsidP="00B92C54">
      <w:pPr>
        <w:pStyle w:val="a3"/>
      </w:pPr>
      <w:r>
        <w:t>Третий раздел посвящён определению основных тенденций политики ЕС в Турции на современном этапе.</w:t>
      </w:r>
    </w:p>
    <w:p w:rsidR="00007C48" w:rsidRDefault="00B92C54" w:rsidP="00007C48">
      <w:pPr>
        <w:pStyle w:val="a3"/>
        <w:jc w:val="center"/>
        <w:rPr>
          <w:b/>
          <w:bCs/>
        </w:rPr>
      </w:pPr>
      <w:r>
        <w:br w:type="page"/>
      </w:r>
      <w:r w:rsidR="00007C48">
        <w:rPr>
          <w:b/>
          <w:bCs/>
        </w:rPr>
        <w:lastRenderedPageBreak/>
        <w:t>ВЫВОДЫ</w:t>
      </w:r>
    </w:p>
    <w:p w:rsidR="00007C48" w:rsidRPr="00DD2EF3" w:rsidRDefault="00007C48" w:rsidP="00007C48">
      <w:pPr>
        <w:pStyle w:val="a3"/>
        <w:jc w:val="center"/>
        <w:rPr>
          <w:b/>
          <w:bCs/>
        </w:rPr>
      </w:pPr>
    </w:p>
    <w:p w:rsidR="00007C48" w:rsidRDefault="00007C48" w:rsidP="00007C48">
      <w:pPr>
        <w:pStyle w:val="a3"/>
      </w:pPr>
      <w:r>
        <w:t xml:space="preserve">Итак, проведенное исследование позволяет сделать вывод о том, что данная тема потеряла свою актуальность ещё три года назад. Однако,  Турция всегда демонстрировала политическую волю и желание участвовать во всех значительных событиях и интеграционных процессах, ставших отличительной чертой послевоенной европейской истории – так, в </w:t>
      </w:r>
      <w:smartTag w:uri="urn:schemas-microsoft-com:office:smarttags" w:element="metricconverter">
        <w:smartTagPr>
          <w:attr w:name="ProductID" w:val="1952 г"/>
        </w:smartTagPr>
        <w:r>
          <w:t>1952 г</w:t>
        </w:r>
      </w:smartTag>
      <w:r>
        <w:t xml:space="preserve">. Турция вступила в НАТО, позже направила своих солдат в Корею, стала членом Совета Европы и Организации экономического сотрудничества и развития. Немаловажно, что Турция стала одной из первых стран, пожелавших присоединиться к новой европейской интеграционной инициативе – ЕЭС. Сразу после этого, Турция направила запрос на вступление в эту организацию – предшественницу ЕС. В </w:t>
      </w:r>
      <w:smartTag w:uri="urn:schemas-microsoft-com:office:smarttags" w:element="metricconverter">
        <w:smartTagPr>
          <w:attr w:name="ProductID" w:val="1963 г"/>
        </w:smartTagPr>
        <w:r>
          <w:t>1963 г</w:t>
        </w:r>
      </w:smartTag>
      <w:r>
        <w:t>. был подписан Договор об ассоциации Турции и Европейского экономического сообщества (Анкарское соглашение), ставший рамочным документом во взаимоотношениях Турции с ЕЭС, а затем и ЕС. Он предполагал три стадии интеграции – предварительную, создание Таможенного союза и завершающую – полноправное членство.</w:t>
      </w:r>
    </w:p>
    <w:p w:rsidR="00007C48" w:rsidRDefault="00007C48" w:rsidP="00007C48">
      <w:pPr>
        <w:pStyle w:val="a3"/>
      </w:pPr>
      <w:r>
        <w:t>Реализация Договора об ассоциации не только укрепляла торгово-экономические отношения Турции с ЕЭС, но и содействовала развитию экономики страны и повышению уровня занятости населения благодаря миграции турецкой рабочей силы в Европу. Наблюдалось увеличение притока европейского капитала в Турцию. Таким образом, происходило наращивание объемов связей во всех областях сотрудничества, создающее для Анкары новое качество отношений с ЕЭС. Турецкая экономика начала превращаться в составную часть европейского хозяйства. Однако Анкарское соглашение не позволяло рассматривать интеграцию Турции с ЕЭС в среднесрочный период. Переходный этап приблизил экономическую и налогово-финансовую политику Турции к стандартам Сообщества.</w:t>
      </w:r>
    </w:p>
    <w:p w:rsidR="00007C48" w:rsidRDefault="00007C48" w:rsidP="00007C48">
      <w:pPr>
        <w:pStyle w:val="a3"/>
      </w:pPr>
      <w:r>
        <w:t xml:space="preserve">В свою очередь, Анкара распространила на страны ЕЭС режим наибольшего благоприятствования. При этом либерализационные меры в </w:t>
      </w:r>
      <w:r>
        <w:lastRenderedPageBreak/>
        <w:t xml:space="preserve">отношении Сообщества носили необратимый характер. С целью преодоления препятствий на пути к интеграции Турции в ЕЭС правительство пыталось поднять экономический уровень страны при помощи структурных изменений, создания новой инфраструктуры и реформирования торговли. Тем не менее, Анкара придерживалась политики импортозамещения, что противоречило ее обязательствам перед Сообществом. Турция не соблюдала режим снижения таможенных пошлин. Турецкая политическая элита, не соглашаясь с экономическими условиями ЕЭС, замедляла темп интеграции, считая конкуренцию ненужной и преждевременной для промышленности страны. Вместе с тем помощь со стороны ЕЭС ограничилась торговыми и финансовыми послаблениями, недостаточными для подтягивания турецкой экономики до среднеевропейского уровня. </w:t>
      </w:r>
    </w:p>
    <w:p w:rsidR="00007C48" w:rsidRDefault="00007C48" w:rsidP="00007C48">
      <w:pPr>
        <w:pStyle w:val="a3"/>
      </w:pPr>
      <w:r>
        <w:t xml:space="preserve">В </w:t>
      </w:r>
      <w:smartTag w:uri="urn:schemas-microsoft-com:office:smarttags" w:element="metricconverter">
        <w:smartTagPr>
          <w:attr w:name="ProductID" w:val="1987 г"/>
        </w:smartTagPr>
        <w:r>
          <w:t>1987 г</w:t>
        </w:r>
      </w:smartTag>
      <w:r>
        <w:t xml:space="preserve">. Турция подала официальный запрос о полноправном вступлении в ЕЭС, но Комиссия ЕЭС порекомендовала Турции отложить свою заявку на членство, а в качестве аргумента приводилось нежелание Сообщества расширяться. В то же время Комиссия выразила намерение усилить сотрудничество с Турцией, тем самым подтверждая соответствие страны всем требуемым Анкарским соглашением критериям для членства в ЕЭС. Не достигнув основной цели, заявка Турции на вступление в ЕЭС все же оживила ее отношения с Сообществом: усилия по их развитию интенсифицировались с обеих сторон, началось выполнение мер, направленных на образование таможенного союза в намеченные сроки. </w:t>
      </w:r>
    </w:p>
    <w:p w:rsidR="00007C48" w:rsidRDefault="00007C48" w:rsidP="00007C48">
      <w:pPr>
        <w:pStyle w:val="a3"/>
      </w:pPr>
      <w:r>
        <w:t xml:space="preserve">Переговоры Евросоюза и Турции о предоставлении последней статуса полноправного члена ещё далеки от завершения. Сохраняющиеся проблемы в экономике, диспропорции в развитии различных регионов страны, низкий уровень жизни и образования, высокая безработица; недостаточная демократичность политической и судебной системы, опасность вмешательства военных в политический процесс, нарастающая напряжённость в отношениях между традиционно светской элитой и новой, происламски настроенной; исключенность из общественной жизни </w:t>
      </w:r>
      <w:r>
        <w:lastRenderedPageBreak/>
        <w:t xml:space="preserve">этнических меньшинств (курдов) и продолжение вооружённой борьбы с наиболее радикальными их представителями - всё это объективно свидетельствует о неготовности к немедленному вступлению Турции в ЕС. </w:t>
      </w:r>
    </w:p>
    <w:p w:rsidR="00007C48" w:rsidRDefault="00007C48" w:rsidP="00007C48">
      <w:pPr>
        <w:pStyle w:val="a3"/>
      </w:pPr>
      <w:r>
        <w:t xml:space="preserve">Серьёзные успехи по реформированию всех сфер жизни общества в соответствии с копенгагенскими критериями, которых правящая Партия справедливости и развития добилась за последние годы, позволяют говорить о том, что имеющиеся препятствия могут быть преодолены. Очевидная заслуга ПСР заключается не только в активизации реформ, но и в преемственности важнейшего для Турции курса на европеизацию, истоки которого уходят ещё во времена Османской империи. Несмотря на культурные различия, провоцирующие негативное отношение к возможности членства Турции в ЕС со стороны большинства европейцев, а также многих европейских лидеров, не вызывает сомнения потребность и растущий интерес Евросоюза к Турции. </w:t>
      </w:r>
    </w:p>
    <w:p w:rsidR="00007C48" w:rsidRDefault="00007C48" w:rsidP="00007C48">
      <w:pPr>
        <w:pStyle w:val="a3"/>
      </w:pPr>
      <w:r>
        <w:t>Сегодня политика ЕС по отношению к Турции определяется в основном ее геополитическим и исключительно выгодным географическим положением. Принятие этой страны может стать важнейшим ресурсом для превращения Евросоюза во влиятельного глобального актора. С другой стороны, Турция рассматривается как коридор для нежелательного притока огромных масс населения из стран Центральной Азии и Ближнего Востока в ЕС. Стоит отметить тот факт, что в 2015 году президент Турецкой Республики Реджеп Тайип Эрдоган заявил о том, что Турцию больше не интересует вопрос касательно вступления в ЕС. Однако, рассмотренные факты позволяют сделать вывод о заинтересованности ЕС в продолжении переговоров и, более того, в том, чтобы эти переговоры завершились вступлением Турции в ЕС в качестве полноправного члена. Конечно, вряд ли это произойдёт в ближайшем будущем, однако признанная на высшем уровне потребность обеих сторон друг в друге позволит в конечном итоге реализовать столь амбициозный проект.</w:t>
      </w:r>
      <w:bookmarkStart w:id="0" w:name="_Ref511483695"/>
    </w:p>
    <w:p w:rsidR="00007C48" w:rsidRPr="00160358" w:rsidRDefault="00007C48" w:rsidP="00007C48">
      <w:pPr>
        <w:pStyle w:val="a3"/>
        <w:jc w:val="center"/>
      </w:pPr>
      <w:r>
        <w:br w:type="page"/>
      </w:r>
      <w:r>
        <w:rPr>
          <w:b/>
          <w:bCs/>
        </w:rPr>
        <w:lastRenderedPageBreak/>
        <w:t>СПИСОК ИЗУЧЕННЫХ ИСТОЧНИКОВ</w:t>
      </w:r>
    </w:p>
    <w:p w:rsidR="00007C48" w:rsidRDefault="00007C48" w:rsidP="00007C48">
      <w:pPr>
        <w:pStyle w:val="a3"/>
        <w:ind w:firstLine="0"/>
      </w:pPr>
    </w:p>
    <w:p w:rsidR="00007C48" w:rsidRDefault="00007C48" w:rsidP="00007C48">
      <w:pPr>
        <w:pStyle w:val="a3"/>
        <w:numPr>
          <w:ilvl w:val="0"/>
          <w:numId w:val="1"/>
        </w:numPr>
      </w:pPr>
      <w:r>
        <w:t>Аватков В.А. Привёл ли “сезон Турции во Франции” к потеплению между Анкарой и Парижем? // http://www.iimes.ru/rus/stat/2010/09-04-10.htm</w:t>
      </w:r>
      <w:bookmarkEnd w:id="0"/>
    </w:p>
    <w:p w:rsidR="00007C48" w:rsidRDefault="00007C48" w:rsidP="00007C48">
      <w:pPr>
        <w:pStyle w:val="a3"/>
        <w:numPr>
          <w:ilvl w:val="0"/>
          <w:numId w:val="1"/>
        </w:numPr>
      </w:pPr>
      <w:bookmarkStart w:id="1" w:name="_Ref508534708"/>
      <w:r>
        <w:t>Аватков В.А. Внешнеполитический дискурс ведущих субъектов турецкой политики. - М.: ООО «Паблис», 2015. – 88 с.</w:t>
      </w:r>
      <w:bookmarkEnd w:id="1"/>
    </w:p>
    <w:p w:rsidR="00007C48" w:rsidRDefault="00007C48" w:rsidP="00007C48">
      <w:pPr>
        <w:pStyle w:val="a3"/>
        <w:numPr>
          <w:ilvl w:val="0"/>
          <w:numId w:val="1"/>
        </w:numPr>
      </w:pPr>
      <w:bookmarkStart w:id="2" w:name="_Ref508534607"/>
      <w:r>
        <w:t>Аватков В.А. Основные направления кризиса во внутренней и внешней политике Турецкой Республики // Вестник МГИМО Университета. - 2016. - № 2. - С. 7-14.</w:t>
      </w:r>
      <w:bookmarkEnd w:id="2"/>
    </w:p>
    <w:p w:rsidR="00007C48" w:rsidRDefault="00007C48" w:rsidP="00007C48">
      <w:pPr>
        <w:pStyle w:val="a3"/>
        <w:numPr>
          <w:ilvl w:val="0"/>
          <w:numId w:val="1"/>
        </w:numPr>
      </w:pPr>
      <w:bookmarkStart w:id="3" w:name="_Ref508534510"/>
      <w:r>
        <w:t>Архангельская Е. Почему Турция никогда не войдет в состав Евросоюза? // http://modempolitics.ru/2012/09/pochemu-turciya-nikogda-ne-vojjdet-v-sostav-evrosoyuza</w:t>
      </w:r>
      <w:bookmarkEnd w:id="3"/>
    </w:p>
    <w:p w:rsidR="00007C48" w:rsidRDefault="00007C48" w:rsidP="00007C48">
      <w:pPr>
        <w:pStyle w:val="a3"/>
        <w:numPr>
          <w:ilvl w:val="0"/>
          <w:numId w:val="1"/>
        </w:numPr>
      </w:pPr>
      <w:bookmarkStart w:id="4" w:name="_Ref514934024"/>
      <w:r>
        <w:t>Ахмедов Т.А. Диалог Европейского Союза с Анкарой в условиях обострения курдской проблемы в Турецкой Республике в 80-90-е годы ХХ века // Современная научная мысль. - 2017. - № 3. - С. 40-44.</w:t>
      </w:r>
      <w:bookmarkEnd w:id="4"/>
    </w:p>
    <w:p w:rsidR="00007C48" w:rsidRDefault="00007C48" w:rsidP="00007C48">
      <w:pPr>
        <w:pStyle w:val="a3"/>
        <w:numPr>
          <w:ilvl w:val="0"/>
          <w:numId w:val="1"/>
        </w:numPr>
      </w:pPr>
      <w:r>
        <w:t xml:space="preserve">Ашурова Л.О. </w:t>
      </w:r>
      <w:r w:rsidRPr="00B5267C">
        <w:t>Экономическая политика Европейского сообщества в</w:t>
      </w:r>
      <w:r>
        <w:t xml:space="preserve"> отношении стран Средиземноморья. Автореферат</w:t>
      </w:r>
      <w:r w:rsidRPr="00B5267C">
        <w:t xml:space="preserve">: 08.00.14 </w:t>
      </w:r>
      <w:r>
        <w:t>/</w:t>
      </w:r>
      <w:r w:rsidRPr="00B5267C">
        <w:t>/ Ин-т мировой экономики и международных отношений. - Москва, 1990. - 20 с</w:t>
      </w:r>
      <w:r>
        <w:t>.</w:t>
      </w:r>
    </w:p>
    <w:p w:rsidR="00007C48" w:rsidRDefault="00007C48" w:rsidP="00007C48">
      <w:pPr>
        <w:pStyle w:val="a3"/>
        <w:numPr>
          <w:ilvl w:val="0"/>
          <w:numId w:val="1"/>
        </w:numPr>
      </w:pPr>
      <w:bookmarkStart w:id="5" w:name="_Ref514934446"/>
      <w:r>
        <w:t>Богатуров А.Д. Системная история международных отношений в двух томах. Том второй. События 1945-2003 годов. - М.: Культурная революция, 2006. – 547 с.</w:t>
      </w:r>
      <w:bookmarkEnd w:id="5"/>
    </w:p>
    <w:p w:rsidR="00007C48" w:rsidRDefault="00007C48" w:rsidP="00007C48">
      <w:pPr>
        <w:pStyle w:val="a3"/>
        <w:numPr>
          <w:ilvl w:val="0"/>
          <w:numId w:val="1"/>
        </w:numPr>
      </w:pPr>
      <w:bookmarkStart w:id="6" w:name="_Ref514931478"/>
      <w:r>
        <w:t>Все ли кончено в отношениях Турции и Евросоюза? // Иносми /  http://inosmi.ru/politic/20161123/238269466.html</w:t>
      </w:r>
      <w:bookmarkEnd w:id="6"/>
      <w:r>
        <w:t xml:space="preserve"> </w:t>
      </w:r>
    </w:p>
    <w:p w:rsidR="00007C48" w:rsidRDefault="00007C48" w:rsidP="00007C48">
      <w:pPr>
        <w:pStyle w:val="a3"/>
        <w:numPr>
          <w:ilvl w:val="0"/>
          <w:numId w:val="1"/>
        </w:numPr>
      </w:pPr>
      <w:bookmarkStart w:id="7" w:name="_Ref511483712"/>
      <w:r>
        <w:t>Гаджиев А. К вопросу о значении Турции на международной арене //   http://www.iimes.ru/rus/stat/2010/31-07-10.htm</w:t>
      </w:r>
      <w:bookmarkEnd w:id="7"/>
    </w:p>
    <w:p w:rsidR="00007C48" w:rsidRDefault="00007C48" w:rsidP="00007C48">
      <w:pPr>
        <w:pStyle w:val="a3"/>
        <w:numPr>
          <w:ilvl w:val="0"/>
          <w:numId w:val="1"/>
        </w:numPr>
      </w:pPr>
      <w:bookmarkStart w:id="8" w:name="_Ref514934471"/>
      <w:r>
        <w:t xml:space="preserve"> Гаджиев А.Г. Трудности на пути вступления Турции в ЕС / Вестник Российского университета дружбы народов. Серия: Международные отношения. - 2009. - № 1. - С. 46-52.</w:t>
      </w:r>
      <w:bookmarkEnd w:id="8"/>
    </w:p>
    <w:p w:rsidR="00007C48" w:rsidRDefault="00007C48" w:rsidP="00007C48">
      <w:pPr>
        <w:pStyle w:val="a3"/>
        <w:numPr>
          <w:ilvl w:val="0"/>
          <w:numId w:val="1"/>
        </w:numPr>
      </w:pPr>
      <w:bookmarkStart w:id="9" w:name="_Ref507422335"/>
      <w:r>
        <w:t xml:space="preserve"> Гекдере А. Экономика Турции. Развитие по секторам. – М., 1992. – 260 с.</w:t>
      </w:r>
      <w:bookmarkEnd w:id="9"/>
    </w:p>
    <w:p w:rsidR="00007C48" w:rsidRDefault="00007C48" w:rsidP="00007C48">
      <w:pPr>
        <w:pStyle w:val="a3"/>
        <w:numPr>
          <w:ilvl w:val="0"/>
          <w:numId w:val="1"/>
        </w:numPr>
      </w:pPr>
      <w:bookmarkStart w:id="10" w:name="_Ref508534552"/>
      <w:r>
        <w:t xml:space="preserve"> День А. Чем грозит ЕС жесткая позиция Турции к Кипру? // </w:t>
      </w:r>
      <w:hyperlink r:id="rId5" w:history="1">
        <w:r w:rsidRPr="00292C0F">
          <w:rPr>
            <w:rStyle w:val="a4"/>
            <w:color w:val="000000"/>
          </w:rPr>
          <w:t>http://www.profi-forex.org/novosti-mira/novosti-blizhnego</w:t>
        </w:r>
      </w:hyperlink>
      <w:r>
        <w:rPr>
          <w:color w:val="000000"/>
        </w:rPr>
        <w:t>-</w:t>
      </w:r>
      <w:r w:rsidRPr="00292C0F">
        <w:rPr>
          <w:color w:val="000000"/>
        </w:rPr>
        <w:t>vostoka/turkey/entry1008088175.html</w:t>
      </w:r>
      <w:bookmarkEnd w:id="10"/>
    </w:p>
    <w:p w:rsidR="00007C48" w:rsidRDefault="00007C48" w:rsidP="00007C48">
      <w:pPr>
        <w:pStyle w:val="a3"/>
        <w:numPr>
          <w:ilvl w:val="0"/>
          <w:numId w:val="1"/>
        </w:numPr>
      </w:pPr>
      <w:bookmarkStart w:id="11" w:name="_Ref514934074"/>
      <w:r>
        <w:t xml:space="preserve"> Джиллов Х. Экономика Турции. – М.: Наука, 1971. – 340 с.</w:t>
      </w:r>
      <w:bookmarkEnd w:id="11"/>
    </w:p>
    <w:p w:rsidR="00007C48" w:rsidRDefault="00007C48" w:rsidP="00007C48">
      <w:pPr>
        <w:pStyle w:val="a3"/>
        <w:numPr>
          <w:ilvl w:val="0"/>
          <w:numId w:val="1"/>
        </w:numPr>
      </w:pPr>
      <w:bookmarkStart w:id="12" w:name="_Ref507421860"/>
      <w:r>
        <w:t xml:space="preserve"> Договор о функционировании Европейского Союза (Римский договор) от 25 марта </w:t>
      </w:r>
      <w:smartTag w:uri="urn:schemas-microsoft-com:office:smarttags" w:element="metricconverter">
        <w:smartTagPr>
          <w:attr w:name="ProductID" w:val="1957 г"/>
        </w:smartTagPr>
        <w:r>
          <w:t>1957 г</w:t>
        </w:r>
      </w:smartTag>
      <w:r>
        <w:t>. // Право Европейского союза / http://eulaw.ru/treaties/tfeu</w:t>
      </w:r>
      <w:bookmarkEnd w:id="12"/>
    </w:p>
    <w:p w:rsidR="00007C48" w:rsidRDefault="00007C48" w:rsidP="00007C48">
      <w:pPr>
        <w:pStyle w:val="a3"/>
        <w:numPr>
          <w:ilvl w:val="0"/>
          <w:numId w:val="1"/>
        </w:numPr>
      </w:pPr>
      <w:bookmarkStart w:id="13" w:name="_Ref507422532"/>
      <w:r>
        <w:t xml:space="preserve"> Дружиловский С.Б. Турецкая республика в 80–90-е гг. – М.: Высшая школа, 1998. – 112 с.</w:t>
      </w:r>
      <w:bookmarkEnd w:id="13"/>
    </w:p>
    <w:p w:rsidR="00007C48" w:rsidRDefault="00007C48" w:rsidP="00007C48">
      <w:pPr>
        <w:pStyle w:val="a3"/>
        <w:numPr>
          <w:ilvl w:val="0"/>
          <w:numId w:val="1"/>
        </w:numPr>
      </w:pPr>
      <w:bookmarkStart w:id="14" w:name="_Ref508534458"/>
      <w:r>
        <w:t xml:space="preserve"> ЕС и Турция попали в порочный круг, говорят эксперты. // Иносми / http://www.inosmi.ru/world/20090907/252340.html</w:t>
      </w:r>
      <w:bookmarkEnd w:id="14"/>
    </w:p>
    <w:p w:rsidR="00007C48" w:rsidRDefault="00007C48" w:rsidP="00007C48">
      <w:pPr>
        <w:pStyle w:val="a3"/>
        <w:numPr>
          <w:ilvl w:val="0"/>
          <w:numId w:val="1"/>
        </w:numPr>
      </w:pPr>
      <w:bookmarkStart w:id="15" w:name="_Ref511483266"/>
      <w:r>
        <w:t xml:space="preserve"> Зиганшина Г.М. Турция и ЕС: социально-правовые и политические аспекты интеграции // Сборник Института изучения Израиля и Ближнего Востока. Ближний Восток и современность. - 2004. - №24. - С. 155–160.</w:t>
      </w:r>
      <w:bookmarkEnd w:id="15"/>
    </w:p>
    <w:p w:rsidR="00007C48" w:rsidRDefault="00007C48" w:rsidP="00007C48">
      <w:pPr>
        <w:pStyle w:val="a3"/>
        <w:numPr>
          <w:ilvl w:val="0"/>
          <w:numId w:val="1"/>
        </w:numPr>
      </w:pPr>
      <w:bookmarkStart w:id="16" w:name="_Ref508534470"/>
      <w:r>
        <w:t xml:space="preserve"> Иванов С. Сможет ли Турция стать полноправным членом ЕС? // http://www.ru.joumal-neo.com/node/2022</w:t>
      </w:r>
      <w:bookmarkEnd w:id="16"/>
    </w:p>
    <w:p w:rsidR="00007C48" w:rsidRDefault="00007C48" w:rsidP="00007C48">
      <w:pPr>
        <w:pStyle w:val="a3"/>
        <w:numPr>
          <w:ilvl w:val="0"/>
          <w:numId w:val="1"/>
        </w:numPr>
      </w:pPr>
      <w:bookmarkStart w:id="17" w:name="_Ref507422090"/>
      <w:r>
        <w:t xml:space="preserve"> Иванова И.И. Турция и ЕЭС // Западная Европа и Азия: Проблемы международных отношений (тезисы рабочего совещания). – М.: Наука, 1986. - С. 54-55.</w:t>
      </w:r>
      <w:bookmarkEnd w:id="17"/>
    </w:p>
    <w:p w:rsidR="00007C48" w:rsidRDefault="00007C48" w:rsidP="00007C48">
      <w:pPr>
        <w:pStyle w:val="a3"/>
        <w:numPr>
          <w:ilvl w:val="0"/>
          <w:numId w:val="1"/>
        </w:numPr>
      </w:pPr>
      <w:bookmarkStart w:id="18" w:name="_Ref514934145"/>
      <w:r>
        <w:t xml:space="preserve"> Киреев Н. Г. Капитализм в Турции. Социально-экономическое развитие в 50-80 - х годах. – М.: Наука, 1987. – 360 с.</w:t>
      </w:r>
      <w:bookmarkEnd w:id="18"/>
    </w:p>
    <w:p w:rsidR="00007C48" w:rsidRDefault="00007C48" w:rsidP="00007C48">
      <w:pPr>
        <w:pStyle w:val="a3"/>
        <w:numPr>
          <w:ilvl w:val="0"/>
          <w:numId w:val="1"/>
        </w:numPr>
      </w:pPr>
      <w:bookmarkStart w:id="19" w:name="_Ref511483450"/>
      <w:r>
        <w:t xml:space="preserve"> Корицкий А. Будет ли развязан «кипрский узел» // http://www.rodgaz.ru/index.php?action=Articles&amp;dirid=23&amp;tek=9576&amp;issue=120</w:t>
      </w:r>
      <w:bookmarkEnd w:id="19"/>
    </w:p>
    <w:p w:rsidR="00007C48" w:rsidRDefault="00007C48" w:rsidP="00007C48">
      <w:pPr>
        <w:pStyle w:val="a3"/>
        <w:numPr>
          <w:ilvl w:val="0"/>
          <w:numId w:val="1"/>
        </w:numPr>
      </w:pPr>
      <w:bookmarkStart w:id="20" w:name="_Ref511483227"/>
      <w:r>
        <w:t xml:space="preserve"> Кудряшова Ю.С. Копенгагенские критерии ЕС и Турция // Институт изучения Израиля и Ближнего Востока. Современный исламский Восток и страны Запада. - М., 2004. - С. 118–120.</w:t>
      </w:r>
      <w:bookmarkEnd w:id="20"/>
    </w:p>
    <w:p w:rsidR="00007C48" w:rsidRDefault="00007C48" w:rsidP="00007C48">
      <w:pPr>
        <w:pStyle w:val="a3"/>
        <w:numPr>
          <w:ilvl w:val="0"/>
          <w:numId w:val="1"/>
        </w:numPr>
      </w:pPr>
      <w:bookmarkStart w:id="21" w:name="_Ref507421805"/>
      <w:r>
        <w:t xml:space="preserve"> Кудряшова Ю.С. Турция и Европейский Союз: история, проблемы и перспективы взаимодействия. - М.: Институт Ближнего Востока, 2010. - 364 с.</w:t>
      </w:r>
      <w:bookmarkEnd w:id="21"/>
      <w:r>
        <w:t xml:space="preserve"> </w:t>
      </w:r>
    </w:p>
    <w:p w:rsidR="00007C48" w:rsidRDefault="00007C48" w:rsidP="00007C48">
      <w:pPr>
        <w:pStyle w:val="a3"/>
        <w:numPr>
          <w:ilvl w:val="0"/>
          <w:numId w:val="1"/>
        </w:numPr>
      </w:pPr>
      <w:bookmarkStart w:id="22" w:name="_Ref507421886"/>
      <w:r>
        <w:t xml:space="preserve"> Кунаков В.В. Турция и ЕС: проблемы экономической интеграции. - М.: Институт изучения Израиля и Ближнего Востока, 1999. – 125 с.</w:t>
      </w:r>
      <w:bookmarkEnd w:id="22"/>
    </w:p>
    <w:p w:rsidR="00007C48" w:rsidRDefault="00007C48" w:rsidP="00007C48">
      <w:pPr>
        <w:pStyle w:val="a3"/>
        <w:numPr>
          <w:ilvl w:val="0"/>
          <w:numId w:val="1"/>
        </w:numPr>
      </w:pPr>
      <w:bookmarkStart w:id="23" w:name="_Ref514931495"/>
      <w:r>
        <w:lastRenderedPageBreak/>
        <w:t xml:space="preserve"> Курц Себастьян. ЕС должен указать Турции на невозможность ее членства в сообществе. // http://mkturkey.ru/politics/2017/04/29/glava-mid-avstrii-es-dolzhen-ukazat-turcii-na-nevozmozhnost-eyochlenstva-v-soobshestve.html</w:t>
      </w:r>
      <w:bookmarkEnd w:id="23"/>
    </w:p>
    <w:p w:rsidR="00007C48" w:rsidRDefault="00007C48" w:rsidP="00007C48">
      <w:pPr>
        <w:pStyle w:val="a3"/>
        <w:numPr>
          <w:ilvl w:val="0"/>
          <w:numId w:val="1"/>
        </w:numPr>
      </w:pPr>
      <w:bookmarkStart w:id="24" w:name="_Ref508534337"/>
      <w:r>
        <w:t xml:space="preserve"> Маврина Ю. В. Европейский вектор турецкой внешней политики // Известия Саратовского национального государственного университета имени Н.Г. Чернышевского. – 2013. - №3. – С. 61-67.</w:t>
      </w:r>
      <w:bookmarkEnd w:id="24"/>
    </w:p>
    <w:p w:rsidR="00007C48" w:rsidRDefault="00007C48" w:rsidP="00007C48">
      <w:pPr>
        <w:pStyle w:val="a3"/>
        <w:numPr>
          <w:ilvl w:val="0"/>
          <w:numId w:val="1"/>
        </w:numPr>
      </w:pPr>
      <w:bookmarkStart w:id="25" w:name="_Ref511483189"/>
      <w:r>
        <w:t xml:space="preserve"> Надеин-Раевский В. Турецкое “нет” Европейскому Союзу // http://www.elections-ices.org/russian/smi/region:europe/textid:5907</w:t>
      </w:r>
      <w:bookmarkEnd w:id="25"/>
    </w:p>
    <w:p w:rsidR="00007C48" w:rsidRDefault="00007C48" w:rsidP="00007C48">
      <w:pPr>
        <w:pStyle w:val="a3"/>
        <w:numPr>
          <w:ilvl w:val="0"/>
          <w:numId w:val="1"/>
        </w:numPr>
      </w:pPr>
      <w:bookmarkStart w:id="26" w:name="_Ref508534354"/>
      <w:r>
        <w:t xml:space="preserve"> Овсепян Л. Реформы Совета национальной безопасности Турции в контексте демократических преобразований // Проблемы национальной стратегии. - 2010. - Вып. 2. - С. 41-53.</w:t>
      </w:r>
      <w:bookmarkEnd w:id="26"/>
    </w:p>
    <w:p w:rsidR="00007C48" w:rsidRDefault="00007C48" w:rsidP="00007C48">
      <w:pPr>
        <w:pStyle w:val="a3"/>
        <w:numPr>
          <w:ilvl w:val="0"/>
          <w:numId w:val="1"/>
        </w:numPr>
      </w:pPr>
      <w:bookmarkStart w:id="27" w:name="_Ref511483727"/>
      <w:r>
        <w:t xml:space="preserve"> Опрос: Большинство европейцев высказались против вступления Турции в Евросоюз // http://korrespondent.net/world/1039551-opros-bolshinstvoevropejcev-vyskazalis-protiv-vstupleniya-turcii-v-evrosoyuz</w:t>
      </w:r>
      <w:bookmarkEnd w:id="27"/>
      <w:r>
        <w:t xml:space="preserve"> </w:t>
      </w:r>
    </w:p>
    <w:p w:rsidR="00007C48" w:rsidRDefault="00007C48" w:rsidP="00007C48">
      <w:pPr>
        <w:pStyle w:val="a3"/>
        <w:numPr>
          <w:ilvl w:val="0"/>
          <w:numId w:val="1"/>
        </w:numPr>
      </w:pPr>
      <w:bookmarkStart w:id="28" w:name="_Ref514934198"/>
      <w:r>
        <w:t xml:space="preserve"> Поцхверия Б. М. Внешняя политика Турции в 60-х - начале 80-х годов XX в. – М.: Наука, 1986. – 296 с.</w:t>
      </w:r>
      <w:bookmarkEnd w:id="28"/>
    </w:p>
    <w:p w:rsidR="00007C48" w:rsidRDefault="00007C48" w:rsidP="00007C48">
      <w:pPr>
        <w:pStyle w:val="a3"/>
        <w:numPr>
          <w:ilvl w:val="0"/>
          <w:numId w:val="1"/>
        </w:numPr>
      </w:pPr>
      <w:bookmarkStart w:id="29" w:name="_Ref511477857"/>
      <w:r>
        <w:t xml:space="preserve"> Поцхверия Б. М. Проблема вступления Турции в Европейский Союз // Ислам на Ближнем и Среднем Востоке. - 2011. - № 6. - С. 151-158.</w:t>
      </w:r>
      <w:bookmarkEnd w:id="29"/>
    </w:p>
    <w:p w:rsidR="00007C48" w:rsidRDefault="00007C48" w:rsidP="00007C48">
      <w:pPr>
        <w:pStyle w:val="a3"/>
        <w:numPr>
          <w:ilvl w:val="0"/>
          <w:numId w:val="1"/>
        </w:numPr>
      </w:pPr>
      <w:bookmarkStart w:id="30" w:name="_Ref511483374"/>
      <w:r>
        <w:t xml:space="preserve"> Поцхверия Б.М. Турция и кипрская проблема // Сборник статей “Турция в новых геополитических условиях. - М., ИИИиБВ, 2004. - С. 38-51.</w:t>
      </w:r>
      <w:bookmarkEnd w:id="30"/>
    </w:p>
    <w:p w:rsidR="00007C48" w:rsidRDefault="00007C48" w:rsidP="00007C48">
      <w:pPr>
        <w:pStyle w:val="a3"/>
        <w:numPr>
          <w:ilvl w:val="0"/>
          <w:numId w:val="1"/>
        </w:numPr>
      </w:pPr>
      <w:bookmarkStart w:id="31" w:name="_Ref507421873"/>
      <w:r>
        <w:t xml:space="preserve"> Соглашение об ассоциации Турции и Европейского экономического сообщества от 12 сентября 1963 // Кафедра интеграционного и европейского права / http://eulaw.edu.ru/old/documents/legislation/eea/aa_turkey.htm#_ftn1</w:t>
      </w:r>
      <w:bookmarkEnd w:id="31"/>
    </w:p>
    <w:p w:rsidR="00007C48" w:rsidRDefault="00007C48" w:rsidP="00007C48">
      <w:pPr>
        <w:pStyle w:val="a3"/>
        <w:numPr>
          <w:ilvl w:val="0"/>
          <w:numId w:val="1"/>
        </w:numPr>
      </w:pPr>
      <w:bookmarkStart w:id="32" w:name="_Ref508534520"/>
      <w:r>
        <w:t xml:space="preserve"> Сорокина Н. Евросоюз не послушался Папу // Российская газета. - 2006. - 13 дек. - № 4246. – С.7-8.</w:t>
      </w:r>
      <w:bookmarkEnd w:id="32"/>
    </w:p>
    <w:p w:rsidR="00007C48" w:rsidRDefault="00007C48" w:rsidP="00007C48">
      <w:pPr>
        <w:pStyle w:val="a3"/>
        <w:numPr>
          <w:ilvl w:val="0"/>
          <w:numId w:val="1"/>
        </w:numPr>
      </w:pPr>
      <w:bookmarkStart w:id="33" w:name="_Ref511478192"/>
      <w:r>
        <w:t xml:space="preserve"> Сочнева И.А. Вступит ли Турция в ЕС // Современная Европа. - 2012. - № 1 (49). - С. 86-96.</w:t>
      </w:r>
      <w:bookmarkEnd w:id="33"/>
    </w:p>
    <w:p w:rsidR="00007C48" w:rsidRDefault="00007C48" w:rsidP="00007C48">
      <w:pPr>
        <w:pStyle w:val="a3"/>
        <w:numPr>
          <w:ilvl w:val="0"/>
          <w:numId w:val="1"/>
        </w:numPr>
      </w:pPr>
      <w:bookmarkStart w:id="34" w:name="_Ref507421789"/>
      <w:r>
        <w:t xml:space="preserve"> Сочнева И.А. Проблемы и перспективы вступления Турции в ЕС // Вестник международных организаций. - 2011. - №1 (32). – С.65-71.</w:t>
      </w:r>
      <w:bookmarkEnd w:id="34"/>
    </w:p>
    <w:p w:rsidR="00007C48" w:rsidRDefault="00007C48" w:rsidP="00007C48">
      <w:pPr>
        <w:pStyle w:val="a3"/>
        <w:numPr>
          <w:ilvl w:val="0"/>
          <w:numId w:val="1"/>
        </w:numPr>
      </w:pPr>
      <w:bookmarkStart w:id="35" w:name="_Ref514934999"/>
      <w:r>
        <w:lastRenderedPageBreak/>
        <w:t xml:space="preserve"> Спиридонова Т.В. Проблемы интеграции Турции в экономическое пространство Европейского Союза. Автореферат: 08.00.14. – М., 2014. – 26 с.</w:t>
      </w:r>
      <w:bookmarkEnd w:id="35"/>
    </w:p>
    <w:p w:rsidR="00007C48" w:rsidRDefault="00007C48" w:rsidP="00007C48">
      <w:pPr>
        <w:pStyle w:val="a3"/>
        <w:numPr>
          <w:ilvl w:val="0"/>
          <w:numId w:val="1"/>
        </w:numPr>
      </w:pPr>
      <w:bookmarkStart w:id="36" w:name="_Ref514934702"/>
      <w:r>
        <w:t xml:space="preserve"> Тимофеев П.П. Позиция ЕС по вопросу принятия Турции в союз (на примере Франции) // Турция: новые реалии во внутренней политике и участие в региональных геополитических процессах. - М.: МГИМО-Университет, 2014. – С.178-189.</w:t>
      </w:r>
      <w:bookmarkEnd w:id="36"/>
    </w:p>
    <w:p w:rsidR="00007C48" w:rsidRDefault="00007C48" w:rsidP="00007C48">
      <w:pPr>
        <w:pStyle w:val="a3"/>
        <w:numPr>
          <w:ilvl w:val="0"/>
          <w:numId w:val="1"/>
        </w:numPr>
      </w:pPr>
      <w:bookmarkStart w:id="37" w:name="_Ref508534449"/>
      <w:r>
        <w:t xml:space="preserve"> Турция отказалась от статуса привилегированного партнера ЕС. // </w:t>
      </w:r>
      <w:r>
        <w:rPr>
          <w:lang w:val="en-US"/>
        </w:rPr>
        <w:t>Regnum</w:t>
      </w:r>
      <w:r w:rsidRPr="00557B6F">
        <w:t xml:space="preserve"> </w:t>
      </w:r>
      <w:r>
        <w:t>/ http://www.regnum.ru/news/ 1266500.html</w:t>
      </w:r>
      <w:bookmarkEnd w:id="37"/>
    </w:p>
    <w:p w:rsidR="00007C48" w:rsidRDefault="00007C48" w:rsidP="00007C48">
      <w:pPr>
        <w:pStyle w:val="a3"/>
        <w:numPr>
          <w:ilvl w:val="0"/>
          <w:numId w:val="1"/>
        </w:numPr>
      </w:pPr>
      <w:bookmarkStart w:id="38" w:name="_Ref508534499"/>
      <w:r>
        <w:t xml:space="preserve"> Тэвдой-Бурмули А. Горизонты расширения ЕС: соблазны и расчеты // http://russiancouncil.ru/ inner/?id_4=235</w:t>
      </w:r>
      <w:bookmarkEnd w:id="38"/>
    </w:p>
    <w:p w:rsidR="00007C48" w:rsidRDefault="00007C48" w:rsidP="00007C48">
      <w:pPr>
        <w:pStyle w:val="a3"/>
        <w:numPr>
          <w:ilvl w:val="0"/>
          <w:numId w:val="1"/>
        </w:numPr>
      </w:pPr>
      <w:bookmarkStart w:id="39" w:name="_Ref514934235"/>
      <w:r>
        <w:t xml:space="preserve"> Уразова Е.И. Турция: Проблемы финансирования экономического развития. – М.: Наука, 1975. – 272 с.</w:t>
      </w:r>
      <w:bookmarkEnd w:id="39"/>
    </w:p>
    <w:p w:rsidR="00007C48" w:rsidRDefault="00007C48" w:rsidP="00007C48">
      <w:pPr>
        <w:pStyle w:val="a3"/>
        <w:numPr>
          <w:ilvl w:val="0"/>
          <w:numId w:val="1"/>
        </w:numPr>
      </w:pPr>
      <w:bookmarkStart w:id="40" w:name="_Ref514934733"/>
      <w:r>
        <w:t xml:space="preserve"> Уразова Е.И. Экономика Турции: От этатизма к рынку (внутренние и внешние источники экономического роста). – М.: Наука, 1993. – 317 с.</w:t>
      </w:r>
      <w:bookmarkEnd w:id="40"/>
    </w:p>
    <w:p w:rsidR="00007C48" w:rsidRDefault="00007C48" w:rsidP="00007C48">
      <w:pPr>
        <w:pStyle w:val="a3"/>
        <w:numPr>
          <w:ilvl w:val="0"/>
          <w:numId w:val="1"/>
        </w:numPr>
      </w:pPr>
      <w:bookmarkStart w:id="41" w:name="_Ref507421935"/>
      <w:r>
        <w:t xml:space="preserve"> Шахин Э. Кипрский вопрос в переговорах о вступлении Турции в Европейский союз (1990-е - начало XXI в.). Автореферат: 07.00.15 // СПб.: Санкт-Петербургский гос. экономический ун-т, 2016. – 224 с.</w:t>
      </w:r>
      <w:bookmarkEnd w:id="41"/>
    </w:p>
    <w:p w:rsidR="00007C48" w:rsidRDefault="00007C48" w:rsidP="00007C48">
      <w:pPr>
        <w:pStyle w:val="a3"/>
        <w:numPr>
          <w:ilvl w:val="0"/>
          <w:numId w:val="1"/>
        </w:numPr>
      </w:pPr>
      <w:bookmarkStart w:id="42" w:name="_Ref514935037"/>
      <w:bookmarkStart w:id="43" w:name="_Ref508534412"/>
      <w:r>
        <w:t xml:space="preserve"> Шлыков В. Турция на пути в Евросоюз: надежды и разочарования Анкары </w:t>
      </w:r>
      <w:bookmarkEnd w:id="43"/>
      <w:r>
        <w:t>// http://www.perspektivy.info/print.php?ID=57954</w:t>
      </w:r>
      <w:bookmarkEnd w:id="42"/>
    </w:p>
    <w:p w:rsidR="00007C48" w:rsidRPr="000C3CD8" w:rsidRDefault="00007C48" w:rsidP="00007C48">
      <w:pPr>
        <w:pStyle w:val="a3"/>
        <w:numPr>
          <w:ilvl w:val="0"/>
          <w:numId w:val="1"/>
        </w:numPr>
        <w:rPr>
          <w:lang w:val="en-US"/>
        </w:rPr>
      </w:pPr>
      <w:bookmarkStart w:id="44" w:name="_Ref511483738"/>
      <w:r w:rsidRPr="00557B6F">
        <w:rPr>
          <w:lang w:val="en-US"/>
        </w:rPr>
        <w:t xml:space="preserve"> </w:t>
      </w:r>
      <w:r>
        <w:rPr>
          <w:lang w:val="en-US"/>
        </w:rPr>
        <w:t>Ahtisaari M. Press review on EU-Turkey relations // The international Herald Tribune. – 2009. - 11 September. – C.12-13.</w:t>
      </w:r>
      <w:bookmarkEnd w:id="44"/>
    </w:p>
    <w:p w:rsidR="00007C48" w:rsidRPr="000C3CD8" w:rsidRDefault="00007C48" w:rsidP="00007C48">
      <w:pPr>
        <w:pStyle w:val="a3"/>
        <w:numPr>
          <w:ilvl w:val="0"/>
          <w:numId w:val="1"/>
        </w:numPr>
        <w:rPr>
          <w:lang w:val="en-US"/>
        </w:rPr>
      </w:pPr>
      <w:bookmarkStart w:id="45" w:name="_Ref511483778"/>
      <w:r w:rsidRPr="00557B6F">
        <w:rPr>
          <w:lang w:val="en-US"/>
        </w:rPr>
        <w:t xml:space="preserve"> </w:t>
      </w:r>
      <w:r>
        <w:rPr>
          <w:lang w:val="en-US"/>
        </w:rPr>
        <w:t>Babali T. Losing Turkey or strategic blindness? // Turkish Policy Quarterly. - 2009. - Vol. 8. - №3. -P. 23-24.</w:t>
      </w:r>
      <w:bookmarkEnd w:id="45"/>
    </w:p>
    <w:p w:rsidR="00007C48" w:rsidRPr="000C3CD8" w:rsidRDefault="00007C48" w:rsidP="00007C48">
      <w:pPr>
        <w:pStyle w:val="a3"/>
        <w:numPr>
          <w:ilvl w:val="0"/>
          <w:numId w:val="1"/>
        </w:numPr>
        <w:rPr>
          <w:lang w:val="en-US"/>
        </w:rPr>
      </w:pPr>
      <w:bookmarkStart w:id="46" w:name="_Ref511483763"/>
      <w:r w:rsidRPr="00557B6F">
        <w:rPr>
          <w:lang w:val="en-US"/>
        </w:rPr>
        <w:t xml:space="preserve"> </w:t>
      </w:r>
      <w:r>
        <w:rPr>
          <w:lang w:val="en-US"/>
        </w:rPr>
        <w:t xml:space="preserve">Bildt C. Interview: the EU, </w:t>
      </w:r>
      <w:smartTag w:uri="urn:schemas-microsoft-com:office:smarttags" w:element="place">
        <w:smartTag w:uri="urn:schemas-microsoft-com:office:smarttags" w:element="country-region">
          <w:r>
            <w:rPr>
              <w:lang w:val="en-US"/>
            </w:rPr>
            <w:t>Turkey</w:t>
          </w:r>
        </w:smartTag>
      </w:smartTag>
      <w:r>
        <w:rPr>
          <w:lang w:val="en-US"/>
        </w:rPr>
        <w:t xml:space="preserve">, and Neighbors Beyond // Turkish Policy Quarterly. - 2009. - Vol. 8. - № 3. - </w:t>
      </w:r>
      <w:r>
        <w:t>Р</w:t>
      </w:r>
      <w:r>
        <w:rPr>
          <w:lang w:val="en-US"/>
        </w:rPr>
        <w:t>. 26-27.</w:t>
      </w:r>
      <w:bookmarkEnd w:id="46"/>
    </w:p>
    <w:p w:rsidR="00007C48" w:rsidRPr="000C3CD8" w:rsidRDefault="00007C48" w:rsidP="00007C48">
      <w:pPr>
        <w:pStyle w:val="a3"/>
        <w:numPr>
          <w:ilvl w:val="0"/>
          <w:numId w:val="1"/>
        </w:numPr>
        <w:rPr>
          <w:lang w:val="en-US"/>
        </w:rPr>
      </w:pPr>
      <w:bookmarkStart w:id="47" w:name="_Ref511483177"/>
      <w:r w:rsidRPr="00557B6F">
        <w:rPr>
          <w:lang w:val="en-US"/>
        </w:rPr>
        <w:t xml:space="preserve"> </w:t>
      </w:r>
      <w:r>
        <w:rPr>
          <w:lang w:val="en-US"/>
        </w:rPr>
        <w:t xml:space="preserve">Davutoglu A. Turkish foreign policy and the EU in 2010 </w:t>
      </w:r>
      <w:r w:rsidRPr="00557B6F">
        <w:rPr>
          <w:lang w:val="en-US"/>
        </w:rPr>
        <w:t>/</w:t>
      </w:r>
      <w:r>
        <w:rPr>
          <w:lang w:val="en-US"/>
        </w:rPr>
        <w:t>/ Turkish Policy Quarterly. - 2009. - Vol. 8. - №3. - P. 13-14.</w:t>
      </w:r>
      <w:bookmarkEnd w:id="47"/>
    </w:p>
    <w:p w:rsidR="00007C48" w:rsidRPr="000C3CD8" w:rsidRDefault="00007C48" w:rsidP="00007C48">
      <w:pPr>
        <w:pStyle w:val="a3"/>
        <w:numPr>
          <w:ilvl w:val="0"/>
          <w:numId w:val="1"/>
        </w:numPr>
        <w:rPr>
          <w:lang w:val="en-US"/>
        </w:rPr>
      </w:pPr>
      <w:bookmarkStart w:id="48" w:name="_Ref507421833"/>
      <w:r w:rsidRPr="00557B6F">
        <w:rPr>
          <w:lang w:val="en-US"/>
        </w:rPr>
        <w:t xml:space="preserve"> </w:t>
      </w:r>
      <w:smartTag w:uri="urn:schemas-microsoft-com:office:smarttags" w:element="place">
        <w:smartTag w:uri="urn:schemas-microsoft-com:office:smarttags" w:element="City">
          <w:r>
            <w:rPr>
              <w:lang w:val="en-US"/>
            </w:rPr>
            <w:t>Redmond</w:t>
          </w:r>
        </w:smartTag>
      </w:smartTag>
      <w:r>
        <w:rPr>
          <w:lang w:val="en-US"/>
        </w:rPr>
        <w:t xml:space="preserve"> J. The next Mediterranean enlargement of the European Community: </w:t>
      </w:r>
      <w:smartTag w:uri="urn:schemas-microsoft-com:office:smarttags" w:element="country-region">
        <w:r>
          <w:rPr>
            <w:lang w:val="en-US"/>
          </w:rPr>
          <w:t>Turkey</w:t>
        </w:r>
      </w:smartTag>
      <w:r>
        <w:rPr>
          <w:lang w:val="en-US"/>
        </w:rPr>
        <w:t xml:space="preserve">, </w:t>
      </w:r>
      <w:smartTag w:uri="urn:schemas-microsoft-com:office:smarttags" w:element="country-region">
        <w:r>
          <w:rPr>
            <w:lang w:val="en-US"/>
          </w:rPr>
          <w:t>Cyprus</w:t>
        </w:r>
      </w:smartTag>
      <w:r>
        <w:rPr>
          <w:lang w:val="en-US"/>
        </w:rPr>
        <w:t xml:space="preserve"> and </w:t>
      </w:r>
      <w:smartTag w:uri="urn:schemas-microsoft-com:office:smarttags" w:element="place">
        <w:smartTag w:uri="urn:schemas-microsoft-com:office:smarttags" w:element="country-region">
          <w:r>
            <w:rPr>
              <w:lang w:val="en-US"/>
            </w:rPr>
            <w:t>Malta</w:t>
          </w:r>
        </w:smartTag>
      </w:smartTag>
      <w:r>
        <w:rPr>
          <w:lang w:val="en-US"/>
        </w:rPr>
        <w:t>?</w:t>
      </w:r>
      <w:r w:rsidRPr="00A64585">
        <w:rPr>
          <w:lang w:val="en-US"/>
        </w:rPr>
        <w:t xml:space="preserve"> </w:t>
      </w:r>
      <w:r>
        <w:rPr>
          <w:lang w:val="en-US"/>
        </w:rPr>
        <w:t>-</w:t>
      </w:r>
      <w:r w:rsidRPr="00A64585">
        <w:rPr>
          <w:lang w:val="en-US"/>
        </w:rPr>
        <w:t xml:space="preserve"> </w:t>
      </w:r>
      <w:r>
        <w:rPr>
          <w:lang w:val="en-US"/>
        </w:rPr>
        <w:t xml:space="preserve">1993. – 166 </w:t>
      </w:r>
      <w:r>
        <w:t>р</w:t>
      </w:r>
      <w:r>
        <w:rPr>
          <w:lang w:val="en-US"/>
        </w:rPr>
        <w:t>.</w:t>
      </w:r>
      <w:bookmarkEnd w:id="48"/>
    </w:p>
    <w:p w:rsidR="00007C48" w:rsidRPr="00A64585" w:rsidRDefault="00007C48" w:rsidP="00007C48">
      <w:pPr>
        <w:pStyle w:val="a3"/>
        <w:numPr>
          <w:ilvl w:val="0"/>
          <w:numId w:val="1"/>
        </w:numPr>
        <w:rPr>
          <w:lang w:val="en-US"/>
        </w:rPr>
      </w:pPr>
      <w:bookmarkStart w:id="49" w:name="_Ref508534567"/>
      <w:r w:rsidRPr="00A64585">
        <w:rPr>
          <w:lang w:val="en-US"/>
        </w:rPr>
        <w:lastRenderedPageBreak/>
        <w:t xml:space="preserve"> </w:t>
      </w:r>
      <w:r>
        <w:rPr>
          <w:lang w:val="en-US"/>
        </w:rPr>
        <w:t xml:space="preserve">Stephens P. Turkey turns east as </w:t>
      </w:r>
      <w:smartTag w:uri="urn:schemas-microsoft-com:office:smarttags" w:element="place">
        <w:r>
          <w:rPr>
            <w:lang w:val="en-US"/>
          </w:rPr>
          <w:t>Europe</w:t>
        </w:r>
      </w:smartTag>
      <w:r>
        <w:rPr>
          <w:lang w:val="en-US"/>
        </w:rPr>
        <w:t xml:space="preserve"> clings to past</w:t>
      </w:r>
      <w:r w:rsidRPr="00A64585">
        <w:rPr>
          <w:lang w:val="en-US"/>
        </w:rPr>
        <w:t>. // http://www.ft.com/cms/s/0/106a99e6-bf3d- 11de-a696-00144feab49a.html</w:t>
      </w:r>
      <w:bookmarkEnd w:id="49"/>
    </w:p>
    <w:p w:rsidR="00007C48" w:rsidRPr="00A64585" w:rsidRDefault="00007C48" w:rsidP="00007C48">
      <w:pPr>
        <w:pStyle w:val="a3"/>
        <w:numPr>
          <w:ilvl w:val="0"/>
          <w:numId w:val="1"/>
        </w:numPr>
        <w:rPr>
          <w:lang w:val="en-US"/>
        </w:rPr>
      </w:pPr>
      <w:bookmarkStart w:id="50" w:name="_Ref511483423"/>
      <w:r w:rsidRPr="00A64585">
        <w:rPr>
          <w:lang w:val="en-US"/>
        </w:rPr>
        <w:t xml:space="preserve"> </w:t>
      </w:r>
      <w:r>
        <w:rPr>
          <w:lang w:val="en-US"/>
        </w:rPr>
        <w:t xml:space="preserve">Turkish Accession Partnership: EU Commission. </w:t>
      </w:r>
      <w:r w:rsidRPr="00007C48">
        <w:rPr>
          <w:lang w:val="en-US"/>
        </w:rPr>
        <w:t xml:space="preserve">08.11.2000. </w:t>
      </w:r>
      <w:r w:rsidRPr="00A64585">
        <w:rPr>
          <w:lang w:val="en-US"/>
        </w:rPr>
        <w:t>№ 211. // http://www.mfa.gov.tr/EU/ Press211.htm</w:t>
      </w:r>
      <w:bookmarkEnd w:id="50"/>
    </w:p>
    <w:p w:rsidR="00007C48" w:rsidRPr="000C3CD8" w:rsidRDefault="00007C48" w:rsidP="00007C48">
      <w:pPr>
        <w:pStyle w:val="a3"/>
        <w:numPr>
          <w:ilvl w:val="0"/>
          <w:numId w:val="1"/>
        </w:numPr>
        <w:rPr>
          <w:lang w:val="en-US"/>
        </w:rPr>
      </w:pPr>
      <w:bookmarkStart w:id="51" w:name="_Ref511483524"/>
      <w:r w:rsidRPr="00A64585">
        <w:rPr>
          <w:lang w:val="en-US"/>
        </w:rPr>
        <w:t xml:space="preserve"> </w:t>
      </w:r>
      <w:r>
        <w:rPr>
          <w:lang w:val="en-US"/>
        </w:rPr>
        <w:t xml:space="preserve">Unluhisarcikli J. EU, </w:t>
      </w:r>
      <w:smartTag w:uri="urn:schemas-microsoft-com:office:smarttags" w:element="place">
        <w:smartTag w:uri="urn:schemas-microsoft-com:office:smarttags" w:element="country-region">
          <w:r>
            <w:rPr>
              <w:lang w:val="en-US"/>
            </w:rPr>
            <w:t>Turkey</w:t>
          </w:r>
        </w:smartTag>
      </w:smartTag>
      <w:r>
        <w:rPr>
          <w:lang w:val="en-US"/>
        </w:rPr>
        <w:t xml:space="preserve"> and neighborhood policies</w:t>
      </w:r>
      <w:r w:rsidRPr="00A64585">
        <w:rPr>
          <w:lang w:val="en-US"/>
        </w:rPr>
        <w:t xml:space="preserve"> </w:t>
      </w:r>
      <w:r>
        <w:rPr>
          <w:lang w:val="en-US"/>
        </w:rPr>
        <w:t>// Turkish Policy Quarterly. - 2009. - Vol. 8. - №3. - P.74-75.</w:t>
      </w:r>
      <w:bookmarkEnd w:id="51"/>
    </w:p>
    <w:p w:rsidR="00007C48" w:rsidRPr="000C3CD8" w:rsidRDefault="00007C48" w:rsidP="00007C48">
      <w:pPr>
        <w:pStyle w:val="a3"/>
        <w:numPr>
          <w:ilvl w:val="0"/>
          <w:numId w:val="1"/>
        </w:numPr>
        <w:rPr>
          <w:lang w:val="en-US"/>
        </w:rPr>
      </w:pPr>
      <w:bookmarkStart w:id="52" w:name="_Ref511483211"/>
      <w:r w:rsidRPr="00A64585">
        <w:rPr>
          <w:lang w:val="en-US"/>
        </w:rPr>
        <w:t xml:space="preserve"> </w:t>
      </w:r>
      <w:r>
        <w:rPr>
          <w:lang w:val="en-US"/>
        </w:rPr>
        <w:t xml:space="preserve">Vardan </w:t>
      </w:r>
      <w:r>
        <w:t>О</w:t>
      </w:r>
      <w:r>
        <w:rPr>
          <w:lang w:val="en-US"/>
        </w:rPr>
        <w:t xml:space="preserve">. Turkey-EU relations and democracy in </w:t>
      </w:r>
      <w:smartTag w:uri="urn:schemas-microsoft-com:office:smarttags" w:element="place">
        <w:smartTag w:uri="urn:schemas-microsoft-com:office:smarttags" w:element="country-region">
          <w:r>
            <w:rPr>
              <w:lang w:val="en-US"/>
            </w:rPr>
            <w:t>Turkey</w:t>
          </w:r>
        </w:smartTag>
      </w:smartTag>
      <w:r>
        <w:rPr>
          <w:lang w:val="en-US"/>
        </w:rPr>
        <w:t>: problems and prospects// Turkish Policy Quarterly. - 2009. - Vol. 8. -№1. - P. 51-52.</w:t>
      </w:r>
      <w:bookmarkEnd w:id="52"/>
    </w:p>
    <w:p w:rsidR="00007C48" w:rsidRPr="000C3CD8" w:rsidRDefault="00007C48" w:rsidP="00007C48">
      <w:pPr>
        <w:pStyle w:val="a3"/>
        <w:numPr>
          <w:ilvl w:val="0"/>
          <w:numId w:val="1"/>
        </w:numPr>
        <w:rPr>
          <w:lang w:val="en-US"/>
        </w:rPr>
      </w:pPr>
      <w:bookmarkStart w:id="53" w:name="_Ref511483281"/>
      <w:r w:rsidRPr="00A64585">
        <w:rPr>
          <w:lang w:val="en-US"/>
        </w:rPr>
        <w:t xml:space="preserve"> </w:t>
      </w:r>
      <w:r>
        <w:rPr>
          <w:lang w:val="en-US"/>
        </w:rPr>
        <w:t xml:space="preserve">Winkler N. Leaving the rollercoaster: </w:t>
      </w:r>
      <w:smartTag w:uri="urn:schemas-microsoft-com:office:smarttags" w:element="place">
        <w:smartTag w:uri="urn:schemas-microsoft-com:office:smarttags" w:element="country-region">
          <w:r>
            <w:rPr>
              <w:lang w:val="en-US"/>
            </w:rPr>
            <w:t>Turkey</w:t>
          </w:r>
        </w:smartTag>
      </w:smartTag>
      <w:r>
        <w:rPr>
          <w:lang w:val="en-US"/>
        </w:rPr>
        <w:t>, stability and the EU // Turkish Policy Quarterly. - 2005. - Vol. 4. – №3. - P. 142-143.</w:t>
      </w:r>
      <w:bookmarkEnd w:id="53"/>
    </w:p>
    <w:p w:rsidR="00082C8E" w:rsidRDefault="00082C8E" w:rsidP="00B92C54">
      <w:bookmarkStart w:id="54" w:name="_GoBack"/>
      <w:bookmarkEnd w:id="54"/>
    </w:p>
    <w:sectPr w:rsidR="00082C8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name w:val="WWNum4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5F76"/>
    <w:rsid w:val="00007C48"/>
    <w:rsid w:val="00082C8E"/>
    <w:rsid w:val="003F5F76"/>
    <w:rsid w:val="00B92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ity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CDD1877-4557-4156-A2C5-58E1B4CB8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92C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Основной."/>
    <w:rsid w:val="00B92C54"/>
    <w:pPr>
      <w:widowControl w:val="0"/>
      <w:suppressAutoHyphens/>
      <w:spacing w:after="0" w:line="360" w:lineRule="auto"/>
      <w:ind w:firstLine="680"/>
      <w:jc w:val="both"/>
    </w:pPr>
    <w:rPr>
      <w:rFonts w:ascii="Times New Roman" w:eastAsia="Times New Roman" w:hAnsi="Times New Roman" w:cs="Times New Roman"/>
      <w:sz w:val="28"/>
      <w:lang w:eastAsia="ru-RU"/>
    </w:rPr>
  </w:style>
  <w:style w:type="character" w:customStyle="1" w:styleId="IndexLink">
    <w:name w:val="Index Link"/>
    <w:rsid w:val="00B92C54"/>
  </w:style>
  <w:style w:type="paragraph" w:styleId="1">
    <w:name w:val="toc 1"/>
    <w:basedOn w:val="a"/>
    <w:next w:val="a"/>
    <w:autoRedefine/>
    <w:rsid w:val="00B92C54"/>
    <w:pPr>
      <w:tabs>
        <w:tab w:val="right" w:leader="dot" w:pos="9401"/>
      </w:tabs>
      <w:suppressAutoHyphens/>
      <w:spacing w:before="360"/>
    </w:pPr>
    <w:rPr>
      <w:rFonts w:ascii="Arial" w:hAnsi="Arial" w:cs="Arial"/>
      <w:b/>
      <w:bCs/>
      <w:caps/>
      <w:sz w:val="28"/>
      <w:szCs w:val="28"/>
    </w:rPr>
  </w:style>
  <w:style w:type="character" w:styleId="a4">
    <w:name w:val="Hyperlink"/>
    <w:basedOn w:val="a0"/>
    <w:rsid w:val="00007C4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profi-forex.org/novosti-mira/novosti-blizhneg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3221</Words>
  <Characters>18365</Characters>
  <Application>Microsoft Office Word</Application>
  <DocSecurity>0</DocSecurity>
  <Lines>153</Lines>
  <Paragraphs>43</Paragraphs>
  <ScaleCrop>false</ScaleCrop>
  <Company/>
  <LinksUpToDate>false</LinksUpToDate>
  <CharactersWithSpaces>21543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2019-01-09T11:48:00Z</dcterms:created>
  <dcterms:modified xsi:type="dcterms:W3CDTF">2019-01-09T11:51:00Z</dcterms:modified>
</cp:coreProperties>
</file>