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bottom w:color="000000" w:space="1" w:sz="4" w:val="single"/>
        </w:pBd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pBdr>
          <w:bottom w:color="000000" w:space="1" w:sz="4" w:val="single"/>
        </w:pBd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міжнародних відносин, політології та соціології</w:t>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pBdr>
          <w:bottom w:color="000000" w:space="1" w:sz="4" w:val="single"/>
        </w:pBd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політології</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 </w:t>
      </w:r>
    </w:p>
    <w:p w:rsidR="00000000" w:rsidDel="00000000" w:rsidP="00000000" w:rsidRDefault="00000000" w:rsidRPr="00000000" w14:paraId="00000009">
      <w:pPr>
        <w:pBdr>
          <w:bottom w:color="000000" w:space="1" w:sz="4" w:val="single"/>
        </w:pBdr>
        <w:spacing w:after="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освітнього рівня «магістр»</w:t>
      </w:r>
    </w:p>
    <w:p w:rsidR="00000000" w:rsidDel="00000000" w:rsidP="00000000" w:rsidRDefault="00000000" w:rsidRPr="00000000" w14:paraId="0000000A">
      <w:pPr>
        <w:spacing w:after="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«Національна безпека та військовий розвиток держав ЄС: зміна стратегій та пріоритетів в умовах російсько-української війни»</w:t>
      </w:r>
    </w:p>
    <w:p w:rsidR="00000000" w:rsidDel="00000000" w:rsidP="00000000" w:rsidRDefault="00000000" w:rsidRPr="00000000" w14:paraId="0000000B">
      <w:pPr>
        <w:spacing w:after="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«National Security and Military Development of the EU: Changing Strategies and</w:t>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Priorities in the Context of the Russian-UkrainianWar»</w:t>
      </w:r>
    </w:p>
    <w:p w:rsidR="00000000" w:rsidDel="00000000" w:rsidP="00000000" w:rsidRDefault="00000000" w:rsidRPr="00000000" w14:paraId="0000000E">
      <w:pPr>
        <w:spacing w:after="0" w:line="360" w:lineRule="auto"/>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0F">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Виконав: здобувач денної форми навчання</w:t>
      </w:r>
    </w:p>
    <w:p w:rsidR="00000000" w:rsidDel="00000000" w:rsidP="00000000" w:rsidRDefault="00000000" w:rsidRPr="00000000" w14:paraId="00000010">
      <w:pPr>
        <w:spacing w:after="0"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ab/>
        <w:t xml:space="preserve">      спеціальність 052  – «Політологія»</w:t>
      </w:r>
    </w:p>
    <w:p w:rsidR="00000000" w:rsidDel="00000000" w:rsidP="00000000" w:rsidRDefault="00000000" w:rsidRPr="00000000" w14:paraId="00000011">
      <w:pPr>
        <w:spacing w:after="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Тарнаруцький Ігор Анатолійович                                    </w:t>
      </w:r>
    </w:p>
    <w:p w:rsidR="00000000" w:rsidDel="00000000" w:rsidP="00000000" w:rsidRDefault="00000000" w:rsidRPr="00000000" w14:paraId="00000012">
      <w:pPr>
        <w:spacing w:after="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Керівник     д.політ.н., проф. Ю.В. Узун _______</w:t>
      </w:r>
    </w:p>
    <w:p w:rsidR="00000000" w:rsidDel="00000000" w:rsidP="00000000" w:rsidRDefault="00000000" w:rsidRPr="00000000" w14:paraId="00000013">
      <w:pPr>
        <w:spacing w:after="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Рецензент  к.політ.н., доц.. Н.І. Кадук_______</w:t>
      </w:r>
    </w:p>
    <w:p w:rsidR="00000000" w:rsidDel="00000000" w:rsidP="00000000" w:rsidRDefault="00000000" w:rsidRPr="00000000" w14:paraId="00000014">
      <w:pPr>
        <w:spacing w:after="0" w:line="360" w:lineRule="auto"/>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tbl>
      <w:tblPr>
        <w:tblStyle w:val="Table1"/>
        <w:tblW w:w="9571.0" w:type="dxa"/>
        <w:jc w:val="center"/>
        <w:tblLayout w:type="fixed"/>
        <w:tblLook w:val="0000"/>
      </w:tblPr>
      <w:tblGrid>
        <w:gridCol w:w="4840"/>
        <w:gridCol w:w="4731"/>
        <w:tblGridChange w:id="0">
          <w:tblGrid>
            <w:gridCol w:w="4840"/>
            <w:gridCol w:w="4731"/>
          </w:tblGrid>
        </w:tblGridChange>
      </w:tblGrid>
      <w:tr>
        <w:trPr>
          <w:cantSplit w:val="0"/>
          <w:tblHeader w:val="0"/>
        </w:trPr>
        <w:tc>
          <w:tcPr>
            <w:shd w:fill="auto" w:val="clear"/>
          </w:tcPr>
          <w:p w:rsidR="00000000" w:rsidDel="00000000" w:rsidP="00000000" w:rsidRDefault="00000000" w:rsidRPr="00000000" w14:paraId="00000017">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8">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9">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 ___        2024 р.</w:t>
            </w:r>
          </w:p>
          <w:p w:rsidR="00000000" w:rsidDel="00000000" w:rsidP="00000000" w:rsidRDefault="00000000" w:rsidRPr="00000000" w14:paraId="0000001A">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1C">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1E">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(підпис)</w:t>
              <w:tab/>
            </w:r>
          </w:p>
        </w:tc>
        <w:tc>
          <w:tcPr>
            <w:shd w:fill="auto" w:val="clear"/>
          </w:tcPr>
          <w:p w:rsidR="00000000" w:rsidDel="00000000" w:rsidP="00000000" w:rsidRDefault="00000000" w:rsidRPr="00000000" w14:paraId="0000001F">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5</w:t>
            </w:r>
          </w:p>
          <w:p w:rsidR="00000000" w:rsidDel="00000000" w:rsidP="00000000" w:rsidRDefault="00000000" w:rsidRPr="00000000" w14:paraId="00000020">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№__  від_________ 2024</w:t>
              <w:tab/>
            </w:r>
          </w:p>
          <w:p w:rsidR="00000000" w:rsidDel="00000000" w:rsidP="00000000" w:rsidRDefault="00000000" w:rsidRPr="00000000" w14:paraId="00000021">
            <w:pPr>
              <w:spacing w:after="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Оцінка______________/______/_____</w:t>
            </w:r>
          </w:p>
          <w:p w:rsidR="00000000" w:rsidDel="00000000" w:rsidP="00000000" w:rsidRDefault="00000000" w:rsidRPr="00000000" w14:paraId="00000022">
            <w:pPr>
              <w:spacing w:after="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3">
            <w:pPr>
              <w:spacing w:after="0" w:lineRule="auto"/>
              <w:ind w:firstLine="708"/>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5">
            <w:pPr>
              <w:spacing w:after="0" w:line="240" w:lineRule="auto"/>
              <w:jc w:val="both"/>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26">
            <w:pPr>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Олег ХОРОШИЛОВ</w:t>
            </w:r>
            <w:r w:rsidDel="00000000" w:rsidR="00000000" w:rsidRPr="00000000">
              <w:rPr>
                <w:rtl w:val="0"/>
              </w:rPr>
            </w:r>
          </w:p>
          <w:p w:rsidR="00000000" w:rsidDel="00000000" w:rsidP="00000000" w:rsidRDefault="00000000" w:rsidRPr="00000000" w14:paraId="00000027">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(підпис)</w:t>
              <w:tab/>
            </w:r>
          </w:p>
        </w:tc>
      </w:tr>
      <w:tr>
        <w:trPr>
          <w:cantSplit w:val="0"/>
          <w:tblHeader w:val="0"/>
        </w:trPr>
        <w:tc>
          <w:tcPr>
            <w:shd w:fill="auto" w:val="clear"/>
          </w:tcPr>
          <w:p w:rsidR="00000000" w:rsidDel="00000000" w:rsidP="00000000" w:rsidRDefault="00000000" w:rsidRPr="00000000" w14:paraId="00000028">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tc>
        <w:tc>
          <w:tcPr>
            <w:shd w:fill="auto" w:val="clear"/>
          </w:tcPr>
          <w:p w:rsidR="00000000" w:rsidDel="00000000" w:rsidP="00000000" w:rsidRDefault="00000000" w:rsidRPr="00000000" w14:paraId="00000029">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tc>
      </w:tr>
    </w:tbl>
    <w:p w:rsidR="00000000" w:rsidDel="00000000" w:rsidP="00000000" w:rsidRDefault="00000000" w:rsidRPr="00000000" w14:paraId="0000002A">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B">
      <w:pPr>
        <w:spacing w:after="0"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 2024</w:t>
      </w:r>
      <w:r w:rsidDel="00000000" w:rsidR="00000000" w:rsidRPr="00000000">
        <w:rPr>
          <w:rtl w:val="0"/>
        </w:rPr>
      </w:r>
    </w:p>
    <w:p w:rsidR="00000000" w:rsidDel="00000000" w:rsidP="00000000" w:rsidRDefault="00000000" w:rsidRPr="00000000" w14:paraId="0000002D">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2E">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Вступ……………………………………………………………………………..3</w:t>
      </w:r>
    </w:p>
    <w:p w:rsidR="00000000" w:rsidDel="00000000" w:rsidP="00000000" w:rsidRDefault="00000000" w:rsidRPr="00000000" w14:paraId="0000002F">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Країни ЄС у вимірі системних позицій та динаміці викликів національної безпеки</w:t>
      </w:r>
    </w:p>
    <w:p w:rsidR="00000000" w:rsidDel="00000000" w:rsidP="00000000" w:rsidRDefault="00000000" w:rsidRPr="00000000" w14:paraId="00000030">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Теоретичні засади національної безпеки та військового розвитку країн ЄС……………………………………………...…………………………….8 </w:t>
      </w:r>
    </w:p>
    <w:p w:rsidR="00000000" w:rsidDel="00000000" w:rsidP="00000000" w:rsidRDefault="00000000" w:rsidRPr="00000000" w14:paraId="00000031">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Методологія розробки проблематики національної безпеки та військового розвитку країн ЄС…………………………………………………14</w:t>
      </w:r>
    </w:p>
    <w:p w:rsidR="00000000" w:rsidDel="00000000" w:rsidP="00000000" w:rsidRDefault="00000000" w:rsidRPr="00000000" w14:paraId="00000032">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Законодавчі засади системних позицій національної безпеки та військового розвитку країн ЄС……………………………………………...….24</w:t>
      </w:r>
    </w:p>
    <w:p w:rsidR="00000000" w:rsidDel="00000000" w:rsidP="00000000" w:rsidRDefault="00000000" w:rsidRPr="00000000" w14:paraId="00000033">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1…………………………………………………....39</w:t>
      </w:r>
    </w:p>
    <w:p w:rsidR="00000000" w:rsidDel="00000000" w:rsidP="00000000" w:rsidRDefault="00000000" w:rsidRPr="00000000" w14:paraId="00000034">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Повномасштабна війна як потужний виклик для зрушень у національній безпеці країн ЄС</w:t>
      </w:r>
    </w:p>
    <w:p w:rsidR="00000000" w:rsidDel="00000000" w:rsidP="00000000" w:rsidRDefault="00000000" w:rsidRPr="00000000" w14:paraId="00000035">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Інституційні особливості трансформації концепцій національної безпеки……………………………………………………………………………36</w:t>
      </w:r>
    </w:p>
    <w:p w:rsidR="00000000" w:rsidDel="00000000" w:rsidP="00000000" w:rsidRDefault="00000000" w:rsidRPr="00000000" w14:paraId="00000036">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Військовий потенціал країн ЄС у контексті комплекcної відповіді на загрози війни………………………………………………………………….39</w:t>
      </w:r>
    </w:p>
    <w:p w:rsidR="00000000" w:rsidDel="00000000" w:rsidP="00000000" w:rsidRDefault="00000000" w:rsidRPr="00000000" w14:paraId="00000037">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Національна безпека країн ЄС та військова допомога Україні……52 </w:t>
      </w:r>
    </w:p>
    <w:p w:rsidR="00000000" w:rsidDel="00000000" w:rsidP="00000000" w:rsidRDefault="00000000" w:rsidRPr="00000000" w14:paraId="00000038">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2………………………………………………..…..60</w:t>
      </w:r>
    </w:p>
    <w:p w:rsidR="00000000" w:rsidDel="00000000" w:rsidP="00000000" w:rsidRDefault="00000000" w:rsidRPr="00000000" w14:paraId="00000039">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Висновки…………………………………………………………………..62</w:t>
      </w:r>
    </w:p>
    <w:p w:rsidR="00000000" w:rsidDel="00000000" w:rsidP="00000000" w:rsidRDefault="00000000" w:rsidRPr="00000000" w14:paraId="0000003A">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джерел....................................................................70</w:t>
      </w:r>
    </w:p>
    <w:p w:rsidR="00000000" w:rsidDel="00000000" w:rsidP="00000000" w:rsidRDefault="00000000" w:rsidRPr="00000000" w14:paraId="0000003B">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1…………………………………………………………………..79</w:t>
      </w:r>
    </w:p>
    <w:p w:rsidR="00000000" w:rsidDel="00000000" w:rsidP="00000000" w:rsidRDefault="00000000" w:rsidRPr="00000000" w14:paraId="0000003C">
      <w:pPr>
        <w:spacing w:after="158"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2…………………………………………………………….….…80</w:t>
      </w:r>
    </w:p>
    <w:p w:rsidR="00000000" w:rsidDel="00000000" w:rsidP="00000000" w:rsidRDefault="00000000" w:rsidRPr="00000000" w14:paraId="0000003D">
      <w:pPr>
        <w:spacing w:after="158"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E">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теми дослідження. </w:t>
      </w:r>
      <w:r w:rsidDel="00000000" w:rsidR="00000000" w:rsidRPr="00000000">
        <w:rPr>
          <w:rFonts w:ascii="Times New Roman" w:cs="Times New Roman" w:eastAsia="Times New Roman" w:hAnsi="Times New Roman"/>
          <w:sz w:val="28"/>
          <w:szCs w:val="28"/>
          <w:rtl w:val="0"/>
        </w:rPr>
        <w:t xml:space="preserve">Сучасна об’єднана Європа проходить важливу, але кризову за сутністю стадію перегляду власних позицій щодо національної безпеки. З однієї сторони це відбувається на загальноінституційному рівні, з іншої, на рівні кожної країни, що входить до Європейського Союзу. Фактично два цих аспекта «перетинаються» та суміщаються між собою. Часто цей специфічний перетин стає контроверсійним.</w:t>
      </w:r>
    </w:p>
    <w:p w:rsidR="00000000" w:rsidDel="00000000" w:rsidP="00000000" w:rsidRDefault="00000000" w:rsidRPr="00000000" w14:paraId="0000004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Позиції країн, ступінь їх безпосередньої підтримки України, характер цієї підтримки безумовно демонструють зміни та трансформаційні обумовлення нового концептуального погляду на національну безпеку та, особливо, на нарощення власного оборонного потенціалу та військових спроможностей у нових умовах геополітичної турбулентності та невизначенності системних зрушень у Європі та світі в цілому. </w:t>
      </w:r>
    </w:p>
    <w:p w:rsidR="00000000" w:rsidDel="00000000" w:rsidP="00000000" w:rsidRDefault="00000000" w:rsidRPr="00000000" w14:paraId="0000004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Чітко можна визначити, що на сучасному етапі стратегії безпеки необхідно переглядати та вдосконалювати  на загальноінституційному рівні Європейського Союзу та кожної держави, що входить до цього об’єднання.</w:t>
      </w:r>
    </w:p>
    <w:p w:rsidR="00000000" w:rsidDel="00000000" w:rsidP="00000000" w:rsidRDefault="00000000" w:rsidRPr="00000000" w14:paraId="0000004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Об’єктом</w:t>
      </w:r>
      <w:r w:rsidDel="00000000" w:rsidR="00000000" w:rsidRPr="00000000">
        <w:rPr>
          <w:rFonts w:ascii="Times New Roman" w:cs="Times New Roman" w:eastAsia="Times New Roman" w:hAnsi="Times New Roman"/>
          <w:sz w:val="28"/>
          <w:szCs w:val="28"/>
          <w:rtl w:val="0"/>
        </w:rPr>
        <w:t xml:space="preserve"> наукового дослідження є національна безпека та військовий розвиток держав ЄС.</w:t>
      </w:r>
    </w:p>
    <w:p w:rsidR="00000000" w:rsidDel="00000000" w:rsidP="00000000" w:rsidRDefault="00000000" w:rsidRPr="00000000" w14:paraId="0000004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Предметом</w:t>
      </w:r>
      <w:r w:rsidDel="00000000" w:rsidR="00000000" w:rsidRPr="00000000">
        <w:rPr>
          <w:rFonts w:ascii="Times New Roman" w:cs="Times New Roman" w:eastAsia="Times New Roman" w:hAnsi="Times New Roman"/>
          <w:sz w:val="28"/>
          <w:szCs w:val="28"/>
          <w:rtl w:val="0"/>
        </w:rPr>
        <w:t xml:space="preserve"> наукового дослідження є зміна стратегій національної безпеки та військового розвитку країн ЄС та їх пріоритетів в умовах російсько-української війни.</w:t>
      </w:r>
    </w:p>
    <w:p w:rsidR="00000000" w:rsidDel="00000000" w:rsidP="00000000" w:rsidRDefault="00000000" w:rsidRPr="00000000" w14:paraId="0000004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наукового дослідження – це комплексно дослідити особливості зміни у національних стратегіях безпеки країн Європейського Союзу та визначити специфіку у їх військовому розвитку на сучасному етапі. Досягнення мети дослідження включає в себе реалізацію наступних завдань:</w:t>
      </w:r>
    </w:p>
    <w:p w:rsidR="00000000" w:rsidDel="00000000" w:rsidP="00000000" w:rsidRDefault="00000000" w:rsidRPr="00000000" w14:paraId="0000004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сутність категорій національна безпека та військовий розвиток держав;</w:t>
      </w:r>
    </w:p>
    <w:p w:rsidR="00000000" w:rsidDel="00000000" w:rsidP="00000000" w:rsidRDefault="00000000" w:rsidRPr="00000000" w14:paraId="0000004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концептуалізувати фундаментальні засади національної безпеки держав Європейського Союзу;</w:t>
      </w:r>
    </w:p>
    <w:p w:rsidR="00000000" w:rsidDel="00000000" w:rsidP="00000000" w:rsidRDefault="00000000" w:rsidRPr="00000000" w14:paraId="0000004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та проаналізувати нормативно – правову основу національної безпеки дерржав Європейського Союзу;</w:t>
      </w:r>
    </w:p>
    <w:p w:rsidR="00000000" w:rsidDel="00000000" w:rsidP="00000000" w:rsidRDefault="00000000" w:rsidRPr="00000000" w14:paraId="0000004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систематизувати ознаки національної безпеки та визначити їх функціональну спрямованість;</w:t>
      </w:r>
    </w:p>
    <w:p w:rsidR="00000000" w:rsidDel="00000000" w:rsidP="00000000" w:rsidRDefault="00000000" w:rsidRPr="00000000" w14:paraId="0000004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розкрити умови та виклики до національної безпеки країн Європейського Союзу;</w:t>
      </w:r>
    </w:p>
    <w:p w:rsidR="00000000" w:rsidDel="00000000" w:rsidP="00000000" w:rsidRDefault="00000000" w:rsidRPr="00000000" w14:paraId="0000004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оборонний потенціал держав членів ЄС на конкретних прикладах;</w:t>
      </w:r>
    </w:p>
    <w:p w:rsidR="00000000" w:rsidDel="00000000" w:rsidP="00000000" w:rsidRDefault="00000000" w:rsidRPr="00000000" w14:paraId="0000004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систематизувати можливості України до військово – політичної співпраці з державами Єврропейського Союзу;</w:t>
      </w:r>
    </w:p>
    <w:p w:rsidR="00000000" w:rsidDel="00000000" w:rsidP="00000000" w:rsidRDefault="00000000" w:rsidRPr="00000000" w14:paraId="0000004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58" w:before="0" w:line="36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розкрити чинники динамізації воєнної допомоги Україні у сучасних умовах під час повномасштабної війни.</w:t>
      </w:r>
    </w:p>
    <w:p w:rsidR="00000000" w:rsidDel="00000000" w:rsidP="00000000" w:rsidRDefault="00000000" w:rsidRPr="00000000" w14:paraId="0000004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Ступінь наукової розробленості. </w:t>
      </w:r>
      <w:r w:rsidDel="00000000" w:rsidR="00000000" w:rsidRPr="00000000">
        <w:rPr>
          <w:rFonts w:ascii="Times New Roman" w:cs="Times New Roman" w:eastAsia="Times New Roman" w:hAnsi="Times New Roman"/>
          <w:sz w:val="28"/>
          <w:szCs w:val="28"/>
          <w:rtl w:val="0"/>
        </w:rPr>
        <w:t xml:space="preserve">В межах заявленної наукової проблематики в достатній мірі визначені основні напрямки та вектори. Серед європейських аналітиків базові аспекти національної безпеки та військового потенціалу є пріооритетними. Зокрема, можна виокремити таких дослідників як К. Сигідіус, Р. Гарднер,К. Гілл, М. Крейг, С. Морш, Д. Наваретте, М. Сміт, Б. Тонра, А. Марроне та інші. Увага приділена напрямках співробітництва в межах європейських безпекових структур, в межах геополітичних трикутників, відповідно в рамках Північно – Атлантичного альянсу. Військові потенціалу розглядаються аналітиками в тому числі  у контексті модернізації армій за стандартами НАТО, потужностей національних ВПК, вироблення та постачання зброї, зокрема номенклатури летальної зброї до інших країн, мова йде не тільки про європейські держави, але й про держави Африки, Азії та Латинської Америки. Суттєва увага дослідників спрямована на стратегіні та потону аналітику вибудовування військового співробітництва із Україною. </w:t>
      </w:r>
    </w:p>
    <w:p w:rsidR="00000000" w:rsidDel="00000000" w:rsidP="00000000" w:rsidRDefault="00000000" w:rsidRPr="00000000" w14:paraId="0000004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межах вітчизняного наукового дискурсу властивий інтерес до безпекових проблем у країнах ЄС. Зокрема, можна виокремити таких вітчизняних дослідників як А. Курас, О. Горбач, О. Івасечко,</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 М. Гаращук, Є. В. Додін, В. О. Заросило, С. Ф. Константінов, Р. А. Калюжний, С. В. Ківалов, Т. О. Коломоєць, В. К. Колпаков, О. В. Копан, А. Т. Комзюк, В. В. Конопльов, О. В. Кузьменко, В. Я. Настюк, В. А. Ліпкан та ін. </w:t>
      </w:r>
    </w:p>
    <w:p w:rsidR="00000000" w:rsidDel="00000000" w:rsidP="00000000" w:rsidRDefault="00000000" w:rsidRPr="00000000" w14:paraId="0000004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досілдники О.Я.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Івасечко та С.Ю. Орлов у статті «Культурний вимір «гострої сили» у зовнішній політиці держав: інструменти та їх застосування» намагються охопити нетрадиційний концептуальний погляд на сучасну силову взаємодію у дипломатичних відносинах після 2022 року.</w:t>
      </w:r>
    </w:p>
    <w:p w:rsidR="00000000" w:rsidDel="00000000" w:rsidP="00000000" w:rsidRDefault="00000000" w:rsidRPr="00000000" w14:paraId="0000005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наукового дослідження. </w:t>
      </w:r>
      <w:r w:rsidDel="00000000" w:rsidR="00000000" w:rsidRPr="00000000">
        <w:rPr>
          <w:rFonts w:ascii="Times New Roman" w:cs="Times New Roman" w:eastAsia="Times New Roman" w:hAnsi="Times New Roman"/>
          <w:sz w:val="28"/>
          <w:szCs w:val="28"/>
          <w:rtl w:val="0"/>
        </w:rPr>
        <w:t xml:space="preserve">Дослідницька та аналітична робота базується на застосуванні системного методологічного підходу, який дозволяє комплексно охопити визначену наукову проблему, розкрити всі базові засади національної безпеки держав Європейського Союзу, встановити необхідні причинно – наслідкові зв’язки, дотримуватись логіки та алгоритмічних особливостей загальноєвропейської інституційної основи безпекового простору та національних статегій.</w:t>
      </w:r>
    </w:p>
    <w:p w:rsidR="00000000" w:rsidDel="00000000" w:rsidP="00000000" w:rsidRDefault="00000000" w:rsidRPr="00000000" w14:paraId="0000005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Також необхідно наголосити на специфіці у розгляді тенденцій розвитку військового потенціалу, нарощення виробництва зброї та особливості допомоги Україні на інституційному загальноєвоейському рівні, та на рівні окремих держав – членів Європейського Союзу. Сьогодні мона говорити про окемі риси та характеристики поляризації держав Європейського Союзу по лінії національні безпекові інтереси / арітектура та актуальні питання колективного безпекового простору. Мова йде як про співпрацю в межах НАТО, так і про необхідність створення у майбтньому загально – європейської армії, це проєкт активно просувається представниками Франції та ФРН, як держави як займають перші позиції за еконмоічними показникми та виробленням зброї. Водночас конкурують між собою за право лідерства.</w:t>
      </w:r>
    </w:p>
    <w:p w:rsidR="00000000" w:rsidDel="00000000" w:rsidP="00000000" w:rsidRDefault="00000000" w:rsidRPr="00000000" w14:paraId="0000005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теоретичних методів використані такі як аналіз, синтез. Екстраполяція, індукція, порівняння, історична аналогія та моделювання безпосередньо застосовані у виробленні фундаментальних онов у дослідникій роботі. .</w:t>
      </w:r>
    </w:p>
    <w:p w:rsidR="00000000" w:rsidDel="00000000" w:rsidP="00000000" w:rsidRDefault="00000000" w:rsidRPr="00000000" w14:paraId="0000005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практико – прикладних методів були застосовані такі, як інформаційний моніторинг, статистичний аналіз, контент – аналіз, івент – аналіз, юридичний аналіз законодавчої бази з виначеної наукової проблематики. </w:t>
      </w:r>
    </w:p>
    <w:p w:rsidR="00000000" w:rsidDel="00000000" w:rsidP="00000000" w:rsidRDefault="00000000" w:rsidRPr="00000000" w14:paraId="0000005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задля більш деталізованого анілітичного розгляду національних безпекових стратегій було використано елементи методу системного моделювання, що носить міждисциплінарний характер. В межах дослідження країни аналіувались за показниками війсьвого потенціалу за допомогою методу бінарного порівняння, кросс - культурного та кросс - темпорального методів дослідження.</w:t>
      </w:r>
    </w:p>
    <w:p w:rsidR="00000000" w:rsidDel="00000000" w:rsidP="00000000" w:rsidRDefault="00000000" w:rsidRPr="00000000" w14:paraId="0000005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наукового дослідження.</w:t>
      </w:r>
      <w:r w:rsidDel="00000000" w:rsidR="00000000" w:rsidRPr="00000000">
        <w:rPr>
          <w:rFonts w:ascii="Times New Roman" w:cs="Times New Roman" w:eastAsia="Times New Roman" w:hAnsi="Times New Roman"/>
          <w:sz w:val="28"/>
          <w:szCs w:val="28"/>
          <w:rtl w:val="0"/>
        </w:rPr>
        <w:t xml:space="preserve"> Кваліфікаційна робота складається зі вступу, двох розділів, шести підрозділів, висновків та списку використаних джерел. Кваліфікаційна робота містить два додатки.Загальний об'єм кваліфікаційної роботи складає 81 сторінка.</w:t>
      </w:r>
    </w:p>
    <w:p w:rsidR="00000000" w:rsidDel="00000000" w:rsidP="00000000" w:rsidRDefault="00000000" w:rsidRPr="00000000" w14:paraId="0000005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 дослідження. </w:t>
      </w:r>
      <w:r w:rsidDel="00000000" w:rsidR="00000000" w:rsidRPr="00000000">
        <w:rPr>
          <w:rFonts w:ascii="Times New Roman" w:cs="Times New Roman" w:eastAsia="Times New Roman" w:hAnsi="Times New Roman"/>
          <w:sz w:val="28"/>
          <w:szCs w:val="28"/>
          <w:rtl w:val="0"/>
        </w:rPr>
        <w:t xml:space="preserve">Кваліфікаційна робота спрямована на визначення системних рис трансформації національних стратегій оборони та військово – промислового потенціалу держав Європейського Союзу. Систематизація данних дозволить виробити стратегіні та поточні рекомендації політичної, дипломатичної, фінансової та воєнної співпраці із державами ЄС.</w:t>
      </w:r>
    </w:p>
    <w:p w:rsidR="00000000" w:rsidDel="00000000" w:rsidP="00000000" w:rsidRDefault="00000000" w:rsidRPr="00000000" w14:paraId="00000057">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8">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9">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A">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B">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C">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D">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E">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F">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0">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1">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2">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3">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4">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5">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6">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7">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8">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9">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A">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Країни ЄС у вимірі системних позицій та динаміці викликів національної безпеки</w:t>
      </w:r>
    </w:p>
    <w:p w:rsidR="00000000" w:rsidDel="00000000" w:rsidP="00000000" w:rsidRDefault="00000000" w:rsidRPr="00000000" w14:paraId="0000006B">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Теоретичні засади національної безпеки та військового розвитку країн ЄС</w:t>
      </w:r>
    </w:p>
    <w:p w:rsidR="00000000" w:rsidDel="00000000" w:rsidP="00000000" w:rsidRDefault="00000000" w:rsidRPr="00000000" w14:paraId="0000006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досить короткий термін (фактично з 1997 р.) Європейський Союз досяг значних успіхів у регулюванні військово-політичної інтеграції між державами - членами ЄС. Було створено військові угруповання, що забезпечують участь збройних сил держав-членів ЄС у військових операціях Союзу (так звані тактичні групи), розроблено механізми управління такими тактичними групами, триває активна робота з формування спільного ринку озброєнь ЄС, спільної розвідувальної політики та багато іншого. Підтвердженням масштабу звершень ЄС можуть слугувати понад 20 проведених у рамках Спільної політики безпеки і оборони ЄС операцій.</w:t>
      </w:r>
    </w:p>
    <w:p w:rsidR="00000000" w:rsidDel="00000000" w:rsidP="00000000" w:rsidRDefault="00000000" w:rsidRPr="00000000" w14:paraId="0000006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Концептуальні підходи до безпекової проблематики має глибинні витоки. В цілому питання безпеки мають особливе значення для підтримання стабільного розвитку держав і суспільств. Не випадково інтерес до проблеми в науковому співтоваристві не слабшає протягом століть. Початок концептуальних уявлень про безпеку сягає праць ще античних філософів і мислителів, які розглядали її як стан, що визначає відсутність небезпеки в навколишньому середовищі.</w:t>
      </w:r>
    </w:p>
    <w:p w:rsidR="00000000" w:rsidDel="00000000" w:rsidP="00000000" w:rsidRDefault="00000000" w:rsidRPr="00000000" w14:paraId="0000006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епоху становлення суспільства забезпечення визначалося рівністю і спільною працею, а його головною загрозою вважався розрив між політикою і культурою. Мислителі нового часу (наприклад, Т. Гоббс, Дж. Локк) у працях приділяли багато уваги ролі держави в забезпеченні національної безпеки, розглядаючи громадську та державну безпеку як головні. У цей же час було введено визначення культури безпеки. Епоха Просвітництва ознаменувалася визнанням значущості особистої безпеки як важливої та необхідної частини безпеки всього соціуму, а також створенням основ міжнародної безпеки.</w:t>
      </w:r>
    </w:p>
    <w:p w:rsidR="00000000" w:rsidDel="00000000" w:rsidP="00000000" w:rsidRDefault="00000000" w:rsidRPr="00000000" w14:paraId="0000006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Великий внесок у досконалість визначень про національну безпеку зробили німецькі філософи XVIII-XIX століть: І. Кант, Г. Гегель та ін. У XIX - на початку XX століть головний вплив на сприйняття безпеки чинили політичні доктрини та концепції соціології. Це і заклало визначення суспільної безпеки на основі принципів соціального компромісу і соціальної рівності.</w:t>
      </w:r>
    </w:p>
    <w:p w:rsidR="00000000" w:rsidDel="00000000" w:rsidP="00000000" w:rsidRDefault="00000000" w:rsidRPr="00000000" w14:paraId="0000007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Національна безпека забезпечується саме в державно-правовому просторі, тож одним зі стратегічних завдань відповідальних інститутів є його цілісність, що значною мірою визначається станом і рівнем розвитку культури, в якій (і тільки в ній) реалізуються життєві потреби особистості та суспільства.</w:t>
      </w:r>
    </w:p>
    <w:p w:rsidR="00000000" w:rsidDel="00000000" w:rsidP="00000000" w:rsidRDefault="00000000" w:rsidRPr="00000000" w14:paraId="0000007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сучасному світі інформаційних викликів особливе місце в політиці держав та союзів має інформаційна безпека (з початком повномасштабного війни в Україні держави Європейскього Союзу почали приділяти цьому напрямку суттєве значення, оскільки основна загроза тероризм та російська пропаганда через кремлівські міжнародні медіа становила та становить зараз загрозу безпеці. Наразі виробляються та координуються зусилля держав в інформаційній та кібербезпеці).</w:t>
      </w:r>
    </w:p>
    <w:p w:rsidR="00000000" w:rsidDel="00000000" w:rsidP="00000000" w:rsidRDefault="00000000" w:rsidRPr="00000000" w14:paraId="0000007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безпека - це механізм контролю за дотриманням балансу рівноправності та законності між державою, суспільством та особистістю в інформаційній сфері, а на макрорівні - комплекс заходів, які забезпечують захист держави, суспільства та особистості від інформаційної зброї, яка ставить за мету встановлення інформаційної переваги та чинення тиску через ураження громадської свідомості, політичної (внутрішньої та зовнішньої політики), економічної, фінансової, наукової, правоохоронної й оборонної системи країни.</w:t>
      </w:r>
    </w:p>
    <w:p w:rsidR="00000000" w:rsidDel="00000000" w:rsidP="00000000" w:rsidRDefault="00000000" w:rsidRPr="00000000" w14:paraId="0000007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інформаційній безпеці мають бути чітко окреслені два її складові аспекти:</w:t>
      </w:r>
    </w:p>
    <w:p w:rsidR="00000000" w:rsidDel="00000000" w:rsidP="00000000" w:rsidRDefault="00000000" w:rsidRPr="00000000" w14:paraId="0000007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інформаційно-технічний - захист, контроль і дотримання законності та правопорядку в телекомунікаційній сфері.</w:t>
      </w:r>
    </w:p>
    <w:p w:rsidR="00000000" w:rsidDel="00000000" w:rsidP="00000000" w:rsidRDefault="00000000" w:rsidRPr="00000000" w14:paraId="0000007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інформаційно-психологічний - захист психіки суспільства і держави від негативного інформаційного впливу. Інформаційно-психологічна безпека держави являє собою стан захищеності психіки політичної еліти і населення країни від негативного інформаційно-психологічного впливу противника, мета якого здійснення глобального домінування над інститутом ухвалення рішень.</w:t>
      </w:r>
    </w:p>
    <w:p w:rsidR="00000000" w:rsidDel="00000000" w:rsidP="00000000" w:rsidRDefault="00000000" w:rsidRPr="00000000" w14:paraId="0000007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Основне завдання інформаційної безпеки слід звести не тільки до виявлення, прогнозування та оцінки джерел ризиків, настороженостей, небезпек і загроз, а й до їхнього запобігання, парирування, нейтралізації та усунення відповідними заходами.</w:t>
      </w:r>
    </w:p>
    <w:p w:rsidR="00000000" w:rsidDel="00000000" w:rsidP="00000000" w:rsidRDefault="00000000" w:rsidRPr="00000000" w14:paraId="0000007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 провідні держави в регіоні - Велика Британія, Франція та Німеччина також дотримуються власних підходів щодо безпеки континенту. Подібно до США, вони приділяють більше уваги запобіганню і врегулюванню конфліктів, ніж заходам колективної оборони, як це було в роки «холодної війни». Традиційна «євротрійка», як і раніше, прагнутиме підтримувати особливі відносини зі США (в рамках НАТО і на двосторонньому рівні), водночас розвиваючи свою «європейську ідентичність». У рамках «великого трикутника» кожна з держав розглядає двох інших партнерів як провідних як з погляду «європейського ядра», так і виходячи з двосторонніх зв'язків. </w:t>
      </w:r>
    </w:p>
    <w:p w:rsidR="00000000" w:rsidDel="00000000" w:rsidP="00000000" w:rsidRDefault="00000000" w:rsidRPr="00000000" w14:paraId="0000007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Розмежувальні лінії між ними не зачіпають принципових питань трансатлантичних зв'язків - характеру стосунків із Вашингтоном та їхнього продовження. Однак щодо двох проблем існують значні розбіжності, що стосуються структури і перспектив діяльності загальних західних союзів. З першого питання Велика Британія має особливу позицію на відміну від континентальних держав. Франція і Німеччина розглядають Європейський Союз, як центр західноєвропейської інтеграції та співробітництва [19]. </w:t>
      </w:r>
    </w:p>
    <w:p w:rsidR="00000000" w:rsidDel="00000000" w:rsidP="00000000" w:rsidRDefault="00000000" w:rsidRPr="00000000" w14:paraId="0000007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ФРН традиційно вилаштовує власну політику у помірному ключі прагматизму.  Перш за все, це стосується економічного виміру національної безпеки, однак і у військовому плані до лютого 2022 року безпеова стратегія мала чітко визначений характер, який ми визначили б як «помірковане геополітичне балансування» між різними полюсами, в тому числі і у сфері енергетичного алансу. Факт наявності енергетичної залежності від енергоносіїв з рф був суттєвим чинником у суто політичних і безпекових рішеннях.</w:t>
      </w:r>
    </w:p>
    <w:p w:rsidR="00000000" w:rsidDel="00000000" w:rsidP="00000000" w:rsidRDefault="00000000" w:rsidRPr="00000000" w14:paraId="0000007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Німеччина історично чинила опір військовим місіям, які включають застосування сили, але країна підтримала ідею Європейської ініціативи військового втручання, з огляду на переважну потребу в поліпшенні співпраці, для мінімізації загроз європейській безпеці. В 2023 році відбулась знакова подія перегляду національної безпеки на тлі посилення загроз у презентованій в Берліні «Стратегії національної безпеки: Інтегрована безпека для Німеччини». Серед таких загроз були визнані як кліматичні, так і кібернетичні (створення Центру кіберзахисту з функціями координації на національному рівні, посиленні функцій Федерального відомства з безпеки інформаційних технологій (BSI) ), і навіть космічні. Шпигунство та диверсії визнаються важливими загразами з якими треба посилювати боротьбу на рівні дежави та в межах НАТО.</w:t>
      </w:r>
    </w:p>
    <w:p w:rsidR="00000000" w:rsidDel="00000000" w:rsidP="00000000" w:rsidRDefault="00000000" w:rsidRPr="00000000" w14:paraId="0000007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Британія, як найбільша військова держава в Європі поряд із Францією, має фундаментальне значення для зусиль європейської безпеки, незважаючи на те, що вона давно блокувала інтеграцію європейської оборони. Наразі Сполучене Королівство підтримує французьку ініціативу як захід з підтримки міцних оборонних зв'язків з Європейським союзом після Брекзиту.</w:t>
      </w:r>
    </w:p>
    <w:p w:rsidR="00000000" w:rsidDel="00000000" w:rsidP="00000000" w:rsidRDefault="00000000" w:rsidRPr="00000000" w14:paraId="0000007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така позиція може суттєво похитнутись на тлі політичних змін, зокрема посилення правопопулістських настроїв і впливу відповідних сил на інституційному рівні ЄС та в країнах ЄС.</w:t>
      </w:r>
    </w:p>
    <w:p w:rsidR="00000000" w:rsidDel="00000000" w:rsidP="00000000" w:rsidRDefault="00000000" w:rsidRPr="00000000" w14:paraId="0000007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Зі свого боку, Естонія прагне продемонструвати свою готовність і здатність забезпечувати безпеку. Країна сподівається, що її прихильність наданню допомоги у розв'язанні криз за допомогою проєкції її сил, як то через Об'єднані експедиційні сили та Європейську ініціативу військового втручання, додасть державі більшого впливу в Північноатлантичному союзі.</w:t>
      </w:r>
    </w:p>
    <w:p w:rsidR="00000000" w:rsidDel="00000000" w:rsidP="00000000" w:rsidRDefault="00000000" w:rsidRPr="00000000" w14:paraId="0000007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Данія, яка має особливе добровільне відчуження і не долучилася до Постійного структурованого співробітництва з питань безпеки та оборони (PESCO), є однак учасником Європейської ініціативи військового втручання. Ця особливість - це прогрес на шляху до створення справжньої європейської збройної сили, яка пов'язує учасників, які не належать до Європейського союзу. Якщо цю систему буде зміцнено, Норвегія, член НАТО, але не член Європейського союзу.</w:t>
      </w:r>
    </w:p>
    <w:p w:rsidR="00000000" w:rsidDel="00000000" w:rsidP="00000000" w:rsidRDefault="00000000" w:rsidRPr="00000000" w14:paraId="0000007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необхідно враховувати у аналітичній роботі суттєву роль еволюційних процесів щодо оборони та військового потенціалу в Європейсьому Союзі. Фактично наразі він визначає базові статегічні пріоритети, погоджує їх із національними урядами.</w:t>
      </w:r>
    </w:p>
    <w:p w:rsidR="00000000" w:rsidDel="00000000" w:rsidP="00000000" w:rsidRDefault="00000000" w:rsidRPr="00000000" w14:paraId="0000008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української дослідниці В. М. Шамраєвої, викладеній у статті «Політика безпеки та оборони ЄС: еволюція формування» необхідно вказати наступне: «В цілому слід зазначити, що як маастрихтський, так і амстердамський етап не змогли вирішити всі проблеми СЗПБ, але суттєво підвищити ефективність цієї сфери. Існуючі протиріччя в самому Союзі, переважання інтересів у зовнішній політиці окремих країн, недосконала інструменталізація СЗПБ, складні відносини з ЗЄС і Північноатлантичним альянсом, - все це зумовило недостатньо швидкі темпи даної сфери. Однак слід також відзначити і наполегливість країн-учасниць ЄС, готових і далі просуватися по шляху інтеграції в області СЗПБ. За наступний етап (Сен-Мало) ЄС зробив значний прогрес у формуванні європейської системи безпеки, підвищенні обороноздатності, запобіганні та врегулюванні криз і розвитку оборонних технологій. У підсумку це призвело до посилення ролі ЄС у сфері міжнародної та європейської безпеки. Очевидно, що впровадження Європейської політики безпеки і оборони посилює роль Європейського Союзу у світовій політиці» [25, с. 376 ]</w:t>
      </w:r>
    </w:p>
    <w:p w:rsidR="00000000" w:rsidDel="00000000" w:rsidP="00000000" w:rsidRDefault="00000000" w:rsidRPr="00000000" w14:paraId="0000008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міграція населення дедалі частіше стає об'єктом уваги керівників багатьох країн. Залежно від її масштабів, а також причин, що спонукають або змушують частину населення залишати звичне для себе середовище, міграція може становити серйозну загрозу національній безпеці країни.</w:t>
      </w:r>
    </w:p>
    <w:p w:rsidR="00000000" w:rsidDel="00000000" w:rsidP="00000000" w:rsidRDefault="00000000" w:rsidRPr="00000000" w14:paraId="0000008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нелегальної міграції в останнє десятиліття створює серйозну загрозу національній безпеці, вимагає комплексного підходу до розв'язання проблеми її регулювання, узгодженості дій національних економік з урахуванням їхніх інтересів, пошуку нових шляхів розв'язання проблем, що виникають, пов'язаних із переміщенням мігрантів, як на національному, так і загальноєвропейському рівнях.</w:t>
      </w:r>
    </w:p>
    <w:p w:rsidR="00000000" w:rsidDel="00000000" w:rsidP="00000000" w:rsidRDefault="00000000" w:rsidRPr="00000000" w14:paraId="0000008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Великий приплив мігрантів і біженців створює необхідність у встановленні громадського світопорядку і у великому поліцейському контролі, що виходить за рамки повноважень прикордонних контрольних органів, не навчених справлятися з великим потоком мігрантів. У деяких випадках є необхідність у користуванні спеціальними поліцейськими підрозділами для здійснення правопорядку, з метою врегулювання конфліктних ситуацій.</w:t>
      </w:r>
    </w:p>
    <w:p w:rsidR="00000000" w:rsidDel="00000000" w:rsidP="00000000" w:rsidRDefault="00000000" w:rsidRPr="00000000" w14:paraId="0000008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мігрантів та біженців на території ЄС проживають численні діти та жінки. Це призводить до необхідності вжиття спеціальних заходів щодо захисту цих вразливих груп з гендерного погляду, уникнення насильства та різних злочинів. Необхідно надати їм окрему медичну та психологічну допомогу, захист і притулок.</w:t>
      </w:r>
    </w:p>
    <w:p w:rsidR="00000000" w:rsidDel="00000000" w:rsidP="00000000" w:rsidRDefault="00000000" w:rsidRPr="00000000" w14:paraId="00000085">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Методологія розробки проблематики національної безпеки та військового розвитку країн ЄС</w:t>
      </w:r>
    </w:p>
    <w:p w:rsidR="00000000" w:rsidDel="00000000" w:rsidP="00000000" w:rsidRDefault="00000000" w:rsidRPr="00000000" w14:paraId="0000008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сучасній академічній науці проблема національної безпеки залишається провідною. Основна складність полягає в тому, що держава, зберігаючи власні національні інтереси, незважаючи на різноманітні інтеграційні процеси, робить свій вибір між стратегічним співробітництвом або суперництвом з іншими державами3. Залежно від цього вибору ми говоримо про конфігурацію міжнародної системи.</w:t>
      </w:r>
    </w:p>
    <w:p w:rsidR="00000000" w:rsidDel="00000000" w:rsidP="00000000" w:rsidRDefault="00000000" w:rsidRPr="00000000" w14:paraId="0000008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«традиційний» підхід до трактування безпеки представлений реалістичною парадигмою [1-3], відповідно до якої безпека визначається як сукупність умов, що забезпечують стабільний розвиток суспільства, його стійкість до несприятливих зовнішніх і внутрішніх впливів. Цей підхід зумовлений такими ключовими уявленнями про сучасний світоустрій, властивими школі політичного реалізму:</w:t>
      </w:r>
    </w:p>
    <w:p w:rsidR="00000000" w:rsidDel="00000000" w:rsidP="00000000" w:rsidRDefault="00000000" w:rsidRPr="00000000" w14:paraId="0000008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держави є єдиними значущими акторами міжнародних відносин;</w:t>
      </w:r>
    </w:p>
    <w:p w:rsidR="00000000" w:rsidDel="00000000" w:rsidP="00000000" w:rsidRDefault="00000000" w:rsidRPr="00000000" w14:paraId="0000008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кожна держава обстоює насамперед свої національні інтереси і національну безпеку, звідси - анархічність і верховенство сили у світових міжнародних відносинах;</w:t>
      </w:r>
    </w:p>
    <w:p w:rsidR="00000000" w:rsidDel="00000000" w:rsidP="00000000" w:rsidRDefault="00000000" w:rsidRPr="00000000" w14:paraId="0000008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держави можуть співпрацювати одна з одною й об'єднуватися в міжнародні організації, але тільки за умови, що створені в такий спосіб спільні інтереси відповідатимуть їхнім національним інтересам;</w:t>
      </w:r>
    </w:p>
    <w:p w:rsidR="00000000" w:rsidDel="00000000" w:rsidP="00000000" w:rsidRDefault="00000000" w:rsidRPr="00000000" w14:paraId="0000008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сила і влада (спочатку - військова, але віднедавна також і економічна, ідеологічна тощо, тобто «м'яка сила») створюють головну перевагу в міжнародних відносинах, і тому баланс сил є визначальною характеристикою для мирної реалізації національних інтересів.</w:t>
      </w:r>
    </w:p>
    <w:p w:rsidR="00000000" w:rsidDel="00000000" w:rsidP="00000000" w:rsidRDefault="00000000" w:rsidRPr="00000000" w14:paraId="0000008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вищесказаного, безпека в розумінні реалістів - це сукупність заходів для забезпечення суверенітету держави від зовнішньої загрози, захисту своїх національних інтересів і посилення свого впливу у світі.</w:t>
      </w:r>
    </w:p>
    <w:p w:rsidR="00000000" w:rsidDel="00000000" w:rsidP="00000000" w:rsidRDefault="00000000" w:rsidRPr="00000000" w14:paraId="0000008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поступово, з ускладненням технологічних, економічних, соціальних і політичних взаємозв'язків у суспільстві, такого вузького трактування безпеки стало недостатньо. Більш сучасний підхід запропонували постмодерністи, побудувавши його на критиці ролі держав на сучасній світовій арені.</w:t>
      </w:r>
    </w:p>
    <w:p w:rsidR="00000000" w:rsidDel="00000000" w:rsidP="00000000" w:rsidRDefault="00000000" w:rsidRPr="00000000" w14:paraId="0000008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Постмодерністи зазначають, що традиційний погляд на безпеку, який включає в себе забезпечення зовнішньої (захист територіальних кордонів) і внутрішньої стійкості та цілісності (безпека влади), в умовах нових глобальних загроз уже недостатній. Сьогодні поняття зовнішньої загрози значно розширилося, і до таких належать такі глобальні виклики, як міжнародний тероризм, екологічна катастрофа, дефіцит питної води, поглиблення світової нерівності, неврегульованість міграційних потоків тощо. Тобто роль лише територіального чинника в політиці зменшилася І безумовно, для коректного аналізу її розвитку необхідно насамперед дослідити так звані національні інтереси, які виражені як цілі та завдання у відповідних стратегічних доктринах. Саме в цих документах також можна знайти вказівки на можливі союзи, потенціал взаємодії або суперництва з тими чи іншими державами.</w:t>
      </w:r>
    </w:p>
    <w:p w:rsidR="00000000" w:rsidDel="00000000" w:rsidP="00000000" w:rsidRDefault="00000000" w:rsidRPr="00000000" w14:paraId="0000009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співробітництво, так і суперництво розглядаються в різних парадигмах, які по-різному інтерпретують значущість цих механізмів для стабілізації світової політики. Нині очевидно, що мораль так і не стала принципом для зовнішньополітичних дій держав, але одночасно з цим поняття плюралізму виявилося найважливішим інструментом зовнішньої політики для багатьох національних акторів. Однак плюралізм заперечує як однополярність, так і біполярність у системі міжнародних відносин. </w:t>
      </w:r>
    </w:p>
    <w:p w:rsidR="00000000" w:rsidDel="00000000" w:rsidP="00000000" w:rsidRDefault="00000000" w:rsidRPr="00000000" w14:paraId="0000009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Концептуальні засади підвищення воєнної безпеки держави. Під воєнною безпекою найчастіше розуміють такий стан міжнародних відносин і воєнної організації держави, за якого забезпечується надійна захищеність держави від воєнного нападу, інакше кажучи, зводиться до мінімуму ймовірність виникнення війни та збройних конфліктів.</w:t>
      </w:r>
    </w:p>
    <w:p w:rsidR="00000000" w:rsidDel="00000000" w:rsidP="00000000" w:rsidRDefault="00000000" w:rsidRPr="00000000" w14:paraId="0000009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завдання і рішення у сфері забезпечення воєнної безпеки мають розглядатися в категоріях не просто економічної ефективності, а воєнно-економічної ефективності. Виявлено щонайменше дві обставини, які визначають необхідність, складність і значущість всебічного наукового обґрунтування рішень, що приймаються в економіці військового будівництва і під час планування використання засобів воєнного протиборства, зокрема зброї за прямим призначенням. Перша обставина - вартість заходів із забезпечення воєнної безпеки держави досить висока.</w:t>
      </w:r>
    </w:p>
    <w:p w:rsidR="00000000" w:rsidDel="00000000" w:rsidP="00000000" w:rsidRDefault="00000000" w:rsidRPr="00000000" w14:paraId="0000009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Оборонна достатність, особливо в такій сфері, як воєнна безпека, у своїх порогових значеннях має спиратися лише на власні фінансові, матеріальні та людські ресурси. Потреби армії та інших силових структур у щорічних закупівлях озброєння прямо залежать від їхньої кількості, що перебуває в офіційному користуванні, тобто від чисельності відповідних організаційних структур. Тому питання про потреби в озброєнні має вирішуватися у взаємозв'язку з визначенням необхідної чисельності збройних сил як суттєвої складової частини оборонної достатності.</w:t>
      </w:r>
    </w:p>
    <w:p w:rsidR="00000000" w:rsidDel="00000000" w:rsidP="00000000" w:rsidRDefault="00000000" w:rsidRPr="00000000" w14:paraId="0000009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аналізу концепцій ефективності, що застосовуються при дослідженні функціонування об'єктів військової економіки, виявлено, що в них не беруть до уваги значну частину нематеріальних активів, недооцінка яких призводить до істотного заниження підсумкового показника вартості. Показано, що підприємства оборонно-промислового комплексу є базою, яка забезпечує боєздатність збройних сил держави в умовах сучасних високотехнологічних конфліктів і, зрештою, військову безпеку країни.</w:t>
      </w:r>
    </w:p>
    <w:p w:rsidR="00000000" w:rsidDel="00000000" w:rsidP="00000000" w:rsidRDefault="00000000" w:rsidRPr="00000000" w14:paraId="0000009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вітчизняній і зарубіжній літературі доволі докладно розглянуто окремі сфери суспільного життя і відповідні їм потенціали держави: економічний, моральний (духовний), науково-технічний, соціальний та інші. У взаємодії вони утворюють сукупний (загальний) потенціал країни - національну міць або національну силу держави. У дослідженні феномена сили держави значну роль відіграв американський учений німецького походження Г. Моргентау. Він виокремив реальні компоненти, що формують те, що можна визначити як національну силу, або міць, держави: географічне положення та ресурси, промисловий потенціал, кількість і якість Збройних сил, людські ресурси, національний характер, національну мораль, якість дипломатії, рівень державного управління [20].</w:t>
      </w:r>
    </w:p>
    <w:p w:rsidR="00000000" w:rsidDel="00000000" w:rsidP="00000000" w:rsidRDefault="00000000" w:rsidRPr="00000000" w14:paraId="0000009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Такий підхід до визначення могутності держави отримав назву атрибутного. Однак формалізований, кількісний вимір основних параметрів могутності не завжди дає змогу адекватно оцінити співвідношення сили між різними країнами в конкретній історичній ситуації, у певний момент часу. Механічне включення у військову міць усіх потенціалів держави є вельми вразливим як у методологічному, так і в логічному відношеннях - не цілком адекватно відображаються реальні процеси формування та регулювання військової могутності.</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Вироблення нового підходу до аналізу військової могутності держави, розроблення її концепції необхідно розпочати з наукового аналізу понять «потенціал» і «міць» узагалі. Саме їхнє довільне, неоднозначне тлумачення лежить в основі методологічної та логічної плутанини. Поняття «потенціал» можна сформулювати як максимальні можливості окремої людини, колективу, класу, держави в тій чи іншій галузі суспільного життя.</w:t>
      </w:r>
    </w:p>
    <w:p w:rsidR="00000000" w:rsidDel="00000000" w:rsidP="00000000" w:rsidRDefault="00000000" w:rsidRPr="00000000" w14:paraId="0000009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Потенціали держави існують стосовно конкретних сфер суспільного життя і включають у себе всі їхні максимальні можливості. При цьому маються на увазі конкретні можливості держави, для здійснення яких у суспільстві склалися або вже складаються об'єктивні умови, а не абстрактні можливості.</w:t>
      </w:r>
    </w:p>
    <w:p w:rsidR="00000000" w:rsidDel="00000000" w:rsidP="00000000" w:rsidRDefault="00000000" w:rsidRPr="00000000" w14:paraId="0000009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потенціал держави в тій чи іншій сфері суспільного життя охоплює як реально наявні на цей період, уже реалізовані можливості, що активно проявляють себе, - сили і засоби, що функціонують, так і інші - ще нереалізовані можливості, які має в своєму розпорядженні дана держава в цій сфері та які можна мобілізувати й реалізувати за відповідних об'єктивних і суб'єктивних умов, а також за певних зусиль з боку суб'єктів управління. Реалізовані на даний період часу частини перерахованих потенціалів, відповідно, називаються: економічна міць (фактор), соціальна міць (фактор) тощо. Суму ж реалізованих частин усіх видів потенціалу держави можна позначити поняттям «сукупна (загальна) міць держави».</w:t>
      </w:r>
    </w:p>
    <w:p w:rsidR="00000000" w:rsidDel="00000000" w:rsidP="00000000" w:rsidRDefault="00000000" w:rsidRPr="00000000" w14:paraId="0000009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військова міць держави являє собою сукупність виділених нею на даний період сил і засобів, призначених для військового захисту її інтересів і досягнення її внутрішніх і зовнішніх політичних цілей. Цілком очевидно, що держава не може весь свій сукупний потенціал, усі свої ресурси перетворити на військову міць. Військова міць держави не може бути сумою всіх її потенціалів, а представляє тільки їхню певну частину.</w:t>
      </w:r>
    </w:p>
    <w:p w:rsidR="00000000" w:rsidDel="00000000" w:rsidP="00000000" w:rsidRDefault="00000000" w:rsidRPr="00000000" w14:paraId="0000009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Залежно від конкретних історичних умов, відносин, що склалися або складаються, з іншими країнами, а також виходячи зі своїх можливостей, кожна держава регулює кількість сил і засобів, виділених нею на військові цілі, тобто величину своєї військової могутності. У зв'язку з цим постає запитання: у яких межах держава може регулювати величину своєї військової могутності? Не викликає сумніву, що будь-яка держава має в своєму розпорядженні обмежені можливості щодо збільшення своєї військової могутності.</w:t>
      </w:r>
    </w:p>
    <w:p w:rsidR="00000000" w:rsidDel="00000000" w:rsidP="00000000" w:rsidRDefault="00000000" w:rsidRPr="00000000" w14:paraId="0000009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Максимально можливий рівень (величина) розвитку військової могутності тієї чи іншої держави на певний період часу визначається обсягом її військового потенціалу. Військова міць держави безпосередньо черпається з її військового потенціалу, а повна реалізація останнього і є максимальна величина військової могутності держави. Зважаючи на це, можна сформулювати й визначення воєнного потенціалу: воєнний потенціал держави являє собою максимальну кількість сил і засобів, які вона може виділити зі свого сукупного потенціалу в інтересах формування та нарощування своєї воєнної могутності.</w:t>
      </w:r>
    </w:p>
    <w:p w:rsidR="00000000" w:rsidDel="00000000" w:rsidP="00000000" w:rsidRDefault="00000000" w:rsidRPr="00000000" w14:paraId="0000009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зазначити, що повну реалізацію свого військового потенціалу держави здійснюють далеко не завжди і не на тривалий час, оскільки це дуже важко позначається на всіх сферах суспільного життя. В умовах мирного часу більшість держав намагаються виробити найбільш оптимальну, мінімально необхідну для забезпечення надійної оборони величину військової потужності. У цьому випадку військовий потенціал держави характеризується сукупністю двох величин [5].</w:t>
      </w:r>
    </w:p>
    <w:p w:rsidR="00000000" w:rsidDel="00000000" w:rsidP="00000000" w:rsidRDefault="00000000" w:rsidRPr="00000000" w14:paraId="0000009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тією величиною сил і засобів, яку держава вже виділила на військові цілі з усіх своїх можливостей, свого сукупного потенціалу. Ця величина і являє собою реалізовану, перетворену на військовий фактор частину військового потенціалу. Військовий фактор і є наявна військова міць держави. По-друге, тією величиною сил і засобів, яку держава в змозі ще додатково виділити на військові цілі за максимального напруження всіх своїх можливостей.</w:t>
      </w:r>
    </w:p>
    <w:p w:rsidR="00000000" w:rsidDel="00000000" w:rsidP="00000000" w:rsidRDefault="00000000" w:rsidRPr="00000000" w14:paraId="0000009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військової могутності держави з погляду її сутності, структурних компонентів і можливої величини є важливим, але недостатнім для забезпечення повного і глибокого з'ясування всієї поставленої проблеми. Військова міць держави являє собою, поряд із розглянутими структурними компонентами, сукупність окремих елементів (організацій), що функціонують і виконують свої специфічні завдання. На створення і забезпечення ефективного функціонування цієї сукупності організацій і використовується та кількість сил і засобів, яка утворює військову міць держави.</w:t>
      </w:r>
    </w:p>
    <w:p w:rsidR="00000000" w:rsidDel="00000000" w:rsidP="00000000" w:rsidRDefault="00000000" w:rsidRPr="00000000" w14:paraId="0000009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складові елементи військової організації у різних держав однакові, але за другорядними елементами можуть бути значні особливості. Це визначається як сутністю і завданнями військової політики держави, так і традиціями в країні.</w:t>
      </w:r>
    </w:p>
    <w:p w:rsidR="00000000" w:rsidDel="00000000" w:rsidP="00000000" w:rsidRDefault="00000000" w:rsidRPr="00000000" w14:paraId="000000A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Військова міць держави, будучи породженням і знаряддям політики, цілковито залежить від її потреб з погляду як обсягу (величини), так і характеру структурної побудови (структурних компонентів). Пояснимо ці положення дещо детальніше. Уже зазначалося, що величина військової могутності держави є доволі динамічною і, маючи верхньою межею величину військового потенціалу, може змінюватись у доволі широких межах. Динаміка цієї зміни залежить від політичних цілей держави і зрештою визначається політикою, політичним керівництвом через затвердження військових витрат у бюджеті країни. Надмірне збільшення ступеня реалізації військового потенціалу держави може підірвати основи динамічного розвитку суспільства. Діалектика в даному випадку така: прагнення до надмірного збільшення військової могутності держави, її вихід за певну міру, що зумовлена величиною сукупного потенціалу і динамікою його розвитку, може призвести не до посилення, а до послаблення країни у військовому відношенні.</w:t>
      </w:r>
    </w:p>
    <w:p w:rsidR="00000000" w:rsidDel="00000000" w:rsidP="00000000" w:rsidRDefault="00000000" w:rsidRPr="00000000" w14:paraId="000000A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Визначена наукова проблематика має декілька власних вимірів у дослідженні та аналітичній роботі. По – перше, мова йде про особливості інституційного виміру, по – друге, стратегічний вимір, на кий спрямовані держави – члени Європейського Союзу, по – третє, вимір тактичний, тобто він охоплює конкртені кроки держав - членів Європейського Союзу та національних урядів щодо покращення власних стратегій безпеки та оборонних спроможностей. </w:t>
      </w:r>
    </w:p>
    <w:p w:rsidR="00000000" w:rsidDel="00000000" w:rsidP="00000000" w:rsidRDefault="00000000" w:rsidRPr="00000000" w14:paraId="000000A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Усередині ЄС питання безпеки розглядаються якраз у контексті тісної взаємодії держав-членів за всіма напрямами за гармонізації їхньої зовнішньополітичної діяльності. Наприклад, К. Арчер пише про формування безпекового простору ЄС лише за виконання умови формування спільної зовнішньополітичної позиції [30].</w:t>
      </w:r>
    </w:p>
    <w:p w:rsidR="00000000" w:rsidDel="00000000" w:rsidP="00000000" w:rsidRDefault="00000000" w:rsidRPr="00000000" w14:paraId="000000A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для більш повного методологічного освоєння наукової проблеми представленної у такий спосіб, необхідно визначити системний підхід у якості базвого для розробки та аналітики матеріалу[30].</w:t>
      </w:r>
    </w:p>
    <w:p w:rsidR="00000000" w:rsidDel="00000000" w:rsidP="00000000" w:rsidRDefault="00000000" w:rsidRPr="00000000" w14:paraId="000000A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думку вітчизняних дослідників проблематики національної безпеки та відповідної наукової та юридичної категорії М.П. Гурковського та  М.Я. Сидора, викладену у статті «Поняття національної безпеки як адміністративно – правової категорії.» «Погляди українських учених і їх британських, американських, німецьких, французьких, іспанських й італійських колег на поняття «безпека» та «національна безпека» за змістом доволі близькі, незважаючи на наявні відмінності у формулюваннях, істотно та принципово не відрізняються. На нашу думку, більш конкретними різновидами правової дефініції «безпека», що співвідносяться з нею як категорії «загальне» й «особливе», є поняття «національна безпека», «державна безпека», «громадська безпека», «безпека особи», а похідними від них – «військова безпека», «економічна безпека», «інформаційна безпека» і інші види безпеки, виділені в окремий вид у численних наукових працях українських та зарубіжних фахівців залежно від об’єкта захисту»[5, c. 29].</w:t>
      </w:r>
    </w:p>
    <w:p w:rsidR="00000000" w:rsidDel="00000000" w:rsidP="00000000" w:rsidRDefault="00000000" w:rsidRPr="00000000" w14:paraId="000000A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Категорія національна безпека отже становить предмет дискусії, і в умовах сучасності вона буде набувати ше більш широкого значення. При цьому врахування всіх вимірів цієї категорії, на наш погляд, є більш проблематичною, враховуючи помітну динаміку зміну практиці націнальної безпеки та оборони в цілому [5].</w:t>
      </w:r>
    </w:p>
    <w:p w:rsidR="00000000" w:rsidDel="00000000" w:rsidP="00000000" w:rsidRDefault="00000000" w:rsidRPr="00000000" w14:paraId="000000A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характер цього аналізу виокремлюються перші три ключі, а саме:</w:t>
      </w:r>
    </w:p>
    <w:p w:rsidR="00000000" w:rsidDel="00000000" w:rsidP="00000000" w:rsidRDefault="00000000" w:rsidRPr="00000000" w14:paraId="000000A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 Безпека. Європа переживає поступовий відхід США та довгострокову терористичну загрозу, метою якої є розділити вільні суспільства. У ньому також наголошується на необхідності вдосконалення систем кібербезпеки та створення спільної системи безпеки і справедливості. Щодо оборони, то мають бути гарантовані автономні оперативні спроможності Європи, що доповнюють НАТО [64]. Отже, Постійне структуроване співробітництво з питань безпеки та оборони (PESCO) встановлює вищі зобов'язання, просувається та координується краще [55]. Також Європейський оборонний фонд (EDF) необхідний для фінансування спроможностей і досліджень. Планується створити спільну стратегічну культуру, з якої виводиться Європейська ініціатива військового втручання, спрямована на розбудову спільної стратегічної культури, в якій національні збройні сили беруть участь в оперативному прогнозуванні, розвідці, плануванні та, у разі потреби, збройній підтримці. Тому Європі необхідно створити єдину інтервенційну силу, спільний бюджет оборони та доктрину спільних дій.</w:t>
      </w:r>
    </w:p>
    <w:p w:rsidR="00000000" w:rsidDel="00000000" w:rsidP="00000000" w:rsidRDefault="00000000" w:rsidRPr="00000000" w14:paraId="000000A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Суверенітет. На європейському рівні стає необхідним контролювати кордони і зберігати загальноєвропейські цінності. На сучасному етапі міграційна криза - це довгостроковий виклик для кожної країни ЄС, який виникає через глибоку нерівність глобалізації та зростання напруженності чрез ведення війн, зокрема значну роль мають російсько – українська війна, війна на Ближньому Сході. Так, через своє географічне положення Європа пов'язана з Близьким Сходом та Африкою. І цей факт буде постійно акцентований. При ому необхідно наголосити на різному характері і самих міграцій, віповідно і мігрантів, які наповнюють європейські міста сьогодні. Питання їх інтеграції у європейські суспільства вкрай проблемні і в соціально – економічному, і в соціокультурному сенсі. Безпековий вимір тут охоплює всі інші. Так, наприклад, мігранти з росії можуть нести реальну або потенційну,  приховану небезпеку через намагання роздмухувати ситуацію в країнах, які їх приймають. Водночас, такі мігранти можуть здійснювати шпигунську та диверсійну роботу, що важко відслідкувати наразі. Більшість країн ЄС сьогодні суттєво обмежили вїзд осіян на свою територію якраз у звязку з безпековими викликами і статегічним бажанням національних урядів тримати ситуацію на контролі в цілому.</w:t>
      </w:r>
    </w:p>
    <w:p w:rsidR="00000000" w:rsidDel="00000000" w:rsidP="00000000" w:rsidRDefault="00000000" w:rsidRPr="00000000" w14:paraId="000000A9">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Законодавчі засади системних позицій національної безпеки та військового розвитку країн ЄС</w:t>
      </w:r>
    </w:p>
    <w:p w:rsidR="00000000" w:rsidDel="00000000" w:rsidP="00000000" w:rsidRDefault="00000000" w:rsidRPr="00000000" w14:paraId="000000A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нарощування воєнного потенціалу в країнах ЄС має свою історію унікальну для кожної країни, однак можна виокремити і спільні аспекти договорів та законодавчих основ, які фундаментуалізували та зробили цілісними намагання створити єдиний безпековий простір.</w:t>
      </w:r>
    </w:p>
    <w:p w:rsidR="00000000" w:rsidDel="00000000" w:rsidP="00000000" w:rsidRDefault="00000000" w:rsidRPr="00000000" w14:paraId="000000A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Аналітика основних документів та домовленностей у цьому вимірі необхідні для більш глибинного розуміння позицій щодо безпеки ЄС як союзу в цілому, а за сутністю це специфічна конфедерація, де економічний та воєнний вимір природньо акцентовані у просторі взаємодії та геополітичного розподілу позицій. При чому ми повинні наголосити що вже поатково ці позиції були розподілені нерівномірно у реальному сенсі взаємодії та можливостей.</w:t>
      </w:r>
    </w:p>
    <w:p w:rsidR="00000000" w:rsidDel="00000000" w:rsidP="00000000" w:rsidRDefault="00000000" w:rsidRPr="00000000" w14:paraId="000000A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Два основних фундаментальних документи – Договір про функціонування Європейського Союзу (підписаний у Римі в 1958 р. як Договір про створення Європейського економічного співтовариства) і Договір про Європейський Союз (підписаний у Маастрихті в 1992 р.) та низка взаємопов’язаних з ними договорів відображають принципи функціонування ЄС. У Маастрихтському договорі 1992 р. уперше з’явилися положення щодо розвитку Спільної зовнішньої та безпекової політики (СЗБП) – Common foreign and security policy (CFSP), якe декларує збереження миру і зміцнення міжнародної безпеки відповідно до принципів Статуту ООН, так само як і принципів Гельсінського Заключного акта, і цілей Паризької хартії (Ради Європи) та передбачає визначення загальних рис спільної оборонної політики. (Згідно з європейською традицією інтеграції, яка надає виняткового значення договірній основі, у 1990-ті рр. поступово, дуже повільно закладалася правова база другої, політичної «опори» ЄС у всіх трьох нових основоположних документах Союзу, ухвалених у тому десятилітті.</w:t>
      </w:r>
    </w:p>
    <w:p w:rsidR="00000000" w:rsidDel="00000000" w:rsidP="00000000" w:rsidRDefault="00000000" w:rsidRPr="00000000" w14:paraId="000000A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загальноєвропейська концепція безпеки (Common Foreign and Security Policy - CFSP) детально викладена в рамках Маастрихтського договору 1992 р., вона сформулювала основні цілі CFSP. Серед них охорона спільних цінностей, інтересів, незалежності та цілісності ЄС; гарантування безпеки ЄС будь-яким доступним способом; підтримання миру та зміцнення міжнародної безпеки; організація міжнародного співробітництва; розвиток і зміцнення демократії та законності, повага до прав)</w:t>
      </w:r>
    </w:p>
    <w:p w:rsidR="00000000" w:rsidDel="00000000" w:rsidP="00000000" w:rsidRDefault="00000000" w:rsidRPr="00000000" w14:paraId="000000A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Її головним завданням є створення сил та засобів для подальшого розширення можливостей Євросоюзу щодо участі у врегулюванні регіональних та локальних конфліктів [9]. У 1993 р. питання спільної зовнішньої і безпекової політики було узгоджено і втілилося у другому «стовпі» архітектури ЄС. </w:t>
      </w:r>
    </w:p>
    <w:p w:rsidR="00000000" w:rsidDel="00000000" w:rsidP="00000000" w:rsidRDefault="00000000" w:rsidRPr="00000000" w14:paraId="000000B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договір було підписано в Амстердамі 2 жовтня 1997 року, а чинності він набув 1 травня 1999 року (повна назва: Амстердамський договір про зміну Договору про Європейський Союз, договорів, що засновували Європейські Співтовариства, і низки пов’язаних з ними актів). За договором передбачалося творення Спільної Європейської політики безпеки та оборони – Common Security and Defence Policy (CSDP) (далі – СЄПБО).</w:t>
      </w:r>
    </w:p>
    <w:p w:rsidR="00000000" w:rsidDel="00000000" w:rsidP="00000000" w:rsidRDefault="00000000" w:rsidRPr="00000000" w14:paraId="000000B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Наприкінці XX було прийняте рішення посилити воєнну міліарну складову єдиної зовнішньої політики через достатньо слабкі позиції країн Європейського Союзу, наприклад, безпосередньо під час війни у Косово 1999 р., також грузинсько-російської війни 2008 р. та війни росії проти України 2014 р. Процес посилення міліарної складової було закладено у Ніццькому договорі. Це важливий міжнародноправовому документ, прийнятому главами держав та урядів Великобританії, Австрії, Бельгії, також Греції, Данії, Ірландії, Іспанії, Італії, Люксембургу, Нідерландів, Німеччини, Португалії, Фінляндії, Франції, Швеції на Міжурядовій конференції у м. Ніцці (Франція) 26 лютого  2001.</w:t>
      </w:r>
    </w:p>
    <w:p w:rsidR="00000000" w:rsidDel="00000000" w:rsidP="00000000" w:rsidRDefault="00000000" w:rsidRPr="00000000" w14:paraId="000000B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колективної оборони відображені у статті 5 Північноатлантичного договору, а також у Лісабонському договорі 2007 року, що містить статтю про колективний захист відповідно до положень спільної політики безпеки та оборони Європейського Союзу. Зокрема, у пункті 7 статті 42 Лісабонського договору йдеться про те, що «у разі якщо держава-член зазнає збройної агресії на її території, інші держави-члени повинні надати їй допомогу і сприяння всіма можливими для них засобами відповідно до статей 51 Статуту Організації Об'єднаних Націй.</w:t>
      </w:r>
    </w:p>
    <w:p w:rsidR="00000000" w:rsidDel="00000000" w:rsidP="00000000" w:rsidRDefault="00000000" w:rsidRPr="00000000" w14:paraId="000000B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законодавчу основу щодо системних позицій з національної безпеки, на наш погляд першочерговий акцент необхідно зробити саме на державах, які відіграють ключову роль в масштабах сучасного Європейського Союзу [19]. Власне, мова йде про ключову «трійку»: ФРН, Франція та Італія. Три лідуючі економіки водночас продукують сталі стратегії безпеки, є потужними гравцями на світовому ринку зброї тощо [28].</w:t>
      </w:r>
    </w:p>
    <w:p w:rsidR="00000000" w:rsidDel="00000000" w:rsidP="00000000" w:rsidRDefault="00000000" w:rsidRPr="00000000" w14:paraId="000000B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акцентувати, що у Франції склалася своя практика ухвалення основоположних документів у сфері оборони і безпеки. За шістдесят років існування режиму П'ятої Республіки з цієї тематики було затверджено чотири Білі книги - у 1972, 1994, 2008 і 2013 роках. Усім їм були властиві кілька рис, що відображають специфіку французького підходу до стратегічного планування [28].</w:t>
      </w:r>
    </w:p>
    <w:p w:rsidR="00000000" w:rsidDel="00000000" w:rsidP="00000000" w:rsidRDefault="00000000" w:rsidRPr="00000000" w14:paraId="000000B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ініціаторами розроблення кожної нової Книги практично завжди виступали президенти. На практиці це означає, що ще з часів засновника П'ятої Республіки Ш. де Голля президент бере управління зовнішнім вектором відносин. Він бере оборонну політику цілком у свої руки, не ділячись цими галузями ні з урядом, ні з парламентом. </w:t>
      </w:r>
    </w:p>
    <w:p w:rsidR="00000000" w:rsidDel="00000000" w:rsidP="00000000" w:rsidRDefault="00000000" w:rsidRPr="00000000" w14:paraId="000000B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не дивно, що процес оновлення доктринальних документів також перебуває під контролем першої особи, яка самостійно вирішує, коли і за чиєї участі має бути проведена відповідна експертно-аналітична робота.</w:t>
      </w:r>
    </w:p>
    <w:p w:rsidR="00000000" w:rsidDel="00000000" w:rsidP="00000000" w:rsidRDefault="00000000" w:rsidRPr="00000000" w14:paraId="000000B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по-друге, ухвалення чергової Білої книги зазвичай відбувалося у Франції не за фіксованими термінами, що були б встановлені законодавчо, а за принципом доцільності - для адаптації зовнішньополітичної доктрини під великі зміни міжнародної системи. </w:t>
      </w:r>
    </w:p>
    <w:p w:rsidR="00000000" w:rsidDel="00000000" w:rsidP="00000000" w:rsidRDefault="00000000" w:rsidRPr="00000000" w14:paraId="000000B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у Білій книзі 1972 р. уперше було зроблено спробу письмово викласти т.зв. «доктрину голлізма», зафіксувавши основні пріоритети зовнішньої політики Франції в умовах біполярної конфронтації (адже сам Ш. де Голль, хоч як це парадоксально, аналогічного цілісного документа після себе не залишив)36. У 1994 р., крім внутрішньополітичних міркувань, випуск нової Книги був пов'язаний із закінченням «холодної війни» і становленням постбіполярного світу. Своєю чергою, у 2008 і 2013 рр. оновлювали Книгу.</w:t>
      </w:r>
    </w:p>
    <w:p w:rsidR="00000000" w:rsidDel="00000000" w:rsidP="00000000" w:rsidRDefault="00000000" w:rsidRPr="00000000" w14:paraId="000000B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Базові концептуальні позиції з питань безпеки Франції викладені в «Білих книгах з питань оборони і національної безпеки», які були видані у 2008 і 2013 роках. У жовтні 2017 року Міністерство оборони Франції оприлюднило «Стратегічний огляд з питань оборони і національної безпеки» (далі - «Стратегічний огляд»),</w:t>
      </w:r>
    </w:p>
    <w:p w:rsidR="00000000" w:rsidDel="00000000" w:rsidP="00000000" w:rsidRDefault="00000000" w:rsidRPr="00000000" w14:paraId="000000B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Суттєвою особливістю правового регулювання діяльності державних органів, сил і засобів, що забезпечують національну безпеку ФРН, є детальна регламентація в конституціях цих держав усіх питань, пов'язаних із залученням збройних сил і федеральних поліцейських формувань до забезпечення як зовнішньої, так і внутрішньої безпеки своїх країн.</w:t>
      </w:r>
    </w:p>
    <w:p w:rsidR="00000000" w:rsidDel="00000000" w:rsidP="00000000" w:rsidRDefault="00000000" w:rsidRPr="00000000" w14:paraId="000000B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ФРН, будучи членом НАТО і Євросоюзу, відповідно регламентує свій блоковий статус у національному законодавстві. Зовнішню розвідку у ФРН здійснюють дві організації: політичну розвідку здійснює Федеральна Служба зовнішньої розвідки (Бундеснахріхтендінст (БНД) Bundesnachrichtendienst), а воєнну розвідку і контррозвідку - Служба воєнної розвідки і контррозвідки міністерства оборони (МАР -Amt fur den Militärischen Abschirmdienst).</w:t>
      </w:r>
    </w:p>
    <w:p w:rsidR="00000000" w:rsidDel="00000000" w:rsidP="00000000" w:rsidRDefault="00000000" w:rsidRPr="00000000" w14:paraId="000000B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Маастрихтські угоди, за якими внутрішні кордони між країнами Євросоюзу стають номінальними, сирійська криза 2011-2015 років і хвиля біженців через Туреччину в країни Євросоюзу, а також теракти, скоєні 13 листопада 2015 року в Парижі, змусили багато європейських країн, зокрема й ФРН, не лише відновити охорону кордону, а й залучити до цієї охорони всі наявні поліцейські сили і навіть армійські підрозділи. </w:t>
      </w:r>
    </w:p>
    <w:p w:rsidR="00000000" w:rsidDel="00000000" w:rsidP="00000000" w:rsidRDefault="00000000" w:rsidRPr="00000000" w14:paraId="000000B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сучасних умовах війна в Україні змінює обриси подальших трансформацій національних стратегій безпеки і оборонного потенціалу на національному та інституційному рівні. Об’єктивно можна зауважити, що держави ЄС у цьому сенсі переживають наявну, окреслену економічно і політично кризу. Ця криза акумулювала всю сукупність проблематичних полей функційності, які були структуризовані ще у довоєнний період. Тероризм у його класичному вигляді залишається загрозою для держав ЄС, особливо мова йде про Францію, ФРН, Іспанію тощо. Однак на сучасному етапі для більшості країн єдиного європейського простору посилюється саме чинник російського втручання у справи урядів, шпигунства, інформаційних загоз, і терорестичні атаки у країнах що надають суттєву фінансову та військову допомогу Україні впродовж повномасштабної війни, відбувається посилення тероистичних загроз, де оснвним субєктом їх є пеш за все росія. Одібні випадки вже мали місце у Франції, де під час провдення Олімпіади відбувались терористичні активності.</w:t>
      </w:r>
    </w:p>
    <w:p w:rsidR="00000000" w:rsidDel="00000000" w:rsidP="00000000" w:rsidRDefault="00000000" w:rsidRPr="00000000" w14:paraId="000000B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Практичні завдання ЗС Італії на стратегічну перспективу визначаються Білою книгою з міжнародної безпеки та оборони 2015 р. (Libro bianco... 2015). У ній Міністерство оборони відзначає тенденцію до посилення нестабільності на глобальному рівні (розмивання ієрархії в міжнародних відносинах, поява нових центрів сили і потенційних ліній розлому між державами). На регіональний рівень ці тенденції проєктуються у вигляді зростання конфліктності та виникнення нових небезпечних криз, що вимагає більш рішучих дій від Риму та його партнерів для запобігання та врегулювання криз, включно з використанням ЗС. При цьому необхідно встановити справедливий «розподіл обов'язків» між союзниками.</w:t>
      </w:r>
    </w:p>
    <w:p w:rsidR="00000000" w:rsidDel="00000000" w:rsidP="00000000" w:rsidRDefault="00000000" w:rsidRPr="00000000" w14:paraId="000000B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один з основних напрямів політики в документі виокремлюється «євро-середземноморський». Географічно до нього включаються південь ЄС, Балкани, Причорномор'я, Близький Схід, країни Перської Затоки, Магрибу та Африканського Рогу, Сахель. Зазначається складність цього простору у зв'язку з високою злочинністю в низці країн, громадянськими війнами, зміцненням тероризму, ослабленням державних структур, відходом від демократії. Пріоритети Італії тут: забезпечення безпечних постачань енергоресурсів, створення умов для взаємовигідної торгівлі, боротьба з тероризмом і екстремізмом, піратством, </w:t>
      </w:r>
    </w:p>
    <w:p w:rsidR="00000000" w:rsidDel="00000000" w:rsidP="00000000" w:rsidRDefault="00000000" w:rsidRPr="00000000" w14:paraId="000000C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Дедалі вища роль середземноморського регіону в зовнішній політиці Італії, особливо в контексті виведення військ НАТО з Афганістану, відображається і в низці документів, ухвалених 2022 р. Так, пріоритети Італії в цьому регіоні уточнено в Стратегії безпеки й оборони для Середземномор'я (Strategia di difesa... 2022).</w:t>
      </w:r>
    </w:p>
    <w:p w:rsidR="00000000" w:rsidDel="00000000" w:rsidP="00000000" w:rsidRDefault="00000000" w:rsidRPr="00000000" w14:paraId="000000C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 ній же вводиться термін «Велике Середземномор'я» і найбільш ємко окреслюються його географічні рамки: континентальна Європа (включно з Балканами і чорноморським регіоном); Близький Схід (включно з Аравійським півостровом і Перською затокою); частина Африки (Північна Африка, Африканський Ріг, Сахель, Гвінейська затока)[54].</w:t>
      </w:r>
    </w:p>
    <w:p w:rsidR="00000000" w:rsidDel="00000000" w:rsidP="00000000" w:rsidRDefault="00000000" w:rsidRPr="00000000" w14:paraId="000000C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Італія намагється охопити як найбільшу кількість простору та посилити свої позиції, витісняючи інших традиційних для цих географічних регіонів, гравців [47]. </w:t>
      </w:r>
    </w:p>
    <w:p w:rsidR="00000000" w:rsidDel="00000000" w:rsidP="00000000" w:rsidRDefault="00000000" w:rsidRPr="00000000" w14:paraId="000000C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уточнює основні механізми політики в регіоні: партнерство з НАТО, ЄС, ООН (саме в такому порядку). Як конкретні заходи пропонуються «військова дипломатія», допомога в підготовці місцевих формувань, а також збройне втручання в разі потреби.</w:t>
      </w:r>
    </w:p>
    <w:p w:rsidR="00000000" w:rsidDel="00000000" w:rsidP="00000000" w:rsidRDefault="00000000" w:rsidRPr="00000000" w14:paraId="000000C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Дедалі вища роль середземноморського регіону в зовнішній політиці Італії, особливо в контексті виведення військ НАТО з Афганістану, відображається і в низці документів, ухвалених 2022 р. Так, пріоритети Італії в цьому регіоні уточнено в Стратегії безпеки й оборони для Середземномор'я. У ній же вводиться термін «Велике Середземномор'я» і найбільш ємко окреслюються його географічні рамки: континентальна Європа (включно з Балканами і чорноморським регіоном); Близький Схід (включно з Аравійським півостровом і Перською затокою); частина Африки (Північна Африка, Африканський Ріг, Сахель, Гвінейська затока) [47].</w:t>
      </w:r>
    </w:p>
    <w:p w:rsidR="00000000" w:rsidDel="00000000" w:rsidP="00000000" w:rsidRDefault="00000000" w:rsidRPr="00000000" w14:paraId="000000C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уточнює основні механізми політики в регіоні: партнерство з НАТО, ЄС, ООН (саме в такому порядку). Як конкретні заходи пропонуються «військова дипломатія», допомога в підготовці місцевих формувань, а також збройне втручання в разі потреби.</w:t>
      </w:r>
      <w:r w:rsidDel="00000000" w:rsidR="00000000" w:rsidRPr="00000000">
        <w:rPr>
          <w:rFonts w:ascii="inherit" w:cs="inherit" w:eastAsia="inherit" w:hAnsi="inherit"/>
          <w:color w:val="1f1f1f"/>
          <w:sz w:val="42"/>
          <w:szCs w:val="42"/>
          <w:rtl w:val="0"/>
        </w:rPr>
        <w:t xml:space="preserve"> </w:t>
      </w:r>
      <w:r w:rsidDel="00000000" w:rsidR="00000000" w:rsidRPr="00000000">
        <w:rPr>
          <w:rFonts w:ascii="Times New Roman" w:cs="Times New Roman" w:eastAsia="Times New Roman" w:hAnsi="Times New Roman"/>
          <w:sz w:val="28"/>
          <w:szCs w:val="28"/>
          <w:rtl w:val="0"/>
        </w:rPr>
        <w:t xml:space="preserve">Окремо варто з'ясувати термін «військова дипломатія».</w:t>
      </w:r>
    </w:p>
    <w:p w:rsidR="00000000" w:rsidDel="00000000" w:rsidP="00000000" w:rsidRDefault="00000000" w:rsidRPr="00000000" w14:paraId="000000C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 ним італійське керівництво розуміє співпрацю з країнами-партнерами у військовій галузі для зміцнення їх потенціалу щодо вирішення військових викликів та проблем у сфері безпеки.</w:t>
      </w:r>
    </w:p>
    <w:p w:rsidR="00000000" w:rsidDel="00000000" w:rsidP="00000000" w:rsidRDefault="00000000" w:rsidRPr="00000000" w14:paraId="000000C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Доречно згадати також Програмний документ довгострокового планування оборони на 2022-2024 рр. (Documento Programmatico... 2022). У ньому наголошується на зростаючій напруженості у Великому Середземномор'ї через повернення до геополітичного протистояння, що вимагає зміцнення військової могутності за рахунок нарощування військових витрат і зміцнення потенціалу збройних сил.</w:t>
      </w:r>
    </w:p>
    <w:p w:rsidR="00000000" w:rsidDel="00000000" w:rsidP="00000000" w:rsidRDefault="00000000" w:rsidRPr="00000000" w14:paraId="000000C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стратегічні документи вказують на необхідність активнішого залучення ЗС країни в Середземномор'ї як одного з головних інструментів стабілізації регіону. Безпосередньо про миротворчі місії не йдеться (хоча вони маються на увазі з огляду на зазначені завдання), а ось можливість військового втручання у складі багатосторонньої коаліції прописана ясно. Багато уваги приділяється військовій дипломатії в широкому розумінні (від міжвідомчих контактів до зміцнення потенціалу країн-партнерів).</w:t>
      </w:r>
    </w:p>
    <w:p w:rsidR="00000000" w:rsidDel="00000000" w:rsidP="00000000" w:rsidRDefault="00000000" w:rsidRPr="00000000" w14:paraId="000000C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політика Риму не позбавлена ​​протиріч: з одного боку, у стратегічних документах робиться заявка на статус найактивнішого гравця у Середземномор'ї; з іншого - низка представників керівництва сприймає Італію передусім як аванпост ЄС та НАТО в регіоні, наполягаючи, що вона не може і не має діяти поодинці. Її інтереси збігаються із загальноєвропейськими та союзницькими по Альянсу.</w:t>
      </w:r>
    </w:p>
    <w:p w:rsidR="00000000" w:rsidDel="00000000" w:rsidP="00000000" w:rsidRDefault="00000000" w:rsidRPr="00000000" w14:paraId="000000C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тлі зростає увага до збройних сил. Так, операція Mare Sicuro реалізується з 2015 р.. - піку міграційної кризи - і спрямована на забезпечення безпеки морських шляхів у Середземному морі на тлі триваючого конфлікту в Лівії. Вона послідовно розширювалася у 2017-2018 рр. (коли до її завдань було включено боротьбу з незаконним перевезенням людей) і у 2022 р., коли було більш ніж у 10 разів розширено зону її відповідальності, виділено нові бойові кораблі та підводні човни, а саму програму перейменовано на Mediterraneo Sicuro.</w:t>
      </w:r>
    </w:p>
    <w:p w:rsidR="00000000" w:rsidDel="00000000" w:rsidP="00000000" w:rsidRDefault="00000000" w:rsidRPr="00000000" w14:paraId="000000C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на сучасному етапі включення інтересів держави, суспільства й окремої особистості до числа елементів правовідносин у сферах забезпечення різних видів безпеки продиктоване прагненням зарубіжного законодавця забезпечити захист основних конституційних цінностей. Конституційні положення про інтереси тих чи інших суб'єктів у сферах забезпечення різних видів безпеки слугують вихідними для пошуку способів взаємовідносин органів держави з іншими суб'єктами права у зазначених сферах.</w:t>
      </w:r>
    </w:p>
    <w:p w:rsidR="00000000" w:rsidDel="00000000" w:rsidP="00000000" w:rsidRDefault="00000000" w:rsidRPr="00000000" w14:paraId="000000C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Докладне конституційне регулювання колективних, індивідуальних, професійних, економічних, соціальних та інших видів інтересів суб'єктів права в зарубіжних країнах має системність. У ньому знаходять відображення і наявна структура суспільства в цілісності її основних параметрів, і характер цього суспільства і держави. </w:t>
      </w:r>
    </w:p>
    <w:p w:rsidR="00000000" w:rsidDel="00000000" w:rsidP="00000000" w:rsidRDefault="00000000" w:rsidRPr="00000000" w14:paraId="000000C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Узяті в сукупності зазначені інтереси дають уявлення про орієнтацію різних суб'єктів правовідносин у сфері забезпечення національної безпеки країни, про основні риси окремих її видів і підходи до їх забезпечення. </w:t>
      </w:r>
    </w:p>
    <w:p w:rsidR="00000000" w:rsidDel="00000000" w:rsidP="00000000" w:rsidRDefault="00000000" w:rsidRPr="00000000" w14:paraId="000000C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без урахування в практичній політиці забезпечення різних видів і підвидів безпеки реальних інтересів суб'єктів правовідносин наївно розраховувати на збалансування зазначених інтересів і здійснення ефективної діяльності держави та її органів щодо їх реалізації.</w:t>
      </w:r>
    </w:p>
    <w:p w:rsidR="00000000" w:rsidDel="00000000" w:rsidP="00000000" w:rsidRDefault="00000000" w:rsidRPr="00000000" w14:paraId="000000CF">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0">
      <w:pPr>
        <w:spacing w:after="158" w:line="360" w:lineRule="auto"/>
        <w:ind w:firstLine="708"/>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1.</w:t>
      </w:r>
    </w:p>
    <w:p w:rsidR="00000000" w:rsidDel="00000000" w:rsidP="00000000" w:rsidRDefault="00000000" w:rsidRPr="00000000" w14:paraId="000000D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Специфіка воєнної безпеки визначалася історичною спадщиною/пам'яттю та географічним місцем розташування. Якщо історична пам'ять є динамічним чинником, що передбачає відоме переосмислення, а подекуди й свідоме замовчування подій минулого залежно від політичної кон'юнктури, то географія являє собою статичний чинник, який не можна змінити. </w:t>
      </w:r>
    </w:p>
    <w:p w:rsidR="00000000" w:rsidDel="00000000" w:rsidP="00000000" w:rsidRDefault="00000000" w:rsidRPr="00000000" w14:paraId="000000D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об'єктивна заданість просторової локації та масштабу самої держави робить її ключовим чинником для забезпечення воєнної безпеки.</w:t>
      </w:r>
    </w:p>
    <w:p w:rsidR="00000000" w:rsidDel="00000000" w:rsidP="00000000" w:rsidRDefault="00000000" w:rsidRPr="00000000" w14:paraId="000000D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Визначена наукова проблематика має декілька власних вимірів у дослідженні та аналітичній роботі. По – перше, мова йде про особливості інституційного та надінституційного виміру, по – друге, стратегічний вимір, на який спрямовані держави – члени Європейського Союзу, по – третє, вимір тактичний, тобто він охоплює конкретні кроки держав - членів Європейського Союзу та національних урядів щодо покращення власних стратегій безпеки та оборонних спроможностей [31]. </w:t>
      </w:r>
    </w:p>
    <w:p w:rsidR="00000000" w:rsidDel="00000000" w:rsidP="00000000" w:rsidRDefault="00000000" w:rsidRPr="00000000" w14:paraId="000000D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Напротязі створення європейських інституцій та укладання базових договорів, безпекова проблематика стояла у ключому ракурсі розгляду, однак фактично кожна держава намагалась рухатись у власних інтересах щодо оборони та нарощування воєнного потенціалу. </w:t>
      </w:r>
    </w:p>
    <w:p w:rsidR="00000000" w:rsidDel="00000000" w:rsidP="00000000" w:rsidRDefault="00000000" w:rsidRPr="00000000" w14:paraId="000000D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Довгий час ця логіка була першоерговою для країн, що відігравали суттву головну роль у сенсі власних еконмоічни, військових та політиних спроможностей, а саме ФРН, Франція та Італія. Також Великобританія, яка з одного боку вийшла з ЄС, підкресливши власний геополітичний шлях, однак у контексті впливу та мережі відносин у ЄС ця держава залишилась у європейській політиці [31]. </w:t>
      </w:r>
    </w:p>
    <w:p w:rsidR="00000000" w:rsidDel="00000000" w:rsidP="00000000" w:rsidRDefault="00000000" w:rsidRPr="00000000" w14:paraId="000000D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Показником цього, наприклад, є формування геополітиного трикутника «Лондон – Варшава - Київ». Також маркером британської політики щодо України є рішучість у наданні всіх видів допомоги, широка адвокація інтересів України. </w:t>
      </w:r>
    </w:p>
    <w:p w:rsidR="00000000" w:rsidDel="00000000" w:rsidP="00000000" w:rsidRDefault="00000000" w:rsidRPr="00000000" w14:paraId="000000D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Чітка антиросійська позиція, яка була акцентована з початку повномасштабної російсько – української війни. Цей факт в достатній мірі є помітним та показовим по цілій низці параметрів.</w:t>
      </w:r>
    </w:p>
    <w:p w:rsidR="00000000" w:rsidDel="00000000" w:rsidP="00000000" w:rsidRDefault="00000000" w:rsidRPr="00000000" w14:paraId="000000D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межах Чорноморського басейну знану роль відіграє держава – сусідка України, Румунія. Необхідно наголосити, що на думку вітчизянного дослідника О. Златіна, розкриту у статті «Зовнішня політика та національна безпека Румунії у контексті агресії Росії проти України» на:  «прийняттям у червні 2015 року Національної стратегії оборони держави Румунія чітко визначила завдання національної безпеки, свою позицію в контексті відносин з міжнародними союзниками і партнерами в рамках регіону та основні вектори зовнішньої політики на наступні п’ять років. Назва згаданої Стратегії «Сильна Румунія в Європі і світі» визначає Румунію як сильну й рішучу державу, здатну бути джерелом стабільності й демократії у складному гетерогенному регіоні з низкою заморожених і гарячих конфліктів у контексті погіршення відносин між НАТО і РФ. Стратегічне партнерство зі США (у сфері безпеки), належність до НАТО і ЄС продовжують бути фундаментальними пілонами зовнішньої політики Румунії.» [6, c. 337].</w:t>
      </w:r>
    </w:p>
    <w:p w:rsidR="00000000" w:rsidDel="00000000" w:rsidP="00000000" w:rsidRDefault="00000000" w:rsidRPr="00000000" w14:paraId="000000D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Поточна реальність кидає виклик теперішньому і майбутньому Європи, від зміни клімату до цифрового переходу, міграції та тероризму, глобальних проблем, з якими країна не може зіткнутися сама по собі. Європейські інституції обмежені безсилими бюрократіями, які уповільнюють дії. Звідси переважна потреба в розробці дорожньої карти реконструкції суверенної, єдиної та цілісної Європи, оскільки сьогоднішня Європа домінує над зіткненням внутрішньої політики [41]. </w:t>
      </w:r>
    </w:p>
    <w:p w:rsidR="00000000" w:rsidDel="00000000" w:rsidP="00000000" w:rsidRDefault="00000000" w:rsidRPr="00000000" w14:paraId="000000D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тлі демократиних тенденцій можна помітити, сповзання деяких країн до авторитарного режимного вектоу, зокрема мова йде про Угорщину та Словаччину, які уповільнюють в тому числі модернізаційні процеси і грають геополітину роль доповнюючу деструктивний російський вплив через економіку та політику в цілому.</w:t>
      </w:r>
    </w:p>
    <w:p w:rsidR="00000000" w:rsidDel="00000000" w:rsidP="00000000" w:rsidRDefault="00000000" w:rsidRPr="00000000" w14:paraId="000000DB">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C">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D">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E">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F">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0">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1">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2">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3">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4">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5">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6">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7">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8">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9">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A">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B">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C">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D">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E">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F">
      <w:pPr>
        <w:spacing w:after="158"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0">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Повномасштабна війна як потужний виклик для зрушень у національній безпеці країн ЄС</w:t>
      </w:r>
    </w:p>
    <w:p w:rsidR="00000000" w:rsidDel="00000000" w:rsidP="00000000" w:rsidRDefault="00000000" w:rsidRPr="00000000" w14:paraId="000000F1">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Інституційні особливості трансформації концепцій національної безпеки</w:t>
      </w:r>
    </w:p>
    <w:p w:rsidR="00000000" w:rsidDel="00000000" w:rsidP="00000000" w:rsidRDefault="00000000" w:rsidRPr="00000000" w14:paraId="000000F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Повномаштабна війна в Україні змінила та трансформувала уявлення європейських держав про специфіку національних стратегій оборони та воєнний потенціал в цілому. Кожна країна ЄС наразі відчуває опосередковану, або навіть пряму загрозу потенційної агресії з боку росії. Крім того, умовна грань інтитуційної безпекової стабільності фактично підірвана. Наразі складається нова безпекова конфігурація, що не обов’язково буде повністю відповіти попереднім світоглядним вимірам у аналітичному та практико – прикладному вимірах.</w:t>
      </w:r>
    </w:p>
    <w:p w:rsidR="00000000" w:rsidDel="00000000" w:rsidP="00000000" w:rsidRDefault="00000000" w:rsidRPr="00000000" w14:paraId="000000F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ця агресія може бути у вимірі військового вторгнення, і наприклад, Польща, а, особливо, країни Балтії вимушені надшвидкими темпами змінюати свій погляд на оборону і власний оборонний потенціал. Або мова омже йти про ескалацію гібридної агресії, де інформаційна складова має місце в більшості держав Європейського Союзу. В принципі, одночасно з інформаційними атаками та кібератаками, мова йде про застосування російської агентури, проросійського політикуму та громадськості, яка отриму кошти з рф, та може завдавати репутаційних ударів певній країні, тиснути на уряд, завдавати ударів у інші способи через лояльних місцевих політиних діяів, як це відбувається в Угорщині або Словаччині. </w:t>
      </w:r>
    </w:p>
    <w:p w:rsidR="00000000" w:rsidDel="00000000" w:rsidP="00000000" w:rsidRDefault="00000000" w:rsidRPr="00000000" w14:paraId="000000F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90-х років, на відміну від США, країни ЄС все менше вкладав кошти у власний оборонний потенціал. Причина цього наявна – покладання на військову потужність США у захисті. Наслідки такої недалекоглядної політики проявили себе згодом у комплексі. Фактично це призвело до значного скорочення виробництва зброї. Трендом стає так звана контрактна армія на тлі миролюбної для західних держав історичної епохи. Також усе більше країн скорочували чисельність своїх військ, переходячи на контрактну армію [29].</w:t>
      </w:r>
    </w:p>
    <w:p w:rsidR="00000000" w:rsidDel="00000000" w:rsidP="00000000" w:rsidRDefault="00000000" w:rsidRPr="00000000" w14:paraId="000000F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Європейські країни не в змозі вирішити питання забезпечення безпеки загальноєвропейських кордонів за допомогою створення сил швидкого реагування, про які йдеться ще з 2005 року - так звані Rapid Reaction Forces не можуть бути створені з однієї простої причини - європейські країни не в змозі утримувати цю структуру і паралельно зберігати свої військові контингенти в НАТО [57].</w:t>
      </w:r>
    </w:p>
    <w:p w:rsidR="00000000" w:rsidDel="00000000" w:rsidP="00000000" w:rsidRDefault="00000000" w:rsidRPr="00000000" w14:paraId="000000F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етап ескалації повномасштабної війни в Україні повністю і докорінно змінює погляди європейських держав на власну безпеку та колективний її вимір. Фактично оборонні зрушення, які були в ряді держав поставлені на паузу через довгий період миру, нині стали наявним елементом у риториці провідних європейських лідерів та конкуруючих за владу політичних сил [57]. </w:t>
      </w:r>
    </w:p>
    <w:p w:rsidR="00000000" w:rsidDel="00000000" w:rsidP="00000000" w:rsidRDefault="00000000" w:rsidRPr="00000000" w14:paraId="000000F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Фактично поставлена на паузу ще одна ініціатива у оборонному напрямку. Мова йде про ідею незалежної європейської армії, як наявну альтернативу НАТО з сильною роллю та позицією двох лідерів континентальної Європи – ФРН та Францією [66]. </w:t>
      </w:r>
    </w:p>
    <w:p w:rsidR="00000000" w:rsidDel="00000000" w:rsidP="00000000" w:rsidRDefault="00000000" w:rsidRPr="00000000" w14:paraId="000000F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Негативну роль у становленні незалежної європейської армії відіграють економічні міркування. Економічний розвиток ЄС багато в чому спирається на досить скромні військові витрати. Навряд чи хтось наважиться стверджувати, що його члени стануть із готовністю фінансувати власну армію [66]. Більшість європейців намагається не платити навіть ті два відсотки ВВП на військові цілі, про які давно досягнуто домовленості з Вашингтоном. Крім того, з одного боку, Європу і США міцно об'єднують спільні цінності та атлантична солідарність, від яких європейцям не втекти, а з іншого - в осяжному майбутньому Євросоюз навряд чи перетвориться з об'єднання однодумців на єдину державу з єдиною армією.</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Система загальної політики безпеки і оборони Євросоюзу в принципі продовжувала функціонувати. </w:t>
      </w:r>
    </w:p>
    <w:p w:rsidR="00000000" w:rsidDel="00000000" w:rsidP="00000000" w:rsidRDefault="00000000" w:rsidRPr="00000000" w14:paraId="000000F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на рубежі між першим і другим десятиліттями нинішнього століття ця система почала втрачати свій первісний динамізм, у ній з'явилася рутинна інерційність. Стала зменшуватися її роль у діяльності ЄС. Тоді ж вона стала дедалі більше потрапляти в залежність від НАТО. Про самостійність, автономію військової політики ЄС часом стали забувати, а про «європейську армію» - тим більше.</w:t>
      </w:r>
    </w:p>
    <w:p w:rsidR="00000000" w:rsidDel="00000000" w:rsidP="00000000" w:rsidRDefault="00000000" w:rsidRPr="00000000" w14:paraId="000000FA">
      <w:pPr>
        <w:spacing w:after="158" w:line="360" w:lineRule="auto"/>
        <w:ind w:firstLine="720"/>
        <w:jc w:val="both"/>
        <w:rPr>
          <w:rFonts w:ascii="inherit" w:cs="inherit" w:eastAsia="inherit" w:hAnsi="inherit"/>
          <w:color w:val="1f1f1f"/>
          <w:sz w:val="42"/>
          <w:szCs w:val="42"/>
        </w:rPr>
      </w:pPr>
      <w:r w:rsidDel="00000000" w:rsidR="00000000" w:rsidRPr="00000000">
        <w:rPr>
          <w:rFonts w:ascii="Times New Roman" w:cs="Times New Roman" w:eastAsia="Times New Roman" w:hAnsi="Times New Roman"/>
          <w:sz w:val="28"/>
          <w:szCs w:val="28"/>
          <w:rtl w:val="0"/>
        </w:rPr>
        <w:t xml:space="preserve">Проте тенденція зростаючого песимізму була зламана. Військова система Євросоюзу, його самостійність у сфері оборони та безпеки отримали «друге дихання».</w:t>
      </w:r>
      <w:r w:rsidDel="00000000" w:rsidR="00000000" w:rsidRPr="00000000">
        <w:rPr>
          <w:rFonts w:ascii="inherit" w:cs="inherit" w:eastAsia="inherit" w:hAnsi="inherit"/>
          <w:color w:val="1f1f1f"/>
          <w:sz w:val="42"/>
          <w:szCs w:val="42"/>
          <w:rtl w:val="0"/>
        </w:rPr>
        <w:t xml:space="preserve"> </w:t>
      </w:r>
    </w:p>
    <w:p w:rsidR="00000000" w:rsidDel="00000000" w:rsidP="00000000" w:rsidRDefault="00000000" w:rsidRPr="00000000" w14:paraId="000000F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Причин тому було кілька, і одна з головних - евентуальна потреба ЄС у такій системі, що продовжувала існувати. До цього додалися нові динамічні рушійні сили.</w:t>
      </w:r>
    </w:p>
    <w:p w:rsidR="00000000" w:rsidDel="00000000" w:rsidP="00000000" w:rsidRDefault="00000000" w:rsidRPr="00000000" w14:paraId="000000F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Дискусії та суперечки на цю тему, природно, триватимуть у Європі, та й у всьому світі. Будуть виступати скептики, посилаючись насамперед на сформовані традиції і структури, багаторічне минуле. Інші ж згадають, що все нове в міжнародних справах (це показує історичний досвід) виникає деколи раптово, ламаючи старі традиції і виходячи з нових умов і обставин розвитку міжнародних відносин. Тому є сенс у тому, щоб продовжувати стежити за новими процесами, що виникають у сфері європейської безпеки і не захоплюватися поспішними висновками [30]. </w:t>
      </w:r>
    </w:p>
    <w:p w:rsidR="00000000" w:rsidDel="00000000" w:rsidP="00000000" w:rsidRDefault="00000000" w:rsidRPr="00000000" w14:paraId="000000FD">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Військовий потенціал країн ЄС у контексті комплексної відповіді загрозі війни</w:t>
      </w:r>
    </w:p>
    <w:p w:rsidR="00000000" w:rsidDel="00000000" w:rsidP="00000000" w:rsidRDefault="00000000" w:rsidRPr="00000000" w14:paraId="000000F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Військовий потенціал держав ЄС закономірно аналізувати за фактичним геополітичним положенням. Також можна відмітити декілька наявних особливостей цього потенціалу.</w:t>
      </w:r>
    </w:p>
    <w:p w:rsidR="00000000" w:rsidDel="00000000" w:rsidP="00000000" w:rsidRDefault="00000000" w:rsidRPr="00000000" w14:paraId="0000010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Сильна та обороноздатна держава наново стає трендом, якому у складних умовах деструктивних викликів необхідно відповідати, і роботи це вчасно і ефективно на скільки це можливо у обмежені терміни і у вкрай непередбачуваній ситуації.</w:t>
      </w:r>
    </w:p>
    <w:p w:rsidR="00000000" w:rsidDel="00000000" w:rsidP="00000000" w:rsidRDefault="00000000" w:rsidRPr="00000000" w14:paraId="0000010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2014 р. витрати Німеччини на оборону стали зростати порівняно швидкими темпами. Забезпечення внутрішньої та зовнішньої безпеки оголошено одним із ключових пріоритетів. Якщо у 2014 р. витрати на збройні сили становили 32,4 млрд євро, то у 2016 р. - 34,3 млрд [42], а в плані бюджету на 2018 р. вони сягають 38,5 млрд євро. У 2021 р. цей показник має становити вже 42,4 млрд євро [43]. Це все ще значно менше, ніж узгоджений країнами НАТО у 2014 р. поріг у 2 % від ВВП, однак уперше за довгий час військові витрати ФРН стійко і досить швидко зростають.</w:t>
      </w:r>
    </w:p>
    <w:p w:rsidR="00000000" w:rsidDel="00000000" w:rsidP="00000000" w:rsidRDefault="00000000" w:rsidRPr="00000000" w14:paraId="0000010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Необхідність у такому зростанні існувала вже давно; проблема закупівлі сучасного озброєння та оснащення, а також залучення кваліфікованих кадрів є постійним головним болем німецького міністерства оборони з 1990-х років. У цьому випадку загострення ситуації на сході Європи сприяло вжиттю заходів щодо збільшення військового бюджету країни. Водночас німецька політична еліта зацікавлена в тому, щоб це збільшення було плавним, - як слушно зазначає </w:t>
      </w:r>
    </w:p>
    <w:p w:rsidR="00000000" w:rsidDel="00000000" w:rsidP="00000000" w:rsidRDefault="00000000" w:rsidRPr="00000000" w14:paraId="0000010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що, за даними проведених у 2017 р. опитувань, відносна більшість (майже половина) німецьких громадян підтримує збільшення як військових витрат, так і чисельності військовослужбовців бундесверу.</w:t>
      </w:r>
    </w:p>
    <w:p w:rsidR="00000000" w:rsidDel="00000000" w:rsidP="00000000" w:rsidRDefault="00000000" w:rsidRPr="00000000" w14:paraId="0000010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витрат дало змогу розширити плани закупівлі озброєння.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Повернення до колективної безпеки в Європі стало в певному сенсі викликом для бундесверу, який протягом чверті століття намагався адаптуватися до потреб миротворчих місій у віддалених регіонах світу. Тепер акцент знову поступово переноситься на ті сфери, де збройні сили ФРН були традиційно сильними.</w:t>
      </w:r>
    </w:p>
    <w:p w:rsidR="00000000" w:rsidDel="00000000" w:rsidP="00000000" w:rsidRDefault="00000000" w:rsidRPr="00000000" w14:paraId="0000010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Підвищена увага приділяється останніми роками проблемам кібербезпеки. Так, у 2017 р. у рамках бундесверу було створено «організаційну сферу кібер- та інформаційного простору», яка фактично має статус окремого роду військ. Сформовано спеціальне командування, в руках якого зосереджені питання протидії загрозам у кібер- та інформаційному просторі, а також стратегічної розвідки.</w:t>
      </w:r>
    </w:p>
    <w:p w:rsidR="00000000" w:rsidDel="00000000" w:rsidP="00000000" w:rsidRDefault="00000000" w:rsidRPr="00000000" w14:paraId="0000010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Німецький уряд продовжував розвивати запропоновану ним у 2013 р. концепцію «рамкових націй», сенс якої полягає у формуванні «кластерів» на чолі з великими європейськими державами, що відіграють роль «рамкових націй», навколо кожної з яких групується низка невеликих держав, що розподіляють між собою певний набір унікальних військових компетенцій. Під час проведення спільної операції «рамкова держава» організовує дії багатонаціонального угруповання, відповідає за постачання і підтримку, тоді як молодші партнери надають свої спеціалізовані контингенти. </w:t>
      </w:r>
    </w:p>
    <w:p w:rsidR="00000000" w:rsidDel="00000000" w:rsidP="00000000" w:rsidRDefault="00000000" w:rsidRPr="00000000" w14:paraId="0000010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Німеччина як один із лідерів західноєвропейського угруповання НАТО прагне і до активної участі у військово-стратегічному плануванні Альянсу. Наразі вона спрямовує національні збройні сили і ОВТ як допомогу в країни Балтії та інші держави Східної Європи з метою їхнього колективного захисту. Для німецького військово-політичного керівництва захист Європи - один із пріоритетних напрямків роботи. Франція та Німеччина в цьому напрямку виступають у тандемі заради спільної стратегічної мети. Спільно з кабінетом Е. Макрона кабінет О. Шольца прагне нарощувати військово-політичне співробітництво в регіоні для забезпечення прогресу і безпеки, особливо на тлі найсильнішої кризи європейської безпеки останніх років [59]. </w:t>
      </w:r>
    </w:p>
    <w:p w:rsidR="00000000" w:rsidDel="00000000" w:rsidP="00000000" w:rsidRDefault="00000000" w:rsidRPr="00000000" w14:paraId="0000010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Ведеться робота як за лінією НАТО, так і за лінією програми «Постійного структурованого співробітництва з питань безпеки та оборони» (Permanent Structured Cooperation, PESCO), у рамках якої Німеччина реалізує 17 проєктів і очолює роботу семи з них, зокрема проєкту зі створення єдиної логістичної системи для збройних сил ЄС і НАТО, що вкотре доводить значущість зв'язування системи безпеки ЄС і безпеки НАТО у воєнно-політичному плануванні Німеччини.</w:t>
      </w:r>
    </w:p>
    <w:p w:rsidR="00000000" w:rsidDel="00000000" w:rsidP="00000000" w:rsidRDefault="00000000" w:rsidRPr="00000000" w14:paraId="0000010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оборонного бюджету країни навесні 2022 р. і створення Спеціального фонду на потреби армії в розмірі 100 млрд євро є безпрецедентним для Німеччини комплексом заходів і являє собою унікальний дискусійний простір.</w:t>
      </w:r>
    </w:p>
    <w:p w:rsidR="00000000" w:rsidDel="00000000" w:rsidP="00000000" w:rsidRDefault="00000000" w:rsidRPr="00000000" w14:paraId="0000010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Позиція військово-політичного керівництва ФРН щодо активного застосування збройних сил за межами національних кордонів активно просувається на міжнародній арені. Німеччина дедалі частіше бере участь в операціях НАТО, особливо на східних рубежах Альянсу, збільшується їхній масштаб і рівень маневреності.</w:t>
      </w:r>
    </w:p>
    <w:p w:rsidR="00000000" w:rsidDel="00000000" w:rsidP="00000000" w:rsidRDefault="00000000" w:rsidRPr="00000000" w14:paraId="0000010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 моменту об'єднання Німеччини бундесвер був задіяний у 25 місіях НАТО. Станом на серпень 2022 р. бундесвер бере участь у 12 місіях Альянсу на трьох континентах, а чисельність військовослужбовців із Німеччини в цих місіях - понад 3,5 тис. осіб.</w:t>
      </w:r>
    </w:p>
    <w:p w:rsidR="00000000" w:rsidDel="00000000" w:rsidP="00000000" w:rsidRDefault="00000000" w:rsidRPr="00000000" w14:paraId="0000010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активну військову та фінансову допомогу українській стороні, німецький уряд продовжує наполягати на недопущенні відправки військ, тобто бундесверу в складі контингенту НАТО на територію України. Німецька позиція залишається непохитною також щодо постачання Україні певних типів номенклатури озброєння, в тому числі ракет Taurus. Можна підкреслити, що на сучасному етапі цю позицію не можна в повній мірі вважати суто особистісною від канцлера Олафа Шольца. В багатьох аспектах це є позиція діючої коаліції. Водночас мова йде про наявність критики цієї позиції та особисто канцлера Олафа Шольца.</w:t>
      </w:r>
    </w:p>
    <w:p w:rsidR="00000000" w:rsidDel="00000000" w:rsidP="00000000" w:rsidRDefault="00000000" w:rsidRPr="00000000" w14:paraId="0000010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Німеччина привела свої збройні сили в режим підвищеної боєготовності і заявила про наміри збільшити чисельність бундесверу в складі контингенту НАТО у Східній Європі. У зв'язку з розширенням присутності НАТО в Європі у відповідь на дії РФ збільшується ймовірність участі бундесверу в операціях Альянсу в східній частині регіону, де вже зараз зосереджене посилене угруповання швидкого реагування НАТО, і це, на наш погляд, підтверджує тезу про те, що Берлін прагне закріпити свої позиції на його східних рубежах. </w:t>
      </w:r>
    </w:p>
    <w:p w:rsidR="00000000" w:rsidDel="00000000" w:rsidP="00000000" w:rsidRDefault="00000000" w:rsidRPr="00000000" w14:paraId="0000010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Члени Альянсу ухвалили рішення істотно підвищити рівень витрат на потреби оборони. Важливо згадати про заяви німецького уряду про амбітні цілі щодо становлення Німеччини як провідної регіональної держави. З урахуванням поточного стану європейської безпеки можна зробити висновок, що Німеччина нарощуватиме свої зусилля в рамках НАТО у відповідь на нарощування російської військової присутності.</w:t>
      </w:r>
    </w:p>
    <w:p w:rsidR="00000000" w:rsidDel="00000000" w:rsidP="00000000" w:rsidRDefault="00000000" w:rsidRPr="00000000" w14:paraId="0000010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Крім того, в сучасних військово-політичних умовах німецьке керівництво може використовувати становище ФРН в Альянсі для реалізації власних національних завдань і цілей.</w:t>
      </w:r>
    </w:p>
    <w:p w:rsidR="00000000" w:rsidDel="00000000" w:rsidP="00000000" w:rsidRDefault="00000000" w:rsidRPr="00000000" w14:paraId="0000011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Національна політика країни та її військово-політичний вектор цілком спрямовані на підтримання високого рівня внутрішньо-військової дисципліни, що знаходить відображення в кількості та інтенсивності операцій НАТО, в яких задіяний бундесвер. Таким чином, діяльність національних збройних сил Німеччини в місіях під егідою НАТО є комплексом військово-політичних заходів, спрямованих на зміцнення позиції бундесверу в Альянсі.</w:t>
      </w:r>
    </w:p>
    <w:p w:rsidR="00000000" w:rsidDel="00000000" w:rsidP="00000000" w:rsidRDefault="00000000" w:rsidRPr="00000000" w14:paraId="0000011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нашу думку, участь ФРН у майбутніх місіях під егідою НАТО продемонструє ще активнішу залученість німецьких збройних сил у військове планування Альянсу. Модернізація збройних сил (ЗС) і оснащення армії в Польщі, як і в інших країнах Східної Європи, здійснювалася під знаком інтеграції до Північноатлантичного альянсу і переходу на стандарти НАТО.</w:t>
      </w:r>
    </w:p>
    <w:p w:rsidR="00000000" w:rsidDel="00000000" w:rsidP="00000000" w:rsidRDefault="00000000" w:rsidRPr="00000000" w14:paraId="0000011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Фактичні труднощі виникли і за межами Євро-Атлантичного співтовариства - у тих регіонах, де ФРН уже досить тривалий час прагнула робити вагомий внесок у вирішення проблем безпеки. Так, під загрозою опинилося збереження стратегічної присутності Німеччини в Афганістані (і тим самим у Центральній Азії загалом) через підготовку «стратегічної угоди» між «Талібаном» та адміністрацією Д. Трампа (було оформлено 29 лютого 2020 р.) і наступ «Талібану». У ситуації на Близькому Сході, незважаючи на зроблені спроби («Стамбульський формат», «Женева-3»), не вдалося забезпечити комплексне вирішення «сирійської проблеми». У ключових зонах докладання військових і політико-дипломатичних зусиль ФРН у Сахелі - на територіях Малі та особливо Буркіна-Фасо - посилилися тривожні симптоми деградації ситуації. </w:t>
      </w:r>
    </w:p>
    <w:p w:rsidR="00000000" w:rsidDel="00000000" w:rsidP="00000000" w:rsidRDefault="00000000" w:rsidRPr="00000000" w14:paraId="0000011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для подальшого зміцнення позицій у Північній Африці ФРН потрібно було повноцінно вбудуватися у вирішення «лівійського питання». Нарешті, офіційний Берлін був зацікавлений у вигідній для себе трансформації політичного ландшафту західних і південних областей пострадянського простору. Крім іншого, існувала ще низка регіонів - передусім південна і центральна частини Африки, Далекий Схід.</w:t>
      </w:r>
    </w:p>
    <w:p w:rsidR="00000000" w:rsidDel="00000000" w:rsidP="00000000" w:rsidRDefault="00000000" w:rsidRPr="00000000" w14:paraId="0000011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Країни Африки, Далекий Схід, Латинська Америка, - де Німеччина або взагалі не мала міцних загальнополітичних і особливо військових позицій, або робила лише перші кроки.</w:t>
      </w:r>
    </w:p>
    <w:p w:rsidR="00000000" w:rsidDel="00000000" w:rsidP="00000000" w:rsidRDefault="00000000" w:rsidRPr="00000000" w14:paraId="0000011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нарешті, слід особливо позначити ще одну найважливішу проблему - наростання суперечностей із незалежними країнами.</w:t>
      </w:r>
    </w:p>
    <w:p w:rsidR="00000000" w:rsidDel="00000000" w:rsidP="00000000" w:rsidRDefault="00000000" w:rsidRPr="00000000" w14:paraId="0000011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2017 р. у Східній Європі з'явилися наземні сили передового розгортання (СПР) НАТО (з ротацією особового складу кожні шість-вісім місяців), які складаються здебільшого з континентів-гентів «старих »1 країн - учасниць блоку. У рамках цього процесу в Литві з'явилися підрозділи німецьких військ. Розгортання наземної2 військової присутності ФРН у Прибалтиці стало «вершиною айсберга» динамічного розвитку політичних відносин Німеччини та країн регіону. (З-поміж усіх східноєвропейських держав саме з балтійськими державами відносини ФРН розвивалися впродовж усього періоду початку 1990-х - кінця 2010-х років найдинамічніше, не містивши в собі суттєвих «больових вузлів». Відмінними рисами політико-дипломатичної взаємодії є її інтенсивність та інституціалізація. Це - поєднання двосторонніх консультацій на найвищому та високому рівнях, використання формату «В3+1» (три країни Балтії та Німеччина), переговори на полях самітів ЄС і НАТО. Настільки тісний характер співпраці Німеччини та країн Балтії, на думку автора, зумовлений досить широким комплексом чинників. По-перше, це значний внесок Німеччини у справу утвердження країнами Балтії своєї незалежної національної державності.)[40].</w:t>
      </w:r>
    </w:p>
    <w:p w:rsidR="00000000" w:rsidDel="00000000" w:rsidP="00000000" w:rsidRDefault="00000000" w:rsidRPr="00000000" w14:paraId="0000011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детальніше окремі напрямки діяльності ЗС Італії на середземноморському напрямку поза межами ЄС і НАТО [23]. Як приклади взято двосторонні або багатосторонні місії, що тривають зараз, відібрані за трьома принципами: велика роль Італії в їхньому функціонуванні; висока її значущість для забезпечення національної безпеки країни; можливість простежити в найчистішому вигляді виділені нами категорії операцій у Великому Середземномор'ї. Йдеться про миротворчість і стабілізацію обстановки силами військових і цивільних фахівців (місія КФОР у Косово, Операція сил ЄС у Боснії та Герцеговині «Алтея», спостерігачі Євросоюзу в Грузії та Вірменії, Тимчасові сили ООН у Лівані - ЮНІФІЛ, Місія ООН зі стабілізації в Малі - МИНУСМА); про збройні акції у складі багатосторонньої коаліції (Югославія, Ірак); про «військову дипломатію» (двосторонні програми співпраці з Тунісом, Лівією, Ліваном, Малі та іншими, до цієї ж категорії можна зарахувати військову допомогу Україні): миротворчість проаналізовано на прикладі участі Італії в ЮНІФІЛ з огляду на високий ступінь залученості (італійський контингент - другий за чисельністю); військові інтервенції розглядаються на прикладі участі в операції в Іраку (єдина операція такого типу, яка триває сьогодні, за участю ЗС Італії); «військова дипломатія» проаналізована на прикладі італійсько-лівійських програм (після завершення військової інтервенції Італія реалізує велику кількість спільних із лівійською владою заходів.</w:t>
      </w:r>
    </w:p>
    <w:p w:rsidR="00000000" w:rsidDel="00000000" w:rsidP="00000000" w:rsidRDefault="00000000" w:rsidRPr="00000000" w14:paraId="0000011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країнах Великого Середземномор'я Італія реалізує різноманітні проєкти за участю збройних сил. У більшості випадків йдеться про багатосторонні формати, де Італія фактично відіграє лідуючу роль. Треба врахувати при цьому системність роботи в цьому геополітичному напрямку посилення власного впливу багатьма доступними для сучасної Італійської Республіки напрямками. Що є наявним, певне не врахування та відсутність визнання Італії з боку велики держав ЄС потужним гравець з своїм колом інтересів, які далеко не завжи збігаються з інтересами багатьох країн європейського простору. </w:t>
      </w:r>
    </w:p>
    <w:p w:rsidR="00000000" w:rsidDel="00000000" w:rsidP="00000000" w:rsidRDefault="00000000" w:rsidRPr="00000000" w14:paraId="0000011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Італія відіграє більш-менш значущу роль, але не є головним спонсором (за окремими окреми винятками, на кшталт місії ТК/МТ). Через складність регіональних проблем і неповороткість місій (у випадку з ООН) або зміщення акценту на розв'язання одного вузького завдання (у випадку з НАТО) їхня ефективність виявляється порівняно низькою: вдається лише забезпечити мінімальну стабілізацію обстановки [47].</w:t>
      </w:r>
    </w:p>
    <w:p w:rsidR="00000000" w:rsidDel="00000000" w:rsidP="00000000" w:rsidRDefault="00000000" w:rsidRPr="00000000" w14:paraId="0000011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внутрішньополітичних причин і через неготовність витрачати великі ресурси Італія утримується від безпосередньої участі в бойових діях, займаючись логістикою, консультуванням, підготовкою місцевих формувань. Такий підхід знижує витрати, але не дає змоги висунутися на першорядні ролі та реалізувати стратегічну мету: стабілізувати обстановку, зупинити потік нелегальної міграції, забезпечити сприятливі умови для економічної діяльності. Оптимальним механізмом, на думку керівництва, стало б створення багатосторонніх форматів за центральної ролі Італії, що дало б змогу зміцнити авторитет країни в Європі та в середземноморських країнах. Але, незважаючи на декларації в стратегічних документах, на ділі Рим не готовий прийняти статус лідера.</w:t>
      </w:r>
    </w:p>
    <w:p w:rsidR="00000000" w:rsidDel="00000000" w:rsidP="00000000" w:rsidRDefault="00000000" w:rsidRPr="00000000" w14:paraId="0000011B">
      <w:pPr>
        <w:spacing w:after="158" w:line="360" w:lineRule="auto"/>
        <w:ind w:firstLine="720"/>
        <w:jc w:val="both"/>
        <w:rPr>
          <w:rFonts w:ascii="Times New Roman" w:cs="Times New Roman" w:eastAsia="Times New Roman" w:hAnsi="Times New Roman"/>
          <w:sz w:val="28"/>
          <w:szCs w:val="28"/>
        </w:rPr>
      </w:pPr>
      <w:bookmarkStart w:colFirst="0" w:colLast="0" w:name="_heading=h.gjdgxs" w:id="0"/>
      <w:bookmarkEnd w:id="0"/>
      <w:r w:rsidDel="00000000" w:rsidR="00000000" w:rsidRPr="00000000">
        <w:rPr>
          <w:rFonts w:ascii="Times New Roman" w:cs="Times New Roman" w:eastAsia="Times New Roman" w:hAnsi="Times New Roman"/>
          <w:sz w:val="28"/>
          <w:szCs w:val="28"/>
          <w:rtl w:val="0"/>
        </w:rPr>
        <w:t xml:space="preserve">Наразі Рим прагне надати нового подиху своїй середземноморській політиці, зокрема у військово-політичному вимірі. Але принципово нових рішень ні уряд, ні експертне співтовариство не пропонують: до істотного нарощування присутності ЗС за кордоном уряд не готовий. Основним пріоритетом залишається участь у багатосторонніх місіях миротворчого та гуманітарного характеру. У їхньому складі країна може мати різний статус, від мінімальної присутності (4 спостерігачі в Грузії) до великого контингенту (понад 1000 осіб в Іраку, Лівані). Італійські представники беруть участь у керівництві місіями (так, у 2022-2023 рр. генерал Дж. Іаннуччі очолював Місію НАТО в Іраку). Однак загалом ступінь її залученості та роль в ухваленні рішень не є вирішальними. Подібна ситуація, як очікується, зберігатиметься й надалі[40].</w:t>
      </w:r>
    </w:p>
    <w:p w:rsidR="00000000" w:rsidDel="00000000" w:rsidP="00000000" w:rsidRDefault="00000000" w:rsidRPr="00000000" w14:paraId="0000011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Країни Балтії, що володіють сумарно і тим паче окремо досить обмеженою ресурсною базою зовнішньої політики, не тільки не претендують на регіональне лідерство (як Польща), а й, навпаки, демонструють прагнення одержувати різну допомогу (зокрема військову) від потужніших держав - членів євроатлантичної регіональної системи. При цьому диверсифікація зовнішньополітичних контактів, тобто розвиток зв'язків не тільки зі США, а й з європейськими державами НАТО, які одночасно є членами ЄС, вигідна країнам Балтії [49]. Німеччина в зв'язку з цим постає перспективним партнером не тільки з політичної та економічної (провідна промисловість у Європейському союзі та сфокусованість на зовнішній торгівлі), а й з соціокультурної точок зору. Остзейські німці, які є нащадками хрестоносців, що управляли територіями майбутніх Естонії та Латвії в 1201-1560 рр., аж до теперішнього моменту є згуртованою і впливовою меншиною, чиї представники інтегровані в національний істеблішмент [32].</w:t>
      </w:r>
    </w:p>
    <w:p w:rsidR="00000000" w:rsidDel="00000000" w:rsidP="00000000" w:rsidRDefault="00000000" w:rsidRPr="00000000" w14:paraId="0000011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Сукупність цих чинників відкрила шлях масштабному і динамічному стратегічному (зокрема політико-військовому) проникненню ФРН у країни Балтії. Укупі з вигідним геоекономічним (особливо з огляду на значущість Балтійського моря для розвитку зовнішньої торгівлі Німеччини) і геополітичним становищем Литви, Латвії та Естонії це призводить до того, що ці країни не тільки де-юре, а й де-факто належать до числа пріоритетних партнерів для офіційного Берліна [49].</w:t>
      </w:r>
    </w:p>
    <w:p w:rsidR="00000000" w:rsidDel="00000000" w:rsidP="00000000" w:rsidRDefault="00000000" w:rsidRPr="00000000" w14:paraId="0000011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Польська армія приступила до переозброєння з великим запізненням. Тема модернізації ВПК стала актуальною ще в 1990-ті роки у зв'язку з перспективами вступу до НАТО. Керівництво країни сподівалося, що за допомогою союзників по альянсу одночасно вдасться перейти на натовські стандарти і провести технічну модернізацію. Обидва завдання вимагали істотних вкладень, які Польща не могла собі дозволити, незважаючи на те, що обсяг витрат на оборону завжди перебував на прийнятному для членів альянсу рівні.</w:t>
      </w:r>
    </w:p>
    <w:p w:rsidR="00000000" w:rsidDel="00000000" w:rsidP="00000000" w:rsidRDefault="00000000" w:rsidRPr="00000000" w14:paraId="0000011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Фактично формування Варшавою нової військової доктрини, орієнтованої на готовність як до активної участі в союзницьких операціях, так і до самостійної оборони до отримання союзницької допомоги від НАТО [64]. При цьому Польща, на відміну від своїх сусідів, має у своєму розпорядженні серйозну військову міць і оборонний промисловий потенціал, що дозволяють їй виступати як донор безпеки.</w:t>
      </w:r>
    </w:p>
    <w:p w:rsidR="00000000" w:rsidDel="00000000" w:rsidP="00000000" w:rsidRDefault="00000000" w:rsidRPr="00000000" w14:paraId="0000012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Власна оборонна промисловість переживає скрутні часи і не здатна створювати якісний продукт, який можна порівняти з пропозиціями лідерів галузі, проте демонструє зростаючу політичну значущість для уряду Польщі.</w:t>
      </w:r>
    </w:p>
    <w:p w:rsidR="00000000" w:rsidDel="00000000" w:rsidP="00000000" w:rsidRDefault="00000000" w:rsidRPr="00000000" w14:paraId="0000012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розвитку оборонного сектору європейських країн зусилля Варшави здебільшого виглядають стандартними - як спроби налагодити міжнародне співробітництво, інтегрувати польських виробників у міжнародні оборонні проєкти, збільшити частку цивільної продукції оборонних підприємств тощо[64]. Але є й особливості - насамперед ідеться про абсолютну консолідацію військової промисловості в єдиному холдингу, повністю контрольованому державою. В інших європейських країнах процес іде шляхом об'єднання конкуруючих виробників, що випускають одну номенклатуру озброєнь, або ж інтеграції виробників і постачальників не за ознакою належності до оборонного сектору.</w:t>
      </w:r>
    </w:p>
    <w:p w:rsidR="00000000" w:rsidDel="00000000" w:rsidP="00000000" w:rsidRDefault="00000000" w:rsidRPr="00000000" w14:paraId="0000012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Всупереч тенденції до спеціалізації, що набирає популярності в НАТО, Польща в XXI ст. прагне мати універсальну армію. Це дає змогу державі перебувати в одному вимірі з державами НАТО, армії яких, згідно з концепцією «рамкових країн» , відповідальні за планування операцій, їхню організацію та логістику, а в разі потреби - і за оборону[64].</w:t>
      </w:r>
    </w:p>
    <w:p w:rsidR="00000000" w:rsidDel="00000000" w:rsidP="00000000" w:rsidRDefault="00000000" w:rsidRPr="00000000" w14:paraId="0000012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найбільша визначеність простежується в модернізації танків, хоча строки, встановлені для переозброєння, вказані явно недостатні з огляду на кількість одиниць оновлюваної техніки. Взагалі проблема позначених термінів у військовому бюджеті є чи не основною практично за всіма статтями видатків.</w:t>
      </w:r>
    </w:p>
    <w:p w:rsidR="00000000" w:rsidDel="00000000" w:rsidP="00000000" w:rsidRDefault="00000000" w:rsidRPr="00000000" w14:paraId="0000012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програми переозброєння - виведення з кризи армії та оборонно-промислового комплексу. У перспективі польська оборонна галузь має стати конкурентоспроможною на світовому ринку. Труднощі модернізації ВПК пов'язані з відсталістю оборонної промисловості та відсутністю у Польщі достатнього для інноваційних розробок конструкторського потенціалу.</w:t>
      </w:r>
    </w:p>
    <w:p w:rsidR="00000000" w:rsidDel="00000000" w:rsidP="00000000" w:rsidRDefault="00000000" w:rsidRPr="00000000" w14:paraId="0000012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польському істеблішменті вважають, що вивести оборонну промисловість із кризи можна за допомогою консолідації військового виробництва, що є обов'язковою передумовою включення до міжнародних оборонно-промислових структур і зв'язків. Відповідне завдання було поставлено ще в 2007 році.</w:t>
      </w:r>
    </w:p>
    <w:p w:rsidR="00000000" w:rsidDel="00000000" w:rsidP="00000000" w:rsidRDefault="00000000" w:rsidRPr="00000000" w14:paraId="0000012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витратна частина програми модернізації ВПК - заміщення озброєнь, що відслужили свій термін, у ключових сферах - на флоті, в авіації та бронетехніці, але саме тут особливо сильна інерція, а процес оновлення багато в чому визначається структурою збройних сил, похідною від стратегічних цілей минулого. У планах переозброєння майже не простежується цілісне бачення майбутньої польської армії. Особливо явно проблема відчувається в проєктах модернізації флоту.</w:t>
      </w:r>
    </w:p>
    <w:p w:rsidR="00000000" w:rsidDel="00000000" w:rsidP="00000000" w:rsidRDefault="00000000" w:rsidRPr="00000000" w14:paraId="0000012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показує історичний досвід і практика ведення бойових дій угрупованнями військ у війнах і збройних конфліктах, практично неможливо вести бойові дії за рахунок озброєння і військової техніки, випущеної промисловістю в мирний час, який передував цьому моменту. Отже, підготовка до нарощування випуску військової продукції повинна здійснюватися завчасно, що здійсненно при використанні диверсифікації відповідного виробництва. Причому важливо, щоб диверсифікація ґрунтувалася на випуску продукції подвійного призначення та (або) такої продукції цивільного призначення, яку можна було б виробляти на обладнанні, що здатне в короткі строки перебудовуватися на виробництво товарів для задоволення військових потреб.</w:t>
      </w:r>
    </w:p>
    <w:p w:rsidR="00000000" w:rsidDel="00000000" w:rsidP="00000000" w:rsidRDefault="00000000" w:rsidRPr="00000000" w14:paraId="0000012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більшості економічно розвинених країн зараз безперервно вдосконалюються військово-промислові комплекси за рахунок розроблення нових технологій. При цьому важливо розуміти, що конструювання військово-технічних засобів відстає від динамічного розвитку науково-технологічної основи. </w:t>
      </w:r>
    </w:p>
    <w:p w:rsidR="00000000" w:rsidDel="00000000" w:rsidP="00000000" w:rsidRDefault="00000000" w:rsidRPr="00000000" w14:paraId="0000012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з огляду на масштаби потенційно можливої третьої світової війни, не можна нехтувати тим, що більшу частину ОВСТ буде знищено за короткий проміжок часу, а інша частина - не затребувана. У зв'язку з усвідомленням такої неминучості подальше нескінченне традиційне «перегонитва озброєнь» є нераціональним, як з економічної, так і політичної точок зору.</w:t>
      </w:r>
    </w:p>
    <w:p w:rsidR="00000000" w:rsidDel="00000000" w:rsidP="00000000" w:rsidRDefault="00000000" w:rsidRPr="00000000" w14:paraId="0000012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цим вищевказаними країнами з певного часу здійснюється робота зі створення нетрадиційних засобів ведення збройної боротьби. Такі нові засоби можуть забезпечити найбільший ефект за рахунок впливу на життєво важливі органи людини, агрегати озброєння, бойової техніки та фізичні поля, супутні їхньому функціонуванню, використовуючи променеву енергію, агресивні хімічні засоби, різноманітні біологічні методи, а також мікрохвильове та електромагнітне випромінювання. Незважаючи на те, що в сучасних умовах вони тільки доповнюють традиційні види озброєння, надалі існує цілком реальна перспектива надання їм переваги над будь-якими наявними сьогодні видами зброї.</w:t>
      </w:r>
    </w:p>
    <w:p w:rsidR="00000000" w:rsidDel="00000000" w:rsidP="00000000" w:rsidRDefault="00000000" w:rsidRPr="00000000" w14:paraId="0000012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Якісним показником ефективності військової галузі вважається маржа, фінансова результативність від виробництва і продажу озброєння.</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У США або Європі військові замовлення отримують компанії, що працюють далеко не тільки у сфері «оборонки» (у Boeing на замовлення Пентагону припадає 34 % виручки, в EADS на потреби європейських і американських військових - лише 21 %).</w:t>
      </w:r>
    </w:p>
    <w:p w:rsidR="00000000" w:rsidDel="00000000" w:rsidP="00000000" w:rsidRDefault="00000000" w:rsidRPr="00000000" w14:paraId="0000012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Будь-яке зростання в подібній сфері, в даному випадку військовій високотехнологічній, в умовах жорсткої ринкової конкуренції не може не розцінюватися як позитивне. Однак, проблема полягає в тому, що нарощування військових поставок не зможе стати тим локомотивом</w:t>
      </w:r>
    </w:p>
    <w:p w:rsidR="00000000" w:rsidDel="00000000" w:rsidP="00000000" w:rsidRDefault="00000000" w:rsidRPr="00000000" w14:paraId="0000012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часом Північноатлантичний альянс дедалі більшою мірою позиціонує себе як інституцію, що забезпечує координацію зусиль країн-учасниць у сфері військово-технічного співробітництва. Однак розширення співпраці з метою оптимізації обороноздатності з урахуванням «конкурентних переваг» окремих країн, як це передбачено, приміром, в ініціативі «розумної оборони» альянсу, зіткнеться з недовірою держав-учасниць і прагненням обстоювати свій суверенітет. </w:t>
      </w:r>
    </w:p>
    <w:p w:rsidR="00000000" w:rsidDel="00000000" w:rsidP="00000000" w:rsidRDefault="00000000" w:rsidRPr="00000000" w14:paraId="0000012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у вкрай сприятливій для цього стратегічній обстановці, що створилася, не виключено, що великі держави, такі як ФРН, переглянуть обсяг своїх військових витрат у бік збільшення, що може розглядатися національними політичними елітами як спосіб збільшення міжнародного впливу. ФРН мають шанс перебрати на себе геополітичне лідерство у боротьбі із Францією у континентальній Європі. Наразі ми можемо спостерігати навіть коаліційну кризу уряду Олафа Шольца саме через нерішучість у питання поставок Україні ракет TAURUS. Опоненти діючого канцлера чітко вбачають песпективу у більш рішучій позиції, яка б вивела Німечину на новий рівень у європейській, а можливо і у світовій плітиці. </w:t>
      </w:r>
    </w:p>
    <w:p w:rsidR="00000000" w:rsidDel="00000000" w:rsidP="00000000" w:rsidRDefault="00000000" w:rsidRPr="00000000" w14:paraId="0000012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США на сучасному етапів в цілому та безосередньо у оборонному секторв в ЄС та серед держав – членів залишається вкрай стижневим та помітним. </w:t>
      </w:r>
    </w:p>
    <w:p w:rsidR="00000000" w:rsidDel="00000000" w:rsidP="00000000" w:rsidRDefault="00000000" w:rsidRPr="00000000" w14:paraId="0000013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Сполучені Штати розвивають програми зі співробітництва в галузі протиракетної оборони з низкою країн-союзниць - Великою Британією, Японією, Австралією, Ізраїлем, Данією, Німеччиною, Нідерландами, Чехією, Польщею, Італією та багатьма іншими. Агентство з протиракетної оборони США також бере активну участь у діяльності НАТО, допомагаючи тим самим максимізувати можливості для розробки інтегрованої системи протиракетної оборони НАТО [35].</w:t>
      </w:r>
    </w:p>
    <w:p w:rsidR="00000000" w:rsidDel="00000000" w:rsidP="00000000" w:rsidRDefault="00000000" w:rsidRPr="00000000" w14:paraId="0000013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 протиракетної оборони «Іджіс». Основою Європейського поетапного адаптивного підходу є протиракетна система «Іджіс» (Aegis), як морського, так і наземного базування, а також розгортання триступеневої протиракети SM-3 різних модифікацій. </w:t>
      </w:r>
    </w:p>
    <w:p w:rsidR="00000000" w:rsidDel="00000000" w:rsidP="00000000" w:rsidRDefault="00000000" w:rsidRPr="00000000" w14:paraId="0000013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ПРО «Іджіс» морського базування розміщується на борту крейсерів класу «Тікандерога» (Ticonderoga) та есмінців класу «Ерлі Берк» (Arleigh Burke), а наземного базування - на двох базах у Східній Європі: в Румунії до 2015 р. і в Польщі до 2018 р. Комплекс ПРО «Іджіс» - це військово-морська складова системи протиракетної оборони США [35]. </w:t>
      </w:r>
    </w:p>
    <w:p w:rsidR="00000000" w:rsidDel="00000000" w:rsidP="00000000" w:rsidRDefault="00000000" w:rsidRPr="00000000" w14:paraId="0000013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Бойові кораблі, оснащені системою «Іджіс», несуть бойову варту, виявляють і супроводжують балістичні ракети всіх радіусів дій, включно з міжконтинентальними балістичними ракетами (МБР), передають дані супроводу цілі комплексу (підрозділу ПРО).нію). Можливість обміну даними супроводу цілі дає змогу синхронізувати дії РЛС із перехоплення цілей на середній ділянці траєкторії, надає дані. </w:t>
      </w:r>
    </w:p>
    <w:p w:rsidR="00000000" w:rsidDel="00000000" w:rsidP="00000000" w:rsidRDefault="00000000" w:rsidRPr="00000000" w14:paraId="00000134">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5">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Національна безпека країн ЄС та військова допомога Україні </w:t>
      </w:r>
    </w:p>
    <w:p w:rsidR="00000000" w:rsidDel="00000000" w:rsidP="00000000" w:rsidRDefault="00000000" w:rsidRPr="00000000" w14:paraId="0000013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Військова допомога Україні має ключову роль для збереження безпекового балансу сучасної Європи. Лімінальний характер територіального положення України завжди сутнісно окреслював цю роль. Довний час більість країн ЄС не визнаали необхідність потужної фінансової, дипломатичної та безпосередньо військової допомоги необхідною уиовою власної стабільності та об’єктивно нормального й збалансованого безпекового стану. </w:t>
      </w:r>
    </w:p>
    <w:p w:rsidR="00000000" w:rsidDel="00000000" w:rsidP="00000000" w:rsidRDefault="00000000" w:rsidRPr="00000000" w14:paraId="0000013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Цьому надавало імпульс декілька чинників. Головний чинник, це стратегічне не врахування чинника російської загрози та реальності повномасштабного вторгнення та військових дій. Навіть з початком гібридної агресії проти України у 2014 році, європейські уряди та європейські політичні сили практично не визнавали ті корінні зміни, які відбуваються на їх очах. </w:t>
      </w:r>
    </w:p>
    <w:p w:rsidR="00000000" w:rsidDel="00000000" w:rsidP="00000000" w:rsidRDefault="00000000" w:rsidRPr="00000000" w14:paraId="0000013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Зрушення стосувались тільки дипломатичної допомоги та намаганню грати на декількох сторонах – полюсах одночасно. Виразом цього прагнення став так званий «Норманський формат», де роль ФРН та Франції зводилась до помірних переговорників задля тієї мети аби скоріш здійснити заморожування військового конфлікту.</w:t>
      </w:r>
    </w:p>
    <w:p w:rsidR="00000000" w:rsidDel="00000000" w:rsidP="00000000" w:rsidRDefault="00000000" w:rsidRPr="00000000" w14:paraId="0000013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Фактично великі європейські гравці втратили свій шашс вплинути на ситуацію у період і каденції українського Президента П. Порошенко, і відповідно у перші роки каденції Президента В. Зеленського. На тлі гібридної війни проти України, великі європейські країни вели  еконмоіну політику збалансованості, тобто підтримували економіні зв’язки із рф, де головну роль відігравав ресурсний чинник постачань гасу зокрема до Німеччини за часів каденції федеральної канцлери Ангели Меркель, яка взагалі відзначалась суттєвою помірністю у намаганні завадити росії впливати саме на європейські політині процеси в цілому.</w:t>
      </w:r>
    </w:p>
    <w:p w:rsidR="00000000" w:rsidDel="00000000" w:rsidP="00000000" w:rsidRDefault="00000000" w:rsidRPr="00000000" w14:paraId="0000013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А.О. Каляєв, О.М. Шаповал акцентують: «власне партнерський підхід до подальшого розвитку співпраціУкраїни з ЄС у сфері зовнішньої політики і безпеки демонструє три напрями:– взаємодія України і ЄС у міжнародному і регіональному вимірах зарадиспільної безпеки;– допомога ЄС у зміцненні стійкості і безпеки України; – внесок України у безпеку Європи.Очевидно, що у майбутньому міжнародний і регіональний виміри співпраці України  і  ЄС  зважатимуть  на  всебічну  підтримку  України  ЄвропейськимСоюзом у питаннях, що стосуються суверенітету, територіальної цілісності,захисту національних інтересів, безпеки держави і людини» [7, c. 28].</w:t>
      </w:r>
    </w:p>
    <w:p w:rsidR="00000000" w:rsidDel="00000000" w:rsidP="00000000" w:rsidRDefault="00000000" w:rsidRPr="00000000" w14:paraId="0000013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лютого 2022 початкова роль країн ЄС щодо допомоги Україні коливалась у ракурсі прийому та розміщення біженців, фінансової допомоги та надання неретельної зброї (зокрема, Німеччина). Роль США була більш помітною у організаційному ключі та щодо масштабування процесів допомоги. Держави ЄС зайняли певну вичікувальну позицію щодо саме постачання летальної зброї.</w:t>
      </w:r>
    </w:p>
    <w:p w:rsidR="00000000" w:rsidDel="00000000" w:rsidP="00000000" w:rsidRDefault="00000000" w:rsidRPr="00000000" w14:paraId="0000013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Одразу ж після початку повномасштабного вторгнення росії в Україну Пентагоном було сформовано з представників 40 країн Контактну групу з питань оборони України, метою якої було сприяти в забезпеченні військових потреб Києва та розглядати його запити. На базі двох американського і британського центрів, що раніше функціонували, було створено Об'єднану координаційну раду з поставок озброєнь Україні - зі штаб-квартирою в Штутгарті (International Donor Coordination Center - IDCC), де здійснювали роботу з координації та синхронізації поставок озброєння з різних країн, а також навчання українських військових. На військовій базі Ramstein у Німеччині почали регулярно, приблизно раз на місяць, збиратися представники країн-членів Контактної групи з питань оборони України (так званий «формат Ramstein») для обговорення питань військової допомоги Києву, а також організації співробітництва в галузях промисловості, які забезпечують зростаючі у зв'язку з поставками озброєнь потреби в боєприпасах і збройових установках.</w:t>
      </w:r>
    </w:p>
    <w:p w:rsidR="00000000" w:rsidDel="00000000" w:rsidP="00000000" w:rsidRDefault="00000000" w:rsidRPr="00000000" w14:paraId="0000013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Президент США Джозеф Байден уже 25 лютого 2022 р. спеціальним меморандумом ухвалив рішення про виділення 600 млн дол. допомоги Україні, з них 350 млн - на потреби її оборони. А потім запросив згоди Конгресу на те, щоб спрямувати їй додатково пакет військової допомоги в розмірі 6,4 млрд дол., який буквально за тиждень під час обговорення в Сенаті збільшився ще вдвічі й становив уже 13,6 млрд. 10 березня Конгрес США ухвалив Допоміжний акт щодо України.</w:t>
      </w:r>
    </w:p>
    <w:p w:rsidR="00000000" w:rsidDel="00000000" w:rsidP="00000000" w:rsidRDefault="00000000" w:rsidRPr="00000000" w14:paraId="0000013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ЄС після початку російської  війни згодом ухвалили рішення фінансувати військові поставки Україні. До Києва один за одним їздили лідери європейських країн. Було спеціально створено Європейський фонд миру (European Peace Facility), який займався фінансуванням поставок озброєнь і військового обладнання Україні. Загалом за рік країнами ЄС і Великою Британією Україні передано військової допомоги на суму близько 7 млрд дол. [Обсяг 2023] (а було обіцяно на 9 млрд). 82</w:t>
      </w:r>
    </w:p>
    <w:p w:rsidR="00000000" w:rsidDel="00000000" w:rsidP="00000000" w:rsidRDefault="00000000" w:rsidRPr="00000000" w14:paraId="0000013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Сполучені Штати здійснювали постачання озброєнь Україні переважно на основі грантів, які вони виділяли. Значні субсидії Україні також надали Велика Британія, Німеччина, Норвегія. Тоді як європейські інституції загалом і такі країни, як Франція, Японія, Канада, здійснювали військову допомогу Києву переважно за рахунок своїх позик, які підлягали подальшому відшкодуванню, - що неминуче лягало додатковим тягарем на український бюджет.</w:t>
      </w:r>
    </w:p>
    <w:p w:rsidR="00000000" w:rsidDel="00000000" w:rsidP="00000000" w:rsidRDefault="00000000" w:rsidRPr="00000000" w14:paraId="0000014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європейських держав найбільше у військовій допомозі Україні взяли участь Велика Британія, Польща, Німеччина, а також, особливо в пропорції від розміру їхніх економік, Естонія, Латвія, Литва - що було зрозуміло.</w:t>
      </w:r>
    </w:p>
    <w:p w:rsidR="00000000" w:rsidDel="00000000" w:rsidP="00000000" w:rsidRDefault="00000000" w:rsidRPr="00000000" w14:paraId="0000014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Швеція, Нідерланди, Португалія, Польща, Литва, Австралія. Крім них, снарядами Україну також забезпечували Болгарія, Туреччина, Судан, Пакистан та інші країни.</w:t>
      </w:r>
    </w:p>
    <w:p w:rsidR="00000000" w:rsidDel="00000000" w:rsidP="00000000" w:rsidRDefault="00000000" w:rsidRPr="00000000" w14:paraId="0000014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Бронетранспортери та БМП постачали США, Великобританія, Франція, Данія, Австралія, Німеччина, Норвегія, Італія, Іспанія, Португалія, Греція, Литва, Канада, а інші броньовані автомобілі – поряд із США, також Нідерланди, Словенія, Чеська Республіка.</w:t>
      </w:r>
    </w:p>
    <w:p w:rsidR="00000000" w:rsidDel="00000000" w:rsidP="00000000" w:rsidRDefault="00000000" w:rsidRPr="00000000" w14:paraId="0000014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Влада Німеччини, яка до лютого 2022 р. відмовлялася постачати зброю Україні і не дозволяла передавати їй озброєння німецького виробництва, після початку війни дозволила Нідерландам та Естонії робити це. І однознано заявили, що самі відправлять Києву 1 тис. протитанкових ракет і 500 протиповітряних систем Stinger.</w:t>
      </w:r>
    </w:p>
    <w:p w:rsidR="00000000" w:rsidDel="00000000" w:rsidP="00000000" w:rsidRDefault="00000000" w:rsidRPr="00000000" w14:paraId="0000014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Певним чином, так рішення для традиційно помірного Берліну було неочікуваним.</w:t>
      </w:r>
    </w:p>
    <w:p w:rsidR="00000000" w:rsidDel="00000000" w:rsidP="00000000" w:rsidRDefault="00000000" w:rsidRPr="00000000" w14:paraId="0000014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Паралельно в Берліні ухвалили рішення про додаткове виділення 100 млрд євро на потреби власної національної оборони. Таким чином, уперше в Німеччині військовий бюджет становив понад 2% від її ВВП, чого Сполучені Штати впродовж цілої низки років, починаючи з 2014 р., намагалися домогтися від своїх союзників. </w:t>
      </w:r>
    </w:p>
    <w:p w:rsidR="00000000" w:rsidDel="00000000" w:rsidP="00000000" w:rsidRDefault="00000000" w:rsidRPr="00000000" w14:paraId="0000014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у Берліні, незважаючи на тиск з боку Вашингтона і Варшави, а також опозиційного блоку ХДС/ХСС у німецькому Бундестазі й усередині власного уряду, у тому числі всупереч позиції міністерки закордонних справ Анналіни Бербок, - заявляли, що мають намір утримуватися від односторонніх дій і не будуть ініціативною силою в постачанні озброєнь. Прихильники масштабнішої військової допомоги Україні всередині Німеччини, а також у Києві та в інших європейських столицях, постійно звинувачували німецький уряд у тому, що він не виконує своїх обіцянок щодо постачання озброєнь. При цьому негативне тло для ухвалення рішень щодо допомоги створювали неодноразово звучали образливі випади на адресу президента ФРН Франка-Вальтера Штайнмаєра і канцлера Олафа Шольца.</w:t>
      </w:r>
    </w:p>
    <w:p w:rsidR="00000000" w:rsidDel="00000000" w:rsidP="00000000" w:rsidRDefault="00000000" w:rsidRPr="00000000" w14:paraId="0000014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Саміті НАТО в Бухаресті 29 листопада 2022 року міністри закордонних справ країн - членів Альянсу підписали спільну заяву про намір і далі підтримувати Україну. При цьому офіційні особи в Пентагоні і НАТО зазначали, що розрахунки перебудовувалися, виходячи з того, що конфлікт може набути затяжного характеру. США, ФРН, Велика Британія, </w:t>
      </w:r>
    </w:p>
    <w:p w:rsidR="00000000" w:rsidDel="00000000" w:rsidP="00000000" w:rsidRDefault="00000000" w:rsidRPr="00000000" w14:paraId="0000014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Канада направили Україні зимове спорядження, причому Берлін на 11 млн євро, а Канада - 500 тис. одиниць зимової форми. Збором сезонної екіпіровки для України займалися з початку вересня і в НАТО загалом, виділивши Києву 200 тис. комплектів зимового обмундирування.</w:t>
      </w:r>
    </w:p>
    <w:p w:rsidR="00000000" w:rsidDel="00000000" w:rsidP="00000000" w:rsidRDefault="00000000" w:rsidRPr="00000000" w14:paraId="0000014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Тривало навчання особового складу ЗСУ інструкторами НАТО, яке здійснювалося вже протягом низки років. У період після лютого 2022 р. це навчання відбувалося у США, Польщі, Литві, Великій Британії, Норвегії, Німеччині, Канаді. Франція також здійснювала підготовку українських військових на сході Польщі. А в жовтні 2022 р. Євросоюз створив загальноєвропейську Місію військової допомоги (Military Assistance Mission -MAM) для систематичного навчання та проведення тренувань українських солдатів і бійців територіальної оборони на базах військових частин, розташованих у країнах Євросоюзу. </w:t>
      </w:r>
    </w:p>
    <w:p w:rsidR="00000000" w:rsidDel="00000000" w:rsidP="00000000" w:rsidRDefault="00000000" w:rsidRPr="00000000" w14:paraId="0000014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оперативною штаб-квартирою в Брюсселі та штатом у 300 осіб, Місія, поряд з її основною функцією забезпечення підтримки України, своєю появою фактично наближала ЄС до військової структури НАТО і по суті сприяла мілітаризації Євросоюзу.</w:t>
      </w:r>
    </w:p>
    <w:p w:rsidR="00000000" w:rsidDel="00000000" w:rsidP="00000000" w:rsidRDefault="00000000" w:rsidRPr="00000000" w14:paraId="0000014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відмітити, що ще на Саміті НАТО, що відбувся в березні 2022 р., одразу ж після лютневих подій, його учасники вирішили не надсилати Україні літаки або танки. Це викликало критику президента Володимира Зеленського, який у виступі 27 березня знову, як він це робив не раз, звинуватив західні країни в тому, що вони не допомагають Україні, і закликав передати Києву 1% від усіх літаків і танків НАТО [66].</w:t>
      </w:r>
    </w:p>
    <w:p w:rsidR="00000000" w:rsidDel="00000000" w:rsidP="00000000" w:rsidRDefault="00000000" w:rsidRPr="00000000" w14:paraId="0000014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в період до кінця березня тільки США, Естонія і Польща здійснили поставки важких озброєнь Києву. </w:t>
      </w:r>
    </w:p>
    <w:p w:rsidR="00000000" w:rsidDel="00000000" w:rsidP="00000000" w:rsidRDefault="00000000" w:rsidRPr="00000000" w14:paraId="0000014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Першими з європейських танків в Україну мали прибути 14 британських танків Challenger (раніше свій перший Leopard 2 А4 надіслала Канада). Танки Leopard з європейських країн мали поставити за кілька місяців, а американські - до осені або, за іншими даними, на наступний рік - у рамках згадуваної вище Ініціативи допомоги Україні в галузі безпеки, а значить, не з наявного арсеналу (на танках, що готуються до постачання, мали замінити їхню унікальну броню зі збідненого урану - через побоювання розсекречення складу матеріалу в разі можливого захоплення деяких танків).</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У поставках танків Leopard, крім ФРН, також погодилися брати участь ще вісім європейських країн, а всього танків західного виробництва для України - 16 країн. Нідерланди і Данія зобов'язалися допомогти профінансувати купівлю для України близько 100 списаних танків Leopard 1, які перед відправленням мали пройти модернізацію.</w:t>
      </w:r>
    </w:p>
    <w:p w:rsidR="00000000" w:rsidDel="00000000" w:rsidP="00000000" w:rsidRDefault="00000000" w:rsidRPr="00000000" w14:paraId="0000014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лютого 2023 року було ухвалено рішення про постачання снарядів новітнього покоління GLSDB (Ground-Launched Small Diameter Bomb - бомба малого діаметру наземного пуску) 150-кілометрової дальності виробництва фірми Boeing. Це так звані «розумні» крилаті заряди, що планують, які можуть запускатися з установок HIMARS. Крім важливого фактора дальності, що перевищує майже вдвічі показники боєприпасів для HIMARS, які раніше постачалися, ціна у GLSBD утричі менша, що теоретично дає змогу витрачати їх у значно більшій кількості. Фірма Boeing підтвердила готовність забезпечити масове виробництво GLSBD.</w:t>
      </w:r>
    </w:p>
    <w:p w:rsidR="00000000" w:rsidDel="00000000" w:rsidP="00000000" w:rsidRDefault="00000000" w:rsidRPr="00000000" w14:paraId="0000014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європейські політики вже визначають суттєві зрушення на історичному шляху змін. Так, «канцлер Німеччини Олаф Шульц назвав російське вторгнення в Україну «zeitenwende» («переломним моментом»), моментом в історії, який фундаментально змінює встановлений порядок. ЄС впорався з викликом і продемонстрував єдність цілей, якої не бачив багато років».</w:t>
      </w:r>
    </w:p>
    <w:p w:rsidR="00000000" w:rsidDel="00000000" w:rsidP="00000000" w:rsidRDefault="00000000" w:rsidRPr="00000000" w14:paraId="0000015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Безпекова проблематика не однаково акцентована для країн Європейського Союзу. Сегмент сучасних європейських країн обєктивно відгороджується від систмних змін у власній національній безпеці, відповідній стратгеії, а також у питаннях військової взаємодії з Україною та постачання Україні необхідного озброєння. Такими країнами, зокрема є Угорщина та Словачина. </w:t>
      </w:r>
    </w:p>
    <w:p w:rsidR="00000000" w:rsidDel="00000000" w:rsidP="00000000" w:rsidRDefault="00000000" w:rsidRPr="00000000" w14:paraId="0000015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Вони, не дивлячись на історичний бекгранд, пролонгують неоднозначні позиції у оборонній сфері. Ініціаторами такої політики є національні уряди цих держав, представники політиного істеблішменту, який має проросійську орієнтацію, а отже вони не наголошуються на військовій підтримці України.</w:t>
      </w:r>
    </w:p>
    <w:p w:rsidR="00000000" w:rsidDel="00000000" w:rsidP="00000000" w:rsidRDefault="00000000" w:rsidRPr="00000000" w14:paraId="0000015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Противагою цього є зміна стратегічної політики на наднаціональному рівні, тобто на рівні владних інституцій Європейського Союзу. Перш за все, мова йде про системність надання допомоги Україні. Фінансової допомоги у пріоритеті. Однак і просторі взаємодії щодо оборонної політики відбуваються наявні трансформаційні процеси. Можна прослідкувати цю тенденцію на конкретних прикладах.</w:t>
      </w:r>
    </w:p>
    <w:p w:rsidR="00000000" w:rsidDel="00000000" w:rsidP="00000000" w:rsidRDefault="00000000" w:rsidRPr="00000000" w14:paraId="0000015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 у 2024 році Європейська Комісія вперше погодила фінансування для проєктів із спільної закупівлі озброєння, в тому ислі і для України. Сума, яка чітко визнаається – це 300 млрд. євро на в цілому 5 проєктів. Власне, цей крок можна оцінювати, як беспрецидентний та фундаменталізуючий взаємодію з Україною на стратегчній основі. </w:t>
      </w:r>
    </w:p>
    <w:p w:rsidR="00000000" w:rsidDel="00000000" w:rsidP="00000000" w:rsidRDefault="00000000" w:rsidRPr="00000000" w14:paraId="00000154">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можна наголосити, що двох основних рівнях взаємодії – надінституційному та національному Україна наразі перебуває на позиції наявного геополітичного пріоритету для надання допомоги. Водночас, європейські оборонні корорації цікавляться можливість та планують виробляти зброю та необхідне спорядження безпосередньо в Україні, що динамізує економічні процеси і надасть можливість працевлаштувати багато українських громадян.</w:t>
      </w:r>
      <w:r w:rsidDel="00000000" w:rsidR="00000000" w:rsidRPr="00000000">
        <w:rPr>
          <w:rFonts w:ascii="Arial" w:cs="Arial" w:eastAsia="Arial" w:hAnsi="Arial"/>
          <w:b w:val="1"/>
          <w:color w:val="202122"/>
          <w:sz w:val="21"/>
          <w:szCs w:val="21"/>
          <w:highlight w:val="white"/>
          <w:rtl w:val="0"/>
        </w:rPr>
        <w:t xml:space="preserve"> </w:t>
      </w:r>
      <w:r w:rsidDel="00000000" w:rsidR="00000000" w:rsidRPr="00000000">
        <w:rPr>
          <w:rFonts w:ascii="Times New Roman" w:cs="Times New Roman" w:eastAsia="Times New Roman" w:hAnsi="Times New Roman"/>
          <w:sz w:val="28"/>
          <w:szCs w:val="28"/>
          <w:rtl w:val="0"/>
        </w:rPr>
        <w:t xml:space="preserve">Rheinmetall AG, німецький машинобудівний та оборонний концерн висловлює таку зацікавленість. </w:t>
      </w:r>
    </w:p>
    <w:p w:rsidR="00000000" w:rsidDel="00000000" w:rsidP="00000000" w:rsidRDefault="00000000" w:rsidRPr="00000000" w14:paraId="00000155">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6">
      <w:pPr>
        <w:spacing w:after="158" w:line="360" w:lineRule="auto"/>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2.</w:t>
      </w:r>
    </w:p>
    <w:p w:rsidR="00000000" w:rsidDel="00000000" w:rsidP="00000000" w:rsidRDefault="00000000" w:rsidRPr="00000000" w14:paraId="0000015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безпековий стан у державах ЄС можна охарактеризувати в цілому як нестабільний, з переважанням тенденцій турбулентності та намагання віднайти швидкі рішення. Більшість держав Європейського Союзу виявились абсолютно не готові до масштабної війни у центрі сучасної Європи. </w:t>
      </w:r>
    </w:p>
    <w:p w:rsidR="00000000" w:rsidDel="00000000" w:rsidP="00000000" w:rsidRDefault="00000000" w:rsidRPr="00000000" w14:paraId="0000015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цей факт свідчить аналітика доктрин національної безпеки, загальний стан армій країн ЄС, системні особлвості в розподілі коштів на оборону та ціла низка поточни чинників, які проявляються вже безпосередньо з лютого 2022 року. </w:t>
      </w:r>
    </w:p>
    <w:p w:rsidR="00000000" w:rsidDel="00000000" w:rsidP="00000000" w:rsidRDefault="00000000" w:rsidRPr="00000000" w14:paraId="0000015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готовність обумовлена стратегічною помилкою у сенсі оцінки російського фактору загрози на тлі інших небезпек, які традиційно даються взнаки в контексті сучасної Європи. Крім того, традиційно сильна зовнішня роль США, наявність військових контингентів в державах давало можливість відтягувати фінасування власних армій і переспрямовувати кошти на інші напрямки. Зокрема. </w:t>
      </w:r>
    </w:p>
    <w:p w:rsidR="00000000" w:rsidDel="00000000" w:rsidP="00000000" w:rsidRDefault="00000000" w:rsidRPr="00000000" w14:paraId="0000015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Пріоритетним для більшості середніх та малих держав Європейського Союзу стає соціально – економічний напрямок. В той самий час коли переозброєння та модернізація армій заб агатьма ознаками просувалась в достатній мірі повільно. </w:t>
      </w:r>
    </w:p>
    <w:p w:rsidR="00000000" w:rsidDel="00000000" w:rsidP="00000000" w:rsidRDefault="00000000" w:rsidRPr="00000000" w14:paraId="0000015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Власне, членство у НАТО ставало додатковим чинником до стратегічного погляду скоріш на пріоритет колективної безпеки ніж на масштабування власних національних військових потенціалів. Наразі можна відмітити, що тенденція змінилась докорінно, і на перші позиції для середніх та малих держав вийшла вже проблема зібльшення исельності власної армії та модернізація її за новими стандартами.</w:t>
      </w:r>
    </w:p>
    <w:p w:rsidR="00000000" w:rsidDel="00000000" w:rsidP="00000000" w:rsidRDefault="00000000" w:rsidRPr="00000000" w14:paraId="0000015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При цьому найбльш інформаційно відкрита та публічна завдяки сучасним технологіям повномасштабна війна в Україні надає можливість для аналітики нових викликів для ведення сучасни бойових дій, осовєння нового оснащення у бою тощо.</w:t>
      </w:r>
    </w:p>
    <w:p w:rsidR="00000000" w:rsidDel="00000000" w:rsidP="00000000" w:rsidRDefault="00000000" w:rsidRPr="00000000" w14:paraId="0000015D">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E">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F">
      <w:pPr>
        <w:spacing w:after="158" w:line="360" w:lineRule="auto"/>
        <w:ind w:firstLine="708"/>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0">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1">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2">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6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виклики, які стоять перед країнами Європейського Союзу суттєво активізують намагання швидкими темпами подолати весь спектр проблем, які стосуються ВПК та оборонних спроможностей в цілому. Інституційні межі та водночас потенціал НАТО надавали  можливість впродовж років переспрямовувати кошти на економічну та соціальну сфери в цілому, нехтуючи глибинною модернізацією у сфері оборони.</w:t>
      </w:r>
    </w:p>
    <w:p w:rsidR="00000000" w:rsidDel="00000000" w:rsidP="00000000" w:rsidRDefault="00000000" w:rsidRPr="00000000" w14:paraId="0000016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підкреслити, що з об’єктивним врахуванням диференціації країн ЄС за їх територією та потенціалом, слід наголосити, що і процеси які стосуються оборонної політики та національних стратегій у безпеці мають свої відмінності. Великі країни континентальної Європи, такі як Франція, ФРН та Італія мають більш чіткі пріоритети посилення власних позицій, власного ВПК та виробництва власної зброї, відовідно з масштабуванням своїх позицій та геополітичного впливу й поза межами Європи. Вони займають лідуючі позиції і в межах Північно – Атлантиного Альянсу, однак дещо відмежовують свою роль на тлі потужної ролі США. </w:t>
      </w:r>
    </w:p>
    <w:p w:rsidR="00000000" w:rsidDel="00000000" w:rsidP="00000000" w:rsidRDefault="00000000" w:rsidRPr="00000000" w14:paraId="00000165">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той самий час як середні та малі держави, які складають Європейський Союз часто зацівалені у колективній безпеці завдяки воєнно – політиному блоку та союзницьким домовленностям. Ці домовленності мають більшу вагу та інтерес з  їх сторони. Ця тенденція змінюється лише частково, в залежності від локаційного розташування країн, що розгляаються та аналізуються. </w:t>
      </w:r>
    </w:p>
    <w:p w:rsidR="00000000" w:rsidDel="00000000" w:rsidP="00000000" w:rsidRDefault="00000000" w:rsidRPr="00000000" w14:paraId="00000166">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країни Балтії прямо зацікавлені у підтримці України, в тому числі і через пряму загрозу для їх територіальної цілісності. В той самий ас вони посилюють власні збройні сили, налагоджують територіальну оборону, активно проводять навчання, та не мають іллюзій щодо російського чиннику та його проявів, в тому числі і через гібридні атаки та інформаційні операції в межах їх території зі сторони проросійських сил та зовнішнього російського впливу.</w:t>
      </w:r>
    </w:p>
    <w:p w:rsidR="00000000" w:rsidDel="00000000" w:rsidP="00000000" w:rsidRDefault="00000000" w:rsidRPr="00000000" w14:paraId="00000167">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європейському рівні стає необхідним контролювати кордони і зберігати загальноєвропейські цінності. На сучасному етапі міграційна криза - це довгостроковий виклик для кожної країни ЄС, який виникає через глибоку нерівність глобалізації та зростання напруженності чрез ведення війн, зокрема значну роль мають російсько – українська війна, війна на Ближньому Сході [43]. </w:t>
      </w:r>
    </w:p>
    <w:p w:rsidR="00000000" w:rsidDel="00000000" w:rsidP="00000000" w:rsidRDefault="00000000" w:rsidRPr="00000000" w14:paraId="00000168">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через своє географічне положення Європа пов'язана з Близьким Сходом та Африкою. </w:t>
      </w:r>
    </w:p>
    <w:p w:rsidR="00000000" w:rsidDel="00000000" w:rsidP="00000000" w:rsidRDefault="00000000" w:rsidRPr="00000000" w14:paraId="00000169">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цей факт буде постійно акцентований. При ому необхідно наголосити на різному характері і самих міграцій, віповідно і мігрантів, які наповнюють європейські міста сьогодні.</w:t>
      </w:r>
    </w:p>
    <w:p w:rsidR="00000000" w:rsidDel="00000000" w:rsidP="00000000" w:rsidRDefault="00000000" w:rsidRPr="00000000" w14:paraId="0000016A">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часом Північноатлантичний альянс дедалі більшою мірою позиціонує себе як інституцію, що забезпечує координацію зусиль країн-учасниць у сфері військово-технічного співробітництва. </w:t>
      </w:r>
    </w:p>
    <w:p w:rsidR="00000000" w:rsidDel="00000000" w:rsidP="00000000" w:rsidRDefault="00000000" w:rsidRPr="00000000" w14:paraId="0000016B">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розширення співпраці з метою оптимізації обороноздатності з урахуванням «конкурентних переваг» окремих країн, як це передбачено, приміром, в ініціативі «розумної оборони» альянсу, зіткнеться з недовірою держав-учасниць і прагненням обстоювати свій суверенітет. Ця проблема носить системний характер, і, закономірно щоб позиції невеликих країн враховувались в масштабах НАТО.</w:t>
      </w:r>
    </w:p>
    <w:p w:rsidR="00000000" w:rsidDel="00000000" w:rsidP="00000000" w:rsidRDefault="00000000" w:rsidRPr="00000000" w14:paraId="0000016C">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Велике значення має невизначенність наразі позицій США після Президентських виборів листопада 2024 року щодо подальших дій та військової підтримки країн Європи. Зберігається своєрідна стратегічна пауза у більшості питань, які хвилюють європейський істеблішмент саме у оборонній сфері.</w:t>
      </w:r>
    </w:p>
    <w:p w:rsidR="00000000" w:rsidDel="00000000" w:rsidP="00000000" w:rsidRDefault="00000000" w:rsidRPr="00000000" w14:paraId="0000016D">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за оцінками західних та вітчизняних експертів значно зросла роль Німеччини у військовому потенціалі та підтримці України. Де – факто за показниками військової підтримки ця держав вже є окресленим лідером. Допмну Україні виявила проглаини у оборонному комплексі в необхідності створення великої боєздатної армії. </w:t>
      </w:r>
    </w:p>
    <w:p w:rsidR="00000000" w:rsidDel="00000000" w:rsidP="00000000" w:rsidRDefault="00000000" w:rsidRPr="00000000" w14:paraId="0000016E">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модернізація та збільшення чисельності бундесверу фактично  стали показниками значного військового розвитку у період з початку повномасштабного вторгнення росії в Україну до сучасного стану. Німечина отримала мождивіть протестувати свою зброю, зокрема, танки «Леопард 2» в умовах реальної війни і вони продемонстрували значну ефективність та надійність, що вже посилює позиції ФРН на світовому ринку зброї.</w:t>
      </w:r>
    </w:p>
    <w:p w:rsidR="00000000" w:rsidDel="00000000" w:rsidP="00000000" w:rsidRDefault="00000000" w:rsidRPr="00000000" w14:paraId="0000016F">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сучасних умовах пріоритети як великих держав континетальної Європи, таких як Німечина, Франція, Італія пееглядаються у сенсі обороноздатності та можливості для колетивної оборони. </w:t>
      </w:r>
    </w:p>
    <w:p w:rsidR="00000000" w:rsidDel="00000000" w:rsidP="00000000" w:rsidRDefault="00000000" w:rsidRPr="00000000" w14:paraId="0000017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Закономірно розглядати роль саме цих держав у  трансформаційних процесах, враховуючи їх економічні та військові потенціали. Політичний і дипломатичний вплив на процеси в межах Європейського Союзу в цілому.</w:t>
      </w:r>
    </w:p>
    <w:p w:rsidR="00000000" w:rsidDel="00000000" w:rsidP="00000000" w:rsidRDefault="00000000" w:rsidRPr="00000000" w14:paraId="0000017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аналізу концепцій ефективності, що застосовуються при дослідженні функціонування об'єктів військової економіки держав ЄС, виявлено, що в них не беруть до уваги значну частину нематеріальних активів, недооцінка яких призводить до істотного заниження підсумкового показника вартості. Показано, що підприємства оборонно-промислового комплексу є базою, яка забезпечує боєздатність збройних сил держави в умовах сучасних високотехнологічних конфліктів і, зрештою, військову безпеку країни.</w:t>
      </w:r>
    </w:p>
    <w:p w:rsidR="00000000" w:rsidDel="00000000" w:rsidP="00000000" w:rsidRDefault="00000000" w:rsidRPr="00000000" w14:paraId="00000172">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Ведеться робота як за лінією НАТО, так і за лінією програми «Постійного структурованого співробітництва з питань безпеки та оборони» (Permanent Structured Cooperation, PESCO), у рамках якої Німеччина реалізує 17 проєктів і очолює роботу семи з них, зокрема проєкту зі створення єдиної логістичної системи для збройних сил ЄС і НАТО, що вкотре доводить значущість зв'язування системи безпеки ЄС і безпеки НАТО у воєнно-політичному плануванні Німеччини.</w:t>
      </w:r>
    </w:p>
    <w:p w:rsidR="00000000" w:rsidDel="00000000" w:rsidP="00000000" w:rsidRDefault="00000000" w:rsidRPr="00000000" w14:paraId="00000173">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Важливо відмітити, що при всьому впливі класичних великих держав, значно зростає роль оборонної співпраці між геополітичними трикутниками та державами, які до них входять. Такі трикутники та їх кількість буде зростати в умовах. Якщо єдині інституційні запобіжники у безпековому напрямку ЄС та НАТО не будуть спрацьовувати в повній мірі. </w:t>
      </w:r>
    </w:p>
    <w:p w:rsidR="00000000" w:rsidDel="00000000" w:rsidP="00000000" w:rsidRDefault="00000000" w:rsidRPr="00000000" w14:paraId="00000174">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Передумовами для досягнення необхідного результату стають оперативне отримання інформації та безперервний тренувальний процес як даність викликам поточного і стратегічного характеру, а також ймовірним неочікуваним подіям, які можуть кардинально вплинути на загальний безпековий фон у Європейському Союзі. Очевидно, що поряд із великими військовими формуваннями зростає роль мобільних підрозділів. Стосовно кіберпростору передбачено оборону в комп'ютерних мережах..</w:t>
      </w:r>
    </w:p>
    <w:p w:rsidR="00000000" w:rsidDel="00000000" w:rsidP="00000000" w:rsidRDefault="00000000" w:rsidRPr="00000000" w14:paraId="00000175">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Стратегічні безпекові цілі ЄС не можуть бути сформовані та реалізовані без національного рівня. У багатьох країнах відбувається реформування армій. Отже, ініціативи на наднаціональному та міждержавному рівні мають поки що допоміжний та обмежений характер. Остаточно стратегічні цілі Євросоюзу у сфері безпеки ще не вироблено, тому дослідження в цьому напрямі потрібно писати з використанням умовного способу.</w:t>
      </w:r>
    </w:p>
    <w:p w:rsidR="00000000" w:rsidDel="00000000" w:rsidP="00000000" w:rsidRDefault="00000000" w:rsidRPr="00000000" w14:paraId="00000176">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війни ще більше зростають роль і відповідальність політики за ефективне використання наявної у держави військової потужності та її нарощування в міру необхідності. По суті, всі більш-менш важливі рішення, пов'язані з війною (від початку воєнних дій і аж до їхнього завершення), матимуть політичний характер.</w:t>
      </w:r>
    </w:p>
    <w:p w:rsidR="00000000" w:rsidDel="00000000" w:rsidP="00000000" w:rsidRDefault="00000000" w:rsidRPr="00000000" w14:paraId="00000177">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Політика визначатиме черговість і силу ударів по противнику, темпи й напруженість воєнних дій, сили й засоби, що підлягають мобілізації для нарощування військової потужності, сам характер, темпи й обсяг мобілізації, співвідношення наступальних і оборонних операцій на різних театрах воєнних дій.</w:t>
      </w:r>
    </w:p>
    <w:p w:rsidR="00000000" w:rsidDel="00000000" w:rsidP="00000000" w:rsidRDefault="00000000" w:rsidRPr="00000000" w14:paraId="00000178">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короткий аналіз показує, що військова міць держави є одним із найсильніших засобів досягнення політичних цілей. Ця міць безпосередньо породжена політикою, і всі основні рішення, пов'язані з її створенням, нарощуванням і використанням, здійснюються на політичному рівні.</w:t>
      </w:r>
    </w:p>
    <w:p w:rsidR="00000000" w:rsidDel="00000000" w:rsidP="00000000" w:rsidRDefault="00000000" w:rsidRPr="00000000" w14:paraId="00000179">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елементів військової могутності держави, особливо її Збройних сил, то політика, політичне керівництво визначають ступінь їхньої бойової готовності загалом, а також окремих видів і родів військ, що залучаються для бойового чергування, райони (зони) патрулювання військово-морськими та військово-повітряними силами, склад цих сил тощо. </w:t>
      </w:r>
    </w:p>
    <w:p w:rsidR="00000000" w:rsidDel="00000000" w:rsidP="00000000" w:rsidRDefault="00000000" w:rsidRPr="00000000" w14:paraId="0000017A">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певних цілей політичне керівництво може вдатися до демонстрації військової сили (могутності), готовності її застосування. І нарешті, в умовах мирного часу політика може використовувати військову міць держави шляхом прямої загрози її застосування для досягнення своїх цілей.</w:t>
      </w:r>
    </w:p>
    <w:p w:rsidR="00000000" w:rsidDel="00000000" w:rsidP="00000000" w:rsidRDefault="00000000" w:rsidRPr="00000000" w14:paraId="0000017B">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Сполучені Штати не можуть довго ігнорувати стурбованість східноєвропейських союзників власною безпекою. Забезпечення достовірності гарантій безпеки союзних держав є найважливішим елементом системи міждержавних союзів, сформованої навколо США. </w:t>
      </w:r>
    </w:p>
    <w:p w:rsidR="00000000" w:rsidDel="00000000" w:rsidP="00000000" w:rsidRDefault="00000000" w:rsidRPr="00000000" w14:paraId="0000017C">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необхідної уваги з боку Вашингтона до проблем союзних держав змусить останні докладати самостійних зусиль, спрямованих на підвищення обороноздатності, зокрема шляхом створення регіональних об'єднань. Така ситуація загрожує загостренням протиріч між державами «старої» і «нової» Європи в НАТО і несе в собі ризик фрагментації Альянсу.</w:t>
      </w:r>
    </w:p>
    <w:p w:rsidR="00000000" w:rsidDel="00000000" w:rsidP="00000000" w:rsidRDefault="00000000" w:rsidRPr="00000000" w14:paraId="0000017D">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що склалися, перед Сполученими Штатами як лідером Альянсу стоїть завдання пошуку компромісних рішень і підтримки трансатлантичної солідарності. Оптимальним рішенням для Вашингтона стало б поступове нарощування силового потенціалу Північноатлантичного блоку на території східноєвропейських членів.</w:t>
      </w:r>
    </w:p>
    <w:p w:rsidR="00000000" w:rsidDel="00000000" w:rsidP="00000000" w:rsidRDefault="00000000" w:rsidRPr="00000000" w14:paraId="0000017E">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комплекс заходів, спрямованих на послідовне зміцнення східного флангу НАТО, який охоплює військове і морське патрулювання східних кордонів Альянсу, розміщення повітряних і сухопутних військ на ротаційній основі, активізацію військових навчань, створення командних пунктів для управління можливими військовими операціями, розміщення важкого озброєння тощо, найімовірніше, буде розширено.</w:t>
      </w:r>
    </w:p>
    <w:p w:rsidR="00000000" w:rsidDel="00000000" w:rsidP="00000000" w:rsidRDefault="00000000" w:rsidRPr="00000000" w14:paraId="0000017F">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умовах важливого значення набуває розробка адекватної процедури прийняття рішень з питання про використання сил підвищеної боєготовності НАТО. Безумовно, політичне рішення про розгортання військ ухвалює Північноатлантична рада. Однак процес ухвалення в сучасних реаліях потребує коректування.</w:t>
      </w:r>
    </w:p>
    <w:p w:rsidR="00000000" w:rsidDel="00000000" w:rsidP="00000000" w:rsidRDefault="00000000" w:rsidRPr="00000000" w14:paraId="00000180">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Щодо підтримки Україні, фінансової, гуманітарної, дипломатичної, та особливо військової, то треба, перш за все, наголосити на важливій ролі зустрічей у форматі «Рамштайн» в рамках «Контактної групи з питань обороні України». Істотно вплинув на координаційну роботу у військовій допомозі Україні формат «Рамштайн 2.0». </w:t>
      </w:r>
    </w:p>
    <w:p w:rsidR="00000000" w:rsidDel="00000000" w:rsidP="00000000" w:rsidRDefault="00000000" w:rsidRPr="00000000" w14:paraId="00000181">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Його значення має чітко виражений процедурний характер, тобто мова йде про переід від прийняття індивідуальних рішень до фактично коаліційного формату.</w:t>
      </w:r>
    </w:p>
    <w:p w:rsidR="00000000" w:rsidDel="00000000" w:rsidP="00000000" w:rsidRDefault="00000000" w:rsidRPr="00000000" w14:paraId="00000182">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і держав – членів ЄС якнайшвидше підписали Спільну декларацію про підтримку України від 12 липня 2023 року (далі – Декларація G7), ухвалену G7 та ЄС на Саміті НАТО у Вільнюсі. Держави підтвердили свою підтримку Декларації G7 також взаємодії з ЄС, НАТО і союзниками та партнерами G7. </w:t>
      </w:r>
    </w:p>
    <w:p w:rsidR="00000000" w:rsidDel="00000000" w:rsidP="00000000" w:rsidRDefault="00000000" w:rsidRPr="00000000" w14:paraId="00000183">
      <w:pPr>
        <w:spacing w:after="158" w:line="360" w:lineRule="auto"/>
        <w:ind w:firstLine="70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 цілим рядом європейських держав було підписано двосторонні безпекові угоди, які спрямовані на стратегічне посилення співпраці у оборонній сфері. Водноас такі угоди є потужним геополітичним імпульсом підтримки, які здійснюють європейські держави. Така угода була ухвалена із Королівством Бельгія і можна наголосити на значній підтримці зі сторони цієї країни (так, станом на 30.04 2024 року Бельгія передала Україні допомогу на суму 1072 млн євро, з них, і це необхідно підкреслити, 898 млн євро – військова підтримка. Також в цілому у 2024 році Королівство Бельгія виділить Україні щонайменше 977 млн євро на оборонну сферу.)</w:t>
      </w:r>
    </w:p>
    <w:p w:rsidR="00000000" w:rsidDel="00000000" w:rsidP="00000000" w:rsidRDefault="00000000" w:rsidRPr="00000000" w14:paraId="00000184">
      <w:pPr>
        <w:tabs>
          <w:tab w:val="left" w:leader="none" w:pos="1368"/>
        </w:tabs>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5">
      <w:pPr>
        <w:tabs>
          <w:tab w:val="left" w:leader="none" w:pos="1368"/>
        </w:tabs>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6">
      <w:pPr>
        <w:tabs>
          <w:tab w:val="left" w:leader="none" w:pos="1368"/>
        </w:tabs>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7">
      <w:pPr>
        <w:tabs>
          <w:tab w:val="left" w:leader="none" w:pos="1368"/>
        </w:tabs>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8">
      <w:pPr>
        <w:tabs>
          <w:tab w:val="left" w:leader="none" w:pos="1368"/>
        </w:tabs>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9">
      <w:pPr>
        <w:tabs>
          <w:tab w:val="left" w:leader="none" w:pos="1368"/>
        </w:tabs>
        <w:spacing w:after="158"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A">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18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Актуальні тенденції зовнішньої політики і національної безпеки Румунії. </w:t>
      </w:r>
      <w:r w:rsidDel="00000000" w:rsidR="00000000" w:rsidRPr="00000000">
        <w:rPr>
          <w:rFonts w:ascii="Times New Roman" w:cs="Times New Roman" w:eastAsia="Times New Roman" w:hAnsi="Times New Roman"/>
          <w:i w:val="1"/>
          <w:sz w:val="28"/>
          <w:szCs w:val="28"/>
          <w:rtl w:val="0"/>
        </w:rPr>
        <w:t xml:space="preserve">Національний інститут стратегіних досліджень</w:t>
      </w:r>
      <w:r w:rsidDel="00000000" w:rsidR="00000000" w:rsidRPr="00000000">
        <w:rPr>
          <w:rFonts w:ascii="Times New Roman" w:cs="Times New Roman" w:eastAsia="Times New Roman" w:hAnsi="Times New Roman"/>
          <w:sz w:val="28"/>
          <w:szCs w:val="28"/>
          <w:rtl w:val="0"/>
        </w:rPr>
        <w:t xml:space="preserve">. URL: </w:t>
      </w:r>
      <w:hyperlink r:id="rId7">
        <w:r w:rsidDel="00000000" w:rsidR="00000000" w:rsidRPr="00000000">
          <w:rPr>
            <w:rFonts w:ascii="Times New Roman" w:cs="Times New Roman" w:eastAsia="Times New Roman" w:hAnsi="Times New Roman"/>
            <w:color w:val="0000ff"/>
            <w:sz w:val="28"/>
            <w:szCs w:val="28"/>
            <w:u w:val="single"/>
            <w:rtl w:val="0"/>
          </w:rPr>
          <w:t xml:space="preserve">https://niss.gov.ua/doslidzhennya/mizhnarodni-vidnosyny/aktualni-tendentsiyi-zovnishnoyi-polityky-i-natsionalnoyi</w:t>
        </w:r>
      </w:hyperlink>
      <w:r w:rsidDel="00000000" w:rsidR="00000000" w:rsidRPr="00000000">
        <w:rPr>
          <w:rtl w:val="0"/>
        </w:rPr>
      </w:r>
    </w:p>
    <w:p w:rsidR="00000000" w:rsidDel="00000000" w:rsidP="00000000" w:rsidRDefault="00000000" w:rsidRPr="00000000" w14:paraId="0000018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Андрій Сибіга провів телефонну розмову з міністеркою закордонних справ Румунії Лумініцою Одобеску. URL: </w:t>
      </w:r>
      <w:hyperlink r:id="rId8">
        <w:r w:rsidDel="00000000" w:rsidR="00000000" w:rsidRPr="00000000">
          <w:rPr>
            <w:rFonts w:ascii="Times New Roman" w:cs="Times New Roman" w:eastAsia="Times New Roman" w:hAnsi="Times New Roman"/>
            <w:color w:val="0000ff"/>
            <w:sz w:val="28"/>
            <w:szCs w:val="28"/>
            <w:u w:val="single"/>
            <w:rtl w:val="0"/>
          </w:rPr>
          <w:t xml:space="preserve">https://mfa.gov.ua/news/andrij-sibiga-proviv-telefonnu-rozmovu-z-ministerkoyu-zakordonnih-sprav-rumuniyi-luminicoyu-odobesku</w:t>
        </w:r>
      </w:hyperlink>
      <w:r w:rsidDel="00000000" w:rsidR="00000000" w:rsidRPr="00000000">
        <w:rPr>
          <w:rtl w:val="0"/>
        </w:rPr>
      </w:r>
    </w:p>
    <w:p w:rsidR="00000000" w:rsidDel="00000000" w:rsidP="00000000" w:rsidRDefault="00000000" w:rsidRPr="00000000" w14:paraId="0000018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Відновлення українсько-румунської Спільної Президентської Комісії стане дієвим механізмом співробітництва двох держав — Петро Порошенко [Електронний ресурс] // Офіційне інтернет-представництво Президента України. — 2016. — Режим доступу: http://www.president.gov.ua/news/vidnovlennya-ukrayinsko-rumunskoyi-spilnoyiprezidentskoyi-k-37015</w:t>
      </w:r>
    </w:p>
    <w:p w:rsidR="00000000" w:rsidDel="00000000" w:rsidP="00000000" w:rsidRDefault="00000000" w:rsidRPr="00000000" w14:paraId="0000018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Воротнюк  М.  О. Реформування  сектора  безпеки  в  країнахЧорноморського регіону: досвід для України : аналіт. доп. / за ред. О. О. Воловича. Одеса :Фенікс, 2014. С. 60</w:t>
      </w:r>
    </w:p>
    <w:p w:rsidR="00000000" w:rsidDel="00000000" w:rsidP="00000000" w:rsidRDefault="00000000" w:rsidRPr="00000000" w14:paraId="0000018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Гурковський М.П., Сидор М.Я. Поняття національної безпеки як адміністративно – правової категорії. </w:t>
      </w:r>
      <w:r w:rsidDel="00000000" w:rsidR="00000000" w:rsidRPr="00000000">
        <w:rPr>
          <w:rFonts w:ascii="Times New Roman" w:cs="Times New Roman" w:eastAsia="Times New Roman" w:hAnsi="Times New Roman"/>
          <w:i w:val="1"/>
          <w:sz w:val="28"/>
          <w:szCs w:val="28"/>
          <w:rtl w:val="0"/>
        </w:rPr>
        <w:t xml:space="preserve">Соціально-правові студії.</w:t>
      </w:r>
      <w:r w:rsidDel="00000000" w:rsidR="00000000" w:rsidRPr="00000000">
        <w:rPr>
          <w:rFonts w:ascii="Times New Roman" w:cs="Times New Roman" w:eastAsia="Times New Roman" w:hAnsi="Times New Roman"/>
          <w:sz w:val="28"/>
          <w:szCs w:val="28"/>
          <w:rtl w:val="0"/>
        </w:rPr>
        <w:t xml:space="preserve"> 2021. Випуск 2 (12). С. 26-32</w:t>
      </w:r>
    </w:p>
    <w:p w:rsidR="00000000" w:rsidDel="00000000" w:rsidP="00000000" w:rsidRDefault="00000000" w:rsidRPr="00000000" w14:paraId="0000019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Златін О. Зовнішня політика й національна безпека Румунії у контексті агресії Росії проти України. </w:t>
      </w:r>
      <w:r w:rsidDel="00000000" w:rsidR="00000000" w:rsidRPr="00000000">
        <w:rPr>
          <w:rFonts w:ascii="Times New Roman" w:cs="Times New Roman" w:eastAsia="Times New Roman" w:hAnsi="Times New Roman"/>
          <w:i w:val="1"/>
          <w:sz w:val="28"/>
          <w:szCs w:val="28"/>
          <w:rtl w:val="0"/>
        </w:rPr>
        <w:t xml:space="preserve">Міжнародні зв’язки України: наукові пошуки і знахідки: міжвід. зб. наук. пр</w:t>
      </w:r>
      <w:r w:rsidDel="00000000" w:rsidR="00000000" w:rsidRPr="00000000">
        <w:rPr>
          <w:rFonts w:ascii="Times New Roman" w:cs="Times New Roman" w:eastAsia="Times New Roman" w:hAnsi="Times New Roman"/>
          <w:sz w:val="28"/>
          <w:szCs w:val="28"/>
          <w:rtl w:val="0"/>
        </w:rPr>
        <w:t xml:space="preserve">. 2016. Вип. 25. С. 324-334</w:t>
      </w:r>
    </w:p>
    <w:p w:rsidR="00000000" w:rsidDel="00000000" w:rsidP="00000000" w:rsidRDefault="00000000" w:rsidRPr="00000000" w14:paraId="0000019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Каляєв А.О., Шаповал О.М.  Інституціональні проблеми безпеки та оборони ЄС у контексті розширення співробітництва з НАТО. </w:t>
      </w:r>
      <w:r w:rsidDel="00000000" w:rsidR="00000000" w:rsidRPr="00000000">
        <w:rPr>
          <w:rFonts w:ascii="Times New Roman" w:cs="Times New Roman" w:eastAsia="Times New Roman" w:hAnsi="Times New Roman"/>
          <w:i w:val="1"/>
          <w:sz w:val="28"/>
          <w:szCs w:val="28"/>
          <w:rtl w:val="0"/>
        </w:rPr>
        <w:t xml:space="preserve">Ефективність  державного управління.</w:t>
      </w:r>
      <w:r w:rsidDel="00000000" w:rsidR="00000000" w:rsidRPr="00000000">
        <w:rPr>
          <w:rFonts w:ascii="Times New Roman" w:cs="Times New Roman" w:eastAsia="Times New Roman" w:hAnsi="Times New Roman"/>
          <w:sz w:val="28"/>
          <w:szCs w:val="28"/>
          <w:rtl w:val="0"/>
        </w:rPr>
        <w:t xml:space="preserve">  2020.  ВИП.  3  (64).  Ч.  1. С. 17 - 33</w:t>
      </w:r>
    </w:p>
    <w:p w:rsidR="00000000" w:rsidDel="00000000" w:rsidP="00000000" w:rsidRDefault="00000000" w:rsidRPr="00000000" w14:paraId="0000019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Кондратенко М. (26 лютого 2021). ЄС має намір прийняти новий безпековий «стратегічний компас». Deutsche Welle. URL: https://www. dw.com/uk/yes-maie-namir-pryiniaty-novyi-bezpekovyi-stratehichnyikompas/a-56715753</w:t>
      </w:r>
    </w:p>
    <w:p w:rsidR="00000000" w:rsidDel="00000000" w:rsidP="00000000" w:rsidRDefault="00000000" w:rsidRPr="00000000" w14:paraId="0000019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Кулицький С. Аналіз економіко-інформаційних аспектів гібридної війни </w:t>
      </w:r>
      <w:r w:rsidDel="00000000" w:rsidR="00000000" w:rsidRPr="00000000">
        <w:rPr>
          <w:rFonts w:ascii="Times New Roman" w:cs="Times New Roman" w:eastAsia="Times New Roman" w:hAnsi="Times New Roman"/>
          <w:i w:val="1"/>
          <w:sz w:val="28"/>
          <w:szCs w:val="28"/>
          <w:rtl w:val="0"/>
        </w:rPr>
        <w:t xml:space="preserve">Наукові праці Національної бібліотеки України імені В.І. Вернадського.</w:t>
      </w:r>
      <w:r w:rsidDel="00000000" w:rsidR="00000000" w:rsidRPr="00000000">
        <w:rPr>
          <w:rFonts w:ascii="Times New Roman" w:cs="Times New Roman" w:eastAsia="Times New Roman" w:hAnsi="Times New Roman"/>
          <w:sz w:val="28"/>
          <w:szCs w:val="28"/>
          <w:rtl w:val="0"/>
        </w:rPr>
        <w:t xml:space="preserve"> 2018. Вип. 49, с. 133–145</w:t>
      </w:r>
    </w:p>
    <w:p w:rsidR="00000000" w:rsidDel="00000000" w:rsidP="00000000" w:rsidRDefault="00000000" w:rsidRPr="00000000" w14:paraId="00000194">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Івасечко О. Нова оборонна стратегія ЄС «Стратегічний Компас» як відповідь на сучасні гібридні загрози / О.Я. Івасечко, О.О. Цебенко // The security architecture of European and Euro-Atlantic spaces : Scientific monograph [science eds. T. Astramovich-Leik, Ya. Turchyn, O. Horbach, O. Tsebenko]. Riga, Latvia : «Baltija Publishing», 2022. 267 p. С. 91–105.</w:t>
      </w:r>
    </w:p>
    <w:p w:rsidR="00000000" w:rsidDel="00000000" w:rsidP="00000000" w:rsidRDefault="00000000" w:rsidRPr="00000000" w14:paraId="0000019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Івасечко О. «Майбутнє європейської безпеки : можливості та загрози функціонування ОБСЄ (у контексті конфлікту на Сході України) / Івасечко О.Я. // Ukraina. Konflikt, transformacja, integracja, Uniwersytet Warmińsko-Mazurski w Olsztynie, Narodowy Uniwersytet «Politechnika Lwowska», Olsztyn-Lwów 2016, Wydawnictwo «Sroka». — Ss. 49–65.</w:t>
      </w:r>
    </w:p>
    <w:p w:rsidR="00000000" w:rsidDel="00000000" w:rsidP="00000000" w:rsidRDefault="00000000" w:rsidRPr="00000000" w14:paraId="0000019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Івасечко О.Я., Орлов С.Ю. Культурний вимір «гострої сили» у зовнішній політиці держав : </w:t>
      </w:r>
      <w:r w:rsidDel="00000000" w:rsidR="00000000" w:rsidRPr="00000000">
        <w:rPr>
          <w:rFonts w:ascii="Times New Roman" w:cs="Times New Roman" w:eastAsia="Times New Roman" w:hAnsi="Times New Roman"/>
          <w:i w:val="1"/>
          <w:sz w:val="28"/>
          <w:szCs w:val="28"/>
          <w:rtl w:val="0"/>
        </w:rPr>
        <w:t xml:space="preserve">інструменти та їх застосування. «Регіональні студії»</w:t>
      </w:r>
      <w:r w:rsidDel="00000000" w:rsidR="00000000" w:rsidRPr="00000000">
        <w:rPr>
          <w:rFonts w:ascii="Times New Roman" w:cs="Times New Roman" w:eastAsia="Times New Roman" w:hAnsi="Times New Roman"/>
          <w:sz w:val="28"/>
          <w:szCs w:val="28"/>
          <w:rtl w:val="0"/>
        </w:rPr>
        <w:t xml:space="preserve">. 2022. №30. С. 155–161.</w:t>
      </w:r>
    </w:p>
    <w:p w:rsidR="00000000" w:rsidDel="00000000" w:rsidP="00000000" w:rsidRDefault="00000000" w:rsidRPr="00000000" w14:paraId="0000019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Івасечко О.Я. Ключові дискусії та перспективи сучасних оборонних ініціатив Європейського Союзу / О.Івасечко, Леся Дорош // </w:t>
      </w:r>
      <w:hyperlink r:id="rId9">
        <w:r w:rsidDel="00000000" w:rsidR="00000000" w:rsidRPr="00000000">
          <w:rPr>
            <w:rFonts w:ascii="Times New Roman" w:cs="Times New Roman" w:eastAsia="Times New Roman" w:hAnsi="Times New Roman"/>
            <w:color w:val="0000ff"/>
            <w:sz w:val="28"/>
            <w:szCs w:val="28"/>
            <w:u w:val="single"/>
            <w:rtl w:val="0"/>
          </w:rPr>
          <w:t xml:space="preserve">Uwarunkowania sąsiedztwa Polski i Ukrainy — przezwyciężanie trudności we wzajemnych relacjach</w:t>
        </w:r>
      </w:hyperlink>
      <w:r w:rsidDel="00000000" w:rsidR="00000000" w:rsidRPr="00000000">
        <w:rPr>
          <w:rFonts w:ascii="Times New Roman" w:cs="Times New Roman" w:eastAsia="Times New Roman" w:hAnsi="Times New Roman"/>
          <w:sz w:val="28"/>
          <w:szCs w:val="28"/>
          <w:rtl w:val="0"/>
        </w:rPr>
        <w:t xml:space="preserve"> : колективна монографія / Я.Б. Турчин, Н.С. Вовк, Л.О. Дорош, О.Я. Івасечко, M. Łopata, Л.В. Харчук. — Olsztyn : Zaklad Poligraficzny UWM w Olsztynie, 2019. — 242 c. </w:t>
      </w:r>
    </w:p>
    <w:p w:rsidR="00000000" w:rsidDel="00000000" w:rsidP="00000000" w:rsidRDefault="00000000" w:rsidRPr="00000000" w14:paraId="0000019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Ніццький договір про внесення змін та доповнень до Договору про Європейський Союз, договорів про заснування Європейських співтовариств та деяких пов’язаних з ним актів. URL: https://zakon.rada.gov.ua/ laws/show/994_261(дата звернення: 30.01.2024).</w:t>
      </w:r>
    </w:p>
    <w:p w:rsidR="00000000" w:rsidDel="00000000" w:rsidP="00000000" w:rsidRDefault="00000000" w:rsidRPr="00000000" w14:paraId="0000019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Максак, Г. (2022). Нові оборонні рубежі ЄС: перспективи для України. Відновлено з https://prismua.org/wp-content/ uploads/2022/12/EU_defence_ukr.pdf</w:t>
      </w:r>
    </w:p>
    <w:p w:rsidR="00000000" w:rsidDel="00000000" w:rsidP="00000000" w:rsidRDefault="00000000" w:rsidRPr="00000000" w14:paraId="0000019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Мельник О.Г. Механізм захисту фундаментальних прав людини у Європейському Союзі: нормативні та правові гарантії забезпечення. Юридичний науковий електронний журнал. 2022. № 4. С. 40–44. DOI: </w:t>
      </w:r>
      <w:hyperlink r:id="rId10">
        <w:r w:rsidDel="00000000" w:rsidR="00000000" w:rsidRPr="00000000">
          <w:rPr>
            <w:rFonts w:ascii="Times New Roman" w:cs="Times New Roman" w:eastAsia="Times New Roman" w:hAnsi="Times New Roman"/>
            <w:color w:val="0000ff"/>
            <w:sz w:val="28"/>
            <w:szCs w:val="28"/>
            <w:u w:val="single"/>
            <w:rtl w:val="0"/>
          </w:rPr>
          <w:t xml:space="preserve">https://doi.org/10.32782/2524-0374/2022-4/8</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9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Пентагон хоче збільшити фінансування місій в Європі у 4 рази [Електронний ресурс] // Deutsche Welle. — 2016. — Режим доступу до ресурсу: http://www.dw.com/ uk/пентагон-хоче-збільшити-фінансування-місій-в-європі-у-4-рази/a-19017922</w:t>
      </w:r>
    </w:p>
    <w:p w:rsidR="00000000" w:rsidDel="00000000" w:rsidP="00000000" w:rsidRDefault="00000000" w:rsidRPr="00000000" w14:paraId="0000019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Перспективи розвитку ініціативи ЄС «Східне партнерство» в умовах сучасних геополітичних викликів». Турчин Я.Б., Івасечко О.Я., Цeбенко O.O., Cухорольська І.Ю., Рослонь Д. Т. : — Львів: Видавництво Львівської політехніки, 2022. — 224 c.</w:t>
      </w:r>
    </w:p>
    <w:p w:rsidR="00000000" w:rsidDel="00000000" w:rsidP="00000000" w:rsidRDefault="00000000" w:rsidRPr="00000000" w14:paraId="0000019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Рябоштан Є. Спільна зовнішня та безпекова політика Європейського Союзу після Лісабонськогої угоди. Політико-інституційний аспект. URL: http://dspace.nbuv.gov.ua/handle/123456789/59308?sh ow=full (дата звернення: 30.01.2024).</w:t>
      </w:r>
    </w:p>
    <w:p w:rsidR="00000000" w:rsidDel="00000000" w:rsidP="00000000" w:rsidRDefault="00000000" w:rsidRPr="00000000" w14:paraId="0000019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Садовський В., Дацюк А. Як визначити пріоритети державної безпекової політики? URL: http://euinfocenter.rada.gov.ua/uploads/ documents/28991.pdf (дата звернення: 30.07.2024)</w:t>
      </w:r>
    </w:p>
    <w:p w:rsidR="00000000" w:rsidDel="00000000" w:rsidP="00000000" w:rsidRDefault="00000000" w:rsidRPr="00000000" w14:paraId="0000019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Тимощук А.Г. Вплив російсько – української війни на євроінтеграційні процеси в контексті набуття Україною статусу кандидата в члени ЄС: міжнародно – правововий аспект. </w:t>
      </w:r>
      <w:r w:rsidDel="00000000" w:rsidR="00000000" w:rsidRPr="00000000">
        <w:rPr>
          <w:rFonts w:ascii="Times New Roman" w:cs="Times New Roman" w:eastAsia="Times New Roman" w:hAnsi="Times New Roman"/>
          <w:i w:val="1"/>
          <w:sz w:val="28"/>
          <w:szCs w:val="28"/>
          <w:rtl w:val="0"/>
        </w:rPr>
        <w:t xml:space="preserve">Правова система: теорія і практика.</w:t>
      </w:r>
      <w:r w:rsidDel="00000000" w:rsidR="00000000" w:rsidRPr="00000000">
        <w:rPr>
          <w:rFonts w:ascii="Times New Roman" w:cs="Times New Roman" w:eastAsia="Times New Roman" w:hAnsi="Times New Roman"/>
          <w:sz w:val="28"/>
          <w:szCs w:val="28"/>
          <w:rtl w:val="0"/>
        </w:rPr>
        <w:t xml:space="preserve"> – 2022. № 4. Ч. 3. С. 81 – 86</w:t>
      </w:r>
    </w:p>
    <w:p w:rsidR="00000000" w:rsidDel="00000000" w:rsidP="00000000" w:rsidRDefault="00000000" w:rsidRPr="00000000" w14:paraId="000001A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Угода про співробітництво у сфері безпеки та довгострокову підтримку між Україною та Королівством Бельгія. URL: </w:t>
      </w:r>
      <w:hyperlink r:id="rId11">
        <w:r w:rsidDel="00000000" w:rsidR="00000000" w:rsidRPr="00000000">
          <w:rPr>
            <w:rFonts w:ascii="Times New Roman" w:cs="Times New Roman" w:eastAsia="Times New Roman" w:hAnsi="Times New Roman"/>
            <w:color w:val="0000ff"/>
            <w:sz w:val="28"/>
            <w:szCs w:val="28"/>
            <w:u w:val="single"/>
            <w:rtl w:val="0"/>
          </w:rPr>
          <w:t xml:space="preserve">https://www.president.gov.ua/news/ugoda-pro-spivrobitnictvo-u-sferi-bezpeki-ta-dovgostrokovu-p-91169</w:t>
        </w:r>
      </w:hyperlink>
      <w:r w:rsidDel="00000000" w:rsidR="00000000" w:rsidRPr="00000000">
        <w:rPr>
          <w:rtl w:val="0"/>
        </w:rPr>
      </w:r>
    </w:p>
    <w:p w:rsidR="00000000" w:rsidDel="00000000" w:rsidP="00000000" w:rsidRDefault="00000000" w:rsidRPr="00000000" w14:paraId="000001A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Цебенко O.О. Економічні санкції як інструмент врегулювання міжнародних конфліктів / О. О. Цебенко // Сучасний стан та тенденції розвитку економіки : зб. матеріалів ІІІ міжнар. наук.-практ. конф. з економіки (22 квітня 2015 р.). – Львів. – 2015. – С. 21–24.</w:t>
      </w:r>
    </w:p>
    <w:p w:rsidR="00000000" w:rsidDel="00000000" w:rsidP="00000000" w:rsidRDefault="00000000" w:rsidRPr="00000000" w14:paraId="000001A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Цебенко O.О. Позиція США стосовно конфліктів на пострадянському просторі / О.О. Цебенко // Сполучені Штати Америки у сучасному світі: політика, економіка, право : зб. матеріалів міжнар. наук.-практ. конф. (4 квітня 2014 р.). – Львів. – 2014. – С. 115–117.</w:t>
      </w:r>
    </w:p>
    <w:p w:rsidR="00000000" w:rsidDel="00000000" w:rsidP="00000000" w:rsidRDefault="00000000" w:rsidRPr="00000000" w14:paraId="000001A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Шамраєва В. М. Політика безпеки та оборони ЄС: еволюція формування. № 29 (2020): Вісник Харківського національного університету імені В. Н. Каразіна. 2020. Випуск 29. С. 369 - 377</w:t>
      </w:r>
    </w:p>
    <w:p w:rsidR="00000000" w:rsidDel="00000000" w:rsidP="00000000" w:rsidRDefault="00000000" w:rsidRPr="00000000" w14:paraId="000001A4">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26. Шатун В. Т. Оборонна і безпекова політика Європейського Союзу: формуваннята еволюція. </w:t>
      </w:r>
      <w:r w:rsidDel="00000000" w:rsidR="00000000" w:rsidRPr="00000000">
        <w:rPr>
          <w:rFonts w:ascii="Times New Roman" w:cs="Times New Roman" w:eastAsia="Times New Roman" w:hAnsi="Times New Roman"/>
          <w:i w:val="1"/>
          <w:sz w:val="28"/>
          <w:szCs w:val="28"/>
          <w:rtl w:val="0"/>
        </w:rPr>
        <w:t xml:space="preserve">Наукові праці Чорноморського Державного Університету ім. Петра Могиликомплексу “Києво-Могилянська академія”.</w:t>
      </w:r>
      <w:r w:rsidDel="00000000" w:rsidR="00000000" w:rsidRPr="00000000">
        <w:rPr>
          <w:rFonts w:ascii="Times New Roman" w:cs="Times New Roman" w:eastAsia="Times New Roman" w:hAnsi="Times New Roman"/>
          <w:sz w:val="28"/>
          <w:szCs w:val="28"/>
          <w:rtl w:val="0"/>
        </w:rPr>
        <w:t xml:space="preserve"> 2014. Т. 230. Вип. 218. С. 60—67.</w:t>
      </w:r>
    </w:p>
    <w:p w:rsidR="00000000" w:rsidDel="00000000" w:rsidP="00000000" w:rsidRDefault="00000000" w:rsidRPr="00000000" w14:paraId="000001A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 Шейко. Ю. (17 листопада 2021). Стратегічний компас ЄС: від морських дронів до діалогу з Україною. Deutsche Welle. URL: https://www. dw.com/uk/stratehichnyi-kompas-yes-vid-morskykh-droniv-do-dialohu-zukrainoiu/a-59843928</w:t>
      </w:r>
    </w:p>
    <w:p w:rsidR="00000000" w:rsidDel="00000000" w:rsidP="00000000" w:rsidRDefault="00000000" w:rsidRPr="00000000" w14:paraId="000001A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28. Anghel V., Jones E. Is Europe really forged through crisis? Pandemic EU and the Russia–Ukraine war. Journal of European Public Policy. 2022. Pp. 1–21. URL: </w:t>
      </w:r>
      <w:hyperlink r:id="rId12">
        <w:r w:rsidDel="00000000" w:rsidR="00000000" w:rsidRPr="00000000">
          <w:rPr>
            <w:rFonts w:ascii="Times New Roman" w:cs="Times New Roman" w:eastAsia="Times New Roman" w:hAnsi="Times New Roman"/>
            <w:color w:val="0000ff"/>
            <w:sz w:val="28"/>
            <w:szCs w:val="28"/>
            <w:u w:val="single"/>
            <w:rtl w:val="0"/>
          </w:rPr>
          <w:t xml:space="preserve">https://doi.org/10.1080/13501763.202 2.2140820</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A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29. A Global Strategy for the European Union’s Foreign and Security Policy. URL: https://europa. eu/globalstrategy/sites/globalstrategy/files/regions/ files/eugs_review_web.pdf.7 (дата звернення: 03.01.2024)</w:t>
      </w:r>
    </w:p>
    <w:p w:rsidR="00000000" w:rsidDel="00000000" w:rsidP="00000000" w:rsidRDefault="00000000" w:rsidRPr="00000000" w14:paraId="000001A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Archer, C. The Security Governance of Regional Organizations (Global Institutions) // European Security: The Role of Regional Organizations // European Security, October 2014, Vol. 23, No. 4, pp. 625-628.</w:t>
      </w:r>
    </w:p>
    <w:p w:rsidR="00000000" w:rsidDel="00000000" w:rsidP="00000000" w:rsidRDefault="00000000" w:rsidRPr="00000000" w14:paraId="000001A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Bélanger Marie-Eve. What prospect is there of Ukraine joining the EU? LSE European Politics and Policy (EUROPP) blog. 2022. P. 5</w:t>
      </w:r>
    </w:p>
    <w:p w:rsidR="00000000" w:rsidDel="00000000" w:rsidP="00000000" w:rsidRDefault="00000000" w:rsidRPr="00000000" w14:paraId="000001A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Becker P. Bewaffnete Drohnen : politische, ethische und rechtliche Aspekten / Bundesministerium der Verteidigung. - Berlin, 2020. - 31 S. - URL: https://www.bmvg.de/resource/blob/256260/1ba3548af0a6ab1c30acc865258a 4283/dl-dr-peter-becker-debatte-bewaffnete-drohnen-data.pdf (date of access: 18.09.2024).</w:t>
      </w:r>
    </w:p>
    <w:p w:rsidR="00000000" w:rsidDel="00000000" w:rsidP="00000000" w:rsidRDefault="00000000" w:rsidRPr="00000000" w14:paraId="000001A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Coordinated annual review on defence (CARD) / European defence agency. - Brussels, 2021. - URL: https://eda.europa.eu/what-we-do/EU-defence-initiatives/coordinated-annual-review-on-defence-(card) (date of access: 20.11.2023).</w:t>
      </w:r>
    </w:p>
    <w:p w:rsidR="00000000" w:rsidDel="00000000" w:rsidP="00000000" w:rsidRDefault="00000000" w:rsidRPr="00000000" w14:paraId="000001A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Crabb, T., &amp; Segal, D. R. (2018). Comparative Systems of Analysis: Military Sociology in the United States and Europe. In G. Caforio &amp; M. Nuciari (Eds.), </w:t>
      </w:r>
    </w:p>
    <w:p w:rsidR="00000000" w:rsidDel="00000000" w:rsidP="00000000" w:rsidRDefault="00000000" w:rsidRPr="00000000" w14:paraId="000001A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Dickstein C. Major US military units to leave Germany as part of large drawdown to begin within weeks, Esper says / / Stars and Stripes. -Washington, DC, 2020. - 29.07. - URL: https://www.stripes.com/major-us-military-units-to-leave-germany-as-part-of-large-drawdown-to-begin-within-weeks-esper-says-1.639217 (date of access: 20.11.2023).</w:t>
      </w:r>
    </w:p>
    <w:p w:rsidR="00000000" w:rsidDel="00000000" w:rsidP="00000000" w:rsidRDefault="00000000" w:rsidRPr="00000000" w14:paraId="000001A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 Defence expenditure of NATO countries (2013-2020) : Communique / NATO, Public diplomacy division. - Brussels, 2021. - 16 p.</w:t>
      </w:r>
    </w:p>
    <w:p w:rsidR="00000000" w:rsidDel="00000000" w:rsidP="00000000" w:rsidRDefault="00000000" w:rsidRPr="00000000" w14:paraId="000001A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37. Fota, I. (2016). High Tide. Romanian Security on Europe’s Frontline. U.S.-Romania Initiative Defense and Security Working Group. Center for European Policy Analysis, January [in English]</w:t>
      </w:r>
    </w:p>
    <w:p w:rsidR="00000000" w:rsidDel="00000000" w:rsidP="00000000" w:rsidRDefault="00000000" w:rsidRPr="00000000" w14:paraId="000001B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38. Fouéré E. Can the war in Ukraine revive the EU’s enlargement agenda for the Western Balkans?. CEPS Policy Insights. 2022, 11.</w:t>
      </w:r>
    </w:p>
    <w:p w:rsidR="00000000" w:rsidDel="00000000" w:rsidP="00000000" w:rsidRDefault="00000000" w:rsidRPr="00000000" w14:paraId="000001B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 Gaiani, G. (2018). Missioni, finanze, industria: le ambiguita (a).strategiche della difesa italiana. LIMES. 06.06.2018. Available at: https://www.limesonline.com/cartaceo/missioni-finanze-industria-le-ambiguita-astrategiche-della-difesa-italiana (accessed 11.03.2023).</w:t>
      </w:r>
    </w:p>
    <w:p w:rsidR="00000000" w:rsidDel="00000000" w:rsidP="00000000" w:rsidRDefault="00000000" w:rsidRPr="00000000" w14:paraId="000001B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 Genschel P. Bellicist integration? The war in Ukraine, the European Union and core state powers. Journal of European Public Policy. 2022. Pp. 1–16. URL: </w:t>
      </w:r>
      <w:hyperlink r:id="rId13">
        <w:r w:rsidDel="00000000" w:rsidR="00000000" w:rsidRPr="00000000">
          <w:rPr>
            <w:rFonts w:ascii="Times New Roman" w:cs="Times New Roman" w:eastAsia="Times New Roman" w:hAnsi="Times New Roman"/>
            <w:color w:val="0000ff"/>
            <w:sz w:val="28"/>
            <w:szCs w:val="28"/>
            <w:u w:val="single"/>
            <w:rtl w:val="0"/>
          </w:rPr>
          <w:t xml:space="preserve">https://doi.org/10.1080/13501763.202 2.2141823</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B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41. Glatz R.L., Hansen W, Kaim M, Vorrath J. Missions in a Changing World // SWP Research Paper. 2018. N 6. P. 2—7.</w:t>
      </w:r>
    </w:p>
    <w:p w:rsidR="00000000" w:rsidDel="00000000" w:rsidP="00000000" w:rsidRDefault="00000000" w:rsidRPr="00000000" w14:paraId="000001B4">
      <w:pPr>
        <w:spacing w:after="158" w:line="360" w:lineRule="auto"/>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sz w:val="28"/>
          <w:szCs w:val="28"/>
          <w:rtl w:val="0"/>
        </w:rPr>
        <w:t xml:space="preserve">42.  Handbook of the Sociology of the Military (pp. 61-86). Cham: Springer International Publishing. </w:t>
      </w:r>
      <w:hyperlink r:id="rId14">
        <w:r w:rsidDel="00000000" w:rsidR="00000000" w:rsidRPr="00000000">
          <w:rPr>
            <w:rFonts w:ascii="Times New Roman" w:cs="Times New Roman" w:eastAsia="Times New Roman" w:hAnsi="Times New Roman"/>
            <w:color w:val="0000ff"/>
            <w:sz w:val="28"/>
            <w:szCs w:val="28"/>
            <w:u w:val="single"/>
            <w:rtl w:val="0"/>
          </w:rPr>
          <w:t xml:space="preserve">https://doi.org/10.1007/978-3-319-71602-2_4</w:t>
        </w:r>
      </w:hyperlink>
      <w:r w:rsidDel="00000000" w:rsidR="00000000" w:rsidRPr="00000000">
        <w:rPr>
          <w:rtl w:val="0"/>
        </w:rPr>
      </w:r>
    </w:p>
    <w:p w:rsidR="00000000" w:rsidDel="00000000" w:rsidP="00000000" w:rsidRDefault="00000000" w:rsidRPr="00000000" w14:paraId="000001B5">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 European Defence Action Plan. URL: http:// ec.europa.eu/Docs- Room/documents/20372 (дата звернення: 14.10.2024).</w:t>
      </w:r>
    </w:p>
    <w:p w:rsidR="00000000" w:rsidDel="00000000" w:rsidP="00000000" w:rsidRDefault="00000000" w:rsidRPr="00000000" w14:paraId="000001B6">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 Internal security strategy for the European Union. Towards a Europeansecurity model, Rada Unii Europejskiej. (no year, n. d.). Отримано з http://www.consilium.europa.eu/ uedocs/cms_data/librairie/pdf/qc3010313enc.pdf</w:t>
      </w:r>
    </w:p>
    <w:p w:rsidR="00000000" w:rsidDel="00000000" w:rsidP="00000000" w:rsidRDefault="00000000" w:rsidRPr="00000000" w14:paraId="000001B7">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Italy-Libya agreement: Five years of EU-sponsored abuse in Libya and the central Mediterranean. Medicins sans Frontieres. 02.02.2022. Available at: https://www.msf.org/italy-libya-agreement-five-years-eu-sponsored-abuse-libya-and-central-mediterranean (accessed 03.06.2023).</w:t>
      </w:r>
    </w:p>
    <w:p w:rsidR="00000000" w:rsidDel="00000000" w:rsidP="00000000" w:rsidRDefault="00000000" w:rsidRPr="00000000" w14:paraId="000001B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The Military Strategy of the Republic of Lithuani (2004). URL: https://www.files.ethz.ch/ isn/15267/MilStrategyLT.pdf.</w:t>
      </w:r>
    </w:p>
    <w:p w:rsidR="00000000" w:rsidDel="00000000" w:rsidP="00000000" w:rsidRDefault="00000000" w:rsidRPr="00000000" w14:paraId="000001B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 Marrone, A. (2022). Opinione pubblica e difesa: cambiamenti in corso. IAI. 17.10.2022. Available at: https://www.affarinternazionali.it/opinione-pubblica-difesa-sondaggio-iai-laps/ (accessed 11.03.2023).</w:t>
      </w:r>
    </w:p>
    <w:p w:rsidR="00000000" w:rsidDel="00000000" w:rsidP="00000000" w:rsidRDefault="00000000" w:rsidRPr="00000000" w14:paraId="000001B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 The Military Strategy of the Republic of Lithuania (2012). URL: kam.lt/download/32127/ the_military_strategy_</w:t>
      </w:r>
    </w:p>
    <w:p w:rsidR="00000000" w:rsidDel="00000000" w:rsidP="00000000" w:rsidRDefault="00000000" w:rsidRPr="00000000" w14:paraId="000001B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  The National Security Concepts of the Baltic States' after their NATO and EU membership. URL: https://krigsvidenskab.dk/the-national-security-concepts-of-the-baltic-states-after-their-nato-and-eu-membership.</w:t>
      </w:r>
    </w:p>
    <w:p w:rsidR="00000000" w:rsidDel="00000000" w:rsidP="00000000" w:rsidRDefault="00000000" w:rsidRPr="00000000" w14:paraId="000001BC">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 The National Security Concept of the Republic of Estonia (2004). URL: https://vm.ee/sites/ default/files/content-editors/web-static/256/MH_NSC_604.pdf</w:t>
      </w:r>
    </w:p>
    <w:p w:rsidR="00000000" w:rsidDel="00000000" w:rsidP="00000000" w:rsidRDefault="00000000" w:rsidRPr="00000000" w14:paraId="000001B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 The National Security Concept of the Republic of Latvia (2005). URL: http://www.mod.gov. lv/~/media/AM/Par_aizsardzibas_nozari/Plani,%20koncepcijas/2005_nd_en.ashx.</w:t>
      </w:r>
    </w:p>
    <w:p w:rsidR="00000000" w:rsidDel="00000000" w:rsidP="00000000" w:rsidRDefault="00000000" w:rsidRPr="00000000" w14:paraId="000001BE">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 Operazione Mediterraneo Sicuro (OMS). Marina Militare. Available at: https://www.marina. difesa.it/cosa-facciamo/per-la-difesa-sicurezza/operazioni-in-corso/Pagine/MareSicuro.aspx (accessed 12.02.2023).</w:t>
      </w:r>
    </w:p>
    <w:p w:rsidR="00000000" w:rsidDel="00000000" w:rsidP="00000000" w:rsidRDefault="00000000" w:rsidRPr="00000000" w14:paraId="000001BF">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 Operazione Prima Parthica. Ministero della Difesa. Available at: https://www.difesa.it/OperazioniMilitari/op_intern_corso/Prima_Parthica/Pagine/default.aspx (accessed 12.02.2023).</w:t>
      </w:r>
    </w:p>
    <w:p w:rsidR="00000000" w:rsidDel="00000000" w:rsidP="00000000" w:rsidRDefault="00000000" w:rsidRPr="00000000" w14:paraId="000001C0">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54. Osservatorio di politica internazionale: Mediterraneo allargato. ISPI. 2023. Available at: https://www.parlamento.it/application/xmanager/projects/parlamento/file/repository/affariinternazio nali/osservatorio/focus/PI0001ISPIMed.pdf (accessed 11.03.2023).</w:t>
      </w:r>
    </w:p>
    <w:p w:rsidR="00000000" w:rsidDel="00000000" w:rsidP="00000000" w:rsidRDefault="00000000" w:rsidRPr="00000000" w14:paraId="000001C1">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 Permanent Structured Cooperation (PESCO) : projects / PESCO. -Brussels, 2021. - URL: https://pesco.europa.eu (date of access: 20.10.2024).</w:t>
      </w:r>
    </w:p>
    <w:p w:rsidR="00000000" w:rsidDel="00000000" w:rsidP="00000000" w:rsidRDefault="00000000" w:rsidRPr="00000000" w14:paraId="000001C2">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 Strategia di sicurezza e difesa per il Mediterraneo. Ministero della difesa. 2022. Available at: https://www.difesa.it/Il_Ministro/Documents/Strategia%20Mediterraneo%202022.pdf (accessed 12.02.2023).</w:t>
      </w:r>
    </w:p>
    <w:p w:rsidR="00000000" w:rsidDel="00000000" w:rsidP="00000000" w:rsidRDefault="00000000" w:rsidRPr="00000000" w14:paraId="000001C3">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 South T. Massive army-led NATO exercise Defender Europe kicks off // Army Times. - Springfield, VA, 2021. - 15.03. - URL: https://www. army times.com/news/your-army/2021/03/15/massive-army-led-nato-exercise-defen der-europe-kicks-off/ (date of access: 20.09.2024).</w:t>
      </w:r>
    </w:p>
    <w:p w:rsidR="00000000" w:rsidDel="00000000" w:rsidP="00000000" w:rsidRDefault="00000000" w:rsidRPr="00000000" w14:paraId="000001C4">
      <w:pPr>
        <w:spacing w:after="158" w:line="360" w:lineRule="auto"/>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sz w:val="28"/>
          <w:szCs w:val="28"/>
          <w:rtl w:val="0"/>
        </w:rPr>
        <w:t xml:space="preserve">58. McNamara W.V., Modigliani P., MacGregor M., &amp; Lofgren E. Commission on Defense Innovation Adoption. Final Report. Scowcroft Center for Strategy and Security. Atlantic Council. 2022. URL: </w:t>
      </w:r>
      <w:hyperlink r:id="rId15">
        <w:r w:rsidDel="00000000" w:rsidR="00000000" w:rsidRPr="00000000">
          <w:rPr>
            <w:rFonts w:ascii="Times New Roman" w:cs="Times New Roman" w:eastAsia="Times New Roman" w:hAnsi="Times New Roman"/>
            <w:color w:val="0000ff"/>
            <w:sz w:val="28"/>
            <w:szCs w:val="28"/>
            <w:u w:val="single"/>
            <w:rtl w:val="0"/>
          </w:rPr>
          <w:t xml:space="preserve">https://www.atlanticcouncil.org/wp-content/uploads/2024/01/Commission-on-Defense-Innovation-Adoption-Final-Report.pdf</w:t>
        </w:r>
      </w:hyperlink>
      <w:r w:rsidDel="00000000" w:rsidR="00000000" w:rsidRPr="00000000">
        <w:rPr>
          <w:rtl w:val="0"/>
        </w:rPr>
      </w:r>
    </w:p>
    <w:p w:rsidR="00000000" w:rsidDel="00000000" w:rsidP="00000000" w:rsidRDefault="00000000" w:rsidRPr="00000000" w14:paraId="000001C5">
      <w:pPr>
        <w:spacing w:after="158" w:line="360" w:lineRule="auto"/>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color w:val="0000ff"/>
          <w:sz w:val="28"/>
          <w:szCs w:val="28"/>
          <w:u w:val="single"/>
          <w:rtl w:val="0"/>
        </w:rPr>
        <w:t xml:space="preserve">59. Locatelli, A. (2018). Too Far Ahead? The US Bid for Military Superiority and Its Implications for European Allies. In M. Clementi, M. Dian, &amp; B. Pisciotta (Eds.), US Foreign Policy in a Challenging World: Building Order on Shifting Foundations (pp. 145163). Cham: Springer International Publishing. https://doi.org/10.1007/978-3-319-54118-1_8</w:t>
      </w:r>
    </w:p>
    <w:p w:rsidR="00000000" w:rsidDel="00000000" w:rsidP="00000000" w:rsidRDefault="00000000" w:rsidRPr="00000000" w14:paraId="000001C6">
      <w:pPr>
        <w:spacing w:after="158" w:line="360" w:lineRule="auto"/>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color w:val="0000ff"/>
          <w:sz w:val="28"/>
          <w:szCs w:val="28"/>
          <w:u w:val="single"/>
          <w:rtl w:val="0"/>
        </w:rPr>
        <w:t xml:space="preserve">60. </w:t>
      </w:r>
      <w:hyperlink r:id="rId16">
        <w:r w:rsidDel="00000000" w:rsidR="00000000" w:rsidRPr="00000000">
          <w:rPr>
            <w:rFonts w:ascii="Times New Roman" w:cs="Times New Roman" w:eastAsia="Times New Roman" w:hAnsi="Times New Roman"/>
            <w:color w:val="0000ff"/>
            <w:sz w:val="28"/>
            <w:szCs w:val="28"/>
            <w:u w:val="single"/>
            <w:rtl w:val="0"/>
          </w:rPr>
          <w:t xml:space="preserve">European Security Strategy. (no year, n. d.). Retrieved from http://www.eeas.europa.eu/csdp/about-csdp/europeansecurity-strategy/</w:t>
        </w:r>
      </w:hyperlink>
      <w:r w:rsidDel="00000000" w:rsidR="00000000" w:rsidRPr="00000000">
        <w:rPr>
          <w:rtl w:val="0"/>
        </w:rPr>
      </w:r>
    </w:p>
    <w:p w:rsidR="00000000" w:rsidDel="00000000" w:rsidP="00000000" w:rsidRDefault="00000000" w:rsidRPr="00000000" w14:paraId="000001C7">
      <w:pPr>
        <w:spacing w:after="158" w:line="360" w:lineRule="auto"/>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color w:val="0000ff"/>
          <w:sz w:val="28"/>
          <w:szCs w:val="28"/>
          <w:u w:val="single"/>
          <w:rtl w:val="0"/>
        </w:rPr>
        <w:t xml:space="preserve">61. Simón, L. (2023). The Ukraine War and the Future of the European Union’s Security and Defense Policy. Center for Strategic and International Studies (CSIS). Retrieved from https://www.csis.org/analysis/ukraine-war-and-future-european-unions-securityand-defense-policy</w:t>
      </w:r>
    </w:p>
    <w:p w:rsidR="00000000" w:rsidDel="00000000" w:rsidP="00000000" w:rsidRDefault="00000000" w:rsidRPr="00000000" w14:paraId="000001C8">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 Shared Vision, Common Action: A Stronger Europe. A Global Strategy for the European Union’s Foreign And Security Policy. (2017, n. d.). Отримано з http :// www. iss. europa. eu/ uploads / media / EUGS.pdf</w:t>
      </w:r>
    </w:p>
    <w:p w:rsidR="00000000" w:rsidDel="00000000" w:rsidP="00000000" w:rsidRDefault="00000000" w:rsidRPr="00000000" w14:paraId="000001C9">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63. Zikeba, R. (2018). The European Union in Crisis. In The Euro-Atlantic Security System in the 21st Century: From Cooperation to Crisis (pp. 183-212). Cham: Springer International Publishing. https://doi.org/10.1007/978-3-319-79105-0_7</w:t>
      </w:r>
    </w:p>
    <w:p w:rsidR="00000000" w:rsidDel="00000000" w:rsidP="00000000" w:rsidRDefault="00000000" w:rsidRPr="00000000" w14:paraId="000001CA">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 NATO 2022 Strategic concept. Available at: https://www.nato.int/nato_static_ fl2014/assets/pdf/2022/6/pdf/290622-strategic-concept.pdf (accessed: 25.12..2023).</w:t>
      </w:r>
    </w:p>
    <w:p w:rsidR="00000000" w:rsidDel="00000000" w:rsidP="00000000" w:rsidRDefault="00000000" w:rsidRPr="00000000" w14:paraId="000001CB">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65. Hill C., Smith M. International relations and the European Union. New-York :Oxford University Press, 2015. 492 p.</w:t>
      </w:r>
    </w:p>
    <w:p w:rsidR="00000000" w:rsidDel="00000000" w:rsidP="00000000" w:rsidRDefault="00000000" w:rsidRPr="00000000" w14:paraId="000001CC">
      <w:pPr>
        <w:spacing w:after="158" w:line="360" w:lineRule="auto"/>
        <w:jc w:val="both"/>
        <w:rPr>
          <w:rFonts w:ascii="Times New Roman" w:cs="Times New Roman" w:eastAsia="Times New Roman" w:hAnsi="Times New Roman"/>
          <w:color w:val="0000ff"/>
          <w:sz w:val="28"/>
          <w:szCs w:val="28"/>
          <w:u w:val="single"/>
        </w:rPr>
      </w:pPr>
      <w:r w:rsidDel="00000000" w:rsidR="00000000" w:rsidRPr="00000000">
        <w:rPr>
          <w:rFonts w:ascii="Times New Roman" w:cs="Times New Roman" w:eastAsia="Times New Roman" w:hAnsi="Times New Roman"/>
          <w:sz w:val="28"/>
          <w:szCs w:val="28"/>
          <w:rtl w:val="0"/>
        </w:rPr>
        <w:t xml:space="preserve">66. Heiskala, R. (2018). The Emergence of the European Union as a Very Incoherent Empire. In R. Heiskala &amp; J. Aro (Eds.), Policy Design in the European Union: An Empire of Shopkeepers in the Making? (pp. 13-48). Cham: Springer International Publishing. </w:t>
      </w:r>
      <w:hyperlink r:id="rId17">
        <w:r w:rsidDel="00000000" w:rsidR="00000000" w:rsidRPr="00000000">
          <w:rPr>
            <w:rFonts w:ascii="Times New Roman" w:cs="Times New Roman" w:eastAsia="Times New Roman" w:hAnsi="Times New Roman"/>
            <w:color w:val="0000ff"/>
            <w:sz w:val="28"/>
            <w:szCs w:val="28"/>
            <w:u w:val="single"/>
            <w:rtl w:val="0"/>
          </w:rPr>
          <w:t xml:space="preserve">https://doi.org/10.1007/978-3-319-64849-1_2</w:t>
        </w:r>
      </w:hyperlink>
      <w:r w:rsidDel="00000000" w:rsidR="00000000" w:rsidRPr="00000000">
        <w:rPr>
          <w:rtl w:val="0"/>
        </w:rPr>
      </w:r>
    </w:p>
    <w:p w:rsidR="00000000" w:rsidDel="00000000" w:rsidP="00000000" w:rsidRDefault="00000000" w:rsidRPr="00000000" w14:paraId="000001CD">
      <w:pPr>
        <w:spacing w:after="158"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 Helwig, N. (2023). EU Strategic Autonomy after the Russian Invasion of Ukraine: Europe's Capacity to Act in Times of War. JCMS. Journal of Common Market Studies. Retrieved from https://doi.org/10.1111/jcms.13527</w:t>
      </w:r>
    </w:p>
    <w:p w:rsidR="00000000" w:rsidDel="00000000" w:rsidP="00000000" w:rsidRDefault="00000000" w:rsidRPr="00000000" w14:paraId="000001CE">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F">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0">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1">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2">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3">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4">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5">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6">
      <w:pPr>
        <w:tabs>
          <w:tab w:val="left" w:leader="none" w:pos="4428"/>
        </w:tabs>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7">
      <w:pPr>
        <w:tabs>
          <w:tab w:val="left" w:leader="none" w:pos="4428"/>
        </w:tabs>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8">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9">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A">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B">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C">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D">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E">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DF">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0">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E1">
      <w:pPr>
        <w:tabs>
          <w:tab w:val="left" w:leader="none" w:pos="4428"/>
        </w:tabs>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1.</w:t>
      </w:r>
    </w:p>
    <w:p w:rsidR="00000000" w:rsidDel="00000000" w:rsidP="00000000" w:rsidRDefault="00000000" w:rsidRPr="00000000" w14:paraId="000001E2">
      <w:pPr>
        <w:spacing w:after="158"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0" distT="0" distL="0" distR="0">
            <wp:extent cx="5586209" cy="3132000"/>
            <wp:effectExtent b="0" l="0" r="0" t="0"/>
            <wp:docPr descr="https://armyinform.com.ua/wp-content/uploads/2023/03/3-16-scaled.jpg" id="3" name="image1.jpg"/>
            <a:graphic>
              <a:graphicData uri="http://schemas.openxmlformats.org/drawingml/2006/picture">
                <pic:pic>
                  <pic:nvPicPr>
                    <pic:cNvPr descr="https://armyinform.com.ua/wp-content/uploads/2023/03/3-16-scaled.jpg" id="0" name="image1.jpg"/>
                    <pic:cNvPicPr preferRelativeResize="0"/>
                  </pic:nvPicPr>
                  <pic:blipFill>
                    <a:blip r:embed="rId18"/>
                    <a:srcRect b="0" l="0" r="0" t="0"/>
                    <a:stretch>
                      <a:fillRect/>
                    </a:stretch>
                  </pic:blipFill>
                  <pic:spPr>
                    <a:xfrm>
                      <a:off x="0" y="0"/>
                      <a:ext cx="5586209" cy="3132000"/>
                    </a:xfrm>
                    <a:prstGeom prst="rect"/>
                    <a:ln/>
                  </pic:spPr>
                </pic:pic>
              </a:graphicData>
            </a:graphic>
          </wp:inline>
        </w:drawing>
      </w:r>
      <w:r w:rsidDel="00000000" w:rsidR="00000000" w:rsidRPr="00000000">
        <w:rPr>
          <w:rtl w:val="0"/>
        </w:rPr>
      </w:r>
    </w:p>
    <w:p w:rsidR="00000000" w:rsidDel="00000000" w:rsidP="00000000" w:rsidRDefault="00000000" w:rsidRPr="00000000" w14:paraId="000001E3">
      <w:pPr>
        <w:spacing w:after="158" w:line="360" w:lineRule="auto"/>
        <w:ind w:firstLine="720"/>
        <w:jc w:val="both"/>
        <w:rPr>
          <w:rFonts w:ascii="Times New Roman" w:cs="Times New Roman" w:eastAsia="Times New Roman" w:hAnsi="Times New Roman"/>
          <w:sz w:val="28"/>
          <w:szCs w:val="28"/>
        </w:rPr>
      </w:pPr>
      <w:hyperlink r:id="rId19">
        <w:r w:rsidDel="00000000" w:rsidR="00000000" w:rsidRPr="00000000">
          <w:rPr>
            <w:rFonts w:ascii="Times New Roman" w:cs="Times New Roman" w:eastAsia="Times New Roman" w:hAnsi="Times New Roman"/>
            <w:b w:val="1"/>
            <w:color w:val="0000ff"/>
            <w:sz w:val="28"/>
            <w:szCs w:val="28"/>
            <w:u w:val="single"/>
            <w:rtl w:val="0"/>
          </w:rPr>
          <w:t xml:space="preserve">URL:</w:t>
        </w:r>
      </w:hyperlink>
      <w:hyperlink r:id="rId20">
        <w:r w:rsidDel="00000000" w:rsidR="00000000" w:rsidRPr="00000000">
          <w:rPr>
            <w:rFonts w:ascii="Times New Roman" w:cs="Times New Roman" w:eastAsia="Times New Roman" w:hAnsi="Times New Roman"/>
            <w:color w:val="0000ff"/>
            <w:sz w:val="28"/>
            <w:szCs w:val="28"/>
            <w:u w:val="single"/>
            <w:rtl w:val="0"/>
          </w:rPr>
          <w:t xml:space="preserve">https://armyinform.com.ua/2023/03/07/dynamika-pidtrymky-ukrayiny-z-boku-yevrosoyuzu-pislya-vtorgnennya-rf/</w:t>
        </w:r>
      </w:hyperlink>
      <w:r w:rsidDel="00000000" w:rsidR="00000000" w:rsidRPr="00000000">
        <w:rPr>
          <w:rtl w:val="0"/>
        </w:rPr>
      </w:r>
    </w:p>
    <w:p w:rsidR="00000000" w:rsidDel="00000000" w:rsidP="00000000" w:rsidRDefault="00000000" w:rsidRPr="00000000" w14:paraId="000001E4">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5">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6">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7">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8">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9">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A">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B">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C">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D">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E">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F">
      <w:pPr>
        <w:spacing w:after="158"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2.</w:t>
      </w:r>
    </w:p>
    <w:p w:rsidR="00000000" w:rsidDel="00000000" w:rsidP="00000000" w:rsidRDefault="00000000" w:rsidRPr="00000000" w14:paraId="000001F0">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0" distR="0">
            <wp:extent cx="5497737" cy="3888000"/>
            <wp:effectExtent b="0" l="0" r="0" t="0"/>
            <wp:docPr descr="https://ukrainetonato.com.ua/wp-content/uploads/2024/08/13_post_18.08.24_reformy-ZSU-po-standartam-NATO.jpg" id="4" name="image2.jpg"/>
            <a:graphic>
              <a:graphicData uri="http://schemas.openxmlformats.org/drawingml/2006/picture">
                <pic:pic>
                  <pic:nvPicPr>
                    <pic:cNvPr descr="https://ukrainetonato.com.ua/wp-content/uploads/2024/08/13_post_18.08.24_reformy-ZSU-po-standartam-NATO.jpg" id="0" name="image2.jpg"/>
                    <pic:cNvPicPr preferRelativeResize="0"/>
                  </pic:nvPicPr>
                  <pic:blipFill>
                    <a:blip r:embed="rId21"/>
                    <a:srcRect b="0" l="0" r="0" t="0"/>
                    <a:stretch>
                      <a:fillRect/>
                    </a:stretch>
                  </pic:blipFill>
                  <pic:spPr>
                    <a:xfrm>
                      <a:off x="0" y="0"/>
                      <a:ext cx="5497737" cy="3888000"/>
                    </a:xfrm>
                    <a:prstGeom prst="rect"/>
                    <a:ln/>
                  </pic:spPr>
                </pic:pic>
              </a:graphicData>
            </a:graphic>
          </wp:inline>
        </w:drawing>
      </w:r>
      <w:r w:rsidDel="00000000" w:rsidR="00000000" w:rsidRPr="00000000">
        <w:rPr>
          <w:rtl w:val="0"/>
        </w:rPr>
      </w:r>
    </w:p>
    <w:p w:rsidR="00000000" w:rsidDel="00000000" w:rsidP="00000000" w:rsidRDefault="00000000" w:rsidRPr="00000000" w14:paraId="000001F1">
      <w:pPr>
        <w:spacing w:after="158"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URL:</w:t>
      </w:r>
      <w:r w:rsidDel="00000000" w:rsidR="00000000" w:rsidRPr="00000000">
        <w:rPr>
          <w:rFonts w:ascii="Times New Roman" w:cs="Times New Roman" w:eastAsia="Times New Roman" w:hAnsi="Times New Roman"/>
          <w:sz w:val="28"/>
          <w:szCs w:val="28"/>
          <w:rtl w:val="0"/>
        </w:rPr>
        <w:t xml:space="preserve">https://ukrainetonato.com.ua/75-rokiv-nato/reformy-u-zbroynykh-sylakh-ukrainy-za-standartamy-nato/</w:t>
      </w:r>
    </w:p>
    <w:p w:rsidR="00000000" w:rsidDel="00000000" w:rsidP="00000000" w:rsidRDefault="00000000" w:rsidRPr="00000000" w14:paraId="000001F2">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3">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4">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5">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6">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7">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8">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9">
      <w:pPr>
        <w:spacing w:after="158"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A">
      <w:pPr>
        <w:spacing w:after="158" w:line="360" w:lineRule="auto"/>
        <w:ind w:firstLine="720"/>
        <w:jc w:val="both"/>
        <w:rPr>
          <w:rFonts w:ascii="Times New Roman" w:cs="Times New Roman" w:eastAsia="Times New Roman" w:hAnsi="Times New Roman"/>
          <w:sz w:val="28"/>
          <w:szCs w:val="28"/>
        </w:rPr>
      </w:pPr>
      <w:r w:rsidDel="00000000" w:rsidR="00000000" w:rsidRPr="00000000">
        <w:rPr>
          <w:rtl w:val="0"/>
        </w:rPr>
      </w:r>
    </w:p>
    <w:sectPr>
      <w:headerReference r:id="rId22" w:type="default"/>
      <w:headerReference r:id="rId23" w:type="first"/>
      <w:headerReference r:id="rId24" w:type="even"/>
      <w:footerReference r:id="rId25" w:type="default"/>
      <w:footerReference r:id="rId26" w:type="first"/>
      <w:footerReference r:id="rId27" w:type="even"/>
      <w:pgSz w:h="16838" w:w="11906" w:orient="portrait"/>
      <w:pgMar w:bottom="1134" w:top="1134" w:left="1701" w:right="850" w:header="397" w:footer="397"/>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Arial"/>
  <w:font w:name="Courier New"/>
  <w:font w:name="inherit"/>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360" w:right="0" w:firstLine="0"/>
      <w:jc w:val="right"/>
      <w:rPr>
        <w:rFonts w:ascii="Times New Roman" w:cs="Times New Roman" w:eastAsia="Times New Roman" w:hAnsi="Times New Roman"/>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FE">
    <w:pPr>
      <w:tabs>
        <w:tab w:val="left" w:leader="none" w:pos="5340"/>
      </w:tabs>
      <w:rPr/>
    </w:pPr>
    <w:r w:rsidDel="00000000" w:rsidR="00000000" w:rsidRPr="00000000">
      <w:rPr>
        <w:rtl w:val="0"/>
      </w:rPr>
      <w:tab/>
    </w:r>
  </w:p>
  <w:p w:rsidR="00000000" w:rsidDel="00000000" w:rsidP="00000000" w:rsidRDefault="00000000" w:rsidRPr="00000000" w14:paraId="000001FF">
    <w:pPr>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080" w:hanging="360"/>
      </w:pPr>
      <w:rPr>
        <w:rFonts w:ascii="Times New Roman" w:cs="Times New Roman" w:eastAsia="Times New Roman" w:hAnsi="Times New Roman"/>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ru-RU"/>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ambria" w:cs="Cambria" w:eastAsia="Cambria" w:hAnsi="Cambria"/>
      <w:b w:val="1"/>
      <w:color w:val="366091"/>
      <w:sz w:val="28"/>
      <w:szCs w:val="28"/>
    </w:rPr>
  </w:style>
  <w:style w:type="paragraph" w:styleId="Heading2">
    <w:name w:val="heading 2"/>
    <w:basedOn w:val="Normal"/>
    <w:next w:val="Normal"/>
    <w:pPr>
      <w:keepNext w:val="1"/>
      <w:keepLines w:val="1"/>
      <w:spacing w:after="0" w:before="200" w:lineRule="auto"/>
    </w:pPr>
    <w:rPr>
      <w:rFonts w:ascii="Cambria" w:cs="Cambria" w:eastAsia="Cambria" w:hAnsi="Cambria"/>
      <w:b w:val="1"/>
      <w:color w:val="4f81bd"/>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0A7986"/>
    <w:pPr>
      <w:overflowPunct w:val="0"/>
    </w:pPr>
  </w:style>
  <w:style w:type="paragraph" w:styleId="1">
    <w:name w:val="heading 1"/>
    <w:basedOn w:val="a"/>
    <w:next w:val="a"/>
    <w:link w:val="10"/>
    <w:uiPriority w:val="9"/>
    <w:qFormat w:val="1"/>
    <w:rsid w:val="00783D5D"/>
    <w:pPr>
      <w:keepNext w:val="1"/>
      <w:keepLines w:val="1"/>
      <w:spacing w:after="0" w:before="480"/>
      <w:outlineLvl w:val="0"/>
    </w:pPr>
    <w:rPr>
      <w:rFonts w:asciiTheme="majorHAnsi" w:cstheme="majorBidi" w:eastAsiaTheme="majorEastAsia" w:hAnsiTheme="majorHAnsi"/>
      <w:b w:val="1"/>
      <w:bCs w:val="1"/>
      <w:color w:val="365f91" w:themeColor="accent1" w:themeShade="0000BF"/>
      <w:sz w:val="28"/>
      <w:szCs w:val="28"/>
    </w:rPr>
  </w:style>
  <w:style w:type="paragraph" w:styleId="2">
    <w:name w:val="heading 2"/>
    <w:basedOn w:val="a"/>
    <w:next w:val="a"/>
    <w:link w:val="20"/>
    <w:uiPriority w:val="9"/>
    <w:semiHidden w:val="1"/>
    <w:unhideWhenUsed w:val="1"/>
    <w:qFormat w:val="1"/>
    <w:rsid w:val="00761B24"/>
    <w:pPr>
      <w:keepNext w:val="1"/>
      <w:keepLines w:val="1"/>
      <w:spacing w:after="0" w:before="200"/>
      <w:outlineLvl w:val="1"/>
    </w:pPr>
    <w:rPr>
      <w:rFonts w:asciiTheme="majorHAnsi" w:cstheme="majorBidi" w:eastAsiaTheme="majorEastAsia" w:hAnsiTheme="majorHAnsi"/>
      <w:b w:val="1"/>
      <w:bCs w:val="1"/>
      <w:color w:val="4f81bd" w:themeColor="accent1"/>
      <w:sz w:val="26"/>
      <w:szCs w:val="26"/>
    </w:rPr>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0705CB"/>
    <w:pPr>
      <w:ind w:left="720"/>
      <w:contextualSpacing w:val="1"/>
    </w:pPr>
  </w:style>
  <w:style w:type="character" w:styleId="-" w:customStyle="1">
    <w:name w:val="Интернет-ссылка"/>
    <w:basedOn w:val="a0"/>
    <w:uiPriority w:val="99"/>
    <w:unhideWhenUsed w:val="1"/>
    <w:rsid w:val="00852A50"/>
    <w:rPr>
      <w:color w:val="0000ff" w:themeColor="hyperlink"/>
      <w:u w:val="single"/>
    </w:rPr>
  </w:style>
  <w:style w:type="character" w:styleId="a4">
    <w:name w:val="Hyperlink"/>
    <w:basedOn w:val="a0"/>
    <w:uiPriority w:val="99"/>
    <w:unhideWhenUsed w:val="1"/>
    <w:rsid w:val="00187691"/>
    <w:rPr>
      <w:color w:val="0000ff" w:themeColor="hyperlink"/>
      <w:u w:val="single"/>
    </w:rPr>
  </w:style>
  <w:style w:type="paragraph" w:styleId="a5">
    <w:name w:val="header"/>
    <w:basedOn w:val="a"/>
    <w:link w:val="a6"/>
    <w:uiPriority w:val="99"/>
    <w:unhideWhenUsed w:val="1"/>
    <w:rsid w:val="001B1E3E"/>
    <w:pPr>
      <w:tabs>
        <w:tab w:val="center" w:pos="4677"/>
        <w:tab w:val="right" w:pos="9355"/>
      </w:tabs>
      <w:spacing w:after="0" w:line="240" w:lineRule="auto"/>
    </w:pPr>
  </w:style>
  <w:style w:type="character" w:styleId="a6" w:customStyle="1">
    <w:name w:val="Верхний колонтитул Знак"/>
    <w:basedOn w:val="a0"/>
    <w:link w:val="a5"/>
    <w:uiPriority w:val="99"/>
    <w:rsid w:val="001B1E3E"/>
  </w:style>
  <w:style w:type="paragraph" w:styleId="a7">
    <w:name w:val="footer"/>
    <w:basedOn w:val="a"/>
    <w:link w:val="a8"/>
    <w:uiPriority w:val="99"/>
    <w:unhideWhenUsed w:val="1"/>
    <w:rsid w:val="001B1E3E"/>
    <w:pPr>
      <w:tabs>
        <w:tab w:val="center" w:pos="4677"/>
        <w:tab w:val="right" w:pos="9355"/>
      </w:tabs>
      <w:spacing w:after="0" w:line="240" w:lineRule="auto"/>
    </w:pPr>
  </w:style>
  <w:style w:type="character" w:styleId="a8" w:customStyle="1">
    <w:name w:val="Нижний колонтитул Знак"/>
    <w:basedOn w:val="a0"/>
    <w:link w:val="a7"/>
    <w:uiPriority w:val="99"/>
    <w:rsid w:val="001B1E3E"/>
  </w:style>
  <w:style w:type="character" w:styleId="a9">
    <w:name w:val="FollowedHyperlink"/>
    <w:basedOn w:val="a0"/>
    <w:uiPriority w:val="99"/>
    <w:semiHidden w:val="1"/>
    <w:unhideWhenUsed w:val="1"/>
    <w:rsid w:val="00972E3A"/>
    <w:rPr>
      <w:color w:val="800080" w:themeColor="followedHyperlink"/>
      <w:u w:val="single"/>
    </w:rPr>
  </w:style>
  <w:style w:type="paragraph" w:styleId="HTML">
    <w:name w:val="HTML Preformatted"/>
    <w:basedOn w:val="a"/>
    <w:link w:val="HTML0"/>
    <w:uiPriority w:val="99"/>
    <w:semiHidden w:val="1"/>
    <w:unhideWhenUsed w:val="1"/>
    <w:rsid w:val="00DC0B27"/>
    <w:pPr>
      <w:spacing w:after="0" w:line="240" w:lineRule="auto"/>
    </w:pPr>
    <w:rPr>
      <w:rFonts w:ascii="Consolas" w:hAnsi="Consolas"/>
      <w:sz w:val="20"/>
      <w:szCs w:val="20"/>
    </w:rPr>
  </w:style>
  <w:style w:type="character" w:styleId="HTML0" w:customStyle="1">
    <w:name w:val="Стандартный HTML Знак"/>
    <w:basedOn w:val="a0"/>
    <w:link w:val="HTML"/>
    <w:uiPriority w:val="99"/>
    <w:semiHidden w:val="1"/>
    <w:rsid w:val="00DC0B27"/>
    <w:rPr>
      <w:rFonts w:ascii="Consolas" w:hAnsi="Consolas"/>
      <w:sz w:val="20"/>
      <w:szCs w:val="20"/>
    </w:rPr>
  </w:style>
  <w:style w:type="paragraph" w:styleId="aa">
    <w:name w:val="Balloon Text"/>
    <w:basedOn w:val="a"/>
    <w:link w:val="ab"/>
    <w:uiPriority w:val="99"/>
    <w:semiHidden w:val="1"/>
    <w:unhideWhenUsed w:val="1"/>
    <w:rsid w:val="003D6330"/>
    <w:pPr>
      <w:spacing w:after="0" w:line="240" w:lineRule="auto"/>
    </w:pPr>
    <w:rPr>
      <w:rFonts w:ascii="Tahoma" w:cs="Tahoma" w:hAnsi="Tahoma"/>
      <w:sz w:val="16"/>
      <w:szCs w:val="16"/>
    </w:rPr>
  </w:style>
  <w:style w:type="character" w:styleId="ab" w:customStyle="1">
    <w:name w:val="Текст выноски Знак"/>
    <w:basedOn w:val="a0"/>
    <w:link w:val="aa"/>
    <w:uiPriority w:val="99"/>
    <w:semiHidden w:val="1"/>
    <w:rsid w:val="003D6330"/>
    <w:rPr>
      <w:rFonts w:ascii="Tahoma" w:cs="Tahoma" w:hAnsi="Tahoma"/>
      <w:sz w:val="16"/>
      <w:szCs w:val="16"/>
    </w:rPr>
  </w:style>
  <w:style w:type="paragraph" w:styleId="ac">
    <w:name w:val="Normal (Web)"/>
    <w:basedOn w:val="a"/>
    <w:uiPriority w:val="99"/>
    <w:semiHidden w:val="1"/>
    <w:unhideWhenUsed w:val="1"/>
    <w:rsid w:val="004C5AF1"/>
    <w:rPr>
      <w:rFonts w:ascii="Times New Roman" w:cs="Times New Roman" w:hAnsi="Times New Roman"/>
      <w:sz w:val="24"/>
      <w:szCs w:val="24"/>
    </w:rPr>
  </w:style>
  <w:style w:type="character" w:styleId="20" w:customStyle="1">
    <w:name w:val="Заголовок 2 Знак"/>
    <w:basedOn w:val="a0"/>
    <w:link w:val="2"/>
    <w:uiPriority w:val="9"/>
    <w:semiHidden w:val="1"/>
    <w:rsid w:val="00761B24"/>
    <w:rPr>
      <w:rFonts w:asciiTheme="majorHAnsi" w:cstheme="majorBidi" w:eastAsiaTheme="majorEastAsia" w:hAnsiTheme="majorHAnsi"/>
      <w:b w:val="1"/>
      <w:bCs w:val="1"/>
      <w:color w:val="4f81bd" w:themeColor="accent1"/>
      <w:sz w:val="26"/>
      <w:szCs w:val="26"/>
    </w:rPr>
  </w:style>
  <w:style w:type="character" w:styleId="10" w:customStyle="1">
    <w:name w:val="Заголовок 1 Знак"/>
    <w:basedOn w:val="a0"/>
    <w:link w:val="1"/>
    <w:uiPriority w:val="9"/>
    <w:rsid w:val="00783D5D"/>
    <w:rPr>
      <w:rFonts w:asciiTheme="majorHAnsi" w:cstheme="majorBidi" w:eastAsiaTheme="majorEastAsia" w:hAnsiTheme="majorHAnsi"/>
      <w:b w:val="1"/>
      <w:bCs w:val="1"/>
      <w:color w:val="365f91" w:themeColor="accent1" w:themeShade="0000BF"/>
      <w:sz w:val="28"/>
      <w:szCs w:val="2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about:blank" TargetMode="External"/><Relationship Id="rId22" Type="http://schemas.openxmlformats.org/officeDocument/2006/relationships/header" Target="header2.xml"/><Relationship Id="rId21" Type="http://schemas.openxmlformats.org/officeDocument/2006/relationships/image" Target="media/image2.jpg"/><Relationship Id="rId24" Type="http://schemas.openxmlformats.org/officeDocument/2006/relationships/header" Target="header1.xml"/><Relationship Id="rId23"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iki.lpnu.ua/wiki/index.php?title=Uwarunkowania_s%C4%85siedztwa_Polski_i_Ukrainy_%E2%80%94_przezwyci%C4%99%C5%BCanie_trudno%C5%9Bci_we_wzajemnych_relacjach&amp;action=edit&amp;redlink=1" TargetMode="External"/><Relationship Id="rId26" Type="http://schemas.openxmlformats.org/officeDocument/2006/relationships/footer" Target="footer3.xml"/><Relationship Id="rId25" Type="http://schemas.openxmlformats.org/officeDocument/2006/relationships/footer" Target="footer2.xml"/><Relationship Id="rId27"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niss.gov.ua/doslidzhennya/mizhnarodni-vidnosyny/aktualni-tendentsiyi-zovnishnoyi-polityky-i-natsionalnoyi" TargetMode="External"/><Relationship Id="rId8" Type="http://schemas.openxmlformats.org/officeDocument/2006/relationships/hyperlink" Target="https://mfa.gov.ua/news/andrij-sibiga-proviv-telefonnu-rozmovu-z-ministerkoyu-zakordonnih-sprav-rumuniyi-luminicoyu-odobesku" TargetMode="External"/><Relationship Id="rId11" Type="http://schemas.openxmlformats.org/officeDocument/2006/relationships/hyperlink" Target="https://www.president.gov.ua/news/ugoda-pro-spivrobitnictvo-u-sferi-bezpeki-ta-dovgostrokovu-p-91169" TargetMode="External"/><Relationship Id="rId10" Type="http://schemas.openxmlformats.org/officeDocument/2006/relationships/hyperlink" Target="https://doi.org/10.32782/2524-0374/2022-4/8" TargetMode="External"/><Relationship Id="rId13" Type="http://schemas.openxmlformats.org/officeDocument/2006/relationships/hyperlink" Target="https://doi.org/10.1080/13501763.202%202.2141823" TargetMode="External"/><Relationship Id="rId12" Type="http://schemas.openxmlformats.org/officeDocument/2006/relationships/hyperlink" Target="https://doi.org/10.1080/13501763.202%202.2140820" TargetMode="External"/><Relationship Id="rId15" Type="http://schemas.openxmlformats.org/officeDocument/2006/relationships/hyperlink" Target="https://www.atlanticcouncil.org/wp-content/uploads/2024/01/Commission-on-Defense-Innovation-Adoption-Final-Report.pdf" TargetMode="External"/><Relationship Id="rId14" Type="http://schemas.openxmlformats.org/officeDocument/2006/relationships/hyperlink" Target="https://doi.org/10.1007/978-3-319-71602-2_4" TargetMode="External"/><Relationship Id="rId17" Type="http://schemas.openxmlformats.org/officeDocument/2006/relationships/hyperlink" Target="https://doi.org/10.1007/978-3-319-64849-1_2" TargetMode="External"/><Relationship Id="rId16" Type="http://schemas.openxmlformats.org/officeDocument/2006/relationships/hyperlink" Target="about:blank" TargetMode="External"/><Relationship Id="rId19" Type="http://schemas.openxmlformats.org/officeDocument/2006/relationships/hyperlink" Target="about:blank" TargetMode="External"/><Relationship Id="rId18" Type="http://schemas.openxmlformats.org/officeDocument/2006/relationships/image" Target="media/image1.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8EkizIMgA+JpEVUzi0679izmYQA==">CgMxLjAyCGguZ2pkZ3hzOAByITFFcXIzd1VsWVBhOWZVZG5LZXd5TmFJVUwzdmhPY3IxSw==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2022-05-29T13:11:00Z</dcterms:created>
  <dc:creator>User</dc:creator>
</cp:coreProperties>
</file>