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37B237" wp14:editId="6BBCCBB5">
                <wp:simplePos x="0" y="0"/>
                <wp:positionH relativeFrom="column">
                  <wp:posOffset>5886450</wp:posOffset>
                </wp:positionH>
                <wp:positionV relativeFrom="paragraph">
                  <wp:posOffset>-381000</wp:posOffset>
                </wp:positionV>
                <wp:extent cx="295275" cy="314325"/>
                <wp:effectExtent l="0" t="0" r="28575" b="28575"/>
                <wp:wrapNone/>
                <wp:docPr id="18" name="Овал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314325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8" o:spid="_x0000_s1026" style="position:absolute;margin-left:463.5pt;margin-top:-30pt;width:23.25pt;height:2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" fillcolor="window" strokecolor="window" strokeweight="1pt">
                <v:stroke joinstyle="miter"/>
                <v:path arrowok="t"/>
              </v:oval>
            </w:pict>
          </mc:Fallback>
        </mc:AlternateConten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біохімії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 бакалавра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 тему: 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«Регуляція нікотиновою кислотою вмісту </w:t>
      </w:r>
      <w:proofErr w:type="spellStart"/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коферментів у щурів з гіпоксією»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"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Adjusting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nicotinamide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coenzyme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content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with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nicotinic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acid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in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rats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affected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by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hypoxia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"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Виконала: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студентка денної форми навчання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напряму підготовки</w:t>
      </w:r>
      <w:r w:rsidRPr="005C3717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</w:t>
      </w:r>
      <w:r w:rsidRPr="005C3717">
        <w:rPr>
          <w:rFonts w:ascii="Times New Roman" w:eastAsia="Times New Roman" w:hAnsi="Times New Roman" w:cs="Times New Roman"/>
          <w:sz w:val="28"/>
          <w:szCs w:val="28"/>
          <w:lang w:eastAsia="ru-RU"/>
        </w:rPr>
        <w:t>6.040102  Біологія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Сандул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Юлія Вікторівна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Науковий керівник: 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кандидат біологічних наук, доцент 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Сорокін Андрій Вікторович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4678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Рецензент: кандидат біологічних наук, доцент Ружицька Ольга Миколаївна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5C3717" w:rsidRPr="005C3717" w:rsidRDefault="005C3717" w:rsidP="005C371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ДЕК № ______</w:t>
      </w:r>
    </w:p>
    <w:p w:rsidR="005C3717" w:rsidRPr="005C3717" w:rsidRDefault="005C3717" w:rsidP="005C371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5C3717" w:rsidRPr="005C3717" w:rsidRDefault="005C3717" w:rsidP="005C371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5C3717" w:rsidRPr="005C3717" w:rsidRDefault="005C3717" w:rsidP="005C371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5C3717" w:rsidRPr="005C3717" w:rsidRDefault="005C3717" w:rsidP="005C371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ДЕК</w:t>
      </w:r>
    </w:p>
    <w:p w:rsidR="005C3717" w:rsidRPr="005C3717" w:rsidRDefault="005C3717" w:rsidP="005C371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Петров А. С.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_______       _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Чеботар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 xml:space="preserve"> С. В._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(підпис)                        (прізвище та ініціали)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>(підпис)                        (прізвище та ініціали)</w:t>
      </w:r>
    </w:p>
    <w:p w:rsidR="005C3717" w:rsidRPr="005C3717" w:rsidRDefault="005C3717" w:rsidP="005C371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5C3717" w:rsidRPr="005C3717" w:rsidRDefault="005C3717" w:rsidP="005C3717">
      <w:pPr>
        <w:spacing w:after="160" w:line="256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br w:type="page"/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DFD5E4" wp14:editId="5A1D5E79">
                <wp:simplePos x="0" y="0"/>
                <wp:positionH relativeFrom="column">
                  <wp:posOffset>5943600</wp:posOffset>
                </wp:positionH>
                <wp:positionV relativeFrom="paragraph">
                  <wp:posOffset>-457200</wp:posOffset>
                </wp:positionV>
                <wp:extent cx="209550" cy="342900"/>
                <wp:effectExtent l="0" t="0" r="19050" b="19050"/>
                <wp:wrapNone/>
                <wp:docPr id="19" name="Овал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9550" cy="342900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9" o:spid="_x0000_s1026" style="position:absolute;margin-left:468pt;margin-top:-36pt;width:16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" fillcolor="window" strokecolor="window" strokeweight="1pt">
                <v:stroke joinstyle="miter"/>
                <v:path arrowok="t"/>
              </v:oval>
            </w:pict>
          </mc:Fallback>
        </mc:AlternateConten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АНОТАЦІЯ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Кваліфікаційну роботу на здобуття освітньо-кваліфікаційного рівня бакалавра «Регуляція нікотиновою кислотою вмісту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 у щурів з гіпоксією» викладено на 40 сторінках друкованого текст включає 8 рисунків. В роботі наведено посилання на 36 публікації, серед них 29  кирилицею та 7 латиницею.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Мета роботи полягала у вивченні впливу нікотинової кислоти у концентраціях 1 та 15 мг/кг на вміст окиснених та відновлених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 в органах щурів при гіпоксії . 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B результаті роботи було виявлено, що гіпоксія викликала зменшення вмісту суми (НАД</w:t>
      </w:r>
      <w:r w:rsidRPr="005C3717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+НАДФ</w:t>
      </w:r>
      <w:r w:rsidRPr="005C3717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) у печінці та мозку, відносно контролю. Вміст суми (НАДН+НАДФН) підвищувався, сума та співвідношення окиснених коферментів до відновлених зменшувались. 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Ключові слова: </w:t>
      </w:r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гіпоксія, нікотинова кислота, </w:t>
      </w:r>
      <w:proofErr w:type="spellStart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нікотинамідні</w:t>
      </w:r>
      <w:proofErr w:type="spellEnd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коферменти.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SUMMARY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Qualifying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work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receipt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educationally-qualifying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level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bachelor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"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Adjusting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nicotinamide coenzyme content with nicotinic acid in rats affected by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hypoxia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"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expounded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40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pages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printed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text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includes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8 рисунків.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Reference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over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in-process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brought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to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a 36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publication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,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among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them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by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a 29 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cyrillic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alphabet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and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7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Roman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alphabet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aim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work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consisted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study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influence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nicotinic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acid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concentrations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1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and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15 мг/кг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content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окиснених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and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renewed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coferments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organs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rats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a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hypoxia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. </w:t>
      </w:r>
    </w:p>
    <w:p w:rsidR="005C3717" w:rsidRPr="005C3717" w:rsidRDefault="005C3717" w:rsidP="005C3717">
      <w:pPr>
        <w:spacing w:after="16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B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a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result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work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was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found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that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hypoxia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caused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a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decrease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amount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amount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(NAD</w:t>
      </w:r>
      <w:r w:rsidRPr="005C3717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+ NADP</w:t>
      </w:r>
      <w:r w:rsidRPr="005C3717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)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liver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and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brain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,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terms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control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Content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amount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(NADH + NADFN)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increased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,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amount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and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ratio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of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oxidized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coenzymes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to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recovered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decreased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</w:p>
    <w:p w:rsidR="005C3717" w:rsidRPr="005C3717" w:rsidRDefault="005C3717" w:rsidP="005C3717">
      <w:pPr>
        <w:spacing w:after="16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Key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words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: </w:t>
      </w:r>
      <w:proofErr w:type="spellStart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hypoxia</w:t>
      </w:r>
      <w:proofErr w:type="spellEnd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, </w:t>
      </w:r>
      <w:proofErr w:type="spellStart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nicotinic</w:t>
      </w:r>
      <w:proofErr w:type="spellEnd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acid</w:t>
      </w:r>
      <w:proofErr w:type="spellEnd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, </w:t>
      </w:r>
      <w:proofErr w:type="spellStart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nicotinamide</w:t>
      </w:r>
      <w:proofErr w:type="spellEnd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</w:t>
      </w:r>
      <w:proofErr w:type="spellStart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coenzymes</w:t>
      </w:r>
      <w:proofErr w:type="spellEnd"/>
      <w:r w:rsidRPr="005C3717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.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br w:type="page"/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BE2F36" wp14:editId="2225E9A2">
                <wp:simplePos x="0" y="0"/>
                <wp:positionH relativeFrom="column">
                  <wp:posOffset>5800725</wp:posOffset>
                </wp:positionH>
                <wp:positionV relativeFrom="paragraph">
                  <wp:posOffset>-447675</wp:posOffset>
                </wp:positionV>
                <wp:extent cx="390525" cy="438150"/>
                <wp:effectExtent l="0" t="0" r="28575" b="19050"/>
                <wp:wrapNone/>
                <wp:docPr id="20" name="Овал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0525" cy="438150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0" o:spid="_x0000_s1026" style="position:absolute;margin-left:456.75pt;margin-top:-35.25pt;width:30.75pt;height:3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" fillcolor="window" strokecolor="window" strokeweight="1pt">
                <v:stroke joinstyle="miter"/>
                <v:path arrowok="t"/>
              </v:oval>
            </w:pict>
          </mc:Fallback>
        </mc:AlternateConten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ЗМІСТ</w:t>
      </w:r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rPr>
          <w:rFonts w:ascii="Calibri" w:eastAsia="Times New Roman" w:hAnsi="Calibri" w:cs="Times New Roman"/>
          <w:noProof/>
          <w:kern w:val="28"/>
          <w:lang w:eastAsia="ru-RU"/>
        </w:rPr>
      </w:pPr>
      <w:r w:rsidRPr="005C3717">
        <w:rPr>
          <w:rFonts w:ascii="Times New Roman" w:eastAsia="Times New Roman" w:hAnsi="Times New Roman" w:cs="Times New Roman"/>
          <w:noProof/>
          <w:kern w:val="28"/>
          <w:sz w:val="28"/>
          <w:szCs w:val="28"/>
          <w:lang w:eastAsia="ru-RU"/>
        </w:rPr>
        <w:fldChar w:fldCharType="begin"/>
      </w:r>
      <w:r w:rsidRPr="005C3717">
        <w:rPr>
          <w:rFonts w:ascii="Times New Roman" w:eastAsia="Times New Roman" w:hAnsi="Times New Roman" w:cs="Times New Roman"/>
          <w:noProof/>
          <w:kern w:val="28"/>
          <w:sz w:val="28"/>
          <w:szCs w:val="28"/>
          <w:lang w:eastAsia="ru-RU"/>
        </w:rPr>
        <w:instrText xml:space="preserve"> TOC \o "1-3" \h \z \u </w:instrText>
      </w:r>
      <w:r w:rsidRPr="005C3717">
        <w:rPr>
          <w:rFonts w:ascii="Times New Roman" w:eastAsia="Times New Roman" w:hAnsi="Times New Roman" w:cs="Times New Roman"/>
          <w:noProof/>
          <w:kern w:val="28"/>
          <w:sz w:val="28"/>
          <w:szCs w:val="28"/>
          <w:lang w:eastAsia="ru-RU"/>
        </w:rPr>
        <w:fldChar w:fldCharType="separate"/>
      </w:r>
      <w:hyperlink r:id="rId6" w:anchor="_Toc517308506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ВСТУП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instrText xml:space="preserve"> PAGEREF _Toc517308506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>5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rPr>
          <w:rFonts w:ascii="Calibri" w:eastAsia="Times New Roman" w:hAnsi="Calibri" w:cs="Times New Roman"/>
          <w:noProof/>
          <w:kern w:val="28"/>
          <w:lang w:eastAsia="ru-RU"/>
        </w:rPr>
      </w:pPr>
      <w:hyperlink r:id="rId7" w:anchor="_Toc517308507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 ОГЛЯД ЛІТЕРАТУРИ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instrText xml:space="preserve"> PAGEREF _Toc517308507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>7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hyperlink r:id="rId8" w:anchor="_Toc517308508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1.1. Загальна характеристика нікотинової кислоти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_Toc517308508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7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440"/>
        <w:rPr>
          <w:rFonts w:ascii="Calibri" w:eastAsia="Times New Roman" w:hAnsi="Calibri" w:cs="Times New Roman"/>
          <w:noProof/>
          <w:lang w:val="ru-RU" w:eastAsia="ru-RU"/>
        </w:rPr>
      </w:pPr>
      <w:hyperlink r:id="rId9" w:anchor="_Toc517308509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1.1.1. Поняття вітаміну РР (ніацин / нікотинова кислота)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_Toc517308509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7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440"/>
        <w:rPr>
          <w:rFonts w:ascii="Calibri" w:eastAsia="Times New Roman" w:hAnsi="Calibri" w:cs="Times New Roman"/>
          <w:noProof/>
          <w:lang w:val="ru-RU" w:eastAsia="ru-RU"/>
        </w:rPr>
      </w:pPr>
      <w:hyperlink r:id="rId10" w:anchor="_Toc517308510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1.1.2. Роль нікотинової кислоти у життєдіяльності людини та тварини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_Toc517308510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9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hyperlink r:id="rId11" w:anchor="_Toc517308511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1.2. Загальна характеристика нікотинамідних коферментів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_Toc517308511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10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440"/>
        <w:rPr>
          <w:rFonts w:ascii="Calibri" w:eastAsia="Times New Roman" w:hAnsi="Calibri" w:cs="Times New Roman"/>
          <w:noProof/>
          <w:lang w:val="ru-RU" w:eastAsia="ru-RU"/>
        </w:rPr>
      </w:pPr>
      <w:hyperlink r:id="rId12" w:anchor="_Toc517308512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1.2.1. Характеристика нікотинамідних коферментів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_Toc517308512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10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440"/>
        <w:rPr>
          <w:rFonts w:ascii="Calibri" w:eastAsia="Times New Roman" w:hAnsi="Calibri" w:cs="Times New Roman"/>
          <w:noProof/>
          <w:lang w:val="ru-RU" w:eastAsia="ru-RU"/>
        </w:rPr>
      </w:pPr>
      <w:hyperlink r:id="rId13" w:anchor="_Toc517308513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1.2.2. Функції нікотинамідних коферментів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_Toc517308513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14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hyperlink r:id="rId14" w:anchor="_Toc517308514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1.3. Загальна характеристика гіпоксії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_Toc517308514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16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440"/>
        <w:rPr>
          <w:rFonts w:ascii="Calibri" w:eastAsia="Times New Roman" w:hAnsi="Calibri" w:cs="Times New Roman"/>
          <w:noProof/>
          <w:lang w:val="ru-RU" w:eastAsia="ru-RU"/>
        </w:rPr>
      </w:pPr>
      <w:hyperlink r:id="rId15" w:anchor="_Toc517308515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1.3.1. Визначення поняття. Види гіпоксії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_Toc517308515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16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440"/>
        <w:rPr>
          <w:rFonts w:ascii="Calibri" w:eastAsia="Times New Roman" w:hAnsi="Calibri" w:cs="Times New Roman"/>
          <w:noProof/>
          <w:lang w:val="ru-RU" w:eastAsia="ru-RU"/>
        </w:rPr>
      </w:pPr>
      <w:hyperlink r:id="rId16" w:anchor="_Toc517308516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1.3.2. Порушення діяльності систем і органів при гіпоксії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_Toc517308516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20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hyperlink r:id="rId17" w:anchor="_Toc517308517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2.1. Матеріали дослідження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_Toc517308517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23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hyperlink r:id="rId18" w:anchor="_Toc517308518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2.2. Методика визначення окислених і відновлених форм нікотинамідних коферментів в тканинах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_Toc517308518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24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hyperlink r:id="rId19" w:anchor="_Toc517308519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2.3. Статистична обробка даних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_Toc517308519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25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rPr>
          <w:rFonts w:ascii="Calibri" w:eastAsia="Times New Roman" w:hAnsi="Calibri" w:cs="Times New Roman"/>
          <w:noProof/>
          <w:kern w:val="28"/>
          <w:lang w:eastAsia="ru-RU"/>
        </w:rPr>
      </w:pPr>
      <w:hyperlink r:id="rId20" w:anchor="_Toc517308520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3. РЕЗУЛЬТАТИ ТА ЇХ ОБГОВОРЕННЯ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instrText xml:space="preserve"> PAGEREF _Toc517308520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>28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hyperlink r:id="rId21" w:anchor="_Toc517308521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3.1.Вплив гіпоксії замкнутого простору та різних концентрацій нікотинової кислоти на вміст нікотинамідних коферментів у печінці щурів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_Toc517308521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28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hyperlink r:id="rId22" w:anchor="_Toc517308522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3.2. Вплив гіпоксії замкнутого простору на вміст окислених та відновлених форм нікотинамідних коферментів у мозку щурів.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instrText xml:space="preserve"> PAGEREF _Toc517308522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t>32</w:t>
        </w:r>
        <w:r w:rsidRPr="005C3717">
          <w:rPr>
            <w:rFonts w:ascii="Times New Roman" w:eastAsia="Times New Roman" w:hAnsi="Times New Roman" w:cs="Times New Roman"/>
            <w:noProof/>
            <w:webHidden/>
            <w:sz w:val="28"/>
            <w:lang w:val="ru-RU"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rPr>
          <w:rFonts w:ascii="Calibri" w:eastAsia="Times New Roman" w:hAnsi="Calibri" w:cs="Times New Roman"/>
          <w:noProof/>
          <w:kern w:val="28"/>
          <w:lang w:eastAsia="ru-RU"/>
        </w:rPr>
      </w:pPr>
      <w:hyperlink r:id="rId23" w:anchor="_Toc517308523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ВИСНОВКИ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instrText xml:space="preserve"> PAGEREF _Toc517308523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>37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end"/>
        </w:r>
      </w:hyperlink>
    </w:p>
    <w:p w:rsidR="005C3717" w:rsidRPr="005C3717" w:rsidRDefault="005C3717" w:rsidP="005C3717">
      <w:pPr>
        <w:tabs>
          <w:tab w:val="right" w:leader="dot" w:pos="9486"/>
        </w:tabs>
        <w:spacing w:after="100" w:line="256" w:lineRule="auto"/>
        <w:rPr>
          <w:rFonts w:ascii="Calibri" w:eastAsia="Times New Roman" w:hAnsi="Calibri" w:cs="Times New Roman"/>
          <w:noProof/>
          <w:kern w:val="28"/>
          <w:lang w:eastAsia="ru-RU"/>
        </w:rPr>
      </w:pPr>
      <w:hyperlink r:id="rId24" w:anchor="_Toc517308524" w:history="1">
        <w:r w:rsidRPr="005C3717">
          <w:rPr>
            <w:rFonts w:ascii="Times New Roman" w:eastAsia="Times New Roman" w:hAnsi="Times New Roman" w:cs="Times New Roman"/>
            <w:noProof/>
            <w:color w:val="0563C1"/>
            <w:kern w:val="28"/>
            <w:sz w:val="28"/>
            <w:u w:val="single"/>
            <w:lang w:eastAsia="ru-RU"/>
          </w:rPr>
          <w:t>СПИСОК ЦИТОВАНОЇ ЛІТЕРАТУРИ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ab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begin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instrText xml:space="preserve"> PAGEREF _Toc517308524 \h </w:instrTex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separate"/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t>38</w:t>
        </w:r>
        <w:r w:rsidRPr="005C3717">
          <w:rPr>
            <w:rFonts w:ascii="Times New Roman" w:eastAsia="Times New Roman" w:hAnsi="Times New Roman" w:cs="Times New Roman"/>
            <w:noProof/>
            <w:webHidden/>
            <w:kern w:val="28"/>
            <w:sz w:val="28"/>
            <w:lang w:eastAsia="ru-RU"/>
          </w:rPr>
          <w:fldChar w:fldCharType="end"/>
        </w:r>
      </w:hyperlink>
    </w:p>
    <w:p w:rsidR="00713DBA" w:rsidRDefault="005C3717" w:rsidP="005C3717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fldChar w:fldCharType="end"/>
      </w:r>
    </w:p>
    <w:p w:rsidR="005C3717" w:rsidRDefault="005C3717" w:rsidP="005C3717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5C3717" w:rsidRDefault="005C3717" w:rsidP="005C3717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5C3717" w:rsidRDefault="005C3717" w:rsidP="005C3717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5C3717" w:rsidRDefault="005C3717" w:rsidP="005C3717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5C3717" w:rsidRDefault="005C3717" w:rsidP="005C3717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5C3717" w:rsidRDefault="005C3717" w:rsidP="005C3717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5C3717" w:rsidRDefault="005C3717" w:rsidP="005C3717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5C3717" w:rsidRDefault="005C3717" w:rsidP="005C3717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-142"/>
        <w:jc w:val="center"/>
        <w:outlineLvl w:val="0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5D31A9A" wp14:editId="2EB03DD8">
                <wp:simplePos x="0" y="0"/>
                <wp:positionH relativeFrom="column">
                  <wp:posOffset>5922010</wp:posOffset>
                </wp:positionH>
                <wp:positionV relativeFrom="paragraph">
                  <wp:posOffset>-495300</wp:posOffset>
                </wp:positionV>
                <wp:extent cx="170815" cy="402590"/>
                <wp:effectExtent l="0" t="0" r="19685" b="16510"/>
                <wp:wrapNone/>
                <wp:docPr id="2" name="Овал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0815" cy="402590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" o:spid="_x0000_s1026" style="position:absolute;margin-left:466.3pt;margin-top:-39pt;width:13.45pt;height:31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" fillcolor="window" strokecolor="window" strokeweight="1pt">
                <v:stroke joinstyle="miter"/>
                <v:path arrowok="t"/>
              </v:oval>
            </w:pict>
          </mc:Fallback>
        </mc:AlternateContent>
      </w:r>
      <w:bookmarkStart w:id="0" w:name="_Toc517308506"/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ВСТУП</w:t>
      </w:r>
      <w:bookmarkEnd w:id="0"/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-142" w:right="-1" w:firstLine="70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Необхідною умовою життєдіяльності, будь-якої біологічної структури є безупинне споживання енергії. В своїй більшості метаболічні процеси в організмі відбуваються завдяки надходженню до організму кисню і здійсненню дихальних реакцій. Клітина – це відкрита рівноважна система в якій для підтримки життєдіяльності, для якої необхідний обмін енергією і речовиною з навколишнім середовищем. І основним компонентом цього обміну є кисень. Деструктивні процеси, пов’язані з порушенням надходження кисню в організм, називаються гіпоксією 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[27]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-142" w:right="-1" w:firstLine="70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Гіпоксію можна визначити як типовий патологічний процес, який виникає в результаті недостатності біологічного окиснення і порушення енергозабезпечення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життєво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важливих процесів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[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]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 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-142" w:right="-1" w:firstLine="70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Відбувається зменшення кількості кисню, при цьому парціальний тиск вуглекислого газу збільшується, тому більшість реакцій йдуть за типом анаеробного метаболізму. 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-142" w:right="-1" w:firstLine="70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Нікотинамідні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коферменти, виконують важливу роль у окисно-відновних реакціях, будучи коферментами багатьох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дегідрогеназ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, які беруть участь в енергетичному і пластичному обмінах. Висока лабільність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нікотинаміднуклеотидної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системи полегшує двобічний обмін атомами водню і електронами між різними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дегідрогеназними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системами і різними частинами клітини [20].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-142" w:right="-1" w:firstLine="70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Зниження вмісту коферментів, особливо їх окислених форм у клітинах, призводить до гальмування інтенсивності окиснювального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фосфорилювання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, процесів пластичного обміну, інактивації і зв’язування лікарських засобів і отрут. Зміни вмісту і розподілу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 у органах і тканинах є важливою основою різних патологічних станів, оскільки дані коферменти одними з перших реагують на різноманітні екзогенні впливи. Тому для оптимального функціонування дихального і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мікросомального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ланцюгів перенесення електронів необхідно збереження певного рівня і співвідношення окислених і відновлених форм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коферментів. 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-142" w:right="-1" w:firstLine="70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Виходячи з цього, актуальним і перспективним є пошук і можливість застосування лікарських засобів для регуляції рівня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 в органах тварин при дії різних патологічних станах.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-142" w:right="-1" w:firstLine="70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Метою роботи, було вивчити вплив різних концентрацій нікотинової кислоти  на вміст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 в органи щурів при дії гіпоксії замкнутого простору.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Для досягнення поставленої мети необхідно вирішити наступні завдання:</w:t>
      </w:r>
    </w:p>
    <w:p w:rsidR="005C3717" w:rsidRPr="005C3717" w:rsidRDefault="005C3717" w:rsidP="005C371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Визначити вплив гіпоксії на рівень окислених та відновлених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 в органах щурів.</w:t>
      </w:r>
    </w:p>
    <w:p w:rsidR="005C3717" w:rsidRPr="005C3717" w:rsidRDefault="005C3717" w:rsidP="005C371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Визначити вплив різних концентрацій нікотинової кислоти на рівень окислених та відновлених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 та їх співвідношення в органах здорових щурів.</w:t>
      </w:r>
    </w:p>
    <w:p w:rsidR="005C3717" w:rsidRPr="005C3717" w:rsidRDefault="005C3717" w:rsidP="005C371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Вивчити вплив різних концентрацій нікотинової кислоти на рівень окислених та відновлених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 в органах щурів, які знаходилися в умовах дії гіпоксії замкнутого простору.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218" w:right="-1"/>
        <w:contextualSpacing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Об</w:t>
      </w:r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  <w:t>’</w:t>
      </w:r>
      <w:proofErr w:type="spellStart"/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єкт</w:t>
      </w:r>
      <w:proofErr w:type="spellEnd"/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дослідження. 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Регуляція метаболізму при гіпоксії замкнутого простору.</w:t>
      </w:r>
    </w:p>
    <w:p w:rsidR="005C3717" w:rsidRPr="005C3717" w:rsidRDefault="005C3717" w:rsidP="005C3717">
      <w:pPr>
        <w:widowControl w:val="0"/>
        <w:autoSpaceDE w:val="0"/>
        <w:autoSpaceDN w:val="0"/>
        <w:adjustRightInd w:val="0"/>
        <w:spacing w:after="0" w:line="360" w:lineRule="auto"/>
        <w:ind w:left="218" w:right="-1"/>
        <w:contextualSpacing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C371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Предмет дослідження.</w:t>
      </w:r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Вміст окислених та відновлених форм </w:t>
      </w:r>
      <w:proofErr w:type="spellStart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нікотинамідних</w:t>
      </w:r>
      <w:proofErr w:type="spellEnd"/>
      <w:r w:rsidRPr="005C371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коферментів. </w:t>
      </w: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5C3717" w:rsidRDefault="005C3717" w:rsidP="005C3717">
      <w:pPr>
        <w:rPr>
          <w:lang w:val="ru-RU"/>
        </w:rPr>
      </w:pPr>
    </w:p>
    <w:p w:rsidR="00407663" w:rsidRPr="00407663" w:rsidRDefault="00407663" w:rsidP="00407663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bookmarkStart w:id="1" w:name="_Toc517308523"/>
      <w:r w:rsidRPr="0040766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ВИСНОВКИ</w:t>
      </w:r>
      <w:bookmarkEnd w:id="1"/>
    </w:p>
    <w:p w:rsidR="00407663" w:rsidRPr="00407663" w:rsidRDefault="00407663" w:rsidP="00407663">
      <w:pPr>
        <w:spacing w:after="16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 Гіпоксія викликала зменшення вмісту суми (НАД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+НАДФ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) у печінці та мозку, відносно контролю. Вміст суми (НАДН+НАДФН) підвищувався, сума та співвідношення окиснених коферментів до відновлених зменшувались.</w:t>
      </w:r>
    </w:p>
    <w:p w:rsidR="00407663" w:rsidRPr="00407663" w:rsidRDefault="00407663" w:rsidP="00407663">
      <w:pPr>
        <w:spacing w:after="16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 Внутрішньочеревне введення нікотинової кислоти у дозі 1 мг/кг здоровим щурам знижувало вміст суми (НАДН+НАДФН) у печінці, та підвищувало вміст суми  (НАД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+НАДФ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) у мозку.</w:t>
      </w:r>
    </w:p>
    <w:p w:rsidR="00407663" w:rsidRPr="00407663" w:rsidRDefault="00407663" w:rsidP="00407663">
      <w:pPr>
        <w:spacing w:after="16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3. Підвищення дози до 15 мг/кг зменшувало вміст суми (НАД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+НАДФ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) у печінці у порівнянні з контролем.</w:t>
      </w:r>
    </w:p>
    <w:p w:rsidR="00407663" w:rsidRPr="00407663" w:rsidRDefault="00407663" w:rsidP="00407663">
      <w:pPr>
        <w:spacing w:after="16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4. Введення нікотинової кислоти у дозі 1 мг/кг щурам перед дією гіпоксії зменшувало вміст суми (НАД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+НАДФ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) у печінці та мозку, та суми відновлених коферментів у печінці. Вміст відновлених коферментів у мозку – підвищувався. </w:t>
      </w:r>
    </w:p>
    <w:p w:rsidR="00407663" w:rsidRPr="00407663" w:rsidRDefault="00407663" w:rsidP="00407663">
      <w:pPr>
        <w:spacing w:after="16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5. При введенні нікотинової кислоти у дозі 15 мг/кг у мозку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гіпоксичних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щурів зменшувався вміст суми (НАДН+НАДФН), та суми коферментів у порівнянні з контролем. У печінці вміст (НАД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+НАДФ</w:t>
      </w:r>
      <w:r w:rsidRPr="00407663">
        <w:rPr>
          <w:rFonts w:ascii="Cambria Math" w:eastAsia="Times New Roman" w:hAnsi="Cambria Math" w:cs="Cambria Math"/>
          <w:kern w:val="28"/>
          <w:sz w:val="28"/>
          <w:szCs w:val="28"/>
          <w:lang w:eastAsia="ru-RU"/>
        </w:rPr>
        <w:t>⁺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) зменшувався. </w:t>
      </w:r>
    </w:p>
    <w:p w:rsidR="00407663" w:rsidRPr="00407663" w:rsidRDefault="00407663" w:rsidP="00407663">
      <w:pPr>
        <w:spacing w:after="160" w:line="256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br w:type="page"/>
      </w:r>
    </w:p>
    <w:p w:rsidR="00407663" w:rsidRPr="00407663" w:rsidRDefault="00407663" w:rsidP="00407663">
      <w:pPr>
        <w:widowControl w:val="0"/>
        <w:autoSpaceDE w:val="0"/>
        <w:autoSpaceDN w:val="0"/>
        <w:adjustRightInd w:val="0"/>
        <w:spacing w:after="0" w:line="360" w:lineRule="auto"/>
        <w:ind w:hanging="567"/>
        <w:jc w:val="center"/>
        <w:outlineLvl w:val="0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bookmarkStart w:id="2" w:name="_Toc517308524"/>
      <w:r w:rsidRPr="0040766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СПИСОК ЦИТОВАНОЇ ЛІТЕРАТУРИ</w:t>
      </w:r>
      <w:bookmarkEnd w:id="2"/>
    </w:p>
    <w:p w:rsidR="00407663" w:rsidRPr="00407663" w:rsidRDefault="00407663" w:rsidP="00407663">
      <w:pPr>
        <w:numPr>
          <w:ilvl w:val="0"/>
          <w:numId w:val="2"/>
        </w:numPr>
        <w:tabs>
          <w:tab w:val="left" w:pos="4205"/>
        </w:tabs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Агаджанян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А. и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Елфимов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И.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Функции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организма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гипоксии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гиперкапнии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 - М., 2006. – 197</w:t>
      </w:r>
      <w:r w:rsidRPr="004076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407663" w:rsidRPr="00407663" w:rsidRDefault="00407663" w:rsidP="00407663">
      <w:pPr>
        <w:numPr>
          <w:ilvl w:val="0"/>
          <w:numId w:val="2"/>
        </w:numPr>
        <w:tabs>
          <w:tab w:val="left" w:pos="4205"/>
        </w:tabs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Алексенцев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Г.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Дрофа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, 2006. – 453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Березов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Т.,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Коровкин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 Ф.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химия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Под. ред.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Дебова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С. - М., «Медицина», 2010. – 587 с.</w:t>
      </w:r>
    </w:p>
    <w:p w:rsidR="00407663" w:rsidRPr="00407663" w:rsidRDefault="00407663" w:rsidP="00407663">
      <w:pPr>
        <w:numPr>
          <w:ilvl w:val="0"/>
          <w:numId w:val="2"/>
        </w:numPr>
        <w:tabs>
          <w:tab w:val="left" w:pos="4205"/>
        </w:tabs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Березов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Т.,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Коровкин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 Ф.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химия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Учебник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.— 1998.— 704 с. </w:t>
      </w:r>
    </w:p>
    <w:p w:rsidR="00407663" w:rsidRPr="00407663" w:rsidRDefault="00407663" w:rsidP="00407663">
      <w:pPr>
        <w:numPr>
          <w:ilvl w:val="0"/>
          <w:numId w:val="2"/>
        </w:numPr>
        <w:tabs>
          <w:tab w:val="left" w:pos="4205"/>
        </w:tabs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Воложин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И.,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Порядин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В.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Патофизиология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3 – х томах.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Учебник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 :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Академия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 2007. – 304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Воронин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Г.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высшей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нервной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деятельности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Мн.: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Выш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 школа, 2009. – 312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Гланц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Медико-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статистика.</w:t>
      </w:r>
      <w:r w:rsidRPr="004076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0766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McGraw</w:t>
      </w:r>
      <w:r w:rsidRPr="004076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40766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Hill</w:t>
      </w:r>
      <w:r w:rsidRPr="004076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1994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gram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М.:</w:t>
      </w:r>
      <w:proofErr w:type="gram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Практика, 1998. - 459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Зайчик А. Ш.,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Чурилов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П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.,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Патохимия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эндокринно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метаболические нарушения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Учебник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студентов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медицинских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ВУЗов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С-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Пб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.: Медицина, 2007. – 768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Иванов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К.</w:t>
      </w:r>
      <w:r w:rsidRPr="0040766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Современные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фундаментальные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кислородного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транспорта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гипоксии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Фармакотерапия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гипоксии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ее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последствий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критических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состояниях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, С-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Пб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 2004. - С. 29 - 30.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766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Колесникова С</w:t>
      </w:r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.,</w:t>
      </w:r>
      <w:r w:rsidRPr="0040766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Рыбакина Е. Т.</w:t>
      </w:r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40766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Козинец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</w:t>
      </w:r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40766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и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др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.. II Патологическая физиология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ек</w:t>
      </w:r>
      <w:r w:rsidRPr="004076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спериментальная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терапия. - 1990. - Т.15. № 2. - 344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Кольман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Я.,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Рём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К. Г.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Наглядная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биохимия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— 4-е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изд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— М.: БИНОМ.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Лаборатория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знаний, 2012. — 469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Кондрашова</w:t>
      </w:r>
      <w:proofErr w:type="spellEnd"/>
      <w:r w:rsidRPr="0040766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Н. М.</w:t>
      </w:r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Взаимодействие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процессов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переаминирования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окисления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карбоновых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кислот при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разных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функциональных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состояниях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ткани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/ Н. М.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Кондрашова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//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Биохимия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 – 1991. – Т. 56, </w:t>
      </w:r>
      <w:proofErr w:type="spellStart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вып</w:t>
      </w:r>
      <w:proofErr w:type="spellEnd"/>
      <w:r w:rsidRPr="0040766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 3. – С. 388–403.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Лифляндский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В.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минералы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М.: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Медиа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Групп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- 2010. - 640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Лосев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И., Хитров Н. К. и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Грачев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В.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Патофизиология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гипоксических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адаптации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организма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гипоксии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.- М., 2010. – 182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Малая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медицинская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энциклопедия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 Том 1. 1991. С. 330—337.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Малкин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Б. и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Гиппенрейтер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Б.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гипоксия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.- М., 2007. – 145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Методы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биохимических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липидный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энергетический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обмен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// Прохорова М. И. —Л.: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-во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Ленинг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ун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-та, 1982. — с. 224 – 226.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iCs/>
          <w:sz w:val="28"/>
          <w:szCs w:val="28"/>
          <w:lang w:eastAsia="ru-RU" w:bidi="ru-RU"/>
        </w:rPr>
        <w:t>Морозкина</w:t>
      </w:r>
      <w:proofErr w:type="spellEnd"/>
      <w:r w:rsidRPr="00407663">
        <w:rPr>
          <w:rFonts w:ascii="Times New Roman" w:eastAsia="Times New Roman" w:hAnsi="Times New Roman" w:cs="Times New Roman"/>
          <w:i/>
          <w:iCs/>
          <w:sz w:val="28"/>
          <w:szCs w:val="28"/>
          <w:lang w:eastAsia="ru-RU" w:bidi="ru-RU"/>
        </w:rPr>
        <w:t xml:space="preserve"> Т. С., </w:t>
      </w:r>
      <w:proofErr w:type="spellStart"/>
      <w:r w:rsidRPr="00407663">
        <w:rPr>
          <w:rFonts w:ascii="Times New Roman" w:eastAsia="Times New Roman" w:hAnsi="Times New Roman" w:cs="Times New Roman"/>
          <w:i/>
          <w:iCs/>
          <w:sz w:val="28"/>
          <w:szCs w:val="28"/>
          <w:lang w:eastAsia="ru-RU" w:bidi="ru-RU"/>
        </w:rPr>
        <w:t>Мойсеёнок</w:t>
      </w:r>
      <w:proofErr w:type="spellEnd"/>
      <w:r w:rsidRPr="00407663">
        <w:rPr>
          <w:rFonts w:ascii="Times New Roman" w:eastAsia="Times New Roman" w:hAnsi="Times New Roman" w:cs="Times New Roman"/>
          <w:i/>
          <w:iCs/>
          <w:sz w:val="28"/>
          <w:szCs w:val="28"/>
          <w:lang w:eastAsia="ru-RU" w:bidi="ru-RU"/>
        </w:rPr>
        <w:t xml:space="preserve"> А. Г.</w:t>
      </w:r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Витамины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: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краткое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руководство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для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врачей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студентов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медицинских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,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фармацевтических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биологических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специальностей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- Мн.: Асар, 2002. - 112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iCs/>
          <w:sz w:val="28"/>
          <w:szCs w:val="28"/>
          <w:lang w:eastAsia="ru-RU" w:bidi="ru-RU"/>
        </w:rPr>
        <w:t>Николаев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</w:t>
      </w:r>
      <w:r w:rsidRPr="00407663">
        <w:rPr>
          <w:rFonts w:ascii="Times New Roman" w:eastAsia="Times New Roman" w:hAnsi="Times New Roman" w:cs="Times New Roman"/>
          <w:i/>
          <w:iCs/>
          <w:sz w:val="28"/>
          <w:szCs w:val="28"/>
          <w:lang w:eastAsia="ru-RU" w:bidi="ru-RU"/>
        </w:rPr>
        <w:t>А. Я.</w:t>
      </w:r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Биохимия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. - М., «</w:t>
      </w:r>
      <w:proofErr w:type="spellStart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>Высшая</w:t>
      </w:r>
      <w:proofErr w:type="spellEnd"/>
      <w:r w:rsidRPr="00407663">
        <w:rPr>
          <w:rFonts w:ascii="Times New Roman" w:eastAsia="Times New Roman" w:hAnsi="Times New Roman" w:cs="Times New Roman"/>
          <w:iCs/>
          <w:sz w:val="28"/>
          <w:szCs w:val="28"/>
          <w:lang w:eastAsia="ru-RU" w:bidi="ru-RU"/>
        </w:rPr>
        <w:t xml:space="preserve"> школа», 2009. – 478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Роль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никотиновой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кислоты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ее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производных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при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нарушениях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функций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нервной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системы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/ П. К.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Пархомец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, Т. М.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Кучмеровская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, Г. В. Донченко [и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др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.] //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Укр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биохим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журн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. – 1995. – Т 67, № 4. – С. 3-11.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40766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Руководство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по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лабораторным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животным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альтернативным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моделям в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биомедицинских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исследованиях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: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учебное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пособие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для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системы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медицинскою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фармацевтического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послевузовского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образования</w:t>
      </w:r>
      <w:proofErr w:type="spellEnd"/>
      <w:proofErr w:type="gram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/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</w:t>
      </w:r>
      <w:proofErr w:type="gram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од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r w:rsidRPr="00407663">
        <w:rPr>
          <w:rFonts w:ascii="Times New Roman" w:eastAsia="Times New Roman" w:hAnsi="Times New Roman" w:cs="Times New Roman"/>
          <w:i/>
          <w:iCs/>
          <w:sz w:val="28"/>
          <w:szCs w:val="28"/>
          <w:lang w:eastAsia="ru-RU" w:bidi="ru-RU"/>
        </w:rPr>
        <w:t>ред. Н. Н.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Каркищенко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, С. В.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Грачев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- М.: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Профиль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, 2010. - 358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Теппермен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Дж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Теппермен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Х.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обмена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веществ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эндокринной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 - М., «Мир», 2009. – 475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Ткачук В. А.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Введение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молекулярную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эндокринологию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 - М., 2007. –  459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Уайт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Хендлер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Ф.,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Смит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Э.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и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. / В 3–х томах. М., «Мир», 2007.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Халмурадов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Г. 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Метаболизме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Никотиновой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Кислоты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3-метилпи-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ридина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тканях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животных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его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регуляции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докт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Каев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/>
        </w:rPr>
        <w:t>, 1974.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Чаргонец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Р. В.,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Щушевич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С. И.,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Халмурадов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А. Г.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О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Некоферментных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функциях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витамина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РР //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Украинский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биохимический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журнал — 1975 – Т. 47, №5 – 91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Чарный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А. М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.,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Патофизиология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гипоксических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состояний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- М/.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Медляз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. 1961 г. - 118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Чиркин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А. А., Данченко О. Е.,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Биохимия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- М: Мед.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Лит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., 2010. - 608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40766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Экспериментальная </w:t>
      </w:r>
      <w:r w:rsidRPr="00407663">
        <w:rPr>
          <w:rFonts w:ascii="Times New Roman" w:eastAsia="Calibri" w:hAnsi="Times New Roman" w:cs="Times New Roman"/>
          <w:sz w:val="28"/>
          <w:szCs w:val="28"/>
          <w:lang w:val="ru-RU"/>
        </w:rPr>
        <w:t>витаминология</w:t>
      </w:r>
      <w:proofErr w:type="gramStart"/>
      <w:r w:rsidRPr="0040766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/</w:t>
      </w:r>
      <w:r w:rsidRPr="0040766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</w:t>
      </w:r>
      <w:proofErr w:type="gramEnd"/>
      <w:r w:rsidRPr="00407663">
        <w:rPr>
          <w:rFonts w:ascii="Times New Roman" w:eastAsia="Calibri" w:hAnsi="Times New Roman" w:cs="Times New Roman"/>
          <w:sz w:val="28"/>
          <w:szCs w:val="28"/>
          <w:lang w:val="ru-RU"/>
        </w:rPr>
        <w:t>од ред. Ю. М. Островского</w:t>
      </w:r>
      <w:r w:rsidRPr="00407663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407663">
        <w:rPr>
          <w:rFonts w:ascii="Times New Roman" w:eastAsia="Calibri" w:hAnsi="Times New Roman" w:cs="Times New Roman"/>
          <w:sz w:val="28"/>
          <w:szCs w:val="28"/>
        </w:rPr>
        <w:t>Минск</w:t>
      </w:r>
      <w:proofErr w:type="spellEnd"/>
      <w:r w:rsidRPr="00407663">
        <w:rPr>
          <w:rFonts w:ascii="Times New Roman" w:eastAsia="Calibri" w:hAnsi="Times New Roman" w:cs="Times New Roman"/>
          <w:sz w:val="28"/>
          <w:szCs w:val="28"/>
        </w:rPr>
        <w:t xml:space="preserve">.: Наука и </w:t>
      </w:r>
      <w:proofErr w:type="spellStart"/>
      <w:r w:rsidRPr="00407663">
        <w:rPr>
          <w:rFonts w:ascii="Times New Roman" w:eastAsia="Calibri" w:hAnsi="Times New Roman" w:cs="Times New Roman"/>
          <w:sz w:val="28"/>
          <w:szCs w:val="28"/>
        </w:rPr>
        <w:t>техника</w:t>
      </w:r>
      <w:proofErr w:type="spellEnd"/>
      <w:r w:rsidRPr="00407663">
        <w:rPr>
          <w:rFonts w:ascii="Times New Roman" w:eastAsia="Calibri" w:hAnsi="Times New Roman" w:cs="Times New Roman"/>
          <w:sz w:val="28"/>
          <w:szCs w:val="28"/>
        </w:rPr>
        <w:t>, 1979. – 551 с.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Bodor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, K.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Ahmed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[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et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.] //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Annu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Rev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Pharmacol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Toxicol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– 2008. –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Vol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. 48. – P. 79- 106.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Нуpoxia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-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induced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cellular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and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vascular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changes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in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the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nucleus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tractus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solitarius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and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ventrolateral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medulla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Kaur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C.,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Viswanathan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S.,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Ling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E. A. //J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Neuropatho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Exp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Neurol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- 2011. -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Vol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70. -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Ys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3. - P. 201 -217.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Campbell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N. A.,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Reece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J. B.,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Urry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L. A.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e. a.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Biology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9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th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ed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—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Benjamin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Cummings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, 2011. — Р. 1263.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David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E.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Metzler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Biochemistry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: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The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Chemical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Reactions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of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Living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Cells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— 2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nd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edition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—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Academic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Press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, 2003. — Т. 2. — 1973 y.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David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L.,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Nelson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,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Michael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M.</w:t>
      </w:r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Cox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Lehninger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Principles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of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biochemistry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—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Fifth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edition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—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New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York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: W. H.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Freeman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and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company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, 2008. — 1158 y.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Melatonin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attenuates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hypoxia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-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induced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ultrastructural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changes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and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increased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vascular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permeability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in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the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developing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hippocampus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/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Kaur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C.,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Sivakumar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V.,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el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//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Brain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Pathol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- 2008. -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Vol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. 18.</w:t>
      </w:r>
    </w:p>
    <w:p w:rsidR="00407663" w:rsidRPr="00407663" w:rsidRDefault="00407663" w:rsidP="00407663">
      <w:pPr>
        <w:numPr>
          <w:ilvl w:val="0"/>
          <w:numId w:val="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Niacin</w:t>
      </w:r>
      <w:proofErr w:type="spellEnd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 xml:space="preserve"> - </w:t>
      </w:r>
      <w:proofErr w:type="spellStart"/>
      <w:r w:rsidRPr="00407663">
        <w:rPr>
          <w:rFonts w:ascii="Times New Roman" w:eastAsia="Times New Roman" w:hAnsi="Times New Roman" w:cs="Times New Roman"/>
          <w:i/>
          <w:sz w:val="28"/>
          <w:szCs w:val="28"/>
          <w:lang w:eastAsia="ru-RU" w:bidi="ru-RU"/>
        </w:rPr>
        <w:t>induced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coagulopathy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as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a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manifestation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of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occult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liver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injury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/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Ali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E. H.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Fet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al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// V.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Med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. J. 2013 - </w:t>
      </w:r>
      <w:proofErr w:type="spellStart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Vol</w:t>
      </w:r>
      <w:proofErr w:type="spellEnd"/>
      <w:r w:rsidRPr="00407663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. 109.</w:t>
      </w:r>
    </w:p>
    <w:p w:rsidR="005C3717" w:rsidRPr="00407663" w:rsidRDefault="005C3717" w:rsidP="005C3717">
      <w:bookmarkStart w:id="3" w:name="_GoBack"/>
      <w:bookmarkEnd w:id="3"/>
    </w:p>
    <w:sectPr w:rsidR="005C3717" w:rsidRPr="0040766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1E50B2"/>
    <w:multiLevelType w:val="hybridMultilevel"/>
    <w:tmpl w:val="08BC8E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372191"/>
    <w:multiLevelType w:val="hybridMultilevel"/>
    <w:tmpl w:val="974EFF86"/>
    <w:lvl w:ilvl="0" w:tplc="66703C66">
      <w:start w:val="1"/>
      <w:numFmt w:val="decimal"/>
      <w:lvlText w:val="%1."/>
      <w:lvlJc w:val="left"/>
      <w:pPr>
        <w:ind w:left="218" w:hanging="360"/>
      </w:pPr>
    </w:lvl>
    <w:lvl w:ilvl="1" w:tplc="04190019">
      <w:start w:val="1"/>
      <w:numFmt w:val="lowerLetter"/>
      <w:lvlText w:val="%2."/>
      <w:lvlJc w:val="left"/>
      <w:pPr>
        <w:ind w:left="938" w:hanging="360"/>
      </w:pPr>
    </w:lvl>
    <w:lvl w:ilvl="2" w:tplc="0419001B">
      <w:start w:val="1"/>
      <w:numFmt w:val="lowerRoman"/>
      <w:lvlText w:val="%3."/>
      <w:lvlJc w:val="right"/>
      <w:pPr>
        <w:ind w:left="1658" w:hanging="180"/>
      </w:pPr>
    </w:lvl>
    <w:lvl w:ilvl="3" w:tplc="0419000F">
      <w:start w:val="1"/>
      <w:numFmt w:val="decimal"/>
      <w:lvlText w:val="%4."/>
      <w:lvlJc w:val="left"/>
      <w:pPr>
        <w:ind w:left="2378" w:hanging="360"/>
      </w:pPr>
    </w:lvl>
    <w:lvl w:ilvl="4" w:tplc="04190019">
      <w:start w:val="1"/>
      <w:numFmt w:val="lowerLetter"/>
      <w:lvlText w:val="%5."/>
      <w:lvlJc w:val="left"/>
      <w:pPr>
        <w:ind w:left="3098" w:hanging="360"/>
      </w:pPr>
    </w:lvl>
    <w:lvl w:ilvl="5" w:tplc="0419001B">
      <w:start w:val="1"/>
      <w:numFmt w:val="lowerRoman"/>
      <w:lvlText w:val="%6."/>
      <w:lvlJc w:val="right"/>
      <w:pPr>
        <w:ind w:left="3818" w:hanging="180"/>
      </w:pPr>
    </w:lvl>
    <w:lvl w:ilvl="6" w:tplc="0419000F">
      <w:start w:val="1"/>
      <w:numFmt w:val="decimal"/>
      <w:lvlText w:val="%7."/>
      <w:lvlJc w:val="left"/>
      <w:pPr>
        <w:ind w:left="4538" w:hanging="360"/>
      </w:pPr>
    </w:lvl>
    <w:lvl w:ilvl="7" w:tplc="04190019">
      <w:start w:val="1"/>
      <w:numFmt w:val="lowerLetter"/>
      <w:lvlText w:val="%8."/>
      <w:lvlJc w:val="left"/>
      <w:pPr>
        <w:ind w:left="5258" w:hanging="360"/>
      </w:pPr>
    </w:lvl>
    <w:lvl w:ilvl="8" w:tplc="0419001B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2E3"/>
    <w:rsid w:val="00407663"/>
    <w:rsid w:val="005C3717"/>
    <w:rsid w:val="00713DBA"/>
    <w:rsid w:val="00C52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94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7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7;&#1072;&#1085;&#1076;&#1091;&#1083;%20&#1070;.%20&#1042;.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9</Pages>
  <Words>10278</Words>
  <Characters>5860</Characters>
  <Application>Microsoft Office Word</Application>
  <DocSecurity>0</DocSecurity>
  <Lines>48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2018-12-05T10:31:00Z</dcterms:created>
  <dcterms:modified xsi:type="dcterms:W3CDTF">2018-12-05T10:57:00Z</dcterms:modified>
</cp:coreProperties>
</file>