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1"/>
        </w:pBdr>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ОДЕСЬКИЙ НАЦІОНАЛЬНИЙ УНІВЕРСИТЕТ ІМЕНІ І. І. МЕЧНИКОВА</w:t>
      </w:r>
    </w:p>
    <w:p>
      <w:pPr>
        <w:pStyle w:val="Normal"/>
        <w:jc w:val="center"/>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0"/>
          <w:szCs w:val="20"/>
        </w:rPr>
        <w:t>(повне найменування закладу вищої освіти)</w:t>
      </w:r>
    </w:p>
    <w:p>
      <w:pPr>
        <w:pStyle w:val="Normal"/>
        <w:pBdr>
          <w:bottom w:val="single" w:sz="4" w:space="1" w:color="000001"/>
        </w:pBdr>
        <w:tabs>
          <w:tab w:val="center" w:pos="4677" w:leader="none"/>
        </w:tabs>
        <w:spacing w:lineRule="auto" w:line="240" w:before="240" w:after="0"/>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ab/>
        <w:t>Факультет міжнародних відносин, політології та соціології</w:t>
      </w:r>
    </w:p>
    <w:p>
      <w:pPr>
        <w:pStyle w:val="Normal"/>
        <w:jc w:val="center"/>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18"/>
          <w:szCs w:val="18"/>
        </w:rPr>
        <w:t>(повне найменування факультету)</w:t>
      </w:r>
    </w:p>
    <w:p>
      <w:pPr>
        <w:pStyle w:val="Normal"/>
        <w:pBdr>
          <w:bottom w:val="single" w:sz="4" w:space="1" w:color="000001"/>
        </w:pBdr>
        <w:spacing w:lineRule="auto" w:line="240" w:before="240" w:after="0"/>
        <w:jc w:val="center"/>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Кафедра міжнародних відносин</w:t>
      </w:r>
    </w:p>
    <w:p>
      <w:pPr>
        <w:pStyle w:val="Normal"/>
        <w:jc w:val="center"/>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18"/>
          <w:szCs w:val="18"/>
        </w:rPr>
        <w:t>(повна назва кафедри)</w:t>
      </w:r>
    </w:p>
    <w:p>
      <w:pPr>
        <w:pStyle w:val="Normal"/>
        <w:jc w:val="center"/>
        <w:rPr>
          <w:rFonts w:ascii="Liberation Serif" w:hAnsi="Liberation Serif" w:eastAsia="Liberation Serif" w:cs="Liberation Serif"/>
          <w:color w:val="00000A"/>
          <w:sz w:val="24"/>
          <w:szCs w:val="24"/>
        </w:rPr>
      </w:pPr>
      <w:r>
        <w:rPr>
          <w:rFonts w:eastAsia="Liberation Serif" w:cs="Liberation Serif" w:ascii="Liberation Serif" w:hAnsi="Liberation Serif"/>
          <w:b/>
          <w:color w:val="00000A"/>
          <w:sz w:val="32"/>
          <w:szCs w:val="32"/>
        </w:rPr>
        <w:t>Кваліфікаційна робота</w:t>
      </w:r>
    </w:p>
    <w:p>
      <w:pPr>
        <w:pStyle w:val="Normal"/>
        <w:pBdr>
          <w:bottom w:val="single" w:sz="4" w:space="1" w:color="000001"/>
        </w:pBdr>
        <w:tabs>
          <w:tab w:val="center" w:pos="4819" w:leader="none"/>
          <w:tab w:val="right" w:pos="8505" w:leader="none"/>
        </w:tabs>
        <w:spacing w:lineRule="auto" w:line="240" w:before="240" w:after="0"/>
        <w:ind w:left="1134" w:right="850" w:hanging="0"/>
        <w:jc w:val="center"/>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на здобуття ступеня вищої освіти «магістр»</w:t>
      </w:r>
    </w:p>
    <w:p>
      <w:pPr>
        <w:pStyle w:val="Normal"/>
        <w:tabs>
          <w:tab w:val="right" w:pos="9355" w:leader="none"/>
        </w:tabs>
        <w:jc w:val="center"/>
        <w:rPr>
          <w:rFonts w:ascii="Liberation Serif" w:hAnsi="Liberation Serif" w:eastAsia="Liberation Serif" w:cs="Liberation Serif"/>
          <w:b/>
          <w:b/>
          <w:color w:val="00000A"/>
          <w:sz w:val="28"/>
          <w:szCs w:val="28"/>
        </w:rPr>
      </w:pPr>
      <w:r>
        <w:rPr>
          <w:rFonts w:eastAsia="Liberation Serif" w:cs="Liberation Serif" w:ascii="Liberation Serif" w:hAnsi="Liberation Serif"/>
          <w:b/>
          <w:color w:val="00000A"/>
          <w:sz w:val="28"/>
          <w:szCs w:val="28"/>
        </w:rPr>
      </w:r>
    </w:p>
    <w:p>
      <w:pPr>
        <w:pStyle w:val="Normal"/>
        <w:tabs>
          <w:tab w:val="right" w:pos="9355" w:leader="none"/>
        </w:tabs>
        <w:jc w:val="center"/>
        <w:rPr>
          <w:rFonts w:ascii="Liberation Serif" w:hAnsi="Liberation Serif" w:eastAsia="Liberation Serif" w:cs="Liberation Serif"/>
          <w:b/>
          <w:b/>
          <w:color w:val="00000A"/>
          <w:sz w:val="24"/>
          <w:szCs w:val="24"/>
          <w:u w:val="single"/>
        </w:rPr>
      </w:pPr>
      <w:r>
        <w:rPr>
          <w:rFonts w:eastAsia="Liberation Serif" w:cs="Liberation Serif" w:ascii="Liberation Serif" w:hAnsi="Liberation Serif"/>
          <w:b/>
          <w:color w:val="00000A"/>
          <w:sz w:val="28"/>
          <w:szCs w:val="28"/>
          <w:u w:val="single"/>
        </w:rPr>
        <w:t>«</w:t>
      </w:r>
      <w:r>
        <w:rPr>
          <w:rFonts w:eastAsia="Times New Roman" w:cs="Times New Roman" w:ascii="Times New Roman" w:hAnsi="Times New Roman"/>
          <w:b/>
          <w:sz w:val="24"/>
          <w:szCs w:val="24"/>
          <w:u w:val="single"/>
        </w:rPr>
        <w:t>Відносини КНР та ЄС у постлісабонський період</w:t>
      </w:r>
      <w:r>
        <w:rPr>
          <w:rFonts w:eastAsia="Liberation Serif" w:cs="Liberation Serif" w:ascii="Liberation Serif" w:hAnsi="Liberation Serif"/>
          <w:b/>
          <w:color w:val="00000A"/>
          <w:sz w:val="28"/>
          <w:szCs w:val="28"/>
          <w:u w:val="single"/>
        </w:rPr>
        <w:t>»</w:t>
      </w:r>
    </w:p>
    <w:p>
      <w:pPr>
        <w:pStyle w:val="Normal"/>
        <w:tabs>
          <w:tab w:val="right" w:pos="9355" w:leader="none"/>
        </w:tabs>
        <w:jc w:val="center"/>
        <w:rPr>
          <w:rFonts w:ascii="Liberation Serif" w:hAnsi="Liberation Serif" w:eastAsia="Liberation Serif" w:cs="Liberation Serif"/>
          <w:color w:val="00000A"/>
          <w:sz w:val="24"/>
          <w:szCs w:val="24"/>
        </w:rPr>
      </w:pPr>
      <w:r>
        <w:rPr>
          <w:rFonts w:eastAsia="Liberation Serif" w:cs="Liberation Serif" w:ascii="Liberation Serif" w:hAnsi="Liberation Serif"/>
          <w:b/>
          <w:color w:val="00000A"/>
          <w:sz w:val="28"/>
          <w:szCs w:val="28"/>
        </w:rPr>
        <w:t>(</w:t>
      </w:r>
      <w:r>
        <w:rPr>
          <w:rFonts w:eastAsia="Liberation Serif" w:cs="Liberation Serif" w:ascii="Liberation Serif" w:hAnsi="Liberation Serif"/>
          <w:b/>
          <w:color w:val="00000A"/>
          <w:sz w:val="20"/>
          <w:szCs w:val="20"/>
        </w:rPr>
        <w:t>тема кваліфікаційної роботи українською мовою)</w:t>
      </w:r>
    </w:p>
    <w:p>
      <w:pPr>
        <w:pStyle w:val="Normal"/>
        <w:tabs>
          <w:tab w:val="right" w:pos="9355" w:leader="none"/>
        </w:tabs>
        <w:jc w:val="center"/>
        <w:rPr>
          <w:rFonts w:ascii="Liberation Serif" w:hAnsi="Liberation Serif" w:eastAsia="Liberation Serif" w:cs="Liberation Serif"/>
          <w:b/>
          <w:b/>
          <w:color w:val="00000A"/>
          <w:sz w:val="24"/>
          <w:szCs w:val="24"/>
          <w:u w:val="single"/>
        </w:rPr>
      </w:pPr>
      <w:r>
        <w:rPr>
          <w:rFonts w:eastAsia="Liberation Serif" w:cs="Liberation Serif" w:ascii="Liberation Serif" w:hAnsi="Liberation Serif"/>
          <w:b/>
          <w:color w:val="00000A"/>
          <w:sz w:val="28"/>
          <w:szCs w:val="28"/>
          <w:u w:val="single"/>
        </w:rPr>
        <w:t>«</w:t>
      </w:r>
      <w:r>
        <w:rPr>
          <w:rFonts w:eastAsia="Times New Roman" w:cs="Times New Roman" w:ascii="Times New Roman" w:hAnsi="Times New Roman"/>
          <w:b/>
          <w:sz w:val="24"/>
          <w:szCs w:val="24"/>
          <w:u w:val="single"/>
        </w:rPr>
        <w:t>China-EU relations in the post-Lisbon period</w:t>
      </w:r>
      <w:r>
        <w:rPr>
          <w:rFonts w:eastAsia="Liberation Serif" w:cs="Liberation Serif" w:ascii="Liberation Serif" w:hAnsi="Liberation Serif"/>
          <w:b/>
          <w:color w:val="00000A"/>
          <w:sz w:val="28"/>
          <w:szCs w:val="28"/>
          <w:u w:val="single"/>
        </w:rPr>
        <w:t>»</w:t>
      </w:r>
    </w:p>
    <w:p>
      <w:pPr>
        <w:pStyle w:val="Normal"/>
        <w:tabs>
          <w:tab w:val="left" w:pos="2445" w:leader="none"/>
        </w:tabs>
        <w:jc w:val="center"/>
        <w:rPr>
          <w:rFonts w:ascii="Liberation Serif" w:hAnsi="Liberation Serif" w:eastAsia="Liberation Serif" w:cs="Liberation Serif"/>
          <w:color w:val="00000A"/>
          <w:sz w:val="24"/>
          <w:szCs w:val="24"/>
        </w:rPr>
      </w:pPr>
      <w:r>
        <w:rPr>
          <w:rFonts w:eastAsia="Liberation Serif" w:cs="Liberation Serif" w:ascii="Liberation Serif" w:hAnsi="Liberation Serif"/>
          <w:b/>
          <w:color w:val="00000A"/>
          <w:sz w:val="28"/>
          <w:szCs w:val="28"/>
        </w:rPr>
        <w:t xml:space="preserve"> </w:t>
      </w:r>
      <w:r>
        <w:rPr>
          <w:rFonts w:eastAsia="Liberation Serif" w:cs="Liberation Serif" w:ascii="Liberation Serif" w:hAnsi="Liberation Serif"/>
          <w:b/>
          <w:color w:val="00000A"/>
          <w:sz w:val="28"/>
          <w:szCs w:val="28"/>
        </w:rPr>
        <w:t>(</w:t>
      </w:r>
      <w:r>
        <w:rPr>
          <w:rFonts w:eastAsia="Liberation Serif" w:cs="Liberation Serif" w:ascii="Liberation Serif" w:hAnsi="Liberation Serif"/>
          <w:b/>
          <w:color w:val="00000A"/>
          <w:sz w:val="20"/>
          <w:szCs w:val="20"/>
        </w:rPr>
        <w:t>тема кваліфікаційної роботи англійською мовою)</w:t>
      </w:r>
    </w:p>
    <w:p>
      <w:pPr>
        <w:pStyle w:val="Normal"/>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 xml:space="preserve">                           </w:t>
      </w:r>
    </w:p>
    <w:p>
      <w:pPr>
        <w:pStyle w:val="Normal"/>
        <w:ind w:left="2124" w:firstLine="707"/>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Виконав(ла): здобувач(ка) денної форми навчання</w:t>
      </w:r>
    </w:p>
    <w:p>
      <w:pPr>
        <w:pStyle w:val="Normal"/>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 xml:space="preserve">                                 </w:t>
      </w:r>
      <w:r>
        <w:rPr>
          <w:rFonts w:eastAsia="Liberation Serif" w:cs="Liberation Serif" w:ascii="Liberation Serif" w:hAnsi="Liberation Serif"/>
          <w:color w:val="00000A"/>
          <w:sz w:val="28"/>
          <w:szCs w:val="28"/>
        </w:rPr>
        <w:t xml:space="preserve">спеціальності </w:t>
      </w:r>
      <w:r>
        <w:rPr>
          <w:rFonts w:eastAsia="Liberation Serif" w:cs="Liberation Serif" w:ascii="Liberation Serif" w:hAnsi="Liberation Serif"/>
          <w:color w:val="00000A"/>
          <w:sz w:val="28"/>
          <w:szCs w:val="28"/>
          <w:u w:val="single"/>
        </w:rPr>
        <w:t>291Міжнародні відносини, суспільні</w:t>
      </w:r>
      <w:r>
        <w:rPr>
          <w:rFonts w:eastAsia="Liberation Serif" w:cs="Liberation Serif" w:ascii="Liberation Serif" w:hAnsi="Liberation Serif"/>
          <w:color w:val="00000A"/>
          <w:sz w:val="18"/>
          <w:szCs w:val="18"/>
        </w:rPr>
        <w:t>_____</w:t>
      </w:r>
    </w:p>
    <w:p>
      <w:pPr>
        <w:pStyle w:val="Normal"/>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ab/>
        <w:tab/>
        <w:tab/>
        <w:t xml:space="preserve">  </w:t>
      </w:r>
      <w:r>
        <w:rPr>
          <w:rFonts w:eastAsia="Liberation Serif" w:cs="Liberation Serif" w:ascii="Liberation Serif" w:hAnsi="Liberation Serif"/>
          <w:color w:val="00000A"/>
          <w:sz w:val="28"/>
          <w:szCs w:val="28"/>
          <w:u w:val="single"/>
        </w:rPr>
        <w:t>комунікації та регіональні студії</w:t>
      </w:r>
      <w:r>
        <w:rPr>
          <w:rFonts w:eastAsia="Liberation Serif" w:cs="Liberation Serif" w:ascii="Liberation Serif" w:hAnsi="Liberation Serif"/>
          <w:color w:val="00000A"/>
          <w:sz w:val="18"/>
          <w:szCs w:val="18"/>
        </w:rPr>
        <w:t>______________________________</w:t>
      </w:r>
    </w:p>
    <w:p>
      <w:pPr>
        <w:pStyle w:val="Normal"/>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0"/>
          <w:szCs w:val="20"/>
        </w:rPr>
        <w:t xml:space="preserve">                                                                </w:t>
      </w:r>
      <w:r>
        <w:rPr>
          <w:rFonts w:eastAsia="Liberation Serif" w:cs="Liberation Serif" w:ascii="Liberation Serif" w:hAnsi="Liberation Serif"/>
          <w:color w:val="00000A"/>
          <w:sz w:val="20"/>
          <w:szCs w:val="20"/>
        </w:rPr>
        <w:t>(код, назва спеціальності)</w:t>
      </w:r>
    </w:p>
    <w:p>
      <w:pPr>
        <w:pStyle w:val="Normal"/>
        <w:ind w:left="2325" w:hanging="0"/>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4"/>
          <w:szCs w:val="24"/>
        </w:rPr>
        <w:t xml:space="preserve">Освітня програма </w:t>
      </w:r>
      <w:r>
        <w:rPr>
          <w:rFonts w:eastAsia="Liberation Serif" w:cs="Liberation Serif" w:ascii="Liberation Serif" w:hAnsi="Liberation Serif"/>
          <w:color w:val="00000A"/>
          <w:sz w:val="24"/>
          <w:szCs w:val="24"/>
          <w:u w:val="single"/>
        </w:rPr>
        <w:t>Міжнародні відносини, суспільні комунікації</w:t>
      </w:r>
    </w:p>
    <w:p>
      <w:pPr>
        <w:pStyle w:val="Normal"/>
        <w:ind w:left="2325" w:hanging="0"/>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4"/>
          <w:szCs w:val="24"/>
          <w:u w:val="single"/>
        </w:rPr>
        <w:t xml:space="preserve"> </w:t>
      </w:r>
      <w:r>
        <w:rPr>
          <w:rFonts w:eastAsia="Liberation Serif" w:cs="Liberation Serif" w:ascii="Liberation Serif" w:hAnsi="Liberation Serif"/>
          <w:color w:val="00000A"/>
          <w:sz w:val="24"/>
          <w:szCs w:val="24"/>
          <w:u w:val="single"/>
        </w:rPr>
        <w:t>та регіональні студії</w:t>
      </w:r>
      <w:r>
        <w:rPr>
          <w:rFonts w:eastAsia="Liberation Serif" w:cs="Liberation Serif" w:ascii="Liberation Serif" w:hAnsi="Liberation Serif"/>
          <w:color w:val="00000A"/>
          <w:sz w:val="16"/>
          <w:szCs w:val="16"/>
        </w:rPr>
        <w:t>______________________________________________________</w:t>
      </w:r>
    </w:p>
    <w:p>
      <w:pPr>
        <w:pStyle w:val="Normal"/>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0"/>
          <w:szCs w:val="20"/>
        </w:rPr>
        <w:t xml:space="preserve">                                </w:t>
      </w:r>
      <w:r>
        <w:rPr>
          <w:rFonts w:eastAsia="Liberation Serif" w:cs="Liberation Serif" w:ascii="Liberation Serif" w:hAnsi="Liberation Serif"/>
          <w:color w:val="00000A"/>
          <w:sz w:val="20"/>
          <w:szCs w:val="20"/>
        </w:rPr>
        <w:tab/>
        <w:tab/>
        <w:tab/>
        <w:tab/>
        <w:t xml:space="preserve">                            (назва)            </w:t>
      </w:r>
    </w:p>
    <w:p>
      <w:pPr>
        <w:pStyle w:val="Normal"/>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 xml:space="preserve">                                  </w:t>
      </w:r>
      <w:r>
        <w:rPr>
          <w:rFonts w:eastAsia="Liberation Serif" w:cs="Liberation Serif" w:ascii="Liberation Serif" w:hAnsi="Liberation Serif"/>
          <w:color w:val="00000A"/>
          <w:sz w:val="28"/>
          <w:szCs w:val="28"/>
        </w:rPr>
        <w:t>___________</w:t>
      </w:r>
      <w:r>
        <w:rPr>
          <w:rFonts w:eastAsia="Liberation Serif" w:cs="Liberation Serif" w:ascii="Liberation Serif" w:hAnsi="Liberation Serif"/>
          <w:color w:val="00000A"/>
          <w:sz w:val="28"/>
          <w:szCs w:val="28"/>
          <w:u w:val="single"/>
        </w:rPr>
        <w:t>_Ван Хуаньхуань</w:t>
      </w:r>
      <w:r>
        <w:rPr>
          <w:rFonts w:eastAsia="Liberation Serif" w:cs="Liberation Serif" w:ascii="Liberation Serif" w:hAnsi="Liberation Serif"/>
          <w:color w:val="00000A"/>
          <w:sz w:val="28"/>
          <w:szCs w:val="28"/>
        </w:rPr>
        <w:t>________</w:t>
      </w:r>
    </w:p>
    <w:p>
      <w:pPr>
        <w:pStyle w:val="Normal"/>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0"/>
          <w:szCs w:val="20"/>
        </w:rPr>
        <w:t xml:space="preserve">                               </w:t>
      </w:r>
      <w:r>
        <w:rPr>
          <w:rFonts w:eastAsia="Liberation Serif" w:cs="Liberation Serif" w:ascii="Liberation Serif" w:hAnsi="Liberation Serif"/>
          <w:color w:val="00000A"/>
          <w:sz w:val="20"/>
          <w:szCs w:val="20"/>
        </w:rPr>
        <w:tab/>
        <w:tab/>
        <w:tab/>
        <w:tab/>
        <w:t xml:space="preserve">    (прізвище, ім’я, по-батькові здобувача)</w:t>
      </w:r>
    </w:p>
    <w:p>
      <w:pPr>
        <w:pStyle w:val="Normal"/>
        <w:tabs>
          <w:tab w:val="left" w:pos="5245" w:leader="none"/>
          <w:tab w:val="right" w:pos="9355" w:leader="none"/>
        </w:tabs>
        <w:spacing w:lineRule="auto" w:line="240" w:before="120" w:after="0"/>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 xml:space="preserve">                                 </w:t>
      </w:r>
      <w:r>
        <w:rPr>
          <w:rFonts w:eastAsia="Liberation Serif" w:cs="Liberation Serif" w:ascii="Liberation Serif" w:hAnsi="Liberation Serif"/>
          <w:color w:val="00000A"/>
          <w:sz w:val="28"/>
          <w:szCs w:val="28"/>
        </w:rPr>
        <w:t>Керівник     __к.політ.наук., доц. Майстренко Ю.І._______</w:t>
      </w:r>
    </w:p>
    <w:p>
      <w:pPr>
        <w:pStyle w:val="Normal"/>
        <w:tabs>
          <w:tab w:val="left" w:pos="5245" w:leader="none"/>
          <w:tab w:val="right" w:pos="9355" w:leader="none"/>
        </w:tabs>
        <w:spacing w:lineRule="auto" w:line="240" w:before="120" w:after="0"/>
        <w:ind w:firstLine="2160"/>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0"/>
          <w:szCs w:val="20"/>
        </w:rPr>
        <w:t xml:space="preserve">                  </w:t>
      </w:r>
      <w:r>
        <w:rPr>
          <w:rFonts w:eastAsia="Liberation Serif" w:cs="Liberation Serif" w:ascii="Liberation Serif" w:hAnsi="Liberation Serif"/>
          <w:color w:val="00000A"/>
          <w:sz w:val="20"/>
          <w:szCs w:val="20"/>
        </w:rPr>
        <w:t>(науковий ступінь, вчене звання, прізвище, ініціали)  (підпис)</w:t>
      </w:r>
    </w:p>
    <w:p>
      <w:pPr>
        <w:pStyle w:val="Normal"/>
        <w:tabs>
          <w:tab w:val="left" w:pos="5245" w:leader="none"/>
          <w:tab w:val="right" w:pos="9355" w:leader="none"/>
        </w:tabs>
        <w:spacing w:lineRule="auto" w:line="240" w:before="120" w:after="0"/>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 xml:space="preserve">                                 </w:t>
      </w:r>
      <w:r>
        <w:rPr>
          <w:rFonts w:eastAsia="Liberation Serif" w:cs="Liberation Serif" w:ascii="Liberation Serif" w:hAnsi="Liberation Serif"/>
          <w:color w:val="00000A"/>
          <w:sz w:val="28"/>
          <w:szCs w:val="28"/>
        </w:rPr>
        <w:t>Рецензент     к.політ.наук., доц. Дубовик В. А. ______</w:t>
      </w:r>
    </w:p>
    <w:p>
      <w:pPr>
        <w:pStyle w:val="Normal"/>
        <w:tabs>
          <w:tab w:val="left" w:pos="5245" w:leader="none"/>
          <w:tab w:val="right" w:pos="9355" w:leader="none"/>
        </w:tabs>
        <w:spacing w:lineRule="auto" w:line="240" w:before="120" w:after="0"/>
        <w:jc w:val="righ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0"/>
          <w:szCs w:val="20"/>
        </w:rPr>
        <w:t xml:space="preserve">                                                                                 </w:t>
      </w:r>
      <w:r>
        <w:rPr>
          <w:rFonts w:eastAsia="Liberation Serif" w:cs="Liberation Serif" w:ascii="Liberation Serif" w:hAnsi="Liberation Serif"/>
          <w:color w:val="00000A"/>
          <w:sz w:val="20"/>
          <w:szCs w:val="20"/>
        </w:rPr>
        <w:t>(науковий ступінь, вчене звання, прізвище, ініціали)</w:t>
      </w:r>
    </w:p>
    <w:p>
      <w:pPr>
        <w:pStyle w:val="Normal"/>
        <w:tabs>
          <w:tab w:val="left" w:pos="5245" w:leader="none"/>
          <w:tab w:val="right" w:pos="9355" w:leader="none"/>
        </w:tabs>
        <w:spacing w:lineRule="auto" w:line="240" w:before="120" w:after="0"/>
        <w:jc w:val="left"/>
        <w:rPr>
          <w:rFonts w:ascii="Liberation Serif" w:hAnsi="Liberation Serif" w:eastAsia="Liberation Serif" w:cs="Liberation Serif"/>
          <w:color w:val="00000A"/>
          <w:sz w:val="20"/>
          <w:szCs w:val="20"/>
        </w:rPr>
      </w:pPr>
      <w:r>
        <w:rPr>
          <w:rFonts w:eastAsia="Liberation Serif" w:cs="Liberation Serif" w:ascii="Liberation Serif" w:hAnsi="Liberation Serif"/>
          <w:color w:val="00000A"/>
          <w:sz w:val="20"/>
          <w:szCs w:val="20"/>
        </w:rPr>
      </w:r>
    </w:p>
    <w:tbl>
      <w:tblPr>
        <w:tblStyle w:val="Table1"/>
        <w:tblW w:w="9868" w:type="dxa"/>
        <w:jc w:val="left"/>
        <w:tblInd w:w="-22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000"/>
      </w:tblPr>
      <w:tblGrid>
        <w:gridCol w:w="5083"/>
        <w:gridCol w:w="4784"/>
      </w:tblGrid>
      <w:tr>
        <w:trPr/>
        <w:tc>
          <w:tcPr>
            <w:tcW w:w="508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jc w:val="left"/>
              <w:rPr>
                <w:rFonts w:ascii="Liberation Serif" w:hAnsi="Liberation Serif" w:eastAsia="Liberation Serif" w:cs="Liberation Serif"/>
                <w:color w:val="00000A"/>
                <w:sz w:val="24"/>
                <w:szCs w:val="24"/>
              </w:rPr>
            </w:pPr>
            <w:bookmarkStart w:id="0" w:name="_gjdgxs"/>
            <w:bookmarkEnd w:id="0"/>
            <w:r>
              <w:rPr>
                <w:rFonts w:eastAsia="Liberation Serif" w:cs="Liberation Serif" w:ascii="Liberation Serif" w:hAnsi="Liberation Serif"/>
                <w:color w:val="00000A"/>
                <w:sz w:val="28"/>
                <w:szCs w:val="28"/>
              </w:rPr>
              <w:t>Рекомендовано до захисту:</w:t>
            </w:r>
          </w:p>
          <w:p>
            <w:pPr>
              <w:pStyle w:val="Normal"/>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Протокол засідання кафедри</w:t>
            </w:r>
          </w:p>
          <w:p>
            <w:pPr>
              <w:pStyle w:val="Normal"/>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__________________________</w:t>
            </w:r>
          </w:p>
          <w:p>
            <w:pPr>
              <w:pStyle w:val="Normal"/>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 xml:space="preserve">№ </w:t>
            </w:r>
            <w:r>
              <w:rPr>
                <w:rFonts w:eastAsia="Liberation Serif" w:cs="Liberation Serif" w:ascii="Liberation Serif" w:hAnsi="Liberation Serif"/>
                <w:color w:val="00000A"/>
                <w:sz w:val="28"/>
                <w:szCs w:val="28"/>
              </w:rPr>
              <w:t xml:space="preserve">___   від ____.____. 20___ р. </w:t>
            </w:r>
          </w:p>
          <w:p>
            <w:pPr>
              <w:pStyle w:val="Normal"/>
              <w:jc w:val="left"/>
              <w:rPr>
                <w:rFonts w:ascii="Liberation Serif" w:hAnsi="Liberation Serif" w:eastAsia="Liberation Serif" w:cs="Liberation Serif"/>
                <w:color w:val="00000A"/>
                <w:sz w:val="28"/>
                <w:szCs w:val="28"/>
              </w:rPr>
            </w:pPr>
            <w:r>
              <w:rPr>
                <w:rFonts w:eastAsia="Liberation Serif" w:cs="Liberation Serif" w:ascii="Liberation Serif" w:hAnsi="Liberation Serif"/>
                <w:color w:val="00000A"/>
                <w:sz w:val="28"/>
                <w:szCs w:val="28"/>
              </w:rPr>
            </w:r>
          </w:p>
          <w:p>
            <w:pPr>
              <w:pStyle w:val="Normal"/>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Завідувач(ка) кафедри</w:t>
            </w:r>
          </w:p>
          <w:p>
            <w:pPr>
              <w:pStyle w:val="Normal"/>
              <w:tabs>
                <w:tab w:val="left" w:pos="1168" w:leader="none"/>
                <w:tab w:val="left" w:pos="3861" w:leader="none"/>
              </w:tabs>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u w:val="single"/>
              </w:rPr>
              <w:tab/>
            </w:r>
            <w:r>
              <w:rPr>
                <w:rFonts w:eastAsia="Liberation Serif" w:cs="Liberation Serif" w:ascii="Liberation Serif" w:hAnsi="Liberation Serif"/>
                <w:color w:val="00000A"/>
                <w:sz w:val="28"/>
                <w:szCs w:val="28"/>
              </w:rPr>
              <w:t xml:space="preserve">              _____________</w:t>
            </w:r>
          </w:p>
          <w:p>
            <w:pPr>
              <w:pStyle w:val="Normal"/>
              <w:tabs>
                <w:tab w:val="left" w:pos="284" w:leader="none"/>
                <w:tab w:val="left" w:pos="1767" w:leader="none"/>
              </w:tabs>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0"/>
                <w:szCs w:val="20"/>
              </w:rPr>
              <w:t xml:space="preserve">     </w:t>
            </w:r>
            <w:r>
              <w:rPr>
                <w:rFonts w:eastAsia="Liberation Serif" w:cs="Liberation Serif" w:ascii="Liberation Serif" w:hAnsi="Liberation Serif"/>
                <w:color w:val="00000A"/>
                <w:sz w:val="20"/>
                <w:szCs w:val="20"/>
              </w:rPr>
              <w:t>(підпис)</w:t>
              <w:tab/>
              <w:t xml:space="preserve">            (</w:t>
            </w:r>
            <w:r>
              <w:rPr>
                <w:rFonts w:eastAsia="Liberation Serif" w:cs="Liberation Serif" w:ascii="Liberation Serif" w:hAnsi="Liberation Serif"/>
                <w:color w:val="00000A"/>
                <w:sz w:val="24"/>
                <w:szCs w:val="24"/>
              </w:rPr>
              <w:t>прізвище,ім’я</w:t>
            </w:r>
            <w:r>
              <w:rPr>
                <w:rFonts w:eastAsia="Liberation Serif" w:cs="Liberation Serif" w:ascii="Liberation Serif" w:hAnsi="Liberation Serif"/>
                <w:color w:val="00000A"/>
                <w:sz w:val="20"/>
                <w:szCs w:val="20"/>
              </w:rPr>
              <w:t>)</w:t>
            </w:r>
          </w:p>
        </w:tc>
        <w:tc>
          <w:tcPr>
            <w:tcW w:w="4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tabs>
                <w:tab w:val="right" w:pos="4462" w:leader="none"/>
              </w:tabs>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Захищено на засіданні ЕК № _____</w:t>
            </w:r>
          </w:p>
          <w:p>
            <w:pPr>
              <w:pStyle w:val="Normal"/>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протокол № __від ____.____.20___ р.</w:t>
            </w:r>
          </w:p>
          <w:p>
            <w:pPr>
              <w:pStyle w:val="Normal"/>
              <w:jc w:val="left"/>
              <w:rPr>
                <w:rFonts w:ascii="Liberation Serif" w:hAnsi="Liberation Serif" w:eastAsia="Liberation Serif" w:cs="Liberation Serif"/>
                <w:color w:val="00000A"/>
                <w:sz w:val="28"/>
                <w:szCs w:val="28"/>
              </w:rPr>
            </w:pPr>
            <w:r>
              <w:rPr>
                <w:rFonts w:eastAsia="Liberation Serif" w:cs="Liberation Serif" w:ascii="Liberation Serif" w:hAnsi="Liberation Serif"/>
                <w:color w:val="00000A"/>
                <w:sz w:val="28"/>
                <w:szCs w:val="28"/>
              </w:rPr>
            </w:r>
          </w:p>
          <w:p>
            <w:pPr>
              <w:pStyle w:val="Normal"/>
              <w:tabs>
                <w:tab w:val="right" w:pos="4462" w:leader="none"/>
              </w:tabs>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Оцінка______________/___</w:t>
            </w:r>
            <w:r>
              <w:rPr>
                <w:rFonts w:eastAsia="Liberation Serif" w:cs="Liberation Serif" w:ascii="Liberation Serif" w:hAnsi="Liberation Serif"/>
                <w:color w:val="00000A"/>
                <w:sz w:val="20"/>
                <w:szCs w:val="20"/>
              </w:rPr>
              <w:tab/>
            </w:r>
            <w:r>
              <w:rPr>
                <w:rFonts w:eastAsia="Liberation Serif" w:cs="Liberation Serif" w:ascii="Liberation Serif" w:hAnsi="Liberation Serif"/>
                <w:color w:val="00000A"/>
                <w:sz w:val="28"/>
                <w:szCs w:val="28"/>
              </w:rPr>
              <w:t>___/_____</w:t>
            </w:r>
          </w:p>
          <w:p>
            <w:pPr>
              <w:pStyle w:val="Normal"/>
              <w:jc w:val="center"/>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0"/>
                <w:szCs w:val="20"/>
              </w:rPr>
              <w:t>(за національною шкалою/шкалою ЕСТS/ бали)</w:t>
            </w:r>
          </w:p>
          <w:p>
            <w:pPr>
              <w:pStyle w:val="Normal"/>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rPr>
              <w:t>Голова ЕК</w:t>
            </w:r>
          </w:p>
          <w:p>
            <w:pPr>
              <w:pStyle w:val="Normal"/>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8"/>
                <w:szCs w:val="28"/>
                <w:u w:val="single"/>
              </w:rPr>
              <w:tab/>
            </w:r>
            <w:r>
              <w:rPr>
                <w:rFonts w:eastAsia="Liberation Serif" w:cs="Liberation Serif" w:ascii="Liberation Serif" w:hAnsi="Liberation Serif"/>
                <w:color w:val="00000A"/>
                <w:sz w:val="28"/>
                <w:szCs w:val="28"/>
              </w:rPr>
              <w:t xml:space="preserve">              _____________</w:t>
            </w:r>
          </w:p>
          <w:p>
            <w:pPr>
              <w:pStyle w:val="Normal"/>
              <w:tabs>
                <w:tab w:val="left" w:pos="454" w:leader="none"/>
                <w:tab w:val="left" w:pos="2155" w:leader="none"/>
              </w:tabs>
              <w:jc w:val="left"/>
              <w:rPr>
                <w:rFonts w:ascii="Liberation Serif" w:hAnsi="Liberation Serif" w:eastAsia="Liberation Serif" w:cs="Liberation Serif"/>
                <w:color w:val="00000A"/>
                <w:sz w:val="24"/>
                <w:szCs w:val="24"/>
              </w:rPr>
            </w:pPr>
            <w:r>
              <w:rPr>
                <w:rFonts w:eastAsia="Liberation Serif" w:cs="Liberation Serif" w:ascii="Liberation Serif" w:hAnsi="Liberation Serif"/>
                <w:color w:val="00000A"/>
                <w:sz w:val="20"/>
                <w:szCs w:val="20"/>
              </w:rPr>
              <w:t xml:space="preserve"> </w:t>
            </w:r>
            <w:r>
              <w:rPr>
                <w:rFonts w:eastAsia="Liberation Serif" w:cs="Liberation Serif" w:ascii="Liberation Serif" w:hAnsi="Liberation Serif"/>
                <w:color w:val="00000A"/>
                <w:sz w:val="20"/>
                <w:szCs w:val="20"/>
              </w:rPr>
              <w:t>(підпис)                         (</w:t>
            </w:r>
            <w:r>
              <w:rPr>
                <w:rFonts w:eastAsia="Liberation Serif" w:cs="Liberation Serif" w:ascii="Liberation Serif" w:hAnsi="Liberation Serif"/>
                <w:color w:val="00000A"/>
                <w:sz w:val="24"/>
                <w:szCs w:val="24"/>
              </w:rPr>
              <w:t>прізвище, ім’я</w:t>
            </w:r>
            <w:r>
              <w:rPr>
                <w:rFonts w:eastAsia="Liberation Serif" w:cs="Liberation Serif" w:ascii="Liberation Serif" w:hAnsi="Liberation Serif"/>
                <w:color w:val="00000A"/>
                <w:sz w:val="20"/>
                <w:szCs w:val="20"/>
              </w:rPr>
              <w:t>)</w:t>
            </w:r>
          </w:p>
        </w:tc>
      </w:tr>
      <w:tr>
        <w:trPr/>
        <w:tc>
          <w:tcPr>
            <w:tcW w:w="508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jc w:val="left"/>
              <w:rPr>
                <w:rFonts w:ascii="Liberation Serif" w:hAnsi="Liberation Serif" w:eastAsia="Liberation Serif" w:cs="Liberation Serif"/>
                <w:color w:val="00000A"/>
                <w:sz w:val="28"/>
                <w:szCs w:val="28"/>
              </w:rPr>
            </w:pPr>
            <w:r>
              <w:rPr>
                <w:rFonts w:eastAsia="Liberation Serif" w:cs="Liberation Serif" w:ascii="Liberation Serif" w:hAnsi="Liberation Serif"/>
                <w:color w:val="00000A"/>
                <w:sz w:val="28"/>
                <w:szCs w:val="28"/>
              </w:rPr>
            </w:r>
          </w:p>
        </w:tc>
        <w:tc>
          <w:tcPr>
            <w:tcW w:w="4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jc w:val="left"/>
              <w:rPr>
                <w:rFonts w:ascii="Liberation Serif" w:hAnsi="Liberation Serif" w:eastAsia="Liberation Serif" w:cs="Liberation Serif"/>
                <w:color w:val="00000A"/>
                <w:sz w:val="28"/>
                <w:szCs w:val="28"/>
              </w:rPr>
            </w:pPr>
            <w:r>
              <w:rPr>
                <w:rFonts w:eastAsia="Liberation Serif" w:cs="Liberation Serif" w:ascii="Liberation Serif" w:hAnsi="Liberation Serif"/>
                <w:color w:val="00000A"/>
                <w:sz w:val="28"/>
                <w:szCs w:val="28"/>
              </w:rPr>
            </w:r>
          </w:p>
        </w:tc>
      </w:tr>
    </w:tbl>
    <w:p>
      <w:pPr>
        <w:pStyle w:val="Normal"/>
        <w:spacing w:lineRule="auto" w:line="480"/>
        <w:jc w:val="center"/>
        <w:rPr>
          <w:rFonts w:ascii="Times New Roman" w:hAnsi="Times New Roman" w:eastAsia="Times New Roman" w:cs="Times New Roman"/>
          <w:b/>
          <w:b/>
          <w:color w:val="00000A"/>
          <w:sz w:val="28"/>
          <w:szCs w:val="28"/>
        </w:rPr>
      </w:pPr>
      <w:r>
        <w:rPr>
          <w:rFonts w:eastAsia="Times New Roman" w:cs="Times New Roman" w:ascii="Times New Roman" w:hAnsi="Times New Roman"/>
          <w:b/>
          <w:color w:val="00000A"/>
          <w:sz w:val="28"/>
          <w:szCs w:val="28"/>
        </w:rPr>
      </w:r>
    </w:p>
    <w:p>
      <w:pPr>
        <w:pStyle w:val="Normal"/>
        <w:spacing w:lineRule="auto" w:line="480"/>
        <w:jc w:val="center"/>
        <w:rPr>
          <w:rFonts w:ascii="Times New Roman" w:hAnsi="Times New Roman" w:eastAsia="Times New Roman" w:cs="Times New Roman"/>
          <w:b/>
          <w:b/>
          <w:color w:val="00000A"/>
          <w:sz w:val="28"/>
          <w:szCs w:val="28"/>
        </w:rPr>
      </w:pPr>
      <w:r>
        <w:rPr>
          <w:rFonts w:eastAsia="Times New Roman" w:cs="Times New Roman" w:ascii="Times New Roman" w:hAnsi="Times New Roman"/>
          <w:b/>
          <w:color w:val="00000A"/>
          <w:sz w:val="28"/>
          <w:szCs w:val="28"/>
        </w:rPr>
        <w:t>Одеса 2024</w:t>
      </w:r>
    </w:p>
    <w:p>
      <w:pPr>
        <w:pStyle w:val="Normal"/>
        <w:widowControl/>
        <w:jc w:val="left"/>
        <w:rPr>
          <w:rFonts w:ascii="Times New Roman" w:hAnsi="Times New Roman" w:eastAsia="Times New Roman" w:cs="Times New Roman"/>
          <w:b/>
          <w:b/>
          <w:color w:val="00000A"/>
          <w:sz w:val="28"/>
          <w:szCs w:val="28"/>
        </w:rPr>
      </w:pPr>
      <w:r>
        <w:rPr>
          <w:rFonts w:eastAsia="Times New Roman" w:cs="Times New Roman" w:ascii="Times New Roman" w:hAnsi="Times New Roman"/>
          <w:b/>
          <w:color w:val="00000A"/>
          <w:sz w:val="28"/>
          <w:szCs w:val="28"/>
        </w:rPr>
      </w:r>
      <w:r>
        <w:br w:type="page"/>
      </w:r>
    </w:p>
    <w:p>
      <w:pPr>
        <w:pStyle w:val="Normal"/>
        <w:spacing w:lineRule="auto" w:line="480"/>
        <w:ind w:left="482" w:hanging="482"/>
        <w:jc w:val="center"/>
        <w:rPr>
          <w:rFonts w:ascii="Liberation Serif" w:hAnsi="Liberation Serif" w:eastAsia="Liberation Serif" w:cs="Liberation Serif"/>
          <w:color w:val="00000A"/>
          <w:sz w:val="28"/>
          <w:szCs w:val="28"/>
        </w:rPr>
      </w:pPr>
      <w:r>
        <w:rPr>
          <w:rFonts w:eastAsia="Times New Roman" w:cs="Times New Roman" w:ascii="Times New Roman" w:hAnsi="Times New Roman"/>
          <w:b/>
          <w:color w:val="00000A"/>
          <w:sz w:val="24"/>
          <w:szCs w:val="24"/>
        </w:rPr>
        <w:t>CONTENT</w:t>
      </w:r>
    </w:p>
    <w:p>
      <w:pPr>
        <w:pStyle w:val="Normal"/>
        <w:spacing w:lineRule="auto" w:line="480"/>
        <w:jc w:val="left"/>
        <w:rPr>
          <w:rFonts w:ascii="Liberation Serif" w:hAnsi="Liberation Serif" w:eastAsia="Liberation Serif" w:cs="Liberation Serif"/>
          <w:color w:val="00000A"/>
          <w:sz w:val="28"/>
          <w:szCs w:val="28"/>
        </w:rPr>
      </w:pPr>
      <w:r>
        <w:rPr>
          <w:rFonts w:eastAsia="Times New Roman" w:cs="Times New Roman" w:ascii="Times New Roman" w:hAnsi="Times New Roman"/>
          <w:color w:val="00000A"/>
          <w:sz w:val="24"/>
          <w:szCs w:val="24"/>
        </w:rPr>
        <w:t>Introduction………………………………………………………………...…………………...3</w:t>
      </w:r>
    </w:p>
    <w:p>
      <w:pPr>
        <w:pStyle w:val="Normal"/>
        <w:spacing w:lineRule="auto" w:line="480"/>
        <w:jc w:val="left"/>
        <w:rPr>
          <w:rFonts w:ascii="Liberation Serif" w:hAnsi="Liberation Serif" w:eastAsia="Liberation Serif" w:cs="Liberation Serif"/>
          <w:color w:val="00000A"/>
          <w:sz w:val="28"/>
          <w:szCs w:val="28"/>
        </w:rPr>
      </w:pPr>
      <w:r>
        <w:rPr>
          <w:rFonts w:eastAsia="Times New Roman" w:cs="Times New Roman" w:ascii="Times New Roman" w:hAnsi="Times New Roman"/>
          <w:color w:val="00000A"/>
          <w:sz w:val="24"/>
          <w:szCs w:val="24"/>
        </w:rPr>
        <w:t>Chapter 1: Theoretical foundation of the research …….………………………..……………... .6</w:t>
      </w:r>
    </w:p>
    <w:p>
      <w:pPr>
        <w:pStyle w:val="Normal"/>
        <w:spacing w:lineRule="auto" w:line="480"/>
        <w:jc w:val="left"/>
        <w:rPr>
          <w:rFonts w:ascii="Liberation Serif" w:hAnsi="Liberation Serif" w:eastAsia="Liberation Serif" w:cs="Liberation Serif"/>
          <w:color w:val="00000A"/>
          <w:sz w:val="28"/>
          <w:szCs w:val="28"/>
        </w:rPr>
      </w:pPr>
      <w:r>
        <w:rPr>
          <w:rFonts w:eastAsia="Times New Roman" w:cs="Times New Roman" w:ascii="Times New Roman" w:hAnsi="Times New Roman"/>
          <w:color w:val="00000A"/>
          <w:sz w:val="24"/>
          <w:szCs w:val="24"/>
        </w:rPr>
        <w:t>Chapter 2. The main areas of cooperation between China the EU……………………………..17</w:t>
      </w:r>
    </w:p>
    <w:p>
      <w:pPr>
        <w:pStyle w:val="Normal"/>
        <w:spacing w:lineRule="auto" w:line="480"/>
        <w:jc w:val="left"/>
        <w:rPr>
          <w:rFonts w:ascii="Times New Roman" w:hAnsi="Times New Roman" w:eastAsia="Times New Roman" w:cs="Times New Roman"/>
          <w:color w:val="00000A"/>
          <w:sz w:val="24"/>
          <w:szCs w:val="24"/>
        </w:rPr>
      </w:pPr>
      <w:r>
        <w:rPr>
          <w:rFonts w:eastAsia="Times New Roman" w:cs="Times New Roman" w:ascii="Times New Roman" w:hAnsi="Times New Roman"/>
          <w:color w:val="000000"/>
          <w:sz w:val="28"/>
          <w:szCs w:val="28"/>
          <w:highlight w:val="white"/>
        </w:rPr>
        <w:t>Chapter 3 Opportunities and Challenges in China-EU relations</w:t>
      </w:r>
      <w:r>
        <w:rPr>
          <w:rFonts w:eastAsia="Times New Roman" w:cs="Times New Roman" w:ascii="Times New Roman" w:hAnsi="Times New Roman"/>
          <w:color w:val="00000A"/>
          <w:sz w:val="24"/>
          <w:szCs w:val="24"/>
        </w:rPr>
        <w:t>……………………36</w:t>
      </w:r>
    </w:p>
    <w:p>
      <w:pPr>
        <w:pStyle w:val="Normal"/>
        <w:spacing w:lineRule="auto" w:line="480"/>
        <w:jc w:val="left"/>
        <w:rPr>
          <w:rFonts w:ascii="Liberation Serif" w:hAnsi="Liberation Serif" w:eastAsia="Liberation Serif" w:cs="Liberation Serif"/>
          <w:color w:val="00000A"/>
          <w:sz w:val="28"/>
          <w:szCs w:val="28"/>
        </w:rPr>
      </w:pPr>
      <w:r>
        <w:rPr>
          <w:rFonts w:eastAsia="Times New Roman" w:cs="Times New Roman" w:ascii="Times New Roman" w:hAnsi="Times New Roman"/>
          <w:color w:val="00000A"/>
          <w:sz w:val="24"/>
          <w:szCs w:val="24"/>
        </w:rPr>
        <w:t>Conclusion……………………………………………………………………………………..55</w:t>
      </w:r>
    </w:p>
    <w:p>
      <w:pPr>
        <w:pStyle w:val="Normal"/>
        <w:spacing w:lineRule="auto" w:line="480"/>
        <w:jc w:val="left"/>
        <w:rPr>
          <w:rFonts w:ascii="Liberation Serif" w:hAnsi="Liberation Serif" w:eastAsia="Liberation Serif" w:cs="Liberation Serif"/>
          <w:color w:val="00000A"/>
          <w:sz w:val="28"/>
          <w:szCs w:val="28"/>
        </w:rPr>
      </w:pPr>
      <w:r>
        <w:rPr>
          <w:rFonts w:eastAsia="Times New Roman" w:cs="Times New Roman" w:ascii="Times New Roman" w:hAnsi="Times New Roman"/>
          <w:color w:val="00000A"/>
          <w:sz w:val="24"/>
          <w:szCs w:val="24"/>
        </w:rPr>
        <w:t>References……...………………………………………………………………………………60</w:t>
      </w:r>
    </w:p>
    <w:p>
      <w:pPr>
        <w:pStyle w:val="Normal"/>
        <w:spacing w:lineRule="auto" w:line="480"/>
        <w:jc w:val="left"/>
        <w:rPr>
          <w:rFonts w:ascii="Times New Roman" w:hAnsi="Times New Roman" w:eastAsia="Times New Roman" w:cs="Times New Roman"/>
          <w:color w:val="00000A"/>
          <w:sz w:val="24"/>
          <w:szCs w:val="24"/>
        </w:rPr>
      </w:pPr>
      <w:r>
        <w:rPr>
          <w:rFonts w:eastAsia="Times New Roman" w:cs="Times New Roman" w:ascii="Times New Roman" w:hAnsi="Times New Roman"/>
          <w:color w:val="00000A"/>
          <w:sz w:val="24"/>
          <w:szCs w:val="24"/>
        </w:rPr>
      </w:r>
    </w:p>
    <w:p>
      <w:pPr>
        <w:pStyle w:val="Normal"/>
        <w:spacing w:lineRule="auto" w:line="480"/>
        <w:jc w:val="left"/>
        <w:rPr>
          <w:rFonts w:ascii="Times New Roman" w:hAnsi="Times New Roman" w:eastAsia="Times New Roman" w:cs="Times New Roman"/>
          <w:color w:val="00000A"/>
          <w:sz w:val="24"/>
          <w:szCs w:val="24"/>
        </w:rPr>
      </w:pPr>
      <w:r>
        <w:rPr>
          <w:rFonts w:eastAsia="Times New Roman" w:cs="Times New Roman" w:ascii="Times New Roman" w:hAnsi="Times New Roman"/>
          <w:color w:val="00000A"/>
          <w:sz w:val="24"/>
          <w:szCs w:val="24"/>
        </w:rPr>
      </w:r>
    </w:p>
    <w:p>
      <w:pPr>
        <w:pStyle w:val="Normal"/>
        <w:spacing w:lineRule="auto" w:line="480"/>
        <w:jc w:val="left"/>
        <w:rPr>
          <w:rFonts w:ascii="Times New Roman" w:hAnsi="Times New Roman" w:eastAsia="Times New Roman" w:cs="Times New Roman"/>
          <w:color w:val="00000A"/>
          <w:sz w:val="24"/>
          <w:szCs w:val="24"/>
        </w:rPr>
      </w:pPr>
      <w:r>
        <w:rPr>
          <w:rFonts w:eastAsia="Times New Roman" w:cs="Times New Roman" w:ascii="Times New Roman" w:hAnsi="Times New Roman"/>
          <w:color w:val="00000A"/>
          <w:sz w:val="24"/>
          <w:szCs w:val="24"/>
        </w:rPr>
      </w:r>
    </w:p>
    <w:p>
      <w:pPr>
        <w:pStyle w:val="Normal"/>
        <w:spacing w:lineRule="auto" w:line="480"/>
        <w:jc w:val="center"/>
        <w:rPr>
          <w:rFonts w:ascii="Times New Roman" w:hAnsi="Times New Roman" w:eastAsia="Times New Roman" w:cs="Times New Roman"/>
          <w:color w:val="00000A"/>
          <w:sz w:val="24"/>
          <w:szCs w:val="24"/>
        </w:rPr>
      </w:pPr>
      <w:r>
        <w:rPr>
          <w:rFonts w:eastAsia="Times New Roman" w:cs="Times New Roman" w:ascii="Times New Roman" w:hAnsi="Times New Roman"/>
          <w:color w:val="00000A"/>
          <w:sz w:val="24"/>
          <w:szCs w:val="24"/>
        </w:rPr>
      </w:r>
    </w:p>
    <w:p>
      <w:pPr>
        <w:pStyle w:val="Normal"/>
        <w:keepNext w:val="false"/>
        <w:keepLines w:val="false"/>
        <w:pageBreakBefore w:val="false"/>
        <w:widowControl/>
        <w:shd w:val="clear" w:fill="auto"/>
        <w:spacing w:lineRule="auto" w:line="360" w:before="0" w:after="0"/>
        <w:ind w:left="1270" w:right="0" w:firstLine="227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p>
    <w:p>
      <w:pPr>
        <w:pStyle w:val="Normal"/>
        <w:widowControl/>
        <w:jc w:val="left"/>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
        <w:keepNext w:val="false"/>
        <w:keepLines w:val="false"/>
        <w:pageBreakBefore w:val="false"/>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vertAlign w:val="baseline"/>
        </w:rPr>
      </w:r>
    </w:p>
    <w:p>
      <w:pPr>
        <w:pStyle w:val="Normal"/>
        <w:widowControl/>
        <w:shd w:val="clear" w:fill="auto"/>
        <w:spacing w:lineRule="auto" w:line="360" w:before="0" w:after="0"/>
        <w:ind w:left="1270" w:right="0" w:firstLine="3190"/>
        <w:jc w:val="both"/>
        <w:rPr>
          <w:rFonts w:ascii="Times New Roman" w:hAnsi="Times New Roman" w:eastAsia="Times New Roman" w:cs="Times New Roman"/>
          <w:b/>
          <w:b/>
          <w:i w:val="false"/>
          <w:i w:val="false"/>
          <w:caps w:val="false"/>
          <w:smallCaps w:val="false"/>
          <w:strike w:val="false"/>
          <w:dstrike w:val="false"/>
          <w:color w:val="000000"/>
          <w:position w:val="0"/>
          <w:sz w:val="21"/>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shd w:fill="auto" w:val="clear"/>
          <w:vertAlign w:val="baseline"/>
        </w:rPr>
        <w:t>Introduction</w:t>
      </w:r>
    </w:p>
    <w:p>
      <w:pPr>
        <w:pStyle w:val="Normal"/>
        <w:keepNext w:val="false"/>
        <w:keepLines w:val="false"/>
        <w:pageBreakBefore w:val="false"/>
        <w:widowControl/>
        <w:shd w:val="clear" w:fill="auto"/>
        <w:spacing w:lineRule="auto" w:line="360" w:before="0" w:after="0"/>
        <w:ind w:left="0" w:right="0" w:hanging="0"/>
        <w:jc w:val="both"/>
        <w:rPr/>
      </w:pPr>
      <w:r>
        <w:rPr>
          <w:rFonts w:eastAsia="Times New Roman" w:cs="Times New Roman" w:ascii="Times New Roman" w:hAnsi="Times New Roman"/>
          <w:b w:val="false"/>
          <w:i w:val="false"/>
          <w:caps w:val="false"/>
          <w:smallCaps w:val="false"/>
          <w:strike w:val="false"/>
          <w:dstrike w:val="false"/>
          <w:color w:val="000000"/>
          <w:position w:val="0"/>
          <w:sz w:val="28"/>
          <w:sz w:val="28"/>
          <w:szCs w:val="28"/>
          <w:highlight w:val="white"/>
          <w:u w:val="none"/>
          <w:vertAlign w:val="baseline"/>
        </w:rPr>
        <w:tab/>
      </w:r>
    </w:p>
    <w:p>
      <w:pPr>
        <w:pStyle w:val="Normal"/>
        <w:widowControl/>
        <w:shd w:val="clear" w:fill="auto"/>
        <w:spacing w:lineRule="auto" w:line="360" w:before="0" w:after="0"/>
        <w:ind w:left="0" w:right="0" w:hanging="0"/>
        <w:jc w:val="both"/>
        <w:rPr/>
      </w:pPr>
      <w:r>
        <w:rPr>
          <w:rFonts w:eastAsia="Times New Roman" w:cs="Times New Roman" w:ascii="Times New Roman" w:hAnsi="Times New Roman"/>
          <w:b w:val="false"/>
          <w:i w:val="false"/>
          <w:caps w:val="false"/>
          <w:smallCaps w:val="false"/>
          <w:strike w:val="false"/>
          <w:dstrike w:val="false"/>
          <w:color w:val="000000"/>
          <w:position w:val="0"/>
          <w:sz w:val="28"/>
          <w:sz w:val="28"/>
          <w:szCs w:val="28"/>
          <w:highlight w:val="white"/>
          <w:u w:val="none"/>
          <w:vertAlign w:val="baseline"/>
        </w:rPr>
        <w:tab/>
        <w:t xml:space="preserve">Since the signing of the Treaty of Lisbon, a series of changes have taken place in the internal governance structure and external policy system of the EU. </w:t>
      </w:r>
      <w:r>
        <w:rPr>
          <w:rFonts w:eastAsia="Times New Roman" w:cs="Times New Roman" w:ascii="Times New Roman" w:hAnsi="Times New Roman"/>
          <w:b w:val="false"/>
          <w:i w:val="false"/>
          <w:caps w:val="false"/>
          <w:smallCaps w:val="false"/>
          <w:strike w:val="false"/>
          <w:dstrike w:val="false"/>
          <w:color w:val="000000"/>
          <w:position w:val="0"/>
          <w:sz w:val="28"/>
          <w:sz w:val="28"/>
          <w:szCs w:val="28"/>
          <w:u w:val="none"/>
          <w:shd w:fill="auto" w:val="clear"/>
          <w:vertAlign w:val="baseline"/>
        </w:rPr>
        <w:t xml:space="preserve">In the post-Lisbon period, the EUs policy adjustment has a profound impact on its relations with China. </w:t>
      </w:r>
      <w:r>
        <w:rPr>
          <w:rFonts w:eastAsia="Times New Roman" w:cs="Times New Roman" w:ascii="Times New Roman" w:hAnsi="Times New Roman"/>
          <w:b w:val="false"/>
          <w:i w:val="false"/>
          <w:caps w:val="false"/>
          <w:smallCaps w:val="false"/>
          <w:strike w:val="false"/>
          <w:dstrike w:val="false"/>
          <w:color w:val="000000"/>
          <w:position w:val="0"/>
          <w:sz w:val="28"/>
          <w:sz w:val="28"/>
          <w:szCs w:val="28"/>
          <w:highlight w:val="white"/>
          <w:u w:val="none"/>
          <w:vertAlign w:val="baseline"/>
        </w:rPr>
        <w:t>During this period, China-EU relations also showed new characteristics and development trends under the background of the profound adjustment of the global political and economic pattern.</w:t>
      </w:r>
      <w:r>
        <w:rPr>
          <w:rFonts w:eastAsia="Times New Roman" w:cs="Times New Roman" w:ascii="Times New Roman" w:hAnsi="Times New Roman"/>
          <w:b w:val="false"/>
          <w:i w:val="false"/>
          <w:caps w:val="false"/>
          <w:smallCaps w:val="false"/>
          <w:strike w:val="false"/>
          <w:dstrike w:val="false"/>
          <w:color w:val="000000"/>
          <w:position w:val="0"/>
          <w:sz w:val="28"/>
          <w:sz w:val="28"/>
          <w:szCs w:val="28"/>
          <w:u w:val="none"/>
          <w:shd w:fill="auto" w:val="clear"/>
          <w:vertAlign w:val="baseline"/>
        </w:rPr>
        <w:t xml:space="preserve"> China-EU relations are crucial in the international arena, and studying their development is helpful to understand the changes of the international pattern. As two major economies and participants in international affairs, the stability and development of the relations between China and Europe are of far-reaching significance to both sides and the whole world.</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With the accelerated development of globalization, the importance of China-EU relations in the international political, economic and cultural fields has become increasingly prominent. China and the EU share extensive common interests in tackling global issues such as climate change, anti-terrorism and cyber security. However, due to differences in history, culture and political system, China-EU relations are also facing many challenges. An in-depth study of the development of China-EU relations in the post-Lisbon period will help to find a balance between cooperation and competition between the two sides and promote the construction of a more just and reasonable international order.</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The research question is “How relations between China and the EU are developing in the post-Lisbon period?”</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The purpose of the study is detect the evolution of relations between Chine and the EU in post-Lisbon period. </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The tasks of research are:</w:t>
      </w:r>
    </w:p>
    <w:p>
      <w:pPr>
        <w:pStyle w:val="Normal"/>
        <w:keepNext w:val="false"/>
        <w:keepLines w:val="false"/>
        <w:pageBreakBefore w:val="false"/>
        <w:widowControl w:val="false"/>
        <w:numPr>
          <w:ilvl w:val="0"/>
          <w:numId w:val="1"/>
        </w:numPr>
        <w:shd w:val="clear" w:fill="auto"/>
        <w:spacing w:lineRule="auto" w:line="360" w:before="0" w:after="0"/>
        <w:ind w:left="1068" w:right="0" w:hanging="36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8"/>
          <w:szCs w:val="28"/>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8"/>
          <w:sz w:val="28"/>
          <w:szCs w:val="28"/>
          <w:u w:val="none"/>
          <w:shd w:fill="auto" w:val="clear"/>
          <w:vertAlign w:val="baseline"/>
        </w:rPr>
        <w:t>To study theoretical basis of the research;</w:t>
      </w:r>
    </w:p>
    <w:p>
      <w:pPr>
        <w:pStyle w:val="Normal"/>
        <w:keepNext w:val="false"/>
        <w:keepLines w:val="false"/>
        <w:pageBreakBefore w:val="false"/>
        <w:widowControl w:val="false"/>
        <w:numPr>
          <w:ilvl w:val="0"/>
          <w:numId w:val="1"/>
        </w:numPr>
        <w:shd w:val="clear" w:fill="auto"/>
        <w:spacing w:lineRule="auto" w:line="360" w:before="0" w:after="0"/>
        <w:ind w:left="1068" w:right="0" w:hanging="36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8"/>
          <w:szCs w:val="28"/>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8"/>
          <w:sz w:val="28"/>
          <w:szCs w:val="28"/>
          <w:u w:val="none"/>
          <w:shd w:fill="auto" w:val="clear"/>
          <w:vertAlign w:val="baseline"/>
        </w:rPr>
        <w:t>To analyze the main areas of cooperation between China the EU;</w:t>
      </w:r>
    </w:p>
    <w:p>
      <w:pPr>
        <w:pStyle w:val="Normal"/>
        <w:keepNext w:val="false"/>
        <w:keepLines w:val="false"/>
        <w:pageBreakBefore w:val="false"/>
        <w:widowControl w:val="false"/>
        <w:numPr>
          <w:ilvl w:val="0"/>
          <w:numId w:val="1"/>
        </w:numPr>
        <w:shd w:val="clear" w:fill="auto"/>
        <w:spacing w:lineRule="auto" w:line="360" w:before="0" w:after="0"/>
        <w:ind w:left="1068" w:right="0" w:hanging="36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8"/>
          <w:szCs w:val="28"/>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8"/>
          <w:sz w:val="28"/>
          <w:szCs w:val="28"/>
          <w:u w:val="none"/>
          <w:shd w:fill="auto" w:val="clear"/>
          <w:vertAlign w:val="baseline"/>
        </w:rPr>
        <w:t xml:space="preserve">To research the challenges and opportunities facing China-EU relations.  </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The chronological framework of the study includes the period from 2007 to the present. The lower chronological limit is due to the signing of the Lisbon Agreement, the upper chronological limit is the present. If necessary, the researcher can touch on the events of an earlier period for a holistic understanding of the process of development of relations between China and the EU in the post-Lisbon period.</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Research methods are determined by the complexity of the topic and the need for a comprehensive analysis of relations between China and the EU. Among general scientific methods of researching international relations and foreign policy of states, the systematic approach occupies an important place. This method allows to analyze relations between two subjects of international relations as a complex system. The use of the case study method allows for a detailed examination of specific events or agreements that took place in bilateral relations. using case analysis, in the trade, investment, economic diplomacy cooperation and competition, introduced a large number of specific cases, such as central in the "Belt and Road" initiative of the third party market cooperation projects, the typical events, through the detailed analysis of these cases, more intuitively shows the actual performance and characteristics of China-EU relations, enhance the research conclusion. In addition, comparative analysis also analyzes the similarities and differences between China and Europe in terms of economic structure, political system and diplomatic strategy, so as to better understand the complementarity and potential conflict points in the cooperation, and help to put forward targeted suggestions and strategies. On this basis, this study further uses empirical analysis to quantitatively evaluate the policy effects of China and Europe, in order to reveal the potential and challenges of bilateral cooperation in the fields of connectivity and scientific and technological innovation. At the same time, china-eu policy makers, entrepreneurs and scholars are collected through in-depth interviews A comparative method for comparing relationships between subjects throughout the study period. The method of content analysis for the study of political statements and official documents.</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The development trend and coping strategies of China-EU relations are deeply discussed. The comprehensive application of these methods is designed to provide a useful reference for policy makers and practical circles to promote the steady development of China-EU relations in the new era. On this basis, the study also paid attention to China-EU cooperation in the fields of culture, education and youth exchanges, in order to broaden the channels for bilateral friendly exchanges and lay a solid foundation for the building of a China-EU community with a shared future.</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The scientific novelty of the study. For the first time a comprehensive study of the relation between China and EU in post-Lisbon period through neorealist paradigm. </w:t>
      </w:r>
    </w:p>
    <w:p>
      <w:pPr>
        <w:pStyle w:val="Normal"/>
        <w:spacing w:lineRule="auto" w:line="360"/>
        <w:ind w:firstLine="708"/>
        <w:rPr>
          <w:rFonts w:ascii="Times New Roman" w:hAnsi="Times New Roman" w:eastAsia="Times New Roman" w:cs="Times New Roman"/>
          <w:sz w:val="28"/>
          <w:szCs w:val="28"/>
        </w:rPr>
      </w:pPr>
      <w:bookmarkStart w:id="1" w:name="_30j0zll"/>
      <w:bookmarkEnd w:id="1"/>
      <w:r>
        <w:rPr>
          <w:rFonts w:eastAsia="Times New Roman" w:cs="Times New Roman" w:ascii="Times New Roman" w:hAnsi="Times New Roman"/>
          <w:sz w:val="28"/>
          <w:szCs w:val="28"/>
        </w:rPr>
        <w:t>Approval of Research and Publication Results. The results of this study, including the key findings and conclusions, have been disseminated through participation in international conferences of ASIA scholars and IGP specialists. Further, the findings are disseminated to academic journals focusing on international relations and diplomacy.</w:t>
      </w:r>
    </w:p>
    <w:p>
      <w:pPr>
        <w:pStyle w:val="Normal"/>
        <w:spacing w:lineRule="auto" w:line="360"/>
        <w:ind w:firstLine="708"/>
        <w:rPr>
          <w:rFonts w:ascii="Times New Roman" w:hAnsi="Times New Roman" w:eastAsia="Times New Roman" w:cs="Times New Roman"/>
          <w:color w:val="FF0000"/>
          <w:sz w:val="28"/>
          <w:szCs w:val="28"/>
        </w:rPr>
      </w:pPr>
      <w:r>
        <w:rPr>
          <w:rFonts w:eastAsia="Times New Roman" w:cs="Times New Roman" w:ascii="Times New Roman" w:hAnsi="Times New Roman"/>
          <w:sz w:val="28"/>
          <w:szCs w:val="28"/>
        </w:rPr>
        <w:t>The master's thesis consists of an introduction of three chapters, conclusions and a list of studied sources and literature. the first section is devoted to the theoretical foundations of research and analysis of existing works on this issue. The second chapter is devoted to the analysis of the main spheres of cooperation between China and the EU. In the third chapter, the researcher tried to identify the main achievements in bilateral relations and the main contradictions between the studied subjects.</w:t>
      </w:r>
      <w:r>
        <w:br w:type="page"/>
      </w:r>
    </w:p>
    <w:p>
      <w:pPr>
        <w:pStyle w:val="Normal"/>
        <w:spacing w:lineRule="auto" w:line="360"/>
        <w:ind w:firstLine="708"/>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t>Chapter 1. Theoretical Foundations of the Research</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As a theoretical paradigm for the studding of the relations between the EU and China, it was appropriate to choose the theory of political realism, which is one of the leading theory of international relations.</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Thus, the conditions for political realism arose simultaneously with the emergence of international relations, that is, by and large, at the pre-state level of human development. The prerequisites were related to the particularism of primary societies. The point of departure was based on the belief that everyone, besides us, is "other". They have a different land, which is patronized by other gods, a different language, other customs. Therefore, anything is possible in relation to them; even what is forbidden in relation to his fellow tribesmen. As for the actual theory of real politics or political realism, it emerged relatively recently (Saburov P.A, 1919, p. 111).</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However, the general meaning of this concept is far from new. It consists in the fact that the policy of each state is aimed at solving those tasks that are recognized as the most important by its leadership and is implemented primarily by force. Similar approaches to the study of the phenomena of world politics have existed for many hundreds of years. The description of world history, the history of individual countries, as well as the history of international relations, mainly represent the history of wars or their consequences. All known world powers, starting with Ancient Egypt, Assyria, Persia, and Rome, created their political influence primarily by force.</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So, realism began as a full-fledged methodological approach formed in the first half of the 19th century. First around him its use was limited to literature, theater, painting, and then, when the conceptual and instrumental possibilities of realism were appreciated by politicians, it entered international relations. As in art, realism appeared as a kind of response to the crisis of liberal and idealistic directions of science - in this case political - and social practices in late Europe XVII - the first half of the XIX centuries. In contrast to idealism, in the realistic concept, primary attention is paid not to long-term plans, but to issues of current policy and tactics. Another difference from liberalism and idealism lies in the almost complete contempt for the norms of morality and law. The main task that a political leader or a realist researcher solves is to find the shortest and most profitable way to achieve the goal. The axiological basis of realism, if not to mention what is values and for representatives of most other theories (power, state security, proper provision of its development, etc.), success is considered. Only he is the true measure of the art of a realist politician. At the same time, success must be accompanied by victory. But victory is not always achievable in the political game, and therefore even maintaining the status quo or relative success in extremely unfavorable conditions can be recognized as a certain achievement within the framework of the concept of political realism.</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Other values recognized by political realists are interest, power and its derivative - the balance of power. The term "balance of power" within the framework of classical realism, it is used to define different concepts, depending on the context. Yes, it can be applied to the balance of power in the international arena ("European concert" of the 19th century). On the other hand, a policy aimed at preserving one's own predominance in the international arena can also be called a policy of balance of power. The balance of power in both cases is the result of a struggle for power, a clash between states that seek to expand their capabilities and those that it is more profitable to maintain the status quo.</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According to political realists, the most acceptable actors international relations, and sometimes the only possible, states should be considered, since they are the most powerful and authoritative of all other participants. In this sense, from a value point of view, political realism is a direct heir of the old political tradition (coming from Thucydides, N. Machiavelli, Richelieu, T. Hobbes, etc.), although expressed in a new language in a new way.</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Power as a key concept of political realism arose not only because of the well-known socio-political genetics of this direction. The fact is that the conceptual design of realism occurred in the 19th century - the century of the heyday of natural sciences, when the concept of power, as well as the balance of forces and balance, became extremely popular. Hence the temptation to adapt this terminology to the science of world politics. The expediency of introducing the concept of power into the analysis of international relations was supported by the fact that their the natural state, according to the opinion of realists, was anarchy (as pointed out by T. Hobbes in his "Leviathan"), and anarchy can only be ordered by force. In addition, many scientists of that time considered the state as an organism endowed with power, which correlated, although not quite clearly, with the popular theory of Ch. Darwin on natural selection. With the introduction of the concept of balance of power, foreign policy finally loses the attributes of art and turns into a science.</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Therefore, the balance, that is, the balance of political forces, in the science of international relations refers to the state of dynamic stability of the leading actors. In other words, we are talking about the sustainable development of major players in the conditions of an unchanged foreign policy environment.</w:t>
      </w:r>
    </w:p>
    <w:p>
      <w:pPr>
        <w:pStyle w:val="Normal"/>
        <w:spacing w:lineRule="auto" w:line="360"/>
        <w:rPr>
          <w:rFonts w:ascii="Times New Roman" w:hAnsi="Times New Roman" w:eastAsia="Times New Roman" w:cs="Times New Roman"/>
          <w:sz w:val="28"/>
          <w:szCs w:val="28"/>
        </w:rPr>
      </w:pPr>
      <w:r>
        <w:rPr>
          <w:rFonts w:eastAsia="Times New Roman" w:cs="Times New Roman" w:ascii="Times New Roman" w:hAnsi="Times New Roman"/>
          <w:sz w:val="28"/>
          <w:szCs w:val="28"/>
        </w:rPr>
        <w:t>One of the brightest political theorists and practitioners realism is G. Kissinger. During his tenure as national security adviser and US secretary of state, he became one of the initiators of the policy of detente between the Western bloc and the Soviet Union. At the same time, he tried to balance Soviet influence in Asia by normalizing relations The USA with China (1971-1975) and in Latin America - by supporting anti-communist regimes (including the Chilean dictator A. Pinochet).</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Being a convinced supporter of compromise as a political tool, G. Kissinger substantiated this in his writings and implemented it in his practical activities. "Shuttle Diplomacy", as an initiative of active mediation, introduced by him into the practice of international relations, allowed H. It is important for Kissinger to improve the US foreign policy position (and, in his opinion, international relations in general), without changing the foundations of the world order.</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In the late 1970s, political realists were criticized supporters of the new direction, which became known as neorealism (B. Buzan, J. Modelski, P. Kennedy, etc.).</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Perhaps the most famous representative of neorealism was the American scientist K. Waltz. Sharing the basic assumptions of realism about the anarchy of international relations, the importance of the balance of forces and interests, he criticized political realists for the lack of systematicity (he considered international relations exclusively as a system) and especially for the lack of structural analysis. He himself believed that the structures that determine the state and development of the international system can differ in terms of potential (power), functions (purpose), and organization (negentropy) (Waltz K., 1979).</w:t>
      </w:r>
    </w:p>
    <w:p>
      <w:pPr>
        <w:pStyle w:val="Normal"/>
        <w:spacing w:lineRule="auto" w:line="360"/>
        <w:ind w:firstLine="708"/>
        <w:rPr/>
      </w:pPr>
      <w:r>
        <w:rPr>
          <w:rFonts w:eastAsia="Times New Roman" w:cs="Times New Roman" w:ascii="Times New Roman" w:hAnsi="Times New Roman"/>
          <w:sz w:val="28"/>
          <w:szCs w:val="28"/>
        </w:rPr>
        <w:t>The most important structural characteristic of K. Waltz, of course, considered power, but attached great importance not only to its military, but also to financial, economic and other components. Structural restrictions, according to his concept, require the state to strive to increase its power at the expense of their own efforts, at the expense of entering into an alliance with other states and at the expense of actions aimed at reducing the forces of their opponents. In international relations, he singled out three interrelated levels - the individual, the state and the international system. A specific combination of these levels leads, according to K. Waltz, before making a certain decision in international relations ) (Waltz K., 1979 ).</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In general, a feature of the neorealist analysis of international relations is the primacy of the system over the individual state. In some works of K. Waltz expressed a rather controversial point of view that the moderate spread of nuclear weapons, acquiring systemic significance, has a deterrent effect, as it is a kind of balance that restrains the power of superpowers. The point of reasoning of this kind is the belief that "states are characterized by rational behavior and the desire to minimize risks."</w:t>
      </w:r>
    </w:p>
    <w:p>
      <w:pPr>
        <w:pStyle w:val="Normal"/>
        <w:spacing w:lineRule="auto" w:line="360"/>
        <w:rPr>
          <w:rFonts w:ascii="Times New Roman" w:hAnsi="Times New Roman" w:eastAsia="Times New Roman" w:cs="Times New Roman"/>
          <w:sz w:val="28"/>
          <w:szCs w:val="28"/>
        </w:rPr>
      </w:pPr>
      <w:r>
        <w:rPr>
          <w:rFonts w:eastAsia="Times New Roman" w:cs="Times New Roman" w:ascii="Times New Roman" w:hAnsi="Times New Roman"/>
          <w:sz w:val="28"/>
          <w:szCs w:val="28"/>
        </w:rPr>
        <w:tab/>
        <w:t>At the end of the 80s of the 20th century, when global processes began to gain more and more power, neoclassical realism came to the fore within the framework of realistic theories. Clarifying the position of K. Waltz, the neoclassicists reduced the model of the system of international relations to the result of the interaction of three variables: the external environment (independent variable), the institutional environment (intervening variable), foreign policy (dependent variable). It follows that the first two are critical determinants of the third, although the mediation of the third on the first two (according to the systemic principle according to which everything is related to everything) is denied. In addition, as it follows from the sudden nature of the institutional variable that invades, neoclassical realists (F. Zakaria, J. Snyder, R. Schweler) began to pay special attention to internal political and even unforeseen factors associated with growing heterogeneity societies that are difficult or even impossible to take into account in advance.</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Speaking about the theory of political realism, it should be noted that that the starting point in this theory is the thesis that the imperfection of the situation in the world is the result of the action of forces embedded in the imperfect nature of man himself. Therefore, you need to be realistic: not to oppose these forces, but to take them into account in politics. According to the concept of political realism, the most important reference point that helps to find a rational way in the field of international politics, there is interest. Moreover, if in the field of domestic politics, depending on the nature and ratio of political forces, the general interest can be different, then in international politics it acts primarily and mainly as a national interest. Any foreign policy must be built based on the physical, political and cultural reality that is the nation. In a world divided by competition and the power struggle of various sovereign nations, the foreign policy of any nation must satisfy its primary need, which is to survive. All nations, according to their available capabilities, strive for one thing - the protection of their physical, political and cultural identity identity before the threat of external attack.</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According to G. Morgenthau, national interest in international political relations contains constant and variable components. Permanent component national interest is determined by three factors: the nature of the interest to be protected; the political environment in which the interest operates; a rational necessity that limits the choice of goals and means for all subjects involved in the international arena. The variable component is determined by the circumstances. A rational foreign policy is when it minimizes risk and maximizes benefit. Due to the orientation of foreign policy on obtaining benefits, the concept of political realism is called also the theory of pragmatism and political realism (Morgenthau, 1955).</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Special attention is paid to the concept of political realism the ratio of morality and expediency in foreign policy. Proponents of pragmatism and political realism are aware of the moral significance of political actions, the inevitability of clashes between the requirements of effective foreign policy activity and moral norms. However, at the same time, they emphasize that in evaluating the actions of states and nations, moral principles should not be applied abstractly, but only in accordance with specific circumstances of place and time. In this regard, political realism rejects the desire of individual nations to identify themselves with the moral laws of the whole world.</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All nations seek to connect their partial aspirations with universal moral norms, but this does not mean that they are all right. The truth does not always coincide with public opinion. Interest, perceived in the categories of realist international politics, creates chances of just behavior for all nations, as it warns against moral claims and political pressure from any nation (Morgenthau, 1955; Waltz, 1979).</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China joined modern international relations in the middle of the 20th century. China, which followed the changes in international politics well, made great strides in the economic sphere. Thanks to this breakthrough, China aimed to transfer the gains of its economic power to the political sphere (Erdemir E., 2023P.223).</w:t>
        <w:br/>
        <w:t>Apart from arguments such as the power-policy relationship and the intersection of domestic and foreign policy, the theory has also dealt with balancing options. In addition to the balance of power and threats, Schweller (1997) introduced the “balance of interests” as a third option, again reading it in terms of states. First, he categorized states into three types according to their interests: Some states want more than they have, some are satisfied with their position, and finally, the rest give up what they dream of in order not to lose what is theirs (Schweller, 1994). Following this distinction, Schweller (1994) argued that the balance of interests alone is not decisive for understanding the international system. Even though interests are vital,</w:t>
      </w:r>
    </w:p>
    <w:p>
      <w:pPr>
        <w:pStyle w:val="Normal"/>
        <w:spacing w:lineRule="auto" w:line="360"/>
        <w:rPr>
          <w:rFonts w:ascii="Times New Roman" w:hAnsi="Times New Roman" w:eastAsia="Times New Roman" w:cs="Times New Roman"/>
          <w:sz w:val="28"/>
          <w:szCs w:val="28"/>
        </w:rPr>
      </w:pPr>
      <w:r>
        <w:rPr>
          <w:rFonts w:eastAsia="Times New Roman" w:cs="Times New Roman" w:ascii="Times New Roman" w:hAnsi="Times New Roman"/>
          <w:sz w:val="28"/>
          <w:szCs w:val="28"/>
        </w:rPr>
        <w:t>ultimately, the states make decisions. In other words, it is essential to determine the objectives for which the capabilities of states will be used. Schweller emphasized that a state must first decide what to do about two issues: “Will it use its power to manage the system or to destroy it? Will it use its power to threaten other states or to make them feel safe?” (Schweller, 1994).</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According to him, the system’s stability depends on the balance of the status quo and revisionist states. The system will stabilize when status quo states are much stronger than revisionist ones. When a revisionist state or coalition is stronger than the defenders of the status quo, the system will eventually change (Schweller, 1994). Ultimately, Schweller did not repeat the mistakes in the balance of power and balance of threat. Contrary to what Waltz and Walt did, he did not put the balance of interests before everything else. The balance of interests was utilized by him to explain international politics by considering the different preferences of status quo and revisionist powers.</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In the scientific literature, relations between the EU and China were mainly analyzed through the prism of relations between great powers, alliance systems, and balancing behavior (Li and He, 2022; Holslag, 2011). These methods of interpretation, which reflect a neorealist perception of the international system, can complicate the understanding of relations between the parties (Raymond and Kegley, 1990). However, in recent years, the number of publications studying the development of China's foreign policy from the perspective of neoclassical realism has increased (Sørensen, 2013; Rosa, 2018; Ye, 2019). These publications made adjustments to the understanding of approaches to China's foreign policy. Neoclassical realism attaches importance to the inclusion of variables at the level of units (the perception of decision-makers, the internal structure of the state and the state's relationship with society) in the analysis, as well as systemic pressure. Due to the supranational character of the EU, it is possible to apply the arguments of neoclassical realism to analyze the policy of member states. When analyzing the relations between the EU and China, neoclassical realism fills this gap in neorealism by considering endogenous factors (Ripsman, Taliaferro and Lobell, 2016). This is due to the fact that the multipolar international system is no longer characterized by interaction between blocs, but by the implementation of interests (Ripsman, Taliaferro and Lobell, 2016). The transformation of relations between the EU and China from a "strategic partnership" to a "systemic competitor" in recent years (European Relations Service, 2020) also indicates that the interests of the parties intersect. Other studies try to specify the function of neoclassical realism and the balance of interests. First, in March 2020, when the coronavirus (COVID-19), which the World Health Organization declared a “pandemic,” was at the top of the international agenda, the number of narratives that China caused the disease increased significantly (Li and He , 2022). According to Albertona and Wise, these narratives could be used primarily by the American media to discredit China in the political arena (Albertona and Wise, 2020). The current situation, which China tried to balance with the help of "mask diplomacy", led to a cooling of relations between the EU and the People's Republic of China. China responded to this move by the EU with "wolf warrior diplomacy"4 (Kowalski, 2021). This political shift, which has intensified since Xi Jinping became the General Secretary of the Communist Party of China (CPC) in 2012, symbolizes that the country can return to its traditional approaches in foreign policy when its interests demand it. It can be said that the EU member states also turned to China as a justification for the increased reaction of their societies to the pandemic. This example shows how internal factors have affected relations between China and the EU. Public concerns in Europe led to different reactions to China at the level of EU member states, some of which were inevitable due to the impact of the pandemic that arose in China. China's reaction, its use of mask diplomacy, as well as wolf warrior diplomacy, was also largely the result of developments at the level of China's government elites. Thus, public opinion, national interests, and elite opinion, rather than systemic factors, influenced changes in the course of relations between the EU and China. That is why neoclassical realism can provide a better analytical basis for evaluating their relationship than neorealism. The second example is China's implementation of initiatives to change the balance of relations with the EU in its favor. The most famous of these initiatives is the 17+15 mechanism, officially called "Cooperation between China and the countries of Central and Eastern Europe". The main goal of the mechanism is for China to develop cooperation with European countries in the fields of infrastructure, transport, logistics, trade and investment through the initiative "One Belt, One Road"6 (Szunomár, 2017). Although an optimistic goal was put forward on paper, the main problem was that China might have a hidden goal (Zuokui, 2018). In other words, there were fears that China was trying to create a gap between the EU and its member states through the One Belt One Road initiative (Brattberg and Soula, 2018). The EU also opposed China's approach to this initiative. China preferred only bilateral negotiations with member states without creating dialogue mechanisms with EU institutions (Millán, 2020). China could seek to undermine the unique structure of the EU in order to realize its economic and political interests. Thus, the priority of interests in this relationship can be easily explained with the help of the balance of interests approach of neoclassical realism. On the other hand, this case also shows the importance of the state level and the importance of bilateral relations, rather than systemic factors, in the choice of foreign policy and actions of both China and some EU member states. Other than that moreover, the emphasis on the "One Belt, One Road" initiative also showed that geopolitical approaches were a priority in their relations. Thus, neoclassical realism, which does not exclude from its analysis considerations of the state level, national interests and geopolitical factors, can explain this situation better than neorealist theory. As a third and final example, it can be argued that China turned the fluctuations in the traditional Transatlantic Alliance during Donald Trump's tenure as US president (January 2017-21) into an advantage for itself (Rato, 2021). Trump tried to destabilize the most important defense alliance of the Western Hemisphere — not with a hostile state, but with the most powerful state in the alliance (Schnaufer II, 2021). Other events during Trump's presidency also helped China assess the failures of the Transatlantic Alliance. For example, the US froze negotiations on the Transatlantic Trade and Investment Partnership with the EU, withdrew from international agreements such as the Joint Comprehensive Plan of Action (May 2018) and the Paris Climate Agreement (June 2017), and blamed other members of the North Atlantic Treaty Organization ( NATO) in insufficient contribution to defense spending (Birnbaum, 2018). Taking advantage of the listed negative aspects of US-EU relations, China has increased its presence on the continent through various tools: the expansion of 5G technology and Huawei infrastructure (Doffman, 2020) and the acquisition of ports in some member states (Small, 2020). It did not go unnoticed that China's strategic steps were watched with concern by the main EU states (Germany, France, Spain and Italy) (Knight, 2019; Sabbagh, 2020). The then Chancellor of Germany, Angela Merkel, who prevented further escalation of the European crisis, played the role of a mediator to maintain the balance of interests (Brattberg, 2021). Thus, China did not lose its achievements, in principle completed the negotiations on the Comprehensive Investment Agreement with the EU on December 30, 2020, and did not allow the Transatlantic Alliance to completely return to the old days (Silva, 2022). An example of the influence of a negative turn in Transatlantic relations on EU-China relations during the Trump administration and the conclusion of negotiations on the achievement of a Comprehensive Investment Agreement between the Union and China also show the influence of national leaders on foreign policy. The special role that the then Chancellor of Germany Angela Merkel and the President of the People's Republic of China Xi Jinping played in the signing of the Agreement shows the importance of leadership in international relations. In a similar way, the actions of President Trump, which undermined the image of the USA as a reliable ally of European countries and shook the foundations of the Transatlantic Alliance, can be considered as a factor contributing to the start of negotiations between the EU and China, which led to the Comprehensive Investment Agreement (Erdemir E., 2023, p. 236 ).</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In the course of the research, the literature of Chinese scientists was mainly studied. All studied sources and literature can be conditionally divided into three groups. The first group includes the sources and literature that formed the theoretical basis of the research. We should mention the works of such outstanding neorealists as Уолтц (1979, 1996 ), Моргентау (1996), Уолт (1987, 1988).</w:t>
      </w:r>
    </w:p>
    <w:p>
      <w:pPr>
        <w:pStyle w:val="Normal"/>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sz w:val="28"/>
          <w:szCs w:val="28"/>
        </w:rPr>
        <w:t xml:space="preserve">For analyzing the main areas of cooperation between China the EU the articles of Chinese scientists: </w:t>
      </w:r>
      <w:r>
        <w:rPr>
          <w:rFonts w:eastAsia="Times New Roman" w:cs="Times New Roman" w:ascii="Times New Roman" w:hAnsi="Times New Roman"/>
          <w:color w:val="000000"/>
          <w:sz w:val="28"/>
          <w:szCs w:val="28"/>
          <w:highlight w:val="white"/>
        </w:rPr>
        <w:t>Mou LAN (2014), Li Bishi (2016), Li Gang (2015) and others.</w:t>
      </w:r>
    </w:p>
    <w:p>
      <w:pPr>
        <w:pStyle w:val="Normal"/>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 xml:space="preserve">For writing the third chapter was analyzed  the articles of Wang Yang, Wang Yi. (2014), Ding Chun, Sun Lu (2024), Zhao Ke, Tang Yaozhuo (2024) and many others. </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The neorealist paradigm of international relations was chosen as the theoretical basis of the study. The realist paradigm made it possible to study the peculiarities of relations between the EU and the People's Republic of China and to identify the main features of the relations and identify shortcomings and predict future development.</w:t>
      </w:r>
    </w:p>
    <w:p>
      <w:pPr>
        <w:pStyle w:val="Normal"/>
        <w:spacing w:lineRule="auto" w:line="360"/>
        <w:ind w:firstLine="708"/>
        <w:rPr>
          <w:rFonts w:ascii="Times New Roman" w:hAnsi="Times New Roman" w:eastAsia="Times New Roman" w:cs="Times New Roman"/>
          <w:sz w:val="28"/>
          <w:szCs w:val="28"/>
        </w:rPr>
      </w:pPr>
      <w:r>
        <w:rPr>
          <w:rFonts w:eastAsia="Times New Roman" w:cs="Times New Roman" w:ascii="Times New Roman" w:hAnsi="Times New Roman"/>
          <w:sz w:val="28"/>
          <w:szCs w:val="28"/>
        </w:rPr>
        <w:t>The presence of a large number of analytical works by Chinese scientists confirms the fact that this topic is being actively developed in China. Involved sources and literature provided an opportunity for a comprehensive analysis of relations between the People's Republic of China and the EU.</w:t>
      </w:r>
    </w:p>
    <w:p>
      <w:pPr>
        <w:pStyle w:val="Normal"/>
        <w:spacing w:lineRule="auto" w:line="360"/>
        <w:ind w:firstLine="708"/>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widowControl/>
        <w:spacing w:lineRule="auto" w:line="259" w:before="0" w:after="160"/>
        <w:jc w:val="left"/>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r>
        <w:br w:type="page"/>
      </w:r>
    </w:p>
    <w:p>
      <w:pPr>
        <w:pStyle w:val="Normal"/>
        <w:spacing w:lineRule="auto" w:line="360"/>
        <w:ind w:firstLine="708"/>
        <w:rPr>
          <w:rFonts w:ascii="Times New Roman" w:hAnsi="Times New Roman" w:eastAsia="Times New Roman" w:cs="Times New Roman"/>
          <w:b/>
          <w:b/>
          <w:sz w:val="28"/>
          <w:szCs w:val="28"/>
        </w:rPr>
      </w:pPr>
      <w:r>
        <w:rPr>
          <w:rFonts w:eastAsia="Times New Roman" w:cs="Times New Roman" w:ascii="Times New Roman" w:hAnsi="Times New Roman"/>
          <w:b/>
          <w:color w:val="000000"/>
          <w:sz w:val="28"/>
          <w:szCs w:val="28"/>
          <w:highlight w:val="white"/>
        </w:rPr>
        <w:t>Chapter 2.</w:t>
      </w:r>
      <w:r>
        <w:rPr>
          <w:rFonts w:eastAsia="Times New Roman" w:cs="Times New Roman" w:ascii="Times New Roman" w:hAnsi="Times New Roman"/>
          <w:sz w:val="28"/>
          <w:szCs w:val="28"/>
        </w:rPr>
        <w:t xml:space="preserve"> </w:t>
      </w:r>
      <w:r>
        <w:rPr>
          <w:rFonts w:eastAsia="Times New Roman" w:cs="Times New Roman" w:ascii="Times New Roman" w:hAnsi="Times New Roman"/>
          <w:b/>
          <w:sz w:val="28"/>
          <w:szCs w:val="28"/>
        </w:rPr>
        <w:t>The main areas of cooperation between China the EU</w:t>
      </w:r>
    </w:p>
    <w:p>
      <w:pPr>
        <w:pStyle w:val="Normal"/>
        <w:spacing w:lineRule="auto" w:line="360"/>
        <w:ind w:firstLine="708"/>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The outbreak of the trade war between China and the United States has disrupted the global trade order and raised trade protectionism. After Brexit, the EU is faced with the dual tasks of internal structural adjustment and external strategic repositioning. In this context, the EU seeks to strengthen economic cooperation with China to enhance its autonomy and competitiveness in the global economic landscape. The EU realizes that a comprehensive investment agreement with an economy as large as China will help it expand its market and gain investment opportunities, while also partly balancing trade relations with the US. From China's perspective, with the transformation and upgrading of its own economy, there is also a strong demand for advanced European technology, management experience and a broad market. The promotion of the China-EU Comprehensive Investment Agreement is in line with the strategic interests of both sides. The research in this background is the analysis of the strategic adjustment of the EU and the changes in the international economic landscape, such as Chen Hailong’s (2020) studying the influence of the EU Political Evolution on the International Landscape and related reports and analysis of the changing situation of the EU in international trade. On this basis, the two sides should seize the opportunities entrusted by The Times, deepen mutually beneficial cooperation and jointly address global challenges. The comprehensive investment agreement will not only bring economic benefits to both sides, but also help promote the improvement of the global economic governance system. In this process, China and the EU should continue to strengthen dialogue and communication, properly handle differences and ensure the broader path of win-win cooperation. On this basis, we will continue to enrich the connotation of China-EU relations, expand areas of cooperation and contribute to the building of an open world economy. In today's reform of the global economic governance system, the China-EU Comprehensive Investment Agreement is particularly important. Through deepening cooperation, China and the EU will not only promote their own economic development, but also jointly promote global economic recovery and growth. In this process, cultural exchanges and educational cooperation have become a bridge between the people of China and Europe, injecting new vitality into the building of a China-Europe community of shared future. As President Xi Jinping, it not only promotes unimpeded trade, but also provides a platform for people-to-people exchanges. Looking ahead, China-EU relations will, on the basis of mutual trust and mutual benefit, expand cooperation areas and jointly write a chapter of friendship in the new era. Against this backdrop, China and Germany, as important trading partners, should work together to deepen exchanges and cooperation in various fields. Driven by innovation and aimed at win-win results, we will continue to optimize the bilateral trade structure, strengthen cooperation in emerging industries such as new energy vehicles and intelligent manufacturing, and jointly lead the global industrial transformation. At the same time, with the help of the friendly exchanges between China and Germany, we will further deepen China-EU relations and make new and greater contributions to safeguarding world peace and prosperity. At this important historical moment, we firmly believe that by continuously strengthening strategic communication and coordination, China and Germany will jointly open a new chapter of win-win cooperation. With the 10th anniversary as a new starting point, we look forward to promoting China-Germany relations at a higher level and in a wider range of areas and making positive contributions to the prosperity and stability of the two countries and the world at large. With the joint efforts of both sides, China-Germany cooperation will surely bear even more fruitful fruits and inject new impetus into the reform of global economic governance. At this new historical juncture, we will continue to uphold the principles of openness, inclusiveness, mutual benefit and win-win results, deepen economic and trade exchanges with Germany, strengthen scientific and technological exchanges, and jointly promote green development. As Ambassador Deng Hongbo said, the Chinese-style modernization path has provided a new development model for the world and brought new opportunities for China-Germany cooperation. Let us walk hand in hand and write a better chapter of China-Germany relations in the future in this hopeful era.</w:t>
      </w:r>
      <w:r>
        <w:rPr>
          <w:rFonts w:ascii="Times New Roman" w:hAnsi="Times New Roman" w:cs="Times New Roman" w:eastAsia="Times New Roman"/>
          <w:color w:val="000000"/>
          <w:sz w:val="28"/>
          <w:szCs w:val="28"/>
        </w:rPr>
        <w:t>（</w:t>
      </w:r>
      <w:r>
        <w:rPr>
          <w:rFonts w:eastAsia="Times New Roman" w:cs="Times New Roman" w:ascii="Times New Roman" w:hAnsi="Times New Roman"/>
          <w:color w:val="000000"/>
          <w:sz w:val="28"/>
          <w:szCs w:val="28"/>
        </w:rPr>
        <w:t>Chen Hailong, 2020</w:t>
      </w:r>
      <w:r>
        <w:rPr>
          <w:rFonts w:ascii="Times New Roman" w:hAnsi="Times New Roman" w:cs="Times New Roman" w:eastAsia="Times New Roman"/>
          <w:color w:val="000000"/>
          <w:sz w:val="28"/>
          <w:szCs w:val="28"/>
        </w:rPr>
        <w:t>）</w:t>
      </w:r>
    </w:p>
    <w:p>
      <w:pPr>
        <w:pStyle w:val="Normal"/>
        <w:spacing w:lineRule="auto" w:line="360"/>
        <w:ind w:firstLine="708"/>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According to Yang Yafei (2024) in the long run, the China-EU Comprehensive Investment Agreement will create a more stable, transparent and predictable investment environment for companies of both sides. In terms of trade, it is expected to reduce trade barriers, promote the liberalization of trade in goods and services, and promote the optimization and upgrading of the trade structure of both sides. In the field of investment, the agreement will provide better protection for both investors, encourage the growth of two-way investment, promote capital, technology, talent and other elements flow between central Europe, further deepen the integration of central industrial chain and supply chain, promote the position in the global value chain, for the sustainable development of strong impetus to central economy. The China-EU Comprehensive Investment Agreement has not only brought economic reciprocity to the two sides, but also promoted cultural exchanges and people-to-people exchanges. In the tide of globalization, China and Germany, as an important link, will continue to embrace more cooperation possibilities with an open mind. By continuously strengthening policy communication, infrastructure connectivity, unimpeded trade, financial integration and people-to-people connectivity, China-EU cooperation will make new contributions to world peace and development (Yang Yafei</w:t>
      </w:r>
      <w:r>
        <w:rPr>
          <w:rFonts w:ascii="Times New Roman" w:hAnsi="Times New Roman" w:cs="Times New Roman" w:eastAsia="Times New Roman"/>
          <w:color w:val="000000"/>
          <w:sz w:val="28"/>
          <w:szCs w:val="28"/>
        </w:rPr>
        <w:t>，</w:t>
      </w:r>
      <w:r>
        <w:rPr>
          <w:rFonts w:eastAsia="Times New Roman" w:cs="Times New Roman" w:ascii="Times New Roman" w:hAnsi="Times New Roman"/>
          <w:color w:val="000000"/>
          <w:sz w:val="28"/>
          <w:szCs w:val="28"/>
        </w:rPr>
        <w:t>2024</w:t>
      </w:r>
      <w:r>
        <w:rPr>
          <w:rFonts w:ascii="Times New Roman" w:hAnsi="Times New Roman" w:cs="Times New Roman" w:eastAsia="Times New Roman"/>
          <w:color w:val="000000"/>
          <w:sz w:val="28"/>
          <w:szCs w:val="28"/>
        </w:rPr>
        <w:t>）</w:t>
      </w:r>
    </w:p>
    <w:p>
      <w:pPr>
        <w:pStyle w:val="Normal"/>
        <w:spacing w:lineRule="auto" w:line="360"/>
        <w:ind w:firstLine="708"/>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In today's deepening and evolving globalization process, China-EU economic cooperation is showing a series of remarkable new trends. These trends not only reflect the needs for upgrading and transforming the economic structure of both sides, but also highlight the strategic choice of China and the EU to work together to meet the challenges in the global economic pattern.</w:t>
      </w:r>
    </w:p>
    <w:p>
      <w:pPr>
        <w:pStyle w:val="Normal"/>
        <w:spacing w:lineRule="auto" w:line="360"/>
        <w:ind w:firstLine="708"/>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In the field of science and technology, the cooperation between China and the EU is booming at many high-tech industries at an unprecedented speed and depth. Take artificial intelligence as an example. With the wave of scientific and technological revolution around the world, both China and the EU have realized the huge potential of cooperative research and development and innovative application. Europe has profound academic accumulation and strict regulatory experience in basic theoretical research of artificial intelligence and data privacy protection, while China has shown unique advantages in massive data resources, application scenarios expansion and some algorithmic technology innovation. Scientific research institutions, universities and enterprises of the two sides have gradually established an extensive cooperation network, and jointly carried out AI algorithm optimization and intelligent robot research and development projects, aiming to jointly overcome technical problems and improve the development level of the global AI industry. In the field of biotechnology, China-EU cooperation is also heating up. From biomedical research and development cooperation to agricultural biotechnology innovation, the two sides have a positive interaction in the safety research of gene editing technology and cooperation in clinical trials of new drugs. For example, some European pharmaceutical companies cooperate with Chinese scientific research institutions to use the rich resources of biological samples and clinical research data to accelerate new cancer drug research and development; At the same time, Chinese agricultural biotechnology companies are also communicating with European counterparts to learn advanced transgenic technology regulatory experience and sustainable agricultural biotechnology application model. The aerospace sector has also witnessed new breakthroughs in China-EU cooperation. The two sides have carried out multi-level cooperation projects in satellite navigation technology cooperation, aerospace parts manufacturing and scientific space exploration research. For example, the cooperation in data sharing and joint application of Earth observation satellite provides more accurate and comprehensive data support for global climate change research and natural disaster monitoring; in the cooperation of aero-engine manufacturing technology, the two sides make technical exchanges and joint efforts to improve the performance and reliability of aero-engines and promote the technological progress of the global aerospace industry.</w:t>
      </w:r>
    </w:p>
    <w:p>
      <w:pPr>
        <w:pStyle w:val="Normal"/>
        <w:spacing w:lineRule="auto" w:line="360"/>
        <w:ind w:firstLine="708"/>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Green economy has become another important frontier of China-EU economic cooperation. In the face of the severe challenges of global climate change and the urgent need for sustainable development, China and the EU have carried out all-round cooperation on key goals such as tackling climate change, developing renewable energy and promoting carbon emission reduction. In terms of carbon trading market construction, Europe, as a pioneer of the global carbon trading market, has a set of relatively mature market mechanism and rich experience in operation and management. China has unique characteristics in the potential of carbon trading market and the practice of carbon emission reduction in specific industries. Through experience exchange, policy discussion and joint research projects, the two sides will draw lessons from the experience and lessons of carbon trading market system design, quota allocation, price formation mechanism and other aspects. For example, European carbon trading experts provided China with professional advice on increased market liquidity and participation of financial institutions in carbon trading regulation, while China shared with Europe the operational technology and management solutions developed in large-scale carbon reduction practices in power, steel and other industries. In cooperation in the development of new energy technologies, China-EU cooperation has yielded fruitful results. In the field of solar photovoltaic, companies from the two sides will work together in the research and development of high-efficiency solar cells, and in the construction and operation of photovoltaic power stations. The combination of the European advanced photovoltaic material manufacturing technology and China's large-scale photovoltaic module production and application market advantages has jointly reduced the cost of solar photovoltaic power generation and enhanced the competitiveness of the global solar photovoltaic industry. In the field of wind power generation, China and Europe have conducted in-depth cooperation in the manufacturing technology of large wind turbines and the development of offshore wind power projects. The European experience of offshore wind power engineering design and operation and maintenance complements China's wind power resource development potential and the advantages of equipment manufacturing industry cluster, which has strongly promoted the rapid development of the global offshore wind power industry. The analysis of the new trend of China-EU economic cooperation is based on a comprehensive reference to many relevant literature.in compliance with Ding Chun, Yang Jiawei (2017), Ding Chun, Huo Zhuoxiang (2018). The History, Current Situation, Problems and Prospect of Economic and Trade Cooperation between China and the EU since the Reform and Opening up, these studies deeply analyze the expansion and deepening process of China-EU economic and trade cooperation in different stages, and provide an important historical context and theoretical basis for the new trends elaborated in this paper. At the same time, a large number of news reports, inter-governmental cooperation agreements and industrial policy trends in relevant fields (Ding Chun and Yang Jiawei, 2017; Ding Chun, Huo Zhuoxiang, 2018). </w:t>
      </w:r>
    </w:p>
    <w:p>
      <w:pPr>
        <w:pStyle w:val="Normal"/>
        <w:spacing w:lineRule="auto" w:line="360"/>
        <w:ind w:firstLine="708"/>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Given the complex and intertwined global political and economic landscape, the challenges facing China-EU relations cannot be underestimated. From the political perspective, some countries in the EU are imprisoned by their own political ideas and ideology, and criticize China on issues such as human rights and democracy. This false perception makes the construction of political mutual trust between the two sides bumpy. On the stage of international affairs, such as the long-term geopolitical disputes in the Middle East and the complex situation of the Ukraine crisis, China and the EU often encounter difficulties in position coordination due to their respective geopolitical interests, diplomatic traditions and diversified relationship network with relevant parties. From the economic perspective, trade imbalance is a common phenomenon in the global trade pattern, but some European countries for domestic political pressure, protectionism ideological factors, the politicization, and cause a series of trade friction and disputes, such as some European countries to China specific products set high tariff barriers, the implementation of trade quotas, etc., seriously interfered with the normal trade order.exactly as Wang Yiqing (2016). In the thorough analysis of the Political Constraints in the China-EU Comprehensive Strategic Partnership in 2000, the political prejudices and constraints of some forces in the EU have had an impact on the political foundation of China-EU relations. But Zhao Ke, Tang Yaozhuo (2024) in the EU cognitive change and its influence also clearly expounds the dynamic change of the EU cognitive China in different levels affect the bilateral relations, the research results combined with the international political and economic pattern such as the rise of emerging powers, the traditional geopolitical sector changes the actual situation, comprehensively and profoundly reveals the complexity of china-eu relations challenges and diversity (Wang Yiqing, 2016; Zhao Ke, Tang Yazhuo</w:t>
      </w:r>
      <w:r>
        <w:rPr>
          <w:rFonts w:ascii="Times New Roman" w:hAnsi="Times New Roman" w:cs="Times New Roman" w:eastAsia="Times New Roman"/>
          <w:color w:val="000000"/>
          <w:sz w:val="28"/>
          <w:szCs w:val="28"/>
        </w:rPr>
        <w:t>，</w:t>
      </w:r>
      <w:r>
        <w:rPr>
          <w:rFonts w:eastAsia="Times New Roman" w:cs="Times New Roman" w:ascii="Times New Roman" w:hAnsi="Times New Roman"/>
          <w:color w:val="000000"/>
          <w:sz w:val="28"/>
          <w:szCs w:val="28"/>
        </w:rPr>
        <w:t>2024 ).</w:t>
      </w:r>
    </w:p>
    <w:p>
      <w:pPr>
        <w:pStyle w:val="Normal"/>
        <w:widowControl/>
        <w:shd w:val="clear" w:fill="FFFFFF"/>
        <w:spacing w:lineRule="auto" w:line="360"/>
        <w:ind w:firstLine="5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Aaccording to Fu Ya Ran (2016) and to the research guidelines of the EU's Public Diplomacy in 2006, China and Europe have a systematic and multi-dimensional strategic path when dealing with mutual political and security issues. At the key level of political communication, continuous strengthening of high-level dialogue and political communication mechanism is the cornerstone of enhancing understanding and trust between both sides. For example, the annual China-EU Summit has become an important platform for the two sides to have candid exchanges and discuss bilateral and global affairs. During this period, the two sides can not only have in-depth exchanges of views on their respective core concerns and strategic intentions, but also conduct forward-looking discussions and coordinate positions on international hotspot issues. In addition, the strategic dialogue is being carried out in an orderly manner in various fields and levels, from foreign policy planning to regional security discussions. Through this all-round political communication mode, we can promptly and effectively clarify misunderstandings and prejudices in human rights and democracy, so as to avoid the occurrence and accumulation of miscalculation. In the core areas of security cooperation, actively carrying out non-traditional security cooperation is a key measure that meets the needs of The Times and the common interests of both sides. In counter against terrorism, The two sides can share experience and resources in intelligence collection and analysis, anti-terrorism development and application technology, anti-terrorism personnel training, The transnational mobility challenge of jointly addressing the threat of terrorism; In the area of cyber-security, With the boom of the digital age, China and Europe can jointly build a cyber security protection system, Jointly develop and develop cyber security monitoring technology and formulate international rules and norms for cyber security, To resist the risks of cyber attacks and data theft; In the context of transnational crime governance, Against transnational criminal activities such as smuggling, human trafficking and money laundering, Establish joint law-enforcement teams, information-sharing platforms, and joint action plans, Forming a high-pressure crackdown on transnational crimes. At the same time, in the broad world of international affairs, China and the EU should actively explore opportunities for cooperation on the United Nations and other multilateral platforms. In the decision-making and implementation of peacekeeping operations by the UN Security Council, both parties can give full play to their superior resources. China's strong capabilities in engineering construction and logistics support and the EU's rich experience in military command and humanitarian relief to contribute to the regional peace and stability; under global climate governance under the UN Framework Convention on Climate Change, China and Europe, as two major economies and major carbon emitters, can coordinate positions through global green transformation research and development, policy and experience sharing, and provide a solid guarantee for the sustainability of world peace and stability (An Analysis of the Role of EU Foreign Action Agency in EU Public Diplomacy</w:t>
      </w:r>
      <w:r>
        <w:rPr>
          <w:rFonts w:ascii="Times New Roman" w:hAnsi="Times New Roman" w:cs="Times New Roman" w:eastAsia="Times New Roman"/>
          <w:color w:val="000000"/>
          <w:sz w:val="28"/>
          <w:szCs w:val="28"/>
        </w:rPr>
        <w:t>，</w:t>
      </w:r>
      <w:r>
        <w:rPr>
          <w:rFonts w:eastAsia="Times New Roman" w:cs="Times New Roman" w:ascii="Times New Roman" w:hAnsi="Times New Roman"/>
          <w:color w:val="000000"/>
          <w:sz w:val="28"/>
          <w:szCs w:val="28"/>
        </w:rPr>
        <w:t xml:space="preserve">2016). </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rPr>
        <w:t xml:space="preserve">technology and formulate international rules and norms for cyber security, To resist the risks of cyber attacks and data theft; In the context of transnational crime governance, Against transnational criminal activities such as smuggling, human trafficking and money laundering, Establish joint law-enforcement teams, information-sharing platforms, and joint action plans, Forming a high-pressure crackdown on transnational crimes. At the same time, in the broad world of international affairs, China and the EU should actively explore opportunities for cooperation on the United Nations and other multilateral platforms. In the decision-making and implementation of peacekeeping operations by the UN Security Council, both parties can give full play to their superior resources. China's strong capabilities in engineering construction and logistics support and the EU's </w:t>
      </w:r>
      <w:r>
        <w:rPr>
          <w:rFonts w:eastAsia="Times New Roman" w:cs="Times New Roman" w:ascii="Times New Roman" w:hAnsi="Times New Roman"/>
          <w:color w:val="000000"/>
          <w:sz w:val="28"/>
          <w:szCs w:val="28"/>
          <w:highlight w:val="white"/>
        </w:rPr>
        <w:t>rich experience in military command and humanitarian relief to contribute to the regional peace and stability; under global climate governance under the UN Framework Convention on Climate Change, China and Europe, as two major economies and major carbon emitters, can coordinate positions through global green transformation research and development, policy and experience sharing, and provide a solid guarantee for the sustainability of world peace and stability (An Analysis of the Role of EU Foreign Action Agency in EU Public Diplomacy,2016).</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Rich experience in military command and humanitarian relief to contribute to the regional peace and stability; under global climate governance under the UN Framework Convention on Climate Change, China and Europe, as two major economies and major carbon emitters, can coordinate positions through global green transformation research and development, policy and experience sharing, and provide a solid guarantee for the sustainability of world peace and stability (An Analysis of the Role of EU Foreign Action Agency in EU Public Diplomacy,2016).</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According to Fu Yaran (2016) Research as well as2006Years of eu public diplomacy research guidance, in today's complex and interdependence of deepening international pattern, China and Europe in dealing with mutual political and security affairs, carefully build up a set of system and multidimensional strategic path, its significance and influence, for the stability of bilateral relations and global peace and development has injected a strong impetus.</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At the key level of political communication, the continuous strengthening of high-level dialogue and political communication mechanisms plays an important role in enhancing the understanding and trust between the two sides. It is like the foundation of the building. Only a solid building can support the cooperation between the two sides in many fields. The annual China-EU Summit, held regularly, has become a key platform for the two sides to have candid exchanges and discuss bilateral and global affairs. This event is like a bright pearl on the international political stage, attracting the attention of the world. During the summit, the two sides can not only conduct an in-depth exchange of views on their respective core concerns and strategic intentions, but also conduct forward-looking discussions and coordinate positions on international hotspot issues. For example, in the discussion on the reshaping of international trade rules, the two sides can discuss how to build a more fair and reasonable trade rules system that can adapt to the development of the new era based on their different positions and interest demands in the global industrial chain. As a manufacturing country, China occupies an important position in the middle of the global industrial chain, with huge manufacturing capacity and complete industrial system, while Europe has significant advantages in high-end manufacturing, service industry and technology research and development. Through in-depth discussion, both parties can strike a balance in intellectual property protection, market access rules, trade facilitation measures, balance the interests of all parties, promote the healthy and stable development of global trade, avoid trade protectionism and trade disputes, and create favorable conditions for the recovery and prosperity of the global economy.</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addition to the high-level dialogue form of the summit, the strategic dialogue is also progressing in various fields and at different levels. From the planning of foreign policy to the in-depth discussion of regional security affairs, the all-round political communication mode has been demonstrated. In terms of foreign policy planning, the foreign ministries and relevant think tanks of the two sides will conduct regular exchange activities to share their respective analysis, judgment and coping strategies on the changes in the global geopolitical pattern. For example, in response to the global strategic issue of the rise of emerging powers, the two sides can exchange views on the opportunities and challenges brought by the rise of emerging powers in economic, military and diplomatic aspects, and discuss how to safeguard their own interests and promote the stability of the international order under the multi-polar pattern. In terms of regional conflict mediation, both the war-torn Middle East and the Central Asia with complex geopolitics, both sides can communicate positions in a timely manner and explore convergence points of common interests and cooperation methods. Through such comprehensive and in-depth political communication, the possible misunderstanding and prejudice on complex issues such as human rights and democracy can be clarified timely and effectively, so as to avoid the accumulation of contradictions and the deterioration of relations caused by misjudgment. For example, in exchanges on human rights issues, the two sides can have an in-depth understanding of each other's human rights concepts and practices by holding human rights seminars and exchanging human Rights Observers groups. China emphasizes the right to subsistence and development as the primary human rights, and makes remarkable achievements in poverty alleviation, lifting hundreds of millions of people out of poverty. This is a powerful interpretation of human rights protection; Europe has rich experience and mature institutions in civil political rights and social welfare protection. Through exchanges and interactions, the two sides will enhance mutual understanding, reduce groundless accusations and confrontation, and lay the foundation for building a more harmonious and inclusive international relations.</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core areas of security cooperation, actively carrying out non-traditional security cooperation is a key measure that meets the needs of The Times and the common interests of both sides, and is an inevitable choice to meet global challenges.</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field of counter-terrorism, the two sides have broad space for cooperation. As a global threat, terrorism's transnational nature and complexity are like an invisible net, enveloping every corner of the world and requiring all countries to work together to deal with it. In terms of intelligence collection and analysis, China and Europe can establish a joint intelligence center or an information sharing network platform to integrate the intelligence resources acquired by both sides in different regions and fields. China has extensive diplomatic relations and intelligence network in Central Asia and South Asia, which can obtain first-hand information about terrorist activities; Europe has deep intelligence accumulation and advanced intelligence analysis technology in the Middle East and North Africa, and improve terrorist activities, like keen "early warning radar" for world security. In terms of research and development and application of anti-terrorism technology, research institutions and enterprises of the two sides can carry out cooperative projects to research and jointly develop advanced anti-terrorism equipment and technologies. For example, the intelligent security monitoring system can use artificial intelligence and big data technology to accurately identify the behavior patterns and characteristics of terrorists and advance the alarm; the anti-terrorism robot can perform reconnaissance and explosive disposal tasks in dangerous environment to reduce casualties. After the successful research and development of these advanced technologies, the joint efforts of both sides will promote their promotion and application around the world and provide strong support for the counter-terrorism cause of various countries. In the training of anti-terrorism personnel, instructors and trainees can be exchanged. China can share practical experience in border anti-terrorism and anti-terrorism emergency response, such as vocational skills training and extremism education; Europe teaches professional knowledge and skills in urban anti-terrorism, such as emergency response mechanism and intelligence analysis methods in London and Paris in dealing with urban terrorist attacks. Through exchanges and cooperation, the two sides will jointly enhance the professional quality and actual combat capabilities of their anti-terrorism personnel, so as to more effectively respond to terrorism. With the vigorous development of the digital age, cyber security has become an important emerging field of security cooperation. China and Europe can jointly build a cyber security protection system and strengthen cooperation in the research and development of cyber security technologies. The research teams of both sides can jointly carry out research on key technologies such as network encryption technology and network intrusion detection technology to jointly overcome technical problems. For example, in terms of network encryption technology, both parties can cooperate to develop more advanced encryption algorithms to ensure the security of data transmission and storage and prevent data from being stolen or tampered with by hackers. In terms of network intrusion detection technology, by integrating the technical advantages of both parties, we can develop an intelligent detection system with real-time monitoring of network abnormal activities and quickly identifying the source of network attacks. In terms of network security monitoring technology, a cross-border network security monitoring network is established to monitor the source and path of network attacks in real time, and share monitoring data and analysis results in time, so as to quickly respond to and handle network security incidents. In addition, the two sides should actively work together to formulate international rules and norms for cyber security in accordance with the principles and concepts generally recognized by the international community. Make clear the definition of network sovereignty, respect the jurisdiction of countries over their own cyberspace, determine the judgment criteria of cyber attacks, avoid the miscalculation and escalation of network conflicts; clarify the rights and obligations of countries in cyberspace, so as to resist the risk of cyber attack and data theft on the global scale, ensure the security and stability of cyberspace for both sides and the world, and build a safe and reliable "network bridge" for the global economic and cultural communication in the digital age.</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context of transnational crime governance, the two sides can take a series of practical and effective cooperation measures for transnational criminal activities such as smuggling, human trafficking and money laundering. A joint law enforcement team will be established to integrate the law enforcement forces of the two sides, and carry out joint law enforcement actions in border areas, sea lanes and other areas with a high incidence of transnational crimes, to severely crack down on crimes. For example, along the China-Europe freight train, law enforcement officers can jointly inspect goods to prevent smuggled goods and conduct joint maritime patrols in the Mediterranean Sea between Europe and Africa. Build an information sharing platform to realize the real-time sharing of criminal information, criminal suspect information, and the progress of law enforcement actions, so as to improve the efficiency and accuracy of law enforcement. A joint action plan has been formulated to clarify the division of tasks and coordination mechanisms between the two sides in the fight against different types of transnational crimes, so as to form a high-pressure crackdown on transnational crimes. For example, in the crackdown on the crime of maritime smuggling, the two sides can jointly maritime patrol, inspection, sharing ship navigation information and smuggling crime clues, destroy smuggling crime network, maintain the order of maritime trade and security, create a safe and orderly environment for global trade and personnel exchanges, as for transnational crime to build a strong "firewall". On the broad stage of international affairs, China and the EU should actively explore cooperation opportunities on the United Nations and other multilateral platforms, and give full play to the important role of both sides in global governance.</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decision-making and implementation of the peacekeeping operations of the UN Security Council, the two sides can give full play to their respective superior resources. China has strong strength in engineering construction and logistics support, and can undertake the tasks of building peacekeeping camps, repairing roads and Bridges, and material transportation and supply, providing a solid material foundation for peacekeeping operations. China's engineering construction team can build durable peacekeeping camps in a short period of time to ensure the living and working environment of peacekeepers, and its logistics transportation capacity can ensure the delivery of various materials to peacekeeping mission areas in time and accurately, just like the "logistics steward" of peacekeeping operations. The EU has rich experience in military command and humanitarian relief, and is responsible for the command and dispatch of peacekeeping forces, making operational plans and carrying out humanitarian relief operations, such as medical assistance, food distribution and temporary shelter construction for refugees. The EU's military command system is mature and efficient to respond to emergencies in complex peacekeeping missions, and its humanitarian teams have professional processes and experience in refugee refugees, bringing hope and warmth to war-torn people. Through complementary advantages and coordinated cooperation, the two sides will contribute to regional peace and stability, promote the efficient development of UN peacekeeping operations, promote the reconstruction and development of conflict areas, and become the "twin engines" for maintaining world peace.</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field of global climate governance, according to the United Nations Framework Convention on Climate Change, China and Europe, as two major economies and major carbon emitters, assume important responsibilities and missions. The two sides can jointly invest funds and scientific research strength, through global research and development cooperation in green transformation, and carry out research and innovation in new energy technology, carbon capture and storage technology, and green industry development model, so as to promote the improvement of global green technology level. China is developing rapidly in the field of renewable energy, such as solar and wind power generation capacity in the world, and has rich practical experience in the application of new energy technologies; Europe is a world leader in carbon capture and storage technology, and the cooperation can accelerate the breakthrough and promotion of related technologies. In terms of policy and experience sharing, the two sides exchanged their respective experience and lessons in climate change policy formulation, carbon market construction and green finance development, learn from each other and improve their own policy systems. For example, China's experience in building a carbon emission trading market can be shared with the EU, and the EU's green industry support policies can also be used by China. Through this all-round cooperation, we will provide a solid guarantee for the sustainability of world peace and stability, lead the global direction of action to tackle climate change, promote the global green and low-carbon development process, and contribute "green power" to the improvement of the earth's ecological environment.</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 believe that the cooperation between China and Europe in the political and security affairs field is undoubtedly an extremely important and highly effective model in today's international relations. The prominent characteristics of multi-level, wide-ranging and in-depth cooperation are like a solid and diverse bridge, which not only strongly connects the common interests and goals of both sides in the complex and ever-changing international environment but also lays a solid and reliable foundation for the continuous improvement and sound development of the global governance system, just like lighting a guiding light in the vast starry sky.</w:t>
      </w:r>
    </w:p>
    <w:p>
      <w:pPr>
        <w:pStyle w:val="Normal"/>
        <w:widowControl/>
        <w:shd w:val="clear" w:fill="FFFFFF"/>
        <w:spacing w:lineRule="auto" w:line="360"/>
        <w:ind w:firstLine="560"/>
        <w:rPr/>
      </w:pPr>
      <w:r>
        <w:rPr>
          <w:rFonts w:eastAsia="Times New Roman" w:cs="Times New Roman" w:ascii="Times New Roman" w:hAnsi="Times New Roman"/>
          <w:color w:val="000000"/>
          <w:sz w:val="28"/>
          <w:szCs w:val="28"/>
          <w:highlight w:val="white"/>
        </w:rPr>
        <w:t>From the perspective of political communication, through continuously strengthening high-level dialogues and all-round strategic exchanges, both sides, like highly skilled craftsmen, carefully carve the cornerstone of mutual understanding and trust. The China-EU Summit and various multi-level exchange activities have become important platforms for both sides to meet frankly and discuss in depth. The collaborative exploration on key issues such as the reconstruction</w:t>
      </w:r>
      <w:r>
        <w:rPr>
          <w:rFonts w:eastAsia="Times New Roman" w:cs="Times New Roman" w:ascii="Times New Roman" w:hAnsi="Times New Roman"/>
          <w:color w:val="FF0000"/>
          <w:sz w:val="28"/>
          <w:szCs w:val="28"/>
          <w:highlight w:val="white"/>
        </w:rPr>
        <w:t xml:space="preserve"> </w:t>
      </w:r>
      <w:r>
        <w:rPr>
          <w:rFonts w:eastAsia="Times New Roman" w:cs="Times New Roman" w:ascii="Times New Roman" w:hAnsi="Times New Roman"/>
          <w:color w:val="000000"/>
          <w:sz w:val="28"/>
          <w:szCs w:val="28"/>
          <w:highlight w:val="white"/>
        </w:rPr>
        <w:t>of international trade rules fully demonstrates the wisdom collision and interest balance based on their unique positions in the global industrial chain. This not only effectively avoids the unwarranted escalation of trade frictions but also injects a continuous stream of vitality and confidence into the stable growth and prosperity of the global economy. The extensive exchanges in diplomatic policy planning and regional security affairs are like fine stitches, sewing up the rifts that may arise due to misunderstandings and prejudices, enabling both sides to reach more mutual understanding and tolerance on complex and sensitive issues such as human rights and democracy, laying an indispensable foundation for building a more harmonious, just and inclusive new international relations order.In the core area of security cooperation, the non-traditional security cooperation actively carried out by both sides is undoubtedly a powerful weapon to address global challenges. Whether on the battlefield of counter-terrorism or in the frontiers of cyber security and transnational crime governance, China and Europe have shown a high degree of tacit understanding and cooperation spirit. In counter-terrorism cooperation, the establishment of a joint intelligence center and an information sharing network platform is like weaving a sensitive intelligence network for world security; the joint research, development and application of advanced anti-terrorism equipment and technologies are like equipping global anti-terrorism warriors with excellent weaponry; and the in-depth exchanges in anti-terrorism personnel training have created an international anti-terrorism elite force with excellent professional qualities and super combat capabilities, enabling them to more calmly deal with the transnational mobility challenges of terrorist threats. In the field of cyber security, the jointly constructed protection system and the joint progress in key technology research and development are like building a solid protective barrier for the global information superhighway in the digital age; and the jointly formulated international rules and norms clarify the code of conduct in cyberspace and escort the global cyber security and stability. In the aspect of transnational crime governance, the formation of a joint law enforcement team, the establishment of an information sharing platform and the implementation of a joint action plan are like laying a tight dragnet for transnational criminal activities, effectively safeguarding the security and smoothness of global trade order and personnel exchanges. In the broad arena of international affairs, the cooperation between China and the EU on the United Nations and other multilateral platforms further demonstrates the responsibility and wisdom of both sides as important participants in global governance. In the decision-making and implementation of United Nations Security Council peacekeeping operations, the full integration and coordinated operation of the</w:t>
      </w:r>
      <w:r>
        <w:rPr>
          <w:rFonts w:ascii="Times New Roman" w:hAnsi="Times New Roman" w:cs="Times New Roman" w:eastAsia="Times New Roman"/>
          <w:color w:val="000000"/>
          <w:sz w:val="28"/>
          <w:szCs w:val="28"/>
          <w:highlight w:val="white"/>
        </w:rPr>
        <w:t xml:space="preserve">优势 </w:t>
      </w:r>
      <w:r>
        <w:rPr>
          <w:rFonts w:eastAsia="Times New Roman" w:cs="Times New Roman" w:ascii="Times New Roman" w:hAnsi="Times New Roman"/>
          <w:color w:val="000000"/>
          <w:sz w:val="28"/>
          <w:szCs w:val="28"/>
          <w:highlight w:val="white"/>
        </w:rPr>
        <w:t>resources of both sides are like injecting strong impetus into the peace mission. China's engineering construction and logistics support capabilities, combined with the EU's military command and humanitarian relief experience, jointly promote the efficient development of peacekeeping operations, bringing the dawn of peace and hope of reconstruction to war-torn regions. In the great journey of global climate governance, relying on their important influence in economic scale and carbon emission status, both sides actively assume the heavy responsibility of leading the global green transformation. Through joint research and development of green technologies and sharing of policy experiences, it is like jointly drawing a magnificent blueprint on the canvas of global ecological protection, providing a solid and reliable guarantee for the sustainability of world peace and stability and leading the global march towards a beautiful future of green and low-carbon development. The cooperation prospects between China and Europe are full of infinite possibilities and hopes. Both sides should unswervingly move forward along the path of deepening cooperation, further consolidating and expanding the existing cooperation achievements, just like carefully nurturing a towering tree that is growing vigorously. In the ever-changing international situation, which is like a stage of constant changes, continuously explore emerging cooperation areas and innovative models, such as strengthening cooperation in frontier fields such as the formulation of emerging science and technology ethics norms and global public health security cooperation. In the formulation of emerging science and technology ethics norms, with the rapid development of cutting-edge technologies such as artificial intelligence and gene editing, it is like opening Pandora's box and bringing many ethical dilemmas. China and Europe should work together, like wise navigators, to jointly explore how to formulate scientific and reasonable norms and criteria to prevent the runaway of technological development and avoid unpredictable ethical risks and social crises. In the field of global public health security cooperation, drawing profound lessons from the global public health crisis of the COVID-19 pandemic, both sides should, like comrades-in-arms fighting side by side, strengthen close cooperation in epidemic monitoring, vaccine research and development and distribution, medical supplies reserve and other aspects, and build a more solid global public health protection network. Both sides should actively play a leading role, like bright lighthouses, attracting more countries to actively participate in the big family of multilateral cooperation and promoting the vigorous development of international cooperation in a more diversified and inclusive direction. Only in this way can the wisdom and strength of all countries in the world be pooled together to jointly strive for building a more fair, harmonious and sustainable world order and realizing the common prosperity and long-term stability that people all over the world have been longing for. The cooperation between China and Europe is based on a deep recognition of common values and beautiful common expectations for future development. Standing at the crossroads of history, we are full of firm beliefs, knowing that only by walking hand in hand can we face numerous challenges with fearless courage and wisdom and keenly grasp the fleeting development opportunities. Therefore, we will always continue to deepen cooperation in various fields, continuously expand exchanges, and unwaveringly strengthen mutual trust, with the noble goal of realizing win-win development for both sides and even the whole world. In new cooperation areas such as the formulation of emerging science and technology ethics norms and global public health security, we will jointly strive with full enthusiasm and unremitting efforts to contribute a continuous stream of wisdom and tremendous strength to building a peaceful, prosperous, open and inclusive world. Let us walk side by side and march towards the glorious future of a community with a shared future for mankind with firm steps, writing a magnificent and glorious chapter in the grand annals of international relations.</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jc w:val="left"/>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r>
        <w:br w:type="page"/>
      </w:r>
    </w:p>
    <w:p>
      <w:pPr>
        <w:pStyle w:val="Normal"/>
        <w:widowControl/>
        <w:shd w:val="clear" w:fill="FFFFFF"/>
        <w:spacing w:lineRule="auto" w:line="360"/>
        <w:rPr>
          <w:rFonts w:ascii="Times New Roman" w:hAnsi="Times New Roman" w:eastAsia="Times New Roman" w:cs="Times New Roman"/>
          <w:b/>
          <w:b/>
          <w:color w:val="000000"/>
          <w:sz w:val="28"/>
          <w:szCs w:val="28"/>
          <w:highlight w:val="white"/>
        </w:rPr>
      </w:pPr>
      <w:r>
        <w:rPr>
          <w:rFonts w:eastAsia="Times New Roman" w:cs="Times New Roman" w:ascii="Times New Roman" w:hAnsi="Times New Roman"/>
          <w:b/>
          <w:color w:val="000000"/>
          <w:sz w:val="28"/>
          <w:szCs w:val="28"/>
          <w:highlight w:val="white"/>
        </w:rPr>
        <w:t>Chapter 3 Opportunities and Challenges in China-EU relations</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early days of the epidemic, COVID-19 was like a sudden storm, bringing many severe short-term difficulties to China-EU trade. As the first site of the epidemic, China has had to stop production in order to prevent and control the epidemic, which brings production activities to a standstill. All kinds of products that were continuously supplied to the European market, such as mechanical parts and electronic products in the manufacturing industry, as well as textiles and household goods in the light industry, are in short supply. Many European companies rely on imports of these products from China to maintain their own production operations or meet market sales demand. Supply disruptions make them face problems such as shortage of raw materials and forced shutdown of production lines, which thus affect the normal operation of the entire industrial chain.</w:t>
      </w:r>
    </w:p>
    <w:p>
      <w:pPr>
        <w:pStyle w:val="Normal"/>
        <w:widowControl/>
        <w:shd w:val="clear" w:fill="FFFFFF"/>
        <w:spacing w:lineRule="auto" w:line="3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At the same time, the logistics links have also suffered a heavy blow. Traffic control measures have been introduced around the world, with many fewer flights and many restrictions on shipping routes. The transport of goods between China and Europe faces unprecedented obstacles, with large amounts of goods overstocked in ports or warehouses and cannot be delivered on time. Transportation costs have also risen sharply due to logistics obstacles, further increasing the burden on enterprises. On the demand side, the subsequent outbreak in Europe led to a sharp contraction in demand in its internal market. Due to restrictions on epidemic prevention and control measures, such as home quarantine and closure of commercial places, consumer behavior has been greatly suppressed. Demand for non-daily necessities has fallen sharply, which has reduced the demand for all kinds of goods imported from China, including fashion clothing and consumer electronics. Many European retailers have overstocked inventory and have to reduce import orders from China.</w:t>
      </w:r>
    </w:p>
    <w:p>
      <w:pPr>
        <w:pStyle w:val="Normal"/>
        <w:widowControl/>
        <w:shd w:val="clear" w:fill="FFFFFF"/>
        <w:spacing w:lineRule="auto" w:line="360"/>
        <w:rPr>
          <w:rFonts w:ascii="Times New Roman" w:hAnsi="Times New Roman" w:eastAsia="Times New Roman" w:cs="Times New Roman"/>
          <w:b/>
          <w:b/>
          <w:color w:val="000000"/>
          <w:sz w:val="28"/>
          <w:szCs w:val="28"/>
          <w:highlight w:val="white"/>
        </w:rPr>
      </w:pPr>
      <w:r>
        <w:rPr>
          <w:rFonts w:eastAsia="Times New Roman" w:cs="Times New Roman" w:ascii="Times New Roman" w:hAnsi="Times New Roman"/>
          <w:b/>
          <w:color w:val="000000"/>
          <w:sz w:val="28"/>
          <w:szCs w:val="28"/>
          <w:highlight w:val="white"/>
        </w:rPr>
      </w:r>
    </w:p>
    <w:p>
      <w:pPr>
        <w:pStyle w:val="Normal"/>
        <w:widowControl/>
        <w:shd w:val="clear" w:fill="FFFFFF"/>
        <w:spacing w:lineRule="auto" w:line="360"/>
        <w:rPr>
          <w:rFonts w:ascii="Times New Roman" w:hAnsi="Times New Roman" w:eastAsia="Times New Roman" w:cs="Times New Roman"/>
          <w:b/>
          <w:b/>
          <w:color w:val="000000"/>
          <w:sz w:val="28"/>
          <w:szCs w:val="28"/>
          <w:highlight w:val="white"/>
        </w:rPr>
      </w:pPr>
      <w:r>
        <w:rPr>
          <w:rFonts w:eastAsia="Times New Roman" w:cs="Times New Roman" w:ascii="Times New Roman" w:hAnsi="Times New Roman"/>
          <w:b/>
          <w:color w:val="000000"/>
          <w:sz w:val="28"/>
          <w:szCs w:val="28"/>
          <w:highlight w:val="white"/>
        </w:rPr>
      </w:r>
    </w:p>
    <w:p>
      <w:pPr>
        <w:pStyle w:val="Normal"/>
        <w:widowControl/>
        <w:shd w:val="clear" w:fill="FFFFFF"/>
        <w:spacing w:lineRule="auto" w:line="360"/>
        <w:rPr>
          <w:rFonts w:ascii="Times New Roman" w:hAnsi="Times New Roman" w:eastAsia="Times New Roman" w:cs="Times New Roman"/>
          <w:b/>
          <w:b/>
          <w:color w:val="000000"/>
          <w:sz w:val="28"/>
          <w:szCs w:val="28"/>
          <w:highlight w:val="white"/>
        </w:rPr>
      </w:pPr>
      <w:r>
        <w:rPr>
          <w:rFonts w:eastAsia="Times New Roman" w:cs="Times New Roman" w:ascii="Times New Roman" w:hAnsi="Times New Roman"/>
          <w:b/>
          <w:color w:val="000000"/>
          <w:sz w:val="28"/>
          <w:szCs w:val="28"/>
          <w:highlight w:val="white"/>
        </w:rPr>
      </w:r>
    </w:p>
    <w:p>
      <w:pPr>
        <w:pStyle w:val="Normal"/>
        <w:widowControl/>
        <w:shd w:val="clear" w:fill="FFFFFF"/>
        <w:spacing w:lineRule="auto" w:line="360"/>
        <w:rPr/>
      </w:pPr>
      <w:r>
        <w:rPr>
          <w:rFonts w:eastAsia="Times New Roman" w:cs="Times New Roman" w:ascii="Times New Roman" w:hAnsi="Times New Roman"/>
          <w:b/>
          <w:color w:val="000000"/>
          <w:sz w:val="28"/>
          <w:szCs w:val="28"/>
          <w:highlight w:val="white"/>
        </w:rPr>
        <w:t>2</w:t>
      </w:r>
      <w:r>
        <w:rPr>
          <w:rFonts w:ascii="Times New Roman" w:hAnsi="Times New Roman" w:cs="Times New Roman" w:eastAsia="Times New Roman"/>
          <w:b/>
          <w:color w:val="000000"/>
          <w:sz w:val="28"/>
          <w:szCs w:val="28"/>
          <w:highlight w:val="white"/>
        </w:rPr>
        <w:t>、</w:t>
      </w:r>
      <w:r>
        <w:rPr>
          <w:rFonts w:eastAsia="Times New Roman" w:cs="Times New Roman" w:ascii="Times New Roman" w:hAnsi="Times New Roman"/>
          <w:b/>
          <w:color w:val="000000"/>
          <w:sz w:val="28"/>
          <w:szCs w:val="28"/>
          <w:highlight w:val="white"/>
        </w:rPr>
        <w:t>Long-term impact</w:t>
      </w:r>
    </w:p>
    <w:p>
      <w:pPr>
        <w:pStyle w:val="Normal"/>
        <w:widowControl/>
        <w:shd w:val="clear" w:fill="FFFFFF"/>
        <w:spacing w:lineRule="auto" w:line="360"/>
        <w:rPr/>
      </w:pPr>
      <w:r>
        <w:rPr>
          <w:rFonts w:eastAsia="Times New Roman" w:cs="Times New Roman" w:ascii="Times New Roman" w:hAnsi="Times New Roman"/>
          <w:b/>
          <w:color w:val="000000"/>
          <w:sz w:val="28"/>
          <w:szCs w:val="28"/>
          <w:highlight w:val="white"/>
        </w:rPr>
        <w:tab/>
      </w:r>
      <w:r>
        <w:rPr>
          <w:rFonts w:eastAsia="Times New Roman" w:cs="Times New Roman" w:ascii="Times New Roman" w:hAnsi="Times New Roman"/>
          <w:color w:val="000000"/>
          <w:sz w:val="28"/>
          <w:szCs w:val="28"/>
          <w:highlight w:val="white"/>
        </w:rPr>
        <w:t>In the long run, the epidemic, a global public health event, has become an important turning point in the development of trade between China and Europe, prompting the two sides to re-examine many key links in trade.</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First, in terms of supply chain, the epidemic has highlighted the importance of supply chain security and stability. Both Chinese and European companies are keenly aware of the huge risks of a supply chain model that relies too much on a single region or a few suppliers. Previously, some European companies may rely mainly on specific Chinese suppliers to provide certain key components or raw materials, and supply disruptions during the pandemic have made them aware of the need for a more diversified and resilient supply chain system. For example, some European manufacturing enterprises have begun to look for alternative suppliers in Europe or other neighboring regions. At the same time, they have also strengthened cooperation with Chinese suppliers to discuss how to enhance the risk resistance of the supply chain by establishing inventory buffer mechanism and optimizing logistics and distribution routes.</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Second, the epidemic has accelerated the digital transformation of trade between China and Europe. Due to the limited offline trading activities, online trading platforms have been more widely used and developed rapidly. Chinese and European enterprises have increased their investment in e-commerce, digital marketing and other aspects, and expanded their market channels through innovative forms such as online exhibitions and live streaming. For example, some Chinese manufacturing enterprises use online platforms to directly display their products to European consumers and accept orders, bypassing the traditional intermediate dealer link, which not only reduces marketing costs, but also more accurately meets consumer needs. At the same time, digital technology has been more applied in logistics distribution, customs clearance and other links, improving trade efficiency.</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Moreover, the epidemic has changed the consumption habits and demand structure of consumers to some extent. In Europe, consumers pay more attention to health, environmental protection and the quality and functionality of their products. The demand for products with antibacterial, environmental protection and other characteristics has increased significantly, such as environmental protection household products, textiles with antibacterial function, etc. At the same time, the habit of online consumption has been further consolidated, and consumers have higher requirements for the convenience and richness of online shopping. This has prompted Chinese and European enterprises to make corresponding adjustments in product research and development, production and marketing, in order to better adapt to the changes in market demand (Liu Shuguang, 2020; Wang Yang, Wang Yi, 2014). In 2006, the research ideas and some data on the impact of trade on the external shock were comprehensively elaborated in the literature, combined with the actual trade data and relevant reports during the epidemic period. These documents provide important theoretical basis and data support for a deeper understanding of the impact of the epidemic on China-EU trade. By drawing on the research results and combining with the actual situation, we can more comprehensively and accurately analyze the multifaceted impact of the epidemic on China-EU trade (Liu Shuguang</w:t>
      </w:r>
      <w:r>
        <w:rPr>
          <w:rFonts w:ascii="Times New Roman" w:hAnsi="Times New Roman" w:cs="Times New Roman" w:eastAsia="Times New Roman"/>
          <w:color w:val="000000"/>
          <w:sz w:val="28"/>
          <w:szCs w:val="28"/>
          <w:highlight w:val="white"/>
        </w:rPr>
        <w:t>，</w:t>
      </w:r>
      <w:r>
        <w:rPr>
          <w:rFonts w:eastAsia="Times New Roman" w:cs="Times New Roman" w:ascii="Times New Roman" w:hAnsi="Times New Roman"/>
          <w:color w:val="000000"/>
          <w:sz w:val="28"/>
          <w:szCs w:val="28"/>
          <w:highlight w:val="white"/>
        </w:rPr>
        <w:t>2020; Wang Yang, Wang Yi, 2014.</w:t>
      </w:r>
      <w:r>
        <w:rPr>
          <w:rFonts w:ascii="Times New Roman" w:hAnsi="Times New Roman" w:cs="Times New Roman" w:eastAsia="Times New Roman"/>
          <w:color w:val="000000"/>
          <w:sz w:val="28"/>
          <w:szCs w:val="28"/>
          <w:highlight w:val="white"/>
        </w:rPr>
        <w:t>）</w:t>
      </w:r>
    </w:p>
    <w:p>
      <w:pPr>
        <w:pStyle w:val="Normal"/>
        <w:widowControl/>
        <w:shd w:val="clear" w:fill="FFFFFF"/>
        <w:spacing w:lineRule="auto" w:line="3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ab/>
        <w:t>According to Zhang Xuer (2023) and to the EU's Strategic Autonomy and the Development of China-EU Relations in 2000, the post-epidemic era has opened many new Windows of opportunities for China-EU trade, especially in key areas such as healthcare, digital economy and green energy, and the demand for cooperation between the two sides has shown a significant increase. In the field of medical and health care, the outbreak of the epidemic has brought unprecedented global attention to the research and development of medical and health supplies and related technologies. China and the EU have an extremely broad space for cooperation in this regard. On the one hand, in terms of medical supplies, China, with its strong manufacturing base and efficient production capacity, has provided Europe with a large number of urgently needed medical supplies such as masks, protective suits and ventilators during the epidemic, which has effectively supported Europe's fight against the epidemic. In the post-epidemic era, such cooperation in material supply is not only continued, but also expected to further expand the cooperation categories, such as more high-end medical testing equipment and rehabilitation equipment. On the other hand, in the field of medical technology research and development cooperation, China and Europe have their own strengths. Europe has profound technological accumulation and scientific research strength in biomedical research and development and medical device innovation, while China has unique advantages in clinical application and mass production and transformation. The two sides can realize resource sharing and complementary advantages in vaccine research and development, new drug research and development, telemedicine technology and many other aspects, and jointly promote the development of global medical and health undertakings.</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The digital economy also shows great potential for cooperation. The epidemic has accelerated the shift of global economic activities to online, and digital trade platforms have ushered in an opportunity for accelerated development, which has also opened up a new channel for China-EU trade. With the help of various digital platforms, Chinese and European enterprises have broken through regional restrictions and realized more convenient and efficient trade exchanges. For example, Chinese e-commerce giants cooperate with European brands through cross-border e-commerce platforms to introduce European high-quality and featured products into the Chinese market, and at the same time, they also bring Chinese cost-effective electronic products and smart home devices to European consumers. In addition, China and the EU can learn from each other in the application level of digital technology, such as big data analysis and the application of artificial intelligence in trade fields. China in digital payment, electricity live with goods innovation mode can provide new ideas for European enterprises to expand the market, and European data privacy protection, digital financial regulation mature experience is worthy of Chinese enterprise reference, the two sides through cooperation can further enhance the efficiency and quality of trade under the era of digital economy.</w:t>
      </w:r>
    </w:p>
    <w:p>
      <w:pPr>
        <w:pStyle w:val="Normal"/>
        <w:widowControl/>
        <w:shd w:val="clear" w:fill="FFFFFF"/>
        <w:spacing w:lineRule="auto" w:line="360"/>
        <w:ind w:firstLine="560"/>
        <w:rPr/>
      </w:pPr>
      <w:r>
        <w:rPr>
          <w:rFonts w:eastAsia="Times New Roman" w:cs="Times New Roman" w:ascii="Times New Roman" w:hAnsi="Times New Roman"/>
          <w:color w:val="000000"/>
          <w:sz w:val="28"/>
          <w:szCs w:val="28"/>
          <w:highlight w:val="white"/>
        </w:rPr>
        <w:t>Green energy is also a hot spot for China-Eu trade cooperation in the post-epidemic era. With the increasing global attention to environmental protection and sustainable development, China-EU cooperation in the field of green energy is in line with the trend of The Times. Europe has always been a world leader in the research and development of renewable energy technology and energy management system construction. For example, it has advanced technology and a perfect industrial chain in the fields of wind power generation and solar photovoltaic power generation. China is one of the largest energy consumption markets in the world, and it has made great achievements in the large-scale development of the green energy industry, such as the large-scale construction of photovoltaic power stations and the promotion of new energy vehicles. China-EU cooperation in the field of green energy, can realize the European advanced technology ground application in the Chinese market, promote further optimization of China's energy structure, can also for European green energy enterprises to develop the broad Chinese market, promote the two sides in response to climate change, achieve sustainable development goals.</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However, on the road of China-EU trade development in the post-epidemic era, the challenges cannot be ignored. As Zhang (2023) changer Zhang pointed out in the related study. Trade protectionism is still on the rise in some European countries, which has brought direct obstacles to China-EU trade. Some European countries, in order to protect their own industries and employment, have set up various trade barriers, such as raising tariffs and setting import quotas. Field in some traditional manufacturing, for example, part of the European countries to protect their related industries from external competition, for similar products from China to improve the import tariffs, make Chinese products when entering the European market face higher cost pressure, weaken the product price competitiveness, thus affect the further expansion of the scale of trade. Growing concerns about external competition among some industries within the EU during the post-pandemic recovery could lead to further increases in trade restrictions. The epidemic has impacted some industries in the EU to varying degrees. In the recovery stage, these industries may take some measures to restrict external competition in order to recover as soon as possible and consolidate their market position. For example, some eu countries of agricultural industry worry about agricultural imports from China will impact on its agricultural market, to lobby the government a more stringent agricultural import inspection and quarantine standards, although these standards to a certain extent may be for the consideration of food safety, but too strict requirements may also become the potential factors of trade friction, hindered the normal central Europe in agricultural trade, etc.</w:t>
      </w:r>
    </w:p>
    <w:p>
      <w:pPr>
        <w:pStyle w:val="Normal"/>
        <w:widowControl/>
        <w:shd w:val="clear" w:fill="FFFFFF"/>
        <w:spacing w:lineRule="auto" w:line="360"/>
        <w:ind w:firstLine="84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addition, differences in technical standards and data security between China and Europe may also become a potential factor in trade frictions. In terms of technical standards, both China and the EU have their own standard systems in different industries. In the field of electronic information products, for example, Europe has its strict electromagnetic compatibility, environmental protection standards, and China also has the corresponding national standards, when the product trade circulation between central Europe, may appear for inconsistent standards need to certification, adjust product design, etc., increase the cost of the enterprise and the complexity of trade. In terms of data security, with the rapid development of the digital economy, the cross-border flow of data is becoming increasingly frequent. Europe has extremely strict regulations on data privacy protection, such as the General Data Protection Regulation (GDPR), and China is constantly improving its own data security regulatory system. When Chinese and European enterprises carry out business cooperation involving cross-border data transmission, such as data sharing and cloud computing services of e-commerce platforms, they need to be carried out on the premise of meeting the data security requirements of both parties. Otherwise, it is easy to cause data security disputes, thus affecting the smooth progress of trade cooperation.</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To sum up, although trade between China and Europe in the post-epidemic era faces many new opportunities, at the same time, we must cope with a series of challenges that cannot be ignored. Only by properly handling these issues can China-EU trade achieve sustained and healthy development in the new era (Zhang Xuer, 2023).</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Since its inception, China's "Belt and Road" initiative has been committed to strengthening in-depth cooperation among countries along the Belt and Road in infrastructure connectivity, unimpeded trade and financial integration, and striving to build a broad and close economic cooperation network (based on the general understanding of the connotation of the "Belt and Road" initiative and the interpretation of relevant policies). The EU's connectivity strategy focuses on strengthening its connectivity within Europe and with the outside world in key areas such as transportation, energy and digital networks, aiming to enhance Europe's connectivity and competitiveness in the global economic landscape (refer to the relevant EU strategic documents and policy statements). There are many mutual interactions between these two strategies. In the field of infrastructure construction, China-EU cooperative third-party market projects have become an important manifestation of the concerted progress of the two. Take the Central and Eastern European region as an example, according to the Tang Pengho (2017). The Study on China-EU Economic and Trade Cooperation in the Background of "Belt and Road" in 2000 and the practical cases of China-EU cooperation projects in "Belt and Road" in recent years, such as the Belgrade-Budapest railway construction project in Hungary. China has rich experience in railway construction, an efficient engineering and technical team and a relatively mature industrial chain, which can provide a complete set of solutions from railway design, construction to equipment manufacturing. The EU has advantages in project planning standards, environmental assessment and coordination with local European companies. With the two sides, China's capital and technology investment provides a strong guarantee for the smooth start and rapid progress of the project. The EU's standards and coordination capabilities ensure that the project complies with local European regulatory requirements and the concept of sustainable development. Through this cooperation model, China has not only successfully built a modern transportation hub in central and Eastern Europe, promoted local economic development and regional connectivity, but also realized the optimal allocation of resource utilization and fully complement its advantages (Research on China-EU Economic and Trade Cooperation under the Background of "Belt and Road, 2017).</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From the perspective of trade and investment promotion, the large-scale trade and investment flows driven by the Belt and Road " initiative provide a broad external market space and financial support for the implementation of the EU connectivity strategy. The trade of many countries along the "Belt and Road" route has become increasingly frequent due to the improvement of infrastructure, and the outbound investment of a large number of Chinese enterprises has also driven the development and upgrading of related industries. With the help of their advantages in high-end manufacturing, services and other fields, EU enterprises can actively participate in the trade and investment activities along the "Belt and Road" line, and jointly explore emerging markets with Chinese enterprises. For example, in the process of central trains operation, European high-end machinery and equipment, auto parts and other products through trains to China and other countries along the route, China's electronic products, textiles, etc to Europe, this process not only promotes the trade growth, also for countries along the industrial upgrading and economic development. At the same time, the internal market integration and external connectivity emphasized by the EU connectivity strategy also provide a more stable and efficient European market environment for China-EU trade and investment under the "Belt and Road" initiative. European internal transportation, energy and other infrastructure optimization, reduce the logistics cost and trade cost, digital network connectivity for China-EU enterprise cross-border electricity, digital service trade and other emerging trade mode provides technical support, further expand the enterprises in each other in the market development space.</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To sum up, China's "Belt and Road" initiative and the EU's connectivity strategy integrate and promote each other in infrastructure construction, trade and investment promotion, injecting strong impetus into China-EU economic cooperation and global economic connectivity</w:t>
      </w:r>
      <w:r>
        <w:rPr>
          <w:rFonts w:eastAsia="Times New Roman" w:cs="Times New Roman" w:ascii="Times New Roman" w:hAnsi="Times New Roman"/>
          <w:b/>
          <w:color w:val="000000"/>
          <w:sz w:val="28"/>
          <w:szCs w:val="28"/>
          <w:highlight w:val="white"/>
        </w:rPr>
        <w:t xml:space="preserve"> </w:t>
      </w:r>
      <w:r>
        <w:rPr>
          <w:rFonts w:eastAsia="Times New Roman" w:cs="Times New Roman" w:ascii="Times New Roman" w:hAnsi="Times New Roman"/>
          <w:color w:val="000000"/>
          <w:sz w:val="28"/>
          <w:szCs w:val="28"/>
          <w:highlight w:val="white"/>
        </w:rPr>
        <w:t>(Yang Yafei, 2023).</w:t>
      </w:r>
    </w:p>
    <w:p>
      <w:pPr>
        <w:pStyle w:val="Normal"/>
        <w:widowControl/>
        <w:shd w:val="clear" w:fill="FFFFFF"/>
        <w:spacing w:lineRule="auto" w:line="360"/>
        <w:ind w:firstLine="84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With the profound evolution of the global economic landscape in recent decades, the role of China and the EU in the multilateral trading system has undergone a remarkable transformation process.</w:t>
      </w:r>
    </w:p>
    <w:p>
      <w:pPr>
        <w:pStyle w:val="Normal"/>
        <w:widowControl/>
        <w:shd w:val="clear" w:fill="FFFFFF"/>
        <w:spacing w:lineRule="auto" w:line="360"/>
        <w:ind w:firstLine="840"/>
        <w:rPr/>
      </w:pPr>
      <w:r>
        <w:rPr>
          <w:rFonts w:eastAsia="Times New Roman" w:cs="Times New Roman" w:ascii="Times New Roman" w:hAnsi="Times New Roman"/>
          <w:color w:val="000000"/>
          <w:sz w:val="28"/>
          <w:szCs w:val="28"/>
          <w:highlight w:val="white"/>
        </w:rPr>
        <w:t>The EU has long played an extremely important role in the multilateral trading system, playing a key role as a rule-maker and facilitator. In the world trade organization (WTO) and other multilateral trade framework in the process of construction and development, the EU with its strong economic strength, the union of many members influence and in the trade rules research and profound accumulation, actively advocate free trade concept, promote a series of trade liberalization agreement reached and implementation. For example, in the formulation of agricultural trade rules, the EU has put forward suggestions on agricultural subsidies and market access in multilateral trade negotiations based on its internal unified</w:t>
      </w:r>
      <w:r>
        <w:rPr>
          <w:rFonts w:eastAsia="Times New Roman" w:cs="Times New Roman" w:ascii="Times New Roman" w:hAnsi="Times New Roman"/>
          <w:i/>
          <w:color w:val="000000"/>
          <w:sz w:val="28"/>
          <w:szCs w:val="28"/>
          <w:highlight w:val="white"/>
        </w:rPr>
        <w:t xml:space="preserve"> </w:t>
      </w:r>
      <w:r>
        <w:rPr>
          <w:rFonts w:eastAsia="Times New Roman" w:cs="Times New Roman" w:ascii="Times New Roman" w:hAnsi="Times New Roman"/>
          <w:color w:val="000000"/>
          <w:sz w:val="28"/>
          <w:szCs w:val="28"/>
          <w:highlight w:val="white"/>
        </w:rPr>
        <w:t>agricultural policy system, which has had a profound impact on the global agricultural trade pattern. However, in recent years, due to the gradual prominence of internal contradictions and the increasing external competition pressure, the influence of the EU in the multilateral trading system has fluctuated to a certain extent. Internal contradictions, Britain take off the event on the EU's overall economic strength and trade negotiation ability, at the same time within the EU members the differences on the trade interests also increasingly obvious, such as in the manufactured goods and services trade focus, southern Europe and the Nordic countries have different development needs and interests considerations, which to a certain extent weakened the EU in the multilateral decision-making efficiency and unified trade negotiations. In terms of external competition pressure, the rise of emerging economies and the adjustment of US trade policy all pose a challenge to the EU. The share of emerging economies in global trade is growing, and their increasingly strong voice in the formulation of trade rules, competing with the traditional trade rules of the United States during the Trump era, such as the introduction of steel and aluminum tariffs, not only impact the trade relations with the United States, but also make the EU face a more complicated situation in tackling the global trade friction and maintaining the stability of the multilateral trading system, including its influence in the multilateral trading system (Ma Aifang, 2016)</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At the same time, China's role in the multilateral trading system is gradually shifting from a simple player to a leader. For a long time in the past, China has actively integrated into the world trading system, followed multilateral trade rules, and made great contributions to the prosperity of global trade through its own trade development and economic growth. With the continuous strengthening of China's economic strength and the increasing sense of responsibility in global economic governance, China has begun to be more actively involved in the reform and improvement of the multilateral trading system. In the process of WTO reform, China has put forward a series of constructive proposals, covering many key issues, such as the fairness of trade rules, inclusive development, and special and differential treatment of developing countries. For example, in terms of e-commerce rules, China, with its huge domestic electricity market development experience, put forward about cross-border electricity tax, data cross-border regulatory regulation, aims to build a both in line with the global digital economy development trend and can protect the interests of the reasonable e-commerce trade rules framework. In response to the challenge of global trade protectionism, China advocates through dialogue and consultation to resolve trade disputes, actively maintain the authority of the multilateral trading system, many times in international calls for all parties to resist trade protectionism, and through the import expo open market opening, for the global trade liberalization process injected a positive impetus, plays a more and more important role in the multilateral trading system.</w:t>
      </w:r>
    </w:p>
    <w:p>
      <w:pPr>
        <w:pStyle w:val="Normal"/>
        <w:widowControl/>
        <w:shd w:val="clear" w:fill="FFFFFF"/>
        <w:spacing w:lineRule="auto" w:line="360"/>
        <w:ind w:firstLine="84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current multilateral trading system, China and the EU have both a demand base for close cooperation and a certain degree of competition. In terms of cooperation, in the face of rising global trade protectionism, both China and the EU have strong common interests and need to work together to respond. The two sides have jointly upheld the authority and stability of the multilateral trade system by strengthening trade policy coordination and supporting each other in multilateral trade negotiations. For example, on opposing unilateral trade sanctions and promoting the reform of the WTO dispute settlement mechanism, China and the EU can reach certain consensus and take joint actions. In terms of competition, both China and the EU are actively competing for a voice, especially in the areas of emerging trade rules-making, especially in digital trade, green trade and other areas that are closely related to the future global economic development trend. In digital trade rules, the eu based on its attaches great importance to data privacy protection put forward more strict regulatory framework, while China from the digital economy perspective of innovation and development and the market put forward the corresponding rules, the two sides in how to balance the data security and trade liberalization, how to build the global digital trade governance system there are different positions and interests, the competitive relationship to a certain extent, also promote the two sides constantly improve their trade rules concept and proposals, promote the multilateral trading system in the field of emerging rules diversified development and exploration.</w:t>
      </w:r>
    </w:p>
    <w:p>
      <w:pPr>
        <w:pStyle w:val="Normal"/>
        <w:widowControl/>
        <w:shd w:val="clear" w:fill="FFFFFF"/>
        <w:spacing w:lineRule="auto" w:line="360"/>
        <w:ind w:firstLine="84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trading system, including its influence in the multilateral trading system (Ma Aifang,2016)</w:t>
      </w:r>
    </w:p>
    <w:p>
      <w:pPr>
        <w:pStyle w:val="Normal"/>
        <w:widowControl/>
        <w:shd w:val="clear" w:fill="FFFFFF"/>
        <w:spacing w:lineRule="auto" w:line="360"/>
        <w:ind w:firstLine="5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At the same time, China's role in the multilateral trading system is gradually shifting from a simple player to a leader. For a long time in the past, China has actively integrated into the world trading system, followed multilateral trade rules, and made great contributions to the prosperity of global trade through its own trade development and economic growth. With the continuous strengthening of China's economic strength and the increasing sense of responsibility in global economic governance, China has begun to be more actively involved in the reform and improvement of the multilateral trading system. In the process of WTO reform, China has put forward a series of constructive proposals, covering many key issues, such as the fairness of trade rules, inclusive development, and special and differential treatment of developing countries. For example, in terms of e-commerce rules, China, with its huge domestic electricity market development experience, put forward about cross-border electricity tax, data cross-border regulatory regulation, aims to build a both in line with the global digital economy development trend and can protect the interests of the reasonable e-commerce trade rules framework. In response to the challenge of global trade protectionism, China advocates through dialogue and consultation to resolve trade disputes, actively maintain the authority of the multilateral trading system, many times in international calls for all parties to resist trade protectionism, and through the import expo open market opening, for the global trade liberalization process injected a positive impetus, plays a more and more important role in the multilateral trading system.</w:t>
      </w:r>
    </w:p>
    <w:p>
      <w:pPr>
        <w:pStyle w:val="Normal"/>
        <w:widowControl/>
        <w:shd w:val="clear" w:fill="FFFFFF"/>
        <w:spacing w:lineRule="auto" w:line="360"/>
        <w:ind w:firstLine="84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current multilateral trading system, China and the EU have both a demand base for close cooperation and a certain degree of competition. In terms of cooperation, in the face of rising global trade protectionism, both China and the EU have strong common interests and need to work together to respond. The two sides have jointly upheld the authority and stability of the multilateral trade system by strengthening trade policy coordination and supporting each other in multilateral trade negotiations. For example, on opposing unilateral trade sanctions and promoting the reform of the WTO dispute settlement mechanism, China and the EU can reach certain consensus and take joint actions. In terms of competition, both China and the EU are actively competing for a voice, especially in the areas of emerging trade rules-making, especially in digital trade, green trade and other areas that are closely related to the future global economic development trend. In digital trade rules, the eu based on its attaches great importance to data privacy protection put forward more strict regulatory framework, while China from the digital economy perspective of innovation and development and the market put forward the corresponding rules, the two sides in how to balance the data security and trade liberalization, how to build the global digital trade governance system there are different positions and interests, the competitive relationship to a certain extent, also promote the two sides constantly improve their trade rules concept and proposals, promote the multilateral trading system in the field of emerging rules diversified development and exploration.</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For a long time in the past, China has been active and humble in the world trading system. On the one hand, relying on its huge labor resources and gradually improved industrial system, China has vigorously developed its export-oriented economy, strictly followed multilateral trade rules, and worked quietly working on the stage of global trade. China's export products cover many fields, including textiles and toys in basic manufacturing, electronic equipment and machinery in middle and high-end manufacturing. They have become an indispensable link in the global industrial chain, greatly enriched the choices of consumers around the world and strongly promoted the expansion of global trade. For example, China's garment exports occupy a considerable share in the global market, and the garment production of many international famous brands depends on China's supply chain, which not only drives the development of China's local textile industry, but also creates commercial opportunities for the garment design and sales in relevant countries. With the steady rise of China's economic strength, the sense of responsibility in the field of global economic governance is also increasingly awakened. In the crucial process of WTO reform, China has stepped forward and put forward a series of forward-looking and highly constructive proposals. In the fairness of trade rules, China's deep insight into the adverse tilt of some existing rules of developing countries and some developed countries exploit the phenomenon of trade hegemony, actively advocate building a more balanced, fair trade rules system, to ensure that the equal status in trade and legitimate rights and interests to safeguard. In terms of inclusive development, China knows the sustainable prosperity of the global economy without the developing countries to actively participate in and common development, therefore put forward a number of aims to promote developing countries in the multilateral trading system for more development opportunities, such as technology transfer cooperation mechanism, for developing countries specific industry supportive trade policy Suggestions, etc. As for the special and differential treatment of developing countries, China has put forward detailed and concrete plans based on its difficult process from poverty and backwardness to gradual rise, so as to help developing countries move forward steadily in the wave of trade liberalization and avoid the impact of rapid changes in rules.</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e-commerce, a booming emerging trade field, China actively participates in the discussion and formulation of international rules based on its first-mover advantage and rich experience in the domestic e-commerce market. In terms of cross-border e-commerce taxation, China has deeply studied the characteristics of cross-border transactions of different types of commodities, the differences in tax policies among countries and the operation mode of e-commerce platforms, and put forward a set of tax framework scheme that takes into account the interests of all parties. The plan not only takes into account the needs of importing countries to maintain tax sovereignty, but also fully takes into account the survival and development space of e-commerce enterprises, especially small, medium and micro e-commerce enterprises, so as to avoid stifling the innovation vitality of the industry due to the high tax burden. In the field of cross-border data regulation, China has fully realized the importance of data as a core element of the digital economy and the severe challenges faced by data security. It proposes to promote the orderly cross-border flow of data through the establishment of an international data sharing and regulatory cooperation mechanism on the premise of ensuring data security. For example, it advocates the establishment of a data classification and hierarchical management system, imposes strict cross-border restrictions on sensitive data related to national security and personal privacy, and encourages cross-border circulation on the basis of following certain rules, so as to promote the collaborative innovation and efficient development of the global digital economy.</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face of the haze of global trade protectionism, China has always been firmly at the forefront of safeguarding the authority of the multilateral trading system. China actively advocates resolving trade disputes through equal and open dialogue and consultation mechanisms, and firmly opposes the unilateralism used by individual countries that often wield the big stick of trade sanctions. On the international stage, China has repeatedly made strong calls, calling on all countries in the world to jointly resist the adverse flow of trade protectionism and jointly maintain a good order of free trade. For example, in G20At the summit, Chinese leaders have repeatedly stressed the historical inevitability and positive significance of trade liberalization and economic globalization, and called on all countries to abandon trade barriers and strengthen trade cooperation. At the same time, China through innovative measures such as import expo, actively open to the world vast domestic market, high quality products and services for global display and sales platform, greatly promote the two-way flow of global trade, for the global trade liberalization process injected a steady stream of strong power, highlights China in the multilateral trading system increasingly leader. The EU has always played a pivotal role in the multilateral trading system, and has long played a key role as a maker and promoter of trade rules. The highly integrated unified market within the EU, with its perfect legal and regulatory system, strict product quality and environmental protection standards, and efficient logistics and financial services network, has become an important reference blueprint for global trade rules. In the field of agricultural products trade, the EU's common agricultural policy not only guarantees the stable supply of the internal agricultural products market, but also has a profound impact on the global agricultural products trade pattern by setting up a series of trade barriers and subsidy mechanisms. For example, the European Union quality certification standards for agricultural products, pesticide residue limit standard is very strict, many of the eu countries of agricultural products to enter the eu market, must meet the requirements of these high standards, which to a certain extent, improve the quality and safety level of global agricultural products, but also caused some trade friction and controversy.</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terms of industrial product standards, the EU CE certification mark has become the pass for many industrial products to enter the European market and even the global market. The technical standards and norms formulated by the EU in the fields of machinery manufacturing, automobile industry, electronics and electrical appliances not only reflect their advanced nature and rigor in the field of industrial technology, but also lead the development direction of global industrial product standards to a large extent. In the field of intellectual property protection, the EU has spared no effort to promote the promotion of global intellectual property protection standards. A series of intellectual property laws and regulations, such as patent law, trademark law, copyright law, etc., have provided rich practical experience and theoretical reference for global intellectual property protection. However, with the accelerated evolution of the global economic pattern, especially the rapid rise of emerging technologies and trade models, the EU is also facing unprecedented new challenges and new opportunities. In the field of digital trade, the EU has built a relatively strict regulatory framework based on its great importance to the privacy of citizens' personal data and the concept of social values. Take the General Data Protection Regulation (GDPR) as an example, which provides extremely detailed and strict provisions on the obligations of data controllers and processors, the rights of data subjects, and the cross-border transmission of data. This framework not only effectively protects the data privacy of EU citizens, but also creates great compliance pressure on global digital enterprises, especially those technology giants that rely on data-driven business models, which has aroused wide international attention and discussion. In the field of green trade, the EU has actively responded to the call of global sustainable development, and has taken the lead in formulating and implementing a series of strict green trade standards and policies. The EU requires that imported products must meet their strict carbon emission standards, requirements for the use of environmental protection materials and other green indicators, which not only promotes the development of global green industry and environmental awareness, but also causes differences and games with other countries on trade policies. In the severe situation of rampant global trade protectionism, China and the EU join hands to safeguard the authority and stability of the multilateral trading system based on their common interests and strategic considerations. The two sides are deeply aware that the indiscriminate spread of trade protectionism will seriously undermine the normal operation of the global industrial and supply chains and damage the long-term economic development interests of all countries. Therefore, China and the EU echo and support each other in multilateral trade negotiations by strengthening high-level strategic dialogue and establishing a regular trade policy coordination mechanism.</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opposing the unilateral trade sanctions imposed by the United States, China and the EU have shown a high degree of tacit understanding and coordinated action ability. The two sides have severely condemned the unilateral actions of the United States and called on the United States to abide by multilateral trade rules and resolve trade disputes through dialogue and consultation by issuing joint statements and making joint proposals among international organizations. In the process of promoting the reform of the WTO dispute settlement mechanism, China and the EU are also able to put aside some of their differences and reach some consensus on the basic principles and key issues of the reform. For example, both sides emphasize the importance of the independence, impartiality and efficiency of the dispute settlement mechanism, and work together to improve the personnel composition and operation mechanism of the appellate body to ensure that it can effectively deal with the increasingly complex and volatile international trade disputes.</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areas of emerging trade rules-making, especially digital trade, green trade and other key areas that are closely linked to the lifeblood of future global economic development, there is inevitably fierce competition between China and the EU. In terms of digital trade rules, the EU's strict data privacy regulatory framework is significantly different from the rules proposed by China from the perspective of innovative development of digital economy and huge market demand. The EU focuses on the absolute protection of data privacy, and ensures the data security of EU citizens by setting strict data localization storage requirements and cross-border transmission restrictions. China, on the other hand, pays more attention to promoting the innovative development of the digital economy and stimulating the market vitality on the basis of ensuring data security. China has proposed innovative measures such as encouraging cross-border data flows and the establishment of international data-sharing pilot zones to promote the rapid development of global digital trade. Both sides in how to balance the data security and trade liberalization, how to build a widely inclusive and prospective global digital trade management system on the core issues, hold different positions and interests, the competitive relationship to a certain extent, prompted both sides constantly reflect and improve their trade rules concept and proposal, and promote the multilateral trading system in the field of emerging rules presents the development trend of diversification and explore the path.</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field of green trade, the EU tries to lead the formulation of global green trade rules by virtue of its first-mover advantage in environmental protection technologies and ideas. The European Union has formulated a series of strict green product certification standards and carbon emission standards, requiring imported products to meet their green environmental protection requirements. While actively promoting the development of domestic green industry, China has also put forward the concept and rules of green trade based on its own national conditions and development stage. China emphasizes the fairness of green development and the principle of common but differentiated responsibilities for green development, and advocates all countries to formulate reasonable green development goals and policies according to their actual conditions, so as to avoid hindering the economic development of developing countries and the normal circulation of global trade due to excessive green trade barriers. The competition between the two sides in the formulation of green trade rules has also made the development of global green trade rules more scientific, reasonable, balanced and inclusive.</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 xml:space="preserve"> </w:t>
      </w:r>
      <w:r>
        <w:rPr>
          <w:rFonts w:eastAsia="Times New Roman" w:cs="Times New Roman" w:ascii="Times New Roman" w:hAnsi="Times New Roman"/>
          <w:color w:val="000000"/>
          <w:sz w:val="28"/>
          <w:szCs w:val="28"/>
          <w:highlight w:val="white"/>
        </w:rPr>
        <w:t>I believe that the changing role of China and the EU in the multilateral trading system profoundly reflects the dynamic evolution of the global economic landscape. The interaction between the two sides in the system, whether cooperation or competition, has a significant influence on the direction of global trade. In the future, the two sides should actively explore more possibilities for cooperation, such as cooperation in research and development of emerging technologies and global trade risk response, to resolve differences and build consensus, and jointly promote the development of the multilateral trading system in a more equitable, efficient and sustainable direction. This not only serves the long-term interests of both sides, but also will help the global economy move forward steadily in a complex and volatile environment, encourage all countries to share the fruits of global trade development, and realize the good vision of mutual benefit and common prosperity.</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short, the change in the role of China and Europe in the multilateral trading system reflects the dynamic adjustment process of the global economic pattern, and the interaction between the two sides in this system will have an extremely important impact (Ma Aifang,2016).</w:t>
      </w:r>
    </w:p>
    <w:p>
      <w:pPr>
        <w:pStyle w:val="Normal"/>
        <w:widowControl/>
        <w:spacing w:lineRule="auto" w:line="259" w:before="0" w:after="160"/>
        <w:jc w:val="left"/>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r>
        <w:br w:type="page"/>
      </w:r>
    </w:p>
    <w:p>
      <w:pPr>
        <w:pStyle w:val="Normal"/>
        <w:widowControl/>
        <w:shd w:val="clear" w:fill="FFFFFF"/>
        <w:spacing w:lineRule="auto" w:line="360"/>
        <w:jc w:val="center"/>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b/>
          <w:color w:val="000000"/>
          <w:sz w:val="28"/>
          <w:szCs w:val="28"/>
          <w:highlight w:val="white"/>
        </w:rPr>
        <w:t>Conclusion</w:t>
      </w:r>
    </w:p>
    <w:p>
      <w:pPr>
        <w:pStyle w:val="Normal"/>
        <w:widowControl/>
        <w:shd w:val="clear" w:fill="FFFFFF"/>
        <w:spacing w:lineRule="auto" w:line="3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At present, China-EU relations are in a complex and delicate momentum of development. At the economic level, bilateral trade has been maintained at a high scale for a long time, and the trade structure shows a certain complementarity. China's manufacturing products exports have formed a relatively stable trade pattern with the EU's high-end technology products, machinery and equipment, and agricultural products imports. Despite the twists and turns in the China-EU Comprehensive Investment Agreement, the previous negotiation process demonstrates the intention and potential of deep cooperation in the investment field. The discussions on market access, investment protection and regulatory rules have laid a foundation for a more open, transparent and fair investment environment in the future. At the same time, in emerging economic fields, such as artificial intelligence, big data and new energy vehicles, enterprises and scientific research institutions of the two sides have carried out preliminary cooperation and exploration, and technical exchanges and joint research and development projects are gradually increasing. However, it can not be ignored that the shadow of trade friction is still shrouded. Some EU countries have frequently launched trade investigations and imposed additional tariffs on Chinese exports on the grounds of so-called "dumping" and "subsidies", which has seriously affected the smoothness of trade in related industries. In addition, there are differences between the two sides in terms of investment environment. The EU's complex regulatory system, high standards of environmental protection and labor requirements, and many adaptability problems in the process of China's investment policies and corporate operation models, which hinder the further expansion of the investment scale to some extent.</w:t>
      </w:r>
    </w:p>
    <w:p>
      <w:pPr>
        <w:pStyle w:val="Normal"/>
        <w:widowControl/>
        <w:shd w:val="clear" w:fill="FFFFFF"/>
        <w:spacing w:lineRule="auto" w:line="3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field of politics and security, despite many challenges, the interaction and cooperation between the two sides continue to advance. At the political level, high-level exchanges between China and the EU maintain relatively close communication channels, and mechanisms such as the leaders' meeting and the strategic Dialogue at the foreign minister level provide a platform for the two sides to exchange core concerns and strategic intentions. For example, in the exchange of foreign policy ideas, the two sides have gradually enhanced their understanding of each other's global governance views and regional cooperation strategies. However, at the same time, groundless accusations against China by some countries within the EU on human rights and democracy have occurred from time to time, which has had a negative impact on bilateral political mutual trust. In terms of security, China-Eu cooperation in the non-traditional security field has achieved some results. In terms of counter-terrorism cooperation, the two sides will jointly respond to the transnational spread of terrorist threats through intelligence sharing and joint exercises. In the field of cyber security, the two sides have also begun to conduct dialogue and cooperation exploration on cyber governance rules, data security protection and other issues. In international affairs, China and the EU have gradually strengthened coordination and cooperation in UN peacekeeping operations, international counter-terrorism cooperation and addressing regional conflicts. Although there are still differences in specific positions and modes of action, the overall trend is developing in a positive direction.</w:t>
      </w:r>
    </w:p>
    <w:p>
      <w:pPr>
        <w:pStyle w:val="Normal"/>
        <w:widowControl/>
        <w:shd w:val="clear" w:fill="FFFFFF"/>
        <w:spacing w:lineRule="auto" w:line="360"/>
        <w:ind w:firstLine="708"/>
        <w:rPr/>
      </w:pPr>
      <w:r>
        <w:rPr>
          <w:rFonts w:eastAsia="Times New Roman" w:cs="Times New Roman" w:ascii="Times New Roman" w:hAnsi="Times New Roman"/>
          <w:color w:val="000000"/>
          <w:sz w:val="28"/>
          <w:szCs w:val="28"/>
          <w:highlight w:val="white"/>
        </w:rPr>
        <w:t>Looking ahead, China-EU relations have the potential and opportunities to develop towards a more stable, balanced and mutually beneficial direction. Economically, as the global economy gradually recovers from the impact of the epidemic and accelerates its transformation to digital and green development, China-EU cooperation in the digital economy has broad prospects. The two sides can strengthen cooperation in digital infrastructure construction, digital trade rules-making and cross-border data flow supervision to jointly explore the global market of the digital economy. In terms of green economy, the EU in renewable energy technology, carbon trading market construction has advanced experience, China in the new energy industry scale, green technology application promotion has unique advantages, the two sides can cooperate to accelerate the global green energy transformation process, promote the vigorous development of green investment and green trade, further improve the investment and trade rules system, build a more fair and sustainable economic cooperation architecture.</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terms of politics, the continuous political communication channels will be further deepened and expanded. In addition to the existing mechanisms of the summit and strategic dialogue, the two sides can establish more regular and multi-level platforms for political exchanges to enhance mutual understanding between the political elites and people of both sides. Through the Year of Cultural Exchange, academic seminars and cooperation and other activities, the two sides will promote the cognition and understanding of values, history and culture, social systems and other aspects, and gradually eliminate misunderstanding and prejudice, so as to enhance the level of political mutual trust. In international affairs, China and the EU are expected to form a closer cooperative partnership in the reform of the global governance system and the maintenance of multilateralism, jointly address global challenges, and play a leading role in major issues such as the reform of the UN Security Council and the reshaping of WTO rules.</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field of security, China and Europe will play a more critical role in addressing global security challenges. In terms of traditional security, the two sides can strengthen cooperation and dialogue in military exchanges, military control, regional security and stability, and enhance mutual understanding and trust at the military level through the establishment of a military mutual trust mechanism and joint military exercises and observation activities. In the field of non-traditional security, in the face of increasingly severe climate change security threats, transnational infectious disease prevention and control, cyberspace security threats, central Europe will further integrate resources, joint research and development of technology and strategy, build a global security early warning and emergency response mechanism, to build a more secure and stable international environment.</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To effectively promote the healthy and sustainable development of China-Eu relations, China and the EU need to make concerted efforts in various aspects. First, strategic alignment is crucial. The EU should abandon prejudice, view China's development achievements and development model from a more objective, fair and comprehensive perspective, recognize the positive contribution of China's development to economic growth, trade prosperity and stability in Europe and the world, and resolutely avoid politicizing normal economic and trade issues. China also needs to conduct an in-depth study of the diversified political, economic and cultural patterns within the EU, fully understand the interests and policy concerns of the EU member states, actively seek compatibility and coordination with the EU rules system in the process of cooperation, and respect the unique rules and decision-making mechanism formed by the EU in the process of regional integration.</w:t>
      </w:r>
    </w:p>
    <w:p>
      <w:pPr>
        <w:pStyle w:val="Normal"/>
        <w:widowControl/>
        <w:shd w:val="clear" w:fill="FFFFFF"/>
        <w:spacing w:lineRule="auto" w:line="360"/>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ab/>
        <w:t>Second, the two sides should work together to push for the reform and improvement of the multilateral trading system. At a time when the WTO is facing many difficulties and challenges, China and Europe, as two major economies in the world, have the responsibility and ability to jointly lead the reform process of the multilateral trading system. By actively participating in multilateral trade negotiations and putting forward constructive reform plans, we should strengthen cooperation on core issues such as trade liberalization, intellectual property protection and trade dispute settlement, enhance the fairness, effectiveness and authority of the multilateral trading system, and lay a solid foundation for the stability and prosperity of the global trade order.</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Moreover, we need to strengthen all-round cooperation in global governance. In addressing climate change, China and the EU can work together to formulate stricter emission reduction targets and action plans, step up cooperation in research and development of clean energy technologies, promotion of carbon capture and storage technologies, and green financial innovation, so as to promote substantive breakthroughs in the global climate governance process. In terms of public health crisis response, the two sides should establish a more efficient information sharing mechanism, mutual assistance and deployment of medical supplies and a joint scientific research mechanism, so as to jointly enhance the global public health emergency response capacity and safeguard human health and well-being.</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Finally, the deepening of people-to-people exchanges and people-to-people cooperation cannot be ignored. Non-governmental organizations, enterprises, academic institutions and cultural and art groups of the two sides are encouraged to carry out extensive exchanges and interactions, and enhance the emotional exchanges and cultural identity between the two sides through holding various cultural festivals, art exhibitions, academic seminars, friendly visits between the people and other activities. With the help of new media, the Internet and other modern means of communication, we will strengthen cultural communication and image building between China and Europe, eliminate misunderstandings and estrangement between the two sides, lay a solid public foundation for the long-term development of China-EU relations, and make the concept of friendly cooperation between China and the EU be passed on from generation to generation.</w:t>
      </w:r>
    </w:p>
    <w:p>
      <w:pPr>
        <w:pStyle w:val="Normal"/>
        <w:widowControl/>
        <w:shd w:val="clear" w:fill="FFFFFF"/>
        <w:spacing w:lineRule="auto" w:line="360"/>
        <w:ind w:firstLine="708"/>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t>In the whole research process, through the systematic combing, comprehensive analysis and prudent application of the rich and diverse references, this paper can deeply and comprehensively analyze the multi-dimensional connotation and extension of china-eu relations in the later Lisbon period. However, given the china-eu relations by the global political and economic pattern evolution, internal policy adjustment, international emergency impact of various complex factors, its itself is highly complex and dynamic, so still need to continue to pay close attention to the latest development in the related field, advancing with The Times to update research data and methods, constantly improve the depth of china-eu relations and scientific understanding, in order to provide the benign development of china-eu relations with more forward-looking, pertinence and effectiveness of theoretical support and policy advice.</w:t>
      </w:r>
    </w:p>
    <w:p>
      <w:pPr>
        <w:pStyle w:val="Normal"/>
        <w:widowControl/>
        <w:spacing w:lineRule="auto" w:line="259" w:before="0" w:after="160"/>
        <w:jc w:val="left"/>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r>
        <w:br w:type="page"/>
      </w:r>
    </w:p>
    <w:p>
      <w:pPr>
        <w:pStyle w:val="Normal"/>
        <w:widowControl/>
        <w:shd w:val="clear" w:fill="FFFFFF"/>
        <w:spacing w:lineRule="auto" w:line="360"/>
        <w:jc w:val="center"/>
        <w:rPr>
          <w:rFonts w:ascii="Times New Roman" w:hAnsi="Times New Roman" w:eastAsia="Times New Roman" w:cs="Times New Roman"/>
          <w:b/>
          <w:b/>
          <w:color w:val="000000"/>
          <w:sz w:val="28"/>
          <w:szCs w:val="28"/>
          <w:highlight w:val="white"/>
        </w:rPr>
      </w:pPr>
      <w:r>
        <w:rPr>
          <w:rFonts w:eastAsia="Times New Roman" w:cs="Times New Roman" w:ascii="Times New Roman" w:hAnsi="Times New Roman"/>
          <w:b/>
          <w:color w:val="000000"/>
          <w:sz w:val="28"/>
          <w:szCs w:val="28"/>
          <w:highlight w:val="white"/>
        </w:rPr>
        <w:t xml:space="preserve">References </w:t>
      </w:r>
    </w:p>
    <w:p>
      <w:pPr>
        <w:pStyle w:val="Normal"/>
        <w:widowControl/>
        <w:shd w:val="clear" w:fill="FFFFFF"/>
        <w:spacing w:lineRule="auto" w:line="360"/>
        <w:rPr>
          <w:rFonts w:ascii="Times New Roman" w:hAnsi="Times New Roman" w:eastAsia="Times New Roman" w:cs="Times New Roman"/>
          <w:color w:val="000000"/>
          <w:sz w:val="28"/>
          <w:szCs w:val="28"/>
          <w:highlight w:val="white"/>
        </w:rPr>
      </w:pPr>
      <w:r>
        <w:rPr/>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A study on the influence of new CE states in the EU and their impact on China-EU relations (2022). </w:t>
      </w:r>
      <w:r>
        <w:rPr>
          <w:rFonts w:eastAsia="Times New Roman" w:cs="Times New Roman" w:ascii="Times New Roman" w:hAnsi="Times New Roman"/>
          <w:i/>
          <w:color w:val="000000"/>
          <w:sz w:val="28"/>
          <w:szCs w:val="28"/>
          <w:highlight w:val="white"/>
        </w:rPr>
        <w:t xml:space="preserve">The Journal of Xianyang Normal University, </w:t>
      </w:r>
      <w:r>
        <w:rPr>
          <w:rFonts w:eastAsia="Times New Roman" w:cs="Times New Roman" w:ascii="Times New Roman" w:hAnsi="Times New Roman"/>
          <w:i/>
          <w:color w:val="000000"/>
          <w:sz w:val="28"/>
          <w:szCs w:val="28"/>
          <w:highlight w:val="white"/>
        </w:rPr>
        <w:t>37(01): 121</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Aifang M. (2016). On the weakening of the role of Sino-French-German axis in European integration construction. </w:t>
      </w:r>
      <w:r>
        <w:rPr>
          <w:rFonts w:eastAsia="Times New Roman" w:cs="Times New Roman" w:ascii="Times New Roman" w:hAnsi="Times New Roman"/>
          <w:i/>
          <w:iCs/>
          <w:color w:val="000000"/>
          <w:sz w:val="28"/>
          <w:szCs w:val="28"/>
          <w:highlight w:val="white"/>
        </w:rPr>
        <w:t>Beijing Foreign Studies University.</w:t>
      </w:r>
    </w:p>
    <w:p>
      <w:pPr>
        <w:pStyle w:val="Normal"/>
        <w:widowControl w:val="false"/>
        <w:bidi w:val="0"/>
        <w:spacing w:lineRule="auto" w:line="360"/>
        <w:ind w:left="567" w:right="0" w:hanging="567"/>
        <w:jc w:val="both"/>
        <w:rPr/>
      </w:pPr>
      <w:r>
        <w:rPr>
          <w:rFonts w:eastAsia="Times New Roman" w:cs="Times New Roman" w:ascii="Times New Roman" w:hAnsi="Times New Roman"/>
          <w:sz w:val="28"/>
          <w:szCs w:val="28"/>
        </w:rPr>
        <w:t xml:space="preserve">Albertoni, N., Wise C. (2020) “International Trade Norms in the Age of Covid-19 Nationalism on the Rise?”, </w:t>
      </w:r>
      <w:r>
        <w:rPr>
          <w:rFonts w:eastAsia="Times New Roman" w:cs="Times New Roman" w:ascii="Times New Roman" w:hAnsi="Times New Roman"/>
          <w:i/>
          <w:sz w:val="28"/>
          <w:szCs w:val="28"/>
        </w:rPr>
        <w:t>Fudan Journal of the Humanities and Social Sciences</w:t>
      </w:r>
      <w:r>
        <w:rPr>
          <w:rFonts w:eastAsia="Times New Roman" w:cs="Times New Roman" w:ascii="Times New Roman" w:hAnsi="Times New Roman"/>
          <w:sz w:val="28"/>
          <w:szCs w:val="28"/>
        </w:rPr>
        <w:t xml:space="preserve">, 14(1): 41-66 </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Binlai W., Xiaogen S. Liqun, X, (2015) et al. Economic and trade cooperation between China and Europe highlights the new normal. </w:t>
      </w:r>
      <w:r>
        <w:rPr>
          <w:rFonts w:eastAsia="Times New Roman" w:cs="Times New Roman" w:ascii="Times New Roman" w:hAnsi="Times New Roman"/>
          <w:i/>
          <w:color w:val="000000"/>
          <w:sz w:val="28"/>
          <w:szCs w:val="28"/>
          <w:highlight w:val="white"/>
        </w:rPr>
        <w:t>The Central Asia Information</w:t>
      </w:r>
      <w:r>
        <w:rPr>
          <w:rFonts w:eastAsia="Times New Roman" w:cs="Times New Roman" w:ascii="Times New Roman" w:hAnsi="Times New Roman"/>
          <w:color w:val="000000"/>
          <w:sz w:val="28"/>
          <w:szCs w:val="28"/>
          <w:highlight w:val="white"/>
        </w:rPr>
        <w:t>, 01:20-22.</w:t>
      </w:r>
    </w:p>
    <w:p>
      <w:pPr>
        <w:pStyle w:val="Normal"/>
        <w:widowControl w:val="false"/>
        <w:bidi w:val="0"/>
        <w:spacing w:lineRule="auto" w:line="360"/>
        <w:ind w:left="567" w:right="0" w:hanging="567"/>
        <w:jc w:val="both"/>
        <w:rPr>
          <w:color w:val="auto"/>
        </w:rPr>
      </w:pPr>
      <w:r>
        <w:rPr>
          <w:rFonts w:eastAsia="Times New Roman" w:cs="Times New Roman" w:ascii="Times New Roman" w:hAnsi="Times New Roman"/>
          <w:color w:val="auto"/>
          <w:sz w:val="28"/>
          <w:szCs w:val="28"/>
        </w:rPr>
        <w:t xml:space="preserve">Birnbaum, M. (2018, </w:t>
      </w:r>
      <w:r>
        <w:rPr>
          <w:rFonts w:eastAsia="Times New Roman" w:cs="Times New Roman" w:ascii="Times New Roman" w:hAnsi="Times New Roman"/>
          <w:color w:val="auto"/>
          <w:sz w:val="28"/>
          <w:szCs w:val="28"/>
        </w:rPr>
        <w:t>July 10</w:t>
      </w:r>
      <w:r>
        <w:rPr>
          <w:rFonts w:eastAsia="Times New Roman" w:cs="Times New Roman" w:ascii="Times New Roman" w:hAnsi="Times New Roman"/>
          <w:color w:val="auto"/>
          <w:sz w:val="28"/>
          <w:szCs w:val="28"/>
        </w:rPr>
        <w:t xml:space="preserve">). “As Trump hammers NATO allies on defense spending, military planners worry about his ‘2 percent’ obsession”. </w:t>
      </w:r>
      <w:r>
        <w:rPr>
          <w:rFonts w:eastAsia="Times New Roman" w:cs="Times New Roman" w:ascii="Times New Roman" w:hAnsi="Times New Roman"/>
          <w:i/>
          <w:iCs/>
          <w:color w:val="auto"/>
          <w:sz w:val="28"/>
          <w:szCs w:val="28"/>
        </w:rPr>
        <w:t>Washington post. </w:t>
      </w:r>
      <w:r>
        <w:rPr>
          <w:rFonts w:eastAsia="Times New Roman" w:cs="Times New Roman" w:ascii="Times New Roman" w:hAnsi="Times New Roman"/>
          <w:color w:val="auto"/>
          <w:sz w:val="28"/>
          <w:szCs w:val="28"/>
        </w:rPr>
        <w:t xml:space="preserve">Available at: https://www.washingtonpost.com/world/europe/trump-wants-all-of-nato-spending-2-percent-on-defense-but-does-that-even-make-sense/2018/07/ </w:t>
      </w:r>
    </w:p>
    <w:p>
      <w:pPr>
        <w:pStyle w:val="Normal"/>
        <w:bidi w:val="0"/>
        <w:spacing w:lineRule="auto" w:line="360"/>
        <w:ind w:left="567" w:right="0" w:hanging="567"/>
        <w:jc w:val="both"/>
        <w:rPr/>
      </w:pPr>
      <w:r>
        <w:rPr>
          <w:rFonts w:eastAsia="Times New Roman" w:cs="Times New Roman" w:ascii="Times New Roman" w:hAnsi="Times New Roman"/>
          <w:sz w:val="28"/>
          <w:szCs w:val="28"/>
        </w:rPr>
        <w:t xml:space="preserve">Brattberg, E. and Soula, E. (2018, </w:t>
      </w:r>
      <w:r>
        <w:rPr>
          <w:rFonts w:eastAsia="Times New Roman" w:cs="Times New Roman" w:ascii="Times New Roman" w:hAnsi="Times New Roman"/>
          <w:sz w:val="28"/>
          <w:szCs w:val="28"/>
        </w:rPr>
        <w:t>October 19</w:t>
      </w:r>
      <w:r>
        <w:rPr>
          <w:rFonts w:eastAsia="Times New Roman" w:cs="Times New Roman" w:ascii="Times New Roman" w:hAnsi="Times New Roman"/>
          <w:sz w:val="28"/>
          <w:szCs w:val="28"/>
        </w:rPr>
        <w:t>) “Europe’s Emerging Approach to China’s Belt and Road Initiative”. </w:t>
      </w:r>
      <w:r>
        <w:rPr>
          <w:rFonts w:eastAsia="Times New Roman" w:cs="Times New Roman" w:ascii="Times New Roman" w:hAnsi="Times New Roman"/>
          <w:i/>
          <w:iCs/>
          <w:sz w:val="28"/>
          <w:szCs w:val="28"/>
        </w:rPr>
        <w:t>Cambridge University Press</w:t>
      </w:r>
      <w:r>
        <w:rPr>
          <w:rFonts w:eastAsia="Times New Roman" w:cs="Times New Roman" w:ascii="Times New Roman" w:hAnsi="Times New Roman"/>
          <w:sz w:val="28"/>
          <w:szCs w:val="28"/>
        </w:rPr>
        <w:t>. Available at:https://carnegieendowment.org/2021/09/30/merkel-s-mixed-legacy-on-china-pub-85471</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Cher Z.(2023). EU strategic autonomy and the development of China-EU relations. </w:t>
      </w:r>
      <w:r>
        <w:rPr>
          <w:rFonts w:eastAsia="Times New Roman" w:cs="Times New Roman" w:ascii="Times New Roman" w:hAnsi="Times New Roman"/>
          <w:i/>
          <w:iCs/>
          <w:color w:val="000000"/>
          <w:sz w:val="28"/>
          <w:szCs w:val="28"/>
          <w:highlight w:val="white"/>
        </w:rPr>
        <w:t>JLU</w:t>
      </w:r>
      <w:r>
        <w:rPr>
          <w:rFonts w:eastAsia="Times New Roman" w:cs="Times New Roman" w:ascii="Times New Roman" w:hAnsi="Times New Roman"/>
          <w:color w:val="000000"/>
          <w:sz w:val="28"/>
          <w:szCs w:val="28"/>
          <w:highlight w:val="white"/>
        </w:rPr>
        <w:t>.</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Deng Y. (2022). Prospects and Development Opportunities for China-EU Economic and trade Cooperation under the new circumstances. </w:t>
      </w:r>
      <w:r>
        <w:rPr>
          <w:rFonts w:eastAsia="Times New Roman" w:cs="Times New Roman" w:ascii="Times New Roman" w:hAnsi="Times New Roman"/>
          <w:i/>
          <w:iCs/>
          <w:color w:val="000000"/>
          <w:sz w:val="28"/>
          <w:szCs w:val="28"/>
          <w:highlight w:val="white"/>
        </w:rPr>
        <w:t>Banker</w:t>
      </w:r>
      <w:r>
        <w:rPr>
          <w:rFonts w:eastAsia="Times New Roman" w:cs="Times New Roman" w:ascii="Times New Roman" w:hAnsi="Times New Roman"/>
          <w:i w:val="false"/>
          <w:iCs w:val="false"/>
          <w:color w:val="000000"/>
          <w:sz w:val="28"/>
          <w:szCs w:val="28"/>
          <w:highlight w:val="white"/>
        </w:rPr>
        <w:t>,</w:t>
      </w:r>
      <w:r>
        <w:rPr>
          <w:rFonts w:eastAsia="Times New Roman" w:cs="Times New Roman" w:ascii="Times New Roman" w:hAnsi="Times New Roman"/>
          <w:color w:val="000000"/>
          <w:sz w:val="28"/>
          <w:szCs w:val="28"/>
          <w:highlight w:val="white"/>
        </w:rPr>
        <w:t xml:space="preserve"> (10):40-43+6.</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Ding C., Huo Z. (2018). The History, current situation, problems and prospects of the economic and trade Cooperation between China and the EU since the reform and opening up. </w:t>
      </w:r>
      <w:r>
        <w:rPr>
          <w:rFonts w:eastAsia="Times New Roman" w:cs="Times New Roman" w:ascii="Times New Roman" w:hAnsi="Times New Roman"/>
          <w:i/>
          <w:iCs/>
          <w:color w:val="000000"/>
          <w:sz w:val="28"/>
          <w:szCs w:val="28"/>
          <w:highlight w:val="white"/>
        </w:rPr>
        <w:t>Overseas investment and export credit</w:t>
      </w:r>
      <w:r>
        <w:rPr>
          <w:rFonts w:eastAsia="Times New Roman" w:cs="Times New Roman" w:ascii="Times New Roman" w:hAnsi="Times New Roman"/>
          <w:color w:val="000000"/>
          <w:sz w:val="28"/>
          <w:szCs w:val="28"/>
          <w:highlight w:val="white"/>
        </w:rPr>
        <w:t>, 06:18-24.</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Ding C., Sun L. (2024). The status quo, problems and prospects of China-EU economic, trade and investment cooperation. </w:t>
      </w:r>
      <w:r>
        <w:rPr>
          <w:rFonts w:eastAsia="Times New Roman" w:cs="Times New Roman" w:ascii="Times New Roman" w:hAnsi="Times New Roman"/>
          <w:i/>
          <w:iCs/>
          <w:color w:val="000000"/>
          <w:sz w:val="28"/>
          <w:szCs w:val="28"/>
          <w:highlight w:val="white"/>
        </w:rPr>
        <w:t>Overseas investment and export credit,</w:t>
      </w:r>
      <w:r>
        <w:rPr>
          <w:rFonts w:eastAsia="Times New Roman" w:cs="Times New Roman" w:ascii="Times New Roman" w:hAnsi="Times New Roman"/>
          <w:color w:val="000000"/>
          <w:sz w:val="28"/>
          <w:szCs w:val="28"/>
          <w:highlight w:val="white"/>
        </w:rPr>
        <w:t xml:space="preserve"> 01:3-5+29.</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Ding </w:t>
      </w:r>
      <w:r>
        <w:rPr>
          <w:rFonts w:eastAsia="Times New Roman" w:cs="Times New Roman" w:ascii="Times New Roman" w:hAnsi="Times New Roman"/>
          <w:color w:val="000000"/>
          <w:sz w:val="28"/>
          <w:szCs w:val="28"/>
          <w:highlight w:val="white"/>
        </w:rPr>
        <w:t>P.</w:t>
      </w:r>
      <w:r>
        <w:rPr>
          <w:rFonts w:eastAsia="Times New Roman" w:cs="Times New Roman" w:ascii="Times New Roman" w:hAnsi="Times New Roman"/>
          <w:color w:val="000000"/>
          <w:sz w:val="28"/>
          <w:szCs w:val="28"/>
          <w:highlight w:val="white"/>
        </w:rPr>
        <w:t xml:space="preserve"> (2023). The impact of European economic integration on the added value of China-European trade. </w:t>
      </w:r>
      <w:r>
        <w:rPr>
          <w:rFonts w:eastAsia="Times New Roman" w:cs="Times New Roman" w:ascii="Times New Roman" w:hAnsi="Times New Roman"/>
          <w:i/>
          <w:color w:val="000000"/>
          <w:sz w:val="28"/>
          <w:szCs w:val="28"/>
          <w:highlight w:val="white"/>
        </w:rPr>
        <w:t>Institute of diplomacy.</w:t>
      </w:r>
    </w:p>
    <w:p>
      <w:pPr>
        <w:pStyle w:val="Normal"/>
        <w:widowControl w:val="false"/>
        <w:bidi w:val="0"/>
        <w:spacing w:lineRule="auto" w:line="360"/>
        <w:ind w:left="567" w:right="0" w:hanging="567"/>
        <w:jc w:val="both"/>
        <w:rPr/>
      </w:pPr>
      <w:r>
        <w:rPr>
          <w:rFonts w:eastAsia="Times New Roman" w:cs="Times New Roman" w:ascii="Times New Roman" w:hAnsi="Times New Roman"/>
          <w:sz w:val="28"/>
          <w:szCs w:val="28"/>
        </w:rPr>
        <w:t xml:space="preserve">Doffman, Z. (2020, </w:t>
      </w:r>
      <w:r>
        <w:rPr>
          <w:rFonts w:eastAsia="Times New Roman" w:cs="Times New Roman" w:ascii="Times New Roman" w:hAnsi="Times New Roman"/>
          <w:sz w:val="28"/>
          <w:szCs w:val="28"/>
        </w:rPr>
        <w:t>February 10</w:t>
      </w:r>
      <w:r>
        <w:rPr>
          <w:rFonts w:eastAsia="Times New Roman" w:cs="Times New Roman" w:ascii="Times New Roman" w:hAnsi="Times New Roman"/>
          <w:sz w:val="28"/>
          <w:szCs w:val="28"/>
        </w:rPr>
        <w:t xml:space="preserve">) “China Just Issued Stark New Threats Over Huawei: This Time Nokia And Ericsson Are In Its Sights”. </w:t>
      </w:r>
      <w:r>
        <w:rPr>
          <w:rFonts w:eastAsia="Times New Roman" w:cs="Times New Roman" w:ascii="Times New Roman" w:hAnsi="Times New Roman"/>
          <w:i/>
          <w:iCs/>
          <w:sz w:val="28"/>
          <w:szCs w:val="28"/>
        </w:rPr>
        <w:t>Forbes</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Available at: https://www.forbes.com/sites/zakdoffman/2020/02/09/china-just-issued-stark-new-threats-over-huawei-this-time-nokia-and-ericsson-are-in-its-sights/?sh=231dcd9119d7.</w:t>
      </w:r>
    </w:p>
    <w:p>
      <w:pPr>
        <w:pStyle w:val="Normal"/>
        <w:widowControl w:val="false"/>
        <w:bidi w:val="0"/>
        <w:spacing w:lineRule="auto" w:line="360"/>
        <w:ind w:left="567" w:right="0" w:hanging="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Erdemir, E. (2023) EU-China Relations In An Evolving Multipolar International System: A Comparative Analysis Of Neo-Classical Realism And Neo-Realism. </w:t>
      </w:r>
      <w:r>
        <w:rPr>
          <w:rFonts w:eastAsia="Times New Roman" w:cs="Times New Roman" w:ascii="Times New Roman" w:hAnsi="Times New Roman"/>
          <w:i/>
          <w:sz w:val="28"/>
          <w:szCs w:val="28"/>
        </w:rPr>
        <w:t xml:space="preserve">Marmara Journal Of European Studies. </w:t>
      </w:r>
      <w:r>
        <w:rPr>
          <w:rFonts w:eastAsia="Times New Roman" w:cs="Times New Roman" w:ascii="Times New Roman" w:hAnsi="Times New Roman"/>
          <w:sz w:val="28"/>
          <w:szCs w:val="28"/>
        </w:rPr>
        <w:t>31 (2): 221-241</w:t>
      </w:r>
    </w:p>
    <w:p>
      <w:pPr>
        <w:pStyle w:val="Normal"/>
        <w:widowControl/>
        <w:shd w:val="clear" w:fill="FFFFFF"/>
        <w:bidi w:val="0"/>
        <w:spacing w:lineRule="auto" w:line="360"/>
        <w:ind w:left="567" w:right="0" w:hanging="624"/>
        <w:jc w:val="both"/>
        <w:rPr/>
      </w:pPr>
      <w:r>
        <w:rPr>
          <w:rFonts w:eastAsia="Times New Roman" w:cs="Times New Roman" w:ascii="Times New Roman" w:hAnsi="Times New Roman"/>
          <w:color w:val="000000"/>
          <w:sz w:val="28"/>
          <w:szCs w:val="28"/>
          <w:highlight w:val="white"/>
        </w:rPr>
        <w:t>Feixiu G., Jinming W. (2023). The practical characteristics, restrictive factors and breakthroughs of the trade development between China and the EU. N</w:t>
      </w:r>
      <w:r>
        <w:rPr>
          <w:rFonts w:eastAsia="Times New Roman" w:cs="Times New Roman" w:ascii="Times New Roman" w:hAnsi="Times New Roman"/>
          <w:i/>
          <w:iCs/>
          <w:color w:val="000000"/>
          <w:sz w:val="28"/>
          <w:szCs w:val="28"/>
          <w:highlight w:val="white"/>
        </w:rPr>
        <w:t>orthern economy and trade</w:t>
      </w:r>
      <w:r>
        <w:rPr>
          <w:rFonts w:eastAsia="Times New Roman" w:cs="Times New Roman" w:ascii="Times New Roman" w:hAnsi="Times New Roman"/>
          <w:color w:val="000000"/>
          <w:sz w:val="28"/>
          <w:szCs w:val="28"/>
          <w:highlight w:val="white"/>
        </w:rPr>
        <w:t>, 08:33-38.</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Gang. L. (2015). Deepening financial cooperation is a new highlight in the development of China and the EU. </w:t>
      </w:r>
      <w:r>
        <w:rPr>
          <w:rFonts w:eastAsia="Times New Roman" w:cs="Times New Roman" w:ascii="Times New Roman" w:hAnsi="Times New Roman"/>
          <w:i/>
          <w:color w:val="000000"/>
          <w:sz w:val="28"/>
          <w:szCs w:val="28"/>
          <w:highlight w:val="white"/>
        </w:rPr>
        <w:t>China Economic Weekly,</w:t>
      </w:r>
      <w:r>
        <w:rPr>
          <w:rFonts w:eastAsia="Times New Roman" w:cs="Times New Roman" w:ascii="Times New Roman" w:hAnsi="Times New Roman"/>
          <w:color w:val="000000"/>
          <w:sz w:val="28"/>
          <w:szCs w:val="28"/>
          <w:highlight w:val="white"/>
        </w:rPr>
        <w:t xml:space="preserve"> 43:76-77.</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Gligorijevic A. (2017). Study on the change of economic and trade structure in China and Europe. </w:t>
      </w:r>
      <w:r>
        <w:rPr>
          <w:rFonts w:eastAsia="Times New Roman" w:cs="Times New Roman" w:ascii="Times New Roman" w:hAnsi="Times New Roman"/>
          <w:i/>
          <w:iCs/>
          <w:color w:val="000000"/>
          <w:sz w:val="28"/>
          <w:szCs w:val="28"/>
          <w:highlight w:val="white"/>
        </w:rPr>
        <w:t>Zhejiang University.</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auto"/>
          <w:sz w:val="28"/>
          <w:szCs w:val="28"/>
          <w:highlight w:val="white"/>
        </w:rPr>
        <w:t xml:space="preserve">Hailong C. (2020). The influence of the EU political evolution on the international landscape. </w:t>
      </w:r>
      <w:r>
        <w:rPr>
          <w:rFonts w:eastAsia="Times New Roman" w:cs="Times New Roman" w:ascii="Times New Roman" w:hAnsi="Times New Roman"/>
          <w:i/>
          <w:color w:val="auto"/>
          <w:sz w:val="28"/>
          <w:szCs w:val="28"/>
          <w:highlight w:val="white"/>
        </w:rPr>
        <w:t>At Nanjing University of Aeronautics and Astronautics</w:t>
      </w:r>
      <w:r>
        <w:rPr>
          <w:rFonts w:eastAsia="Times New Roman" w:cs="Times New Roman" w:ascii="Times New Roman" w:hAnsi="Times New Roman"/>
          <w:color w:val="ED1C24"/>
          <w:sz w:val="28"/>
          <w:szCs w:val="28"/>
          <w:highlight w:val="white"/>
        </w:rPr>
        <w:t>.</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Hanghang C. (2016). Study on trade relations between China and EU. </w:t>
      </w:r>
      <w:r>
        <w:rPr>
          <w:rFonts w:eastAsia="Times New Roman" w:cs="Times New Roman" w:ascii="Times New Roman" w:hAnsi="Times New Roman"/>
          <w:i/>
          <w:iCs/>
          <w:color w:val="000000"/>
          <w:sz w:val="28"/>
          <w:szCs w:val="28"/>
          <w:highlight w:val="white"/>
        </w:rPr>
        <w:t>Huazhong Normal University.</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Hong F. (2014). On China-European Political relations. </w:t>
      </w:r>
      <w:r>
        <w:rPr>
          <w:rFonts w:eastAsia="Times New Roman" w:cs="Times New Roman" w:ascii="Times New Roman" w:hAnsi="Times New Roman"/>
          <w:i/>
          <w:color w:val="000000"/>
          <w:sz w:val="28"/>
          <w:szCs w:val="28"/>
          <w:highlight w:val="white"/>
        </w:rPr>
        <w:t>Huazhong Normal University</w:t>
      </w:r>
      <w:r>
        <w:rPr>
          <w:rFonts w:eastAsia="Times New Roman" w:cs="Times New Roman" w:ascii="Times New Roman" w:hAnsi="Times New Roman"/>
          <w:color w:val="000000"/>
          <w:sz w:val="28"/>
          <w:szCs w:val="28"/>
          <w:highlight w:val="white"/>
        </w:rPr>
        <w:t>.</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Huiyao W., Miao G. (2014). Building a new chapter of China-EU relations in multiple dimensions. </w:t>
      </w:r>
      <w:r>
        <w:rPr>
          <w:rFonts w:eastAsia="Times New Roman" w:cs="Times New Roman" w:ascii="Times New Roman" w:hAnsi="Times New Roman"/>
          <w:i/>
          <w:iCs/>
          <w:color w:val="000000"/>
          <w:sz w:val="28"/>
          <w:szCs w:val="28"/>
          <w:highlight w:val="white"/>
        </w:rPr>
        <w:t>China reports</w:t>
      </w:r>
      <w:r>
        <w:rPr>
          <w:rFonts w:eastAsia="Times New Roman" w:cs="Times New Roman" w:ascii="Times New Roman" w:hAnsi="Times New Roman"/>
          <w:color w:val="000000"/>
          <w:sz w:val="28"/>
          <w:szCs w:val="28"/>
          <w:highlight w:val="white"/>
        </w:rPr>
        <w:t>, (06):92-93.</w:t>
      </w:r>
    </w:p>
    <w:p>
      <w:pPr>
        <w:pStyle w:val="Normal"/>
        <w:widowControl/>
        <w:shd w:val="clear" w:fill="FFFFFF"/>
        <w:spacing w:lineRule="auto" w:line="360"/>
        <w:rPr>
          <w:rFonts w:ascii="Times New Roman" w:hAnsi="Times New Roman" w:eastAsia="Times New Roman" w:cs="Times New Roman"/>
          <w:color w:val="ED1C24"/>
          <w:sz w:val="28"/>
          <w:szCs w:val="28"/>
          <w:highlight w:val="white"/>
        </w:rPr>
      </w:pPr>
      <w:r>
        <w:rPr/>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Jianguo H. (2016). The European Union gives China "market economy status" —— the interactive analysis between law, politics and economy. Proceedings of the 10th Annual Meeting of the European Society of European Legal Studies. </w:t>
      </w:r>
      <w:r>
        <w:rPr>
          <w:rFonts w:eastAsia="Times New Roman" w:cs="Times New Roman" w:ascii="Times New Roman" w:hAnsi="Times New Roman"/>
          <w:i/>
          <w:iCs/>
          <w:color w:val="000000"/>
          <w:sz w:val="28"/>
          <w:szCs w:val="28"/>
          <w:highlight w:val="white"/>
        </w:rPr>
        <w:t>Proceedings of the 10th Annual Meeting of the European Society of European Law of China</w:t>
      </w:r>
      <w:r>
        <w:rPr>
          <w:rFonts w:eastAsia="Times New Roman" w:cs="Times New Roman" w:ascii="Times New Roman" w:hAnsi="Times New Roman"/>
          <w:color w:val="000000"/>
          <w:sz w:val="28"/>
          <w:szCs w:val="28"/>
          <w:highlight w:val="white"/>
        </w:rPr>
        <w:t>. 223-237.</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Jianguo H. (2016). The influencing factors and countermeasures of whether the EU gives China the "market economy status". </w:t>
      </w:r>
      <w:r>
        <w:rPr>
          <w:rFonts w:eastAsia="Times New Roman" w:cs="Times New Roman" w:ascii="Times New Roman" w:hAnsi="Times New Roman"/>
          <w:i/>
          <w:iCs/>
          <w:color w:val="000000"/>
          <w:sz w:val="28"/>
          <w:szCs w:val="28"/>
          <w:highlight w:val="white"/>
        </w:rPr>
        <w:t>In the European Studies</w:t>
      </w:r>
      <w:r>
        <w:rPr>
          <w:rFonts w:eastAsia="Times New Roman" w:cs="Times New Roman" w:ascii="Times New Roman" w:hAnsi="Times New Roman"/>
          <w:color w:val="000000"/>
          <w:sz w:val="28"/>
          <w:szCs w:val="28"/>
          <w:highlight w:val="white"/>
        </w:rPr>
        <w:t>, 34(05):1-22+165.</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Jinghui J. (2018). The Evolution and Reasons of the relationship between China and EU. </w:t>
      </w:r>
      <w:r>
        <w:rPr>
          <w:rFonts w:eastAsia="Times New Roman" w:cs="Times New Roman" w:ascii="Times New Roman" w:hAnsi="Times New Roman"/>
          <w:i/>
          <w:iCs/>
          <w:color w:val="000000"/>
          <w:sz w:val="28"/>
          <w:szCs w:val="28"/>
          <w:highlight w:val="white"/>
        </w:rPr>
        <w:t>China Youth College for Political Sciences.</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Jingjing W. (2017). Analysis of the current situation and countermeasures of China's direct investment in the EU in the post-European debt crisis era. </w:t>
      </w:r>
      <w:r>
        <w:rPr>
          <w:rFonts w:eastAsia="Times New Roman" w:cs="Times New Roman" w:ascii="Times New Roman" w:hAnsi="Times New Roman"/>
          <w:i/>
          <w:iCs/>
          <w:color w:val="000000"/>
          <w:sz w:val="28"/>
          <w:szCs w:val="28"/>
          <w:highlight w:val="white"/>
        </w:rPr>
        <w:t>Modern economic information</w:t>
      </w:r>
      <w:r>
        <w:rPr>
          <w:rFonts w:eastAsia="Times New Roman" w:cs="Times New Roman" w:ascii="Times New Roman" w:hAnsi="Times New Roman"/>
          <w:color w:val="000000"/>
          <w:sz w:val="28"/>
          <w:szCs w:val="28"/>
          <w:highlight w:val="white"/>
        </w:rPr>
        <w:t>, 02:166-167.</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Jingjing Z. (2024). The steady development and broad prospects of China-EU relations. </w:t>
      </w:r>
      <w:r>
        <w:rPr>
          <w:rFonts w:eastAsia="Times New Roman" w:cs="Times New Roman" w:ascii="Times New Roman" w:hAnsi="Times New Roman"/>
          <w:i/>
          <w:color w:val="000000"/>
          <w:sz w:val="28"/>
          <w:szCs w:val="28"/>
          <w:highlight w:val="white"/>
        </w:rPr>
        <w:t>The People's Forum</w:t>
      </w:r>
      <w:r>
        <w:rPr>
          <w:rFonts w:eastAsia="Times New Roman" w:cs="Times New Roman" w:ascii="Times New Roman" w:hAnsi="Times New Roman"/>
          <w:color w:val="000000"/>
          <w:sz w:val="28"/>
          <w:szCs w:val="28"/>
          <w:highlight w:val="white"/>
        </w:rPr>
        <w:t>, 10:102-104.</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Kamenicka I. (2017). Decentralized study of China-European relations. S</w:t>
      </w:r>
      <w:r>
        <w:rPr>
          <w:rFonts w:eastAsia="Times New Roman" w:cs="Times New Roman" w:ascii="Times New Roman" w:hAnsi="Times New Roman"/>
          <w:i/>
          <w:iCs/>
          <w:color w:val="000000"/>
          <w:sz w:val="28"/>
          <w:szCs w:val="28"/>
          <w:highlight w:val="white"/>
        </w:rPr>
        <w:t>hanghai International Studies University.</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Ke Z., Yaozhuo T. (2024). EU cognitive change and its impact on China [J]. </w:t>
      </w:r>
      <w:r>
        <w:rPr>
          <w:rFonts w:eastAsia="Times New Roman" w:cs="Times New Roman" w:ascii="Times New Roman" w:hAnsi="Times New Roman"/>
          <w:i/>
          <w:color w:val="000000"/>
          <w:sz w:val="28"/>
          <w:szCs w:val="28"/>
          <w:highlight w:val="white"/>
        </w:rPr>
        <w:t>Modern international relations</w:t>
      </w:r>
      <w:r>
        <w:rPr>
          <w:rFonts w:eastAsia="Times New Roman" w:cs="Times New Roman" w:ascii="Times New Roman" w:hAnsi="Times New Roman"/>
          <w:color w:val="000000"/>
          <w:sz w:val="28"/>
          <w:szCs w:val="28"/>
          <w:highlight w:val="white"/>
        </w:rPr>
        <w:t>, 09:41-60+142.</w:t>
      </w:r>
    </w:p>
    <w:p>
      <w:pPr>
        <w:pStyle w:val="Normal"/>
        <w:widowControl w:val="false"/>
        <w:bidi w:val="0"/>
        <w:spacing w:lineRule="auto" w:line="360"/>
        <w:ind w:left="567" w:right="0" w:hanging="567"/>
        <w:jc w:val="both"/>
        <w:rPr/>
      </w:pPr>
      <w:r>
        <w:rPr>
          <w:rFonts w:eastAsia="Times New Roman" w:cs="Times New Roman" w:ascii="Times New Roman" w:hAnsi="Times New Roman"/>
          <w:sz w:val="28"/>
          <w:szCs w:val="28"/>
        </w:rPr>
        <w:t xml:space="preserve">Kowalski, B. (2021, </w:t>
      </w:r>
      <w:r>
        <w:rPr>
          <w:rFonts w:eastAsia="Times New Roman" w:cs="Times New Roman" w:ascii="Times New Roman" w:hAnsi="Times New Roman"/>
          <w:sz w:val="28"/>
          <w:szCs w:val="28"/>
        </w:rPr>
        <w:t>April</w:t>
      </w:r>
      <w:r>
        <w:rPr>
          <w:rFonts w:eastAsia="Times New Roman" w:cs="Times New Roman" w:ascii="Times New Roman" w:hAnsi="Times New Roman"/>
          <w:sz w:val="28"/>
          <w:szCs w:val="28"/>
        </w:rPr>
        <w:t xml:space="preserve"> 8) “China’s Mask Diplomacy in Europe: Seeking Foreign Gratitude and Domestic Stability”, </w:t>
      </w:r>
      <w:r>
        <w:rPr>
          <w:rFonts w:eastAsia="Times New Roman" w:cs="Times New Roman" w:ascii="Times New Roman" w:hAnsi="Times New Roman"/>
          <w:i/>
          <w:sz w:val="28"/>
          <w:szCs w:val="28"/>
        </w:rPr>
        <w:t>Journal of Current Chinese Affairs,</w:t>
      </w:r>
      <w:r>
        <w:rPr>
          <w:rFonts w:eastAsia="Times New Roman" w:cs="Times New Roman" w:ascii="Times New Roman" w:hAnsi="Times New Roman"/>
          <w:sz w:val="28"/>
          <w:szCs w:val="28"/>
        </w:rPr>
        <w:t xml:space="preserve"> 50(2): 209–226. </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Li B. (2016). Factors related to the future direction of China-EU relations in the new era. </w:t>
      </w:r>
      <w:r>
        <w:rPr>
          <w:rFonts w:eastAsia="Times New Roman" w:cs="Times New Roman" w:ascii="Times New Roman" w:hAnsi="Times New Roman"/>
          <w:i/>
          <w:color w:val="000000"/>
          <w:sz w:val="28"/>
          <w:szCs w:val="28"/>
          <w:highlight w:val="white"/>
        </w:rPr>
        <w:t>The future and the development,</w:t>
      </w:r>
      <w:r>
        <w:rPr>
          <w:rFonts w:eastAsia="Times New Roman" w:cs="Times New Roman" w:ascii="Times New Roman" w:hAnsi="Times New Roman"/>
          <w:color w:val="000000"/>
          <w:sz w:val="28"/>
          <w:szCs w:val="28"/>
          <w:highlight w:val="white"/>
        </w:rPr>
        <w:t xml:space="preserve"> 40(02):22-26.</w:t>
      </w:r>
    </w:p>
    <w:p>
      <w:pPr>
        <w:pStyle w:val="Normal"/>
        <w:widowControl w:val="false"/>
        <w:bidi w:val="0"/>
        <w:spacing w:lineRule="auto" w:line="360"/>
        <w:ind w:left="567" w:right="0" w:hanging="567"/>
        <w:jc w:val="both"/>
        <w:rPr/>
      </w:pPr>
      <w:r>
        <w:rPr>
          <w:rFonts w:eastAsia="Times New Roman" w:cs="Times New Roman" w:ascii="Times New Roman" w:hAnsi="Times New Roman"/>
          <w:sz w:val="28"/>
          <w:szCs w:val="28"/>
        </w:rPr>
        <w:t xml:space="preserve">Li, Y. and He, Z. (2022) “The Remaking of China–Europe Relations in the New Era of US–China Antagonism”, </w:t>
      </w:r>
      <w:r>
        <w:rPr>
          <w:rFonts w:eastAsia="Times New Roman" w:cs="Times New Roman" w:ascii="Times New Roman" w:hAnsi="Times New Roman"/>
          <w:i/>
          <w:sz w:val="28"/>
          <w:szCs w:val="28"/>
        </w:rPr>
        <w:t>Journal of Chinese Political Science</w:t>
      </w:r>
      <w:r>
        <w:rPr>
          <w:rFonts w:eastAsia="Times New Roman" w:cs="Times New Roman" w:ascii="Times New Roman" w:hAnsi="Times New Roman"/>
          <w:sz w:val="28"/>
          <w:szCs w:val="28"/>
        </w:rPr>
        <w:t xml:space="preserve">, 27(3): 439–455. </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Lilei S. (2024). New progress in the EU "connectivity" strategy and China-EU "Belt and Road" cooperation. In Contemporary China and the world, 02:119-128.</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Ling Y. (2014). The development of China-EU economic and trade cooperation since the European debt crisis. </w:t>
      </w:r>
      <w:r>
        <w:rPr>
          <w:rFonts w:eastAsia="Times New Roman" w:cs="Times New Roman" w:ascii="Times New Roman" w:hAnsi="Times New Roman"/>
          <w:i/>
          <w:color w:val="000000"/>
          <w:sz w:val="28"/>
          <w:szCs w:val="28"/>
          <w:highlight w:val="white"/>
        </w:rPr>
        <w:t>International economic cooperation</w:t>
      </w:r>
      <w:r>
        <w:rPr>
          <w:rFonts w:eastAsia="Times New Roman" w:cs="Times New Roman" w:ascii="Times New Roman" w:hAnsi="Times New Roman"/>
          <w:color w:val="000000"/>
          <w:sz w:val="28"/>
          <w:szCs w:val="28"/>
          <w:highlight w:val="white"/>
        </w:rPr>
        <w:t>, 05:10-13.</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Ling Y. (2016). China and the EU should further build a mutually beneficial and win-win economic and trade relationship. </w:t>
      </w:r>
      <w:r>
        <w:rPr>
          <w:rFonts w:eastAsia="Times New Roman" w:cs="Times New Roman" w:ascii="Times New Roman" w:hAnsi="Times New Roman"/>
          <w:i/>
          <w:color w:val="000000"/>
          <w:sz w:val="28"/>
          <w:szCs w:val="28"/>
          <w:highlight w:val="white"/>
        </w:rPr>
        <w:t>Foreign economic and trade practice</w:t>
      </w:r>
      <w:r>
        <w:rPr>
          <w:rFonts w:eastAsia="Times New Roman" w:cs="Times New Roman" w:ascii="Times New Roman" w:hAnsi="Times New Roman"/>
          <w:color w:val="000000"/>
          <w:sz w:val="28"/>
          <w:szCs w:val="28"/>
          <w:highlight w:val="white"/>
        </w:rPr>
        <w:t>, 04 :4-7.</w:t>
      </w:r>
    </w:p>
    <w:p>
      <w:pPr>
        <w:pStyle w:val="Normal"/>
        <w:widowControl/>
        <w:shd w:val="clear" w:fill="FFFFFF"/>
        <w:bidi w:val="0"/>
        <w:spacing w:lineRule="auto" w:line="360"/>
        <w:ind w:left="510" w:right="0" w:hanging="510"/>
        <w:jc w:val="both"/>
        <w:rPr/>
      </w:pPr>
      <w:r>
        <w:rPr>
          <w:rFonts w:eastAsia="Times New Roman" w:cs="Times New Roman" w:ascii="Times New Roman" w:hAnsi="Times New Roman"/>
          <w:color w:val="000000"/>
          <w:sz w:val="28"/>
          <w:szCs w:val="28"/>
          <w:highlight w:val="white"/>
        </w:rPr>
        <w:t xml:space="preserve">Meng A. W. (2022). Study on the driving force mechanism of the development of </w:t>
      </w:r>
      <w:r>
        <w:rPr>
          <w:rFonts w:eastAsia="Times New Roman" w:cs="Times New Roman" w:ascii="Times New Roman" w:hAnsi="Times New Roman"/>
          <w:i w:val="false"/>
          <w:iCs w:val="false"/>
          <w:color w:val="000000"/>
          <w:sz w:val="28"/>
          <w:szCs w:val="28"/>
          <w:highlight w:val="white"/>
        </w:rPr>
        <w:t>European integration</w:t>
      </w:r>
      <w:r>
        <w:rPr>
          <w:rFonts w:eastAsia="Times New Roman" w:cs="Times New Roman" w:ascii="Times New Roman" w:hAnsi="Times New Roman"/>
          <w:color w:val="000000"/>
          <w:sz w:val="28"/>
          <w:szCs w:val="28"/>
          <w:highlight w:val="white"/>
        </w:rPr>
        <w:t xml:space="preserve">. </w:t>
      </w:r>
      <w:r>
        <w:rPr>
          <w:rFonts w:eastAsia="Times New Roman" w:cs="Times New Roman" w:ascii="Times New Roman" w:hAnsi="Times New Roman"/>
          <w:i/>
          <w:iCs/>
          <w:color w:val="000000"/>
          <w:sz w:val="28"/>
          <w:szCs w:val="28"/>
          <w:highlight w:val="white"/>
        </w:rPr>
        <w:t>Liaoning University.</w:t>
      </w:r>
    </w:p>
    <w:p>
      <w:pPr>
        <w:pStyle w:val="Normal"/>
        <w:widowControl w:val="false"/>
        <w:bidi w:val="0"/>
        <w:spacing w:lineRule="auto" w:line="360"/>
        <w:ind w:left="567" w:right="0" w:hanging="567"/>
        <w:jc w:val="both"/>
        <w:rPr/>
      </w:pPr>
      <w:r>
        <w:rPr>
          <w:rFonts w:eastAsia="Times New Roman" w:cs="Times New Roman" w:ascii="Times New Roman" w:hAnsi="Times New Roman"/>
          <w:sz w:val="28"/>
          <w:szCs w:val="28"/>
        </w:rPr>
        <w:t xml:space="preserve">Millán, C. M. S. (2020) “Belt &amp; Road MoUs in Europe: are signatory States weakening EU’s trade and investment position?”, Available at: https://asia/ , </w:t>
      </w:r>
    </w:p>
    <w:p>
      <w:pPr>
        <w:pStyle w:val="Normal"/>
        <w:widowControl w:val="false"/>
        <w:bidi w:val="0"/>
        <w:spacing w:lineRule="auto" w:line="360"/>
        <w:ind w:left="567" w:right="0" w:hanging="567"/>
        <w:jc w:val="both"/>
        <w:rPr/>
      </w:pPr>
      <w:r>
        <w:rPr>
          <w:rFonts w:eastAsia="Times New Roman" w:cs="Times New Roman" w:ascii="Times New Roman" w:hAnsi="Times New Roman"/>
          <w:sz w:val="28"/>
          <w:szCs w:val="28"/>
        </w:rPr>
        <w:t xml:space="preserve">Morgenthau H. J. (1995) Politics Among Nations. </w:t>
      </w:r>
      <w:r>
        <w:rPr>
          <w:rFonts w:eastAsia="Times New Roman" w:cs="Times New Roman" w:ascii="Times New Roman" w:hAnsi="Times New Roman"/>
          <w:i/>
          <w:iCs/>
          <w:sz w:val="28"/>
          <w:szCs w:val="28"/>
        </w:rPr>
        <w:t>The Struggle for Power and Peace Second Edition</w:t>
      </w:r>
      <w:r>
        <w:rPr>
          <w:rFonts w:eastAsia="Times New Roman" w:cs="Times New Roman" w:ascii="Times New Roman" w:hAnsi="Times New Roman"/>
          <w:sz w:val="28"/>
          <w:szCs w:val="28"/>
        </w:rPr>
        <w:t>, Alfred A. Knopf: New York.</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Mou L. (2014). Research on China-EU Economic and Trade Relations under the background of European debt crisis. </w:t>
      </w:r>
      <w:r>
        <w:rPr>
          <w:rFonts w:eastAsia="Times New Roman" w:cs="Times New Roman" w:ascii="Times New Roman" w:hAnsi="Times New Roman"/>
          <w:i/>
          <w:iCs/>
          <w:color w:val="000000"/>
          <w:sz w:val="28"/>
          <w:szCs w:val="28"/>
          <w:highlight w:val="white"/>
        </w:rPr>
        <w:t>Dongbei University of Finance and Economics.</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Pengho T. (2017). Research on China-EU Economic and Trade Cooperation under the background of "Belt and Road". </w:t>
      </w:r>
      <w:r>
        <w:rPr>
          <w:rFonts w:eastAsia="Times New Roman" w:cs="Times New Roman" w:ascii="Times New Roman" w:hAnsi="Times New Roman"/>
          <w:i/>
          <w:iCs/>
          <w:color w:val="000000"/>
          <w:sz w:val="28"/>
          <w:szCs w:val="28"/>
          <w:highlight w:val="white"/>
        </w:rPr>
        <w:t>Wuhan University.</w:t>
      </w:r>
    </w:p>
    <w:p>
      <w:pPr>
        <w:pStyle w:val="Normal"/>
        <w:widowControl w:val="false"/>
        <w:bidi w:val="0"/>
        <w:spacing w:lineRule="auto" w:line="360"/>
        <w:ind w:left="567" w:right="0" w:hanging="567"/>
        <w:jc w:val="both"/>
        <w:rPr>
          <w:color w:val="ED1C24"/>
        </w:rPr>
      </w:pPr>
      <w:r>
        <w:rPr>
          <w:rFonts w:eastAsia="Times New Roman" w:cs="Times New Roman" w:ascii="Times New Roman" w:hAnsi="Times New Roman"/>
          <w:color w:val="auto"/>
          <w:sz w:val="28"/>
          <w:szCs w:val="28"/>
        </w:rPr>
        <w:t xml:space="preserve">Rato, V. (2021) “Tattered Alliance: Donald Trump and Europe”, Available at: https://www.idn.gov.pt/pt/publicacoes/idncadernos/Documents/2021/IDN_, </w:t>
      </w:r>
    </w:p>
    <w:p>
      <w:pPr>
        <w:pStyle w:val="Normal"/>
        <w:widowControl w:val="false"/>
        <w:bidi w:val="0"/>
        <w:spacing w:lineRule="auto" w:line="360"/>
        <w:ind w:left="567" w:right="0" w:hanging="567"/>
        <w:jc w:val="both"/>
        <w:rPr>
          <w:color w:val="auto"/>
        </w:rPr>
      </w:pPr>
      <w:r>
        <w:rPr>
          <w:rFonts w:eastAsia="Times New Roman" w:cs="Times New Roman" w:ascii="Times New Roman" w:hAnsi="Times New Roman"/>
          <w:color w:val="auto"/>
          <w:sz w:val="28"/>
          <w:szCs w:val="28"/>
        </w:rPr>
        <w:t xml:space="preserve">Raymond, G. A., Kegley C. W. Jr. (1990) “Polarity, Polarization, and the Transformation of Alliance Norms”, </w:t>
      </w:r>
      <w:r>
        <w:rPr>
          <w:rFonts w:eastAsia="Times New Roman" w:cs="Times New Roman" w:ascii="Times New Roman" w:hAnsi="Times New Roman"/>
          <w:i/>
          <w:color w:val="auto"/>
          <w:sz w:val="28"/>
          <w:szCs w:val="28"/>
        </w:rPr>
        <w:t>Western Political Quarterly,</w:t>
      </w:r>
      <w:r>
        <w:rPr>
          <w:rFonts w:eastAsia="Times New Roman" w:cs="Times New Roman" w:ascii="Times New Roman" w:hAnsi="Times New Roman"/>
          <w:color w:val="auto"/>
          <w:sz w:val="28"/>
          <w:szCs w:val="28"/>
        </w:rPr>
        <w:t xml:space="preserve"> 43(1): 9– 38.</w:t>
      </w:r>
    </w:p>
    <w:p>
      <w:pPr>
        <w:pStyle w:val="Normal"/>
        <w:widowControl w:val="false"/>
        <w:bidi w:val="0"/>
        <w:spacing w:lineRule="auto" w:line="360"/>
        <w:ind w:left="567" w:right="0" w:hanging="567"/>
        <w:jc w:val="both"/>
        <w:rPr/>
      </w:pPr>
      <w:r>
        <w:rPr>
          <w:rFonts w:eastAsia="Times New Roman" w:cs="Times New Roman" w:ascii="Times New Roman" w:hAnsi="Times New Roman"/>
          <w:color w:val="00000A"/>
          <w:sz w:val="28"/>
          <w:szCs w:val="28"/>
        </w:rPr>
        <w:t xml:space="preserve">Ripsman, N. M., Taliaferro, J. W., Lobell, S. E. (2016) Neoclassical Realist Theory of International Politics. </w:t>
      </w:r>
      <w:r>
        <w:rPr>
          <w:rFonts w:eastAsia="Times New Roman" w:cs="Times New Roman" w:ascii="Times New Roman" w:hAnsi="Times New Roman"/>
          <w:i/>
          <w:iCs/>
          <w:color w:val="00000A"/>
          <w:sz w:val="28"/>
          <w:szCs w:val="28"/>
        </w:rPr>
        <w:t>Oxford: Oxford University Press</w:t>
      </w:r>
      <w:r>
        <w:rPr>
          <w:rFonts w:eastAsia="Times New Roman" w:cs="Times New Roman" w:ascii="Times New Roman" w:hAnsi="Times New Roman"/>
          <w:color w:val="00000A"/>
          <w:sz w:val="28"/>
          <w:szCs w:val="28"/>
        </w:rPr>
        <w:t xml:space="preserve">. </w:t>
      </w:r>
    </w:p>
    <w:p>
      <w:pPr>
        <w:pStyle w:val="Normal"/>
        <w:widowControl w:val="false"/>
        <w:bidi w:val="0"/>
        <w:spacing w:lineRule="auto" w:line="360"/>
        <w:ind w:left="567" w:right="0" w:hanging="567"/>
        <w:jc w:val="both"/>
        <w:rPr/>
      </w:pPr>
      <w:r>
        <w:rPr>
          <w:rFonts w:eastAsia="Times New Roman" w:cs="Times New Roman" w:ascii="Times New Roman" w:hAnsi="Times New Roman"/>
          <w:sz w:val="28"/>
          <w:szCs w:val="28"/>
        </w:rPr>
        <w:t xml:space="preserve">Rosa, P. (2018) Neoclassical Realism and the Underdevelopment of China’s Nuclear Doctrine, London: </w:t>
      </w:r>
      <w:r>
        <w:rPr>
          <w:rFonts w:eastAsia="Times New Roman" w:cs="Times New Roman" w:ascii="Times New Roman" w:hAnsi="Times New Roman"/>
          <w:i/>
          <w:iCs/>
          <w:sz w:val="28"/>
          <w:szCs w:val="28"/>
        </w:rPr>
        <w:t>Palgrave</w:t>
      </w:r>
      <w:r>
        <w:rPr>
          <w:rFonts w:eastAsia="Times New Roman" w:cs="Times New Roman" w:ascii="Times New Roman" w:hAnsi="Times New Roman"/>
          <w:sz w:val="28"/>
          <w:szCs w:val="28"/>
        </w:rPr>
        <w:t>.</w:t>
      </w:r>
    </w:p>
    <w:p>
      <w:pPr>
        <w:pStyle w:val="Normal"/>
        <w:widowControl w:val="false"/>
        <w:bidi w:val="0"/>
        <w:spacing w:lineRule="auto" w:line="360"/>
        <w:ind w:left="567" w:right="0" w:hanging="567"/>
        <w:jc w:val="both"/>
        <w:rPr>
          <w:color w:val="auto"/>
        </w:rPr>
      </w:pPr>
      <w:r>
        <w:rPr>
          <w:rFonts w:eastAsia="Times New Roman" w:cs="Times New Roman" w:ascii="Times New Roman" w:hAnsi="Times New Roman"/>
          <w:color w:val="auto"/>
          <w:sz w:val="28"/>
          <w:szCs w:val="28"/>
        </w:rPr>
        <w:t xml:space="preserve">Schnaufer II, T. A. (2021, </w:t>
      </w:r>
      <w:r>
        <w:rPr>
          <w:rFonts w:eastAsia="Times New Roman" w:cs="Times New Roman" w:ascii="Times New Roman" w:hAnsi="Times New Roman"/>
          <w:color w:val="auto"/>
          <w:sz w:val="28"/>
          <w:szCs w:val="28"/>
        </w:rPr>
        <w:t>January 18</w:t>
      </w:r>
      <w:r>
        <w:rPr>
          <w:rFonts w:eastAsia="Times New Roman" w:cs="Times New Roman" w:ascii="Times New Roman" w:hAnsi="Times New Roman"/>
          <w:color w:val="auto"/>
          <w:sz w:val="28"/>
          <w:szCs w:val="28"/>
        </w:rPr>
        <w:t xml:space="preserve">) “The US-NATO Relationship: The Cost of Maintaining Political Pressure on Allies. </w:t>
      </w:r>
      <w:r>
        <w:rPr>
          <w:rFonts w:eastAsia="Times New Roman" w:cs="Times New Roman" w:ascii="Times New Roman" w:hAnsi="Times New Roman"/>
          <w:i/>
          <w:iCs/>
          <w:color w:val="auto"/>
          <w:sz w:val="28"/>
          <w:szCs w:val="28"/>
        </w:rPr>
        <w:t>Georgetown Journal of International Affairs.</w:t>
      </w:r>
      <w:r>
        <w:rPr>
          <w:rFonts w:eastAsia="Times New Roman" w:cs="Times New Roman" w:ascii="Times New Roman" w:hAnsi="Times New Roman"/>
          <w:color w:val="auto"/>
          <w:sz w:val="28"/>
          <w:szCs w:val="28"/>
        </w:rPr>
        <w:t xml:space="preserve"> Available at: https://gjia.georgetown.edu/2021/01/15/ , </w:t>
      </w:r>
    </w:p>
    <w:p>
      <w:pPr>
        <w:pStyle w:val="Normal"/>
        <w:widowControl w:val="false"/>
        <w:bidi w:val="0"/>
        <w:spacing w:lineRule="auto" w:line="360"/>
        <w:ind w:left="567" w:right="0" w:hanging="567"/>
        <w:jc w:val="both"/>
        <w:rPr>
          <w:rFonts w:ascii="Times New Roman" w:hAnsi="Times New Roman" w:eastAsia="Times New Roman" w:cs="Times New Roman"/>
          <w:sz w:val="28"/>
          <w:szCs w:val="28"/>
        </w:rPr>
      </w:pPr>
      <w:r>
        <w:rPr>
          <w:rFonts w:eastAsia="Times New Roman" w:cs="Times New Roman" w:ascii="Times New Roman" w:hAnsi="Times New Roman"/>
          <w:color w:val="auto"/>
          <w:sz w:val="28"/>
          <w:szCs w:val="28"/>
        </w:rPr>
        <w:t xml:space="preserve">Schweller, R. L. (1994) “Bandwagoning for Profit: Bringing the Revisionist State Back In”, </w:t>
      </w:r>
      <w:r>
        <w:rPr>
          <w:rFonts w:eastAsia="Times New Roman" w:cs="Times New Roman" w:ascii="Times New Roman" w:hAnsi="Times New Roman"/>
          <w:i/>
          <w:color w:val="auto"/>
          <w:sz w:val="28"/>
          <w:szCs w:val="28"/>
        </w:rPr>
        <w:t>International Securit</w:t>
      </w:r>
      <w:r>
        <w:rPr>
          <w:rFonts w:eastAsia="Times New Roman" w:cs="Times New Roman" w:ascii="Times New Roman" w:hAnsi="Times New Roman"/>
          <w:color w:val="auto"/>
          <w:sz w:val="28"/>
          <w:szCs w:val="28"/>
        </w:rPr>
        <w:t xml:space="preserve">y, 19(1): 72-107. </w:t>
      </w:r>
    </w:p>
    <w:p>
      <w:pPr>
        <w:pStyle w:val="Normal"/>
        <w:widowControl w:val="false"/>
        <w:bidi w:val="0"/>
        <w:spacing w:lineRule="auto" w:line="360"/>
        <w:ind w:left="567" w:right="0" w:hanging="567"/>
        <w:jc w:val="both"/>
        <w:rPr>
          <w:color w:val="auto"/>
        </w:rPr>
      </w:pPr>
      <w:r>
        <w:rPr>
          <w:rFonts w:eastAsia="Times New Roman" w:cs="Times New Roman" w:ascii="Times New Roman" w:hAnsi="Times New Roman"/>
          <w:color w:val="auto"/>
          <w:sz w:val="28"/>
          <w:szCs w:val="28"/>
        </w:rPr>
        <w:t xml:space="preserve">Schweller, R. L. (1997) “New Realist Research on Alliances: Refining, Not Refuting, Waltz’s Balancing Proposition”, </w:t>
      </w:r>
      <w:r>
        <w:rPr>
          <w:rFonts w:eastAsia="Times New Roman" w:cs="Times New Roman" w:ascii="Times New Roman" w:hAnsi="Times New Roman"/>
          <w:i/>
          <w:color w:val="auto"/>
          <w:sz w:val="28"/>
          <w:szCs w:val="28"/>
        </w:rPr>
        <w:t>American Political Science Review</w:t>
      </w:r>
      <w:r>
        <w:rPr>
          <w:rFonts w:eastAsia="Times New Roman" w:cs="Times New Roman" w:ascii="Times New Roman" w:hAnsi="Times New Roman"/>
          <w:color w:val="auto"/>
          <w:sz w:val="28"/>
          <w:szCs w:val="28"/>
        </w:rPr>
        <w:t xml:space="preserve">, 91(4): 927-930. </w:t>
      </w:r>
    </w:p>
    <w:p>
      <w:pPr>
        <w:pStyle w:val="Normal"/>
        <w:widowControl w:val="false"/>
        <w:bidi w:val="0"/>
        <w:spacing w:lineRule="auto" w:line="360"/>
        <w:ind w:left="567" w:right="0" w:hanging="567"/>
        <w:jc w:val="both"/>
        <w:rPr>
          <w:rFonts w:ascii="Times New Roman" w:hAnsi="Times New Roman" w:eastAsia="Times New Roman" w:cs="Times New Roman"/>
          <w:sz w:val="28"/>
          <w:szCs w:val="28"/>
        </w:rPr>
      </w:pPr>
      <w:r>
        <w:rPr>
          <w:rFonts w:eastAsia="Times New Roman" w:cs="Times New Roman" w:ascii="Times New Roman" w:hAnsi="Times New Roman"/>
          <w:color w:val="auto"/>
          <w:sz w:val="28"/>
          <w:szCs w:val="28"/>
        </w:rPr>
        <w:t xml:space="preserve">Schweller, R. L. (2004) “Unanswered Threats: A Neoclassical Realist Theory of Underbalancing”, </w:t>
      </w:r>
      <w:r>
        <w:rPr>
          <w:rFonts w:eastAsia="Times New Roman" w:cs="Times New Roman" w:ascii="Times New Roman" w:hAnsi="Times New Roman"/>
          <w:i/>
          <w:color w:val="auto"/>
          <w:sz w:val="28"/>
          <w:szCs w:val="28"/>
        </w:rPr>
        <w:t>International Security</w:t>
      </w:r>
      <w:r>
        <w:rPr>
          <w:rFonts w:eastAsia="Times New Roman" w:cs="Times New Roman" w:ascii="Times New Roman" w:hAnsi="Times New Roman"/>
          <w:color w:val="auto"/>
          <w:sz w:val="28"/>
          <w:szCs w:val="28"/>
        </w:rPr>
        <w:t>, 29(2): 159-201.</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Shenglong Y. (2023). The new trend of EU's economic and trade policy towards China and its influence on China-EU economic and trade relations. </w:t>
      </w:r>
      <w:r>
        <w:rPr>
          <w:rFonts w:eastAsia="Times New Roman" w:cs="Times New Roman" w:ascii="Times New Roman" w:hAnsi="Times New Roman"/>
          <w:i/>
          <w:iCs/>
          <w:color w:val="000000"/>
          <w:sz w:val="28"/>
          <w:szCs w:val="28"/>
          <w:highlight w:val="white"/>
        </w:rPr>
        <w:t>China development Watch</w:t>
      </w:r>
      <w:r>
        <w:rPr>
          <w:rFonts w:eastAsia="Times New Roman" w:cs="Times New Roman" w:ascii="Times New Roman" w:hAnsi="Times New Roman"/>
          <w:color w:val="000000"/>
          <w:sz w:val="28"/>
          <w:szCs w:val="28"/>
          <w:highlight w:val="white"/>
        </w:rPr>
        <w:t>, 08:78-81.</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Shengyuan Y. (2017). Analysis of the current status of China-European relations and their role in the transition world. </w:t>
      </w:r>
      <w:r>
        <w:rPr>
          <w:rFonts w:eastAsia="Times New Roman" w:cs="Times New Roman" w:ascii="Times New Roman" w:hAnsi="Times New Roman"/>
          <w:i/>
          <w:iCs/>
          <w:color w:val="000000"/>
          <w:sz w:val="28"/>
          <w:szCs w:val="28"/>
          <w:highlight w:val="white"/>
        </w:rPr>
        <w:t>Beijing Foreign Studies University</w:t>
      </w:r>
      <w:r>
        <w:rPr>
          <w:rFonts w:eastAsia="Times New Roman" w:cs="Times New Roman" w:ascii="Times New Roman" w:hAnsi="Times New Roman"/>
          <w:color w:val="000000"/>
          <w:sz w:val="28"/>
          <w:szCs w:val="28"/>
          <w:highlight w:val="white"/>
        </w:rPr>
        <w:t>.</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Shuguang L. (2020). China-EU Economic and Trade Cooperation: Achievements, Challenges and Opportunities. </w:t>
      </w:r>
      <w:r>
        <w:rPr>
          <w:rFonts w:eastAsia="Times New Roman" w:cs="Times New Roman" w:ascii="Times New Roman" w:hAnsi="Times New Roman"/>
          <w:i/>
          <w:iCs/>
          <w:color w:val="000000"/>
          <w:sz w:val="28"/>
          <w:szCs w:val="28"/>
          <w:highlight w:val="white"/>
        </w:rPr>
        <w:t>The contemporary world</w:t>
      </w:r>
      <w:r>
        <w:rPr>
          <w:rFonts w:eastAsia="Times New Roman" w:cs="Times New Roman" w:ascii="Times New Roman" w:hAnsi="Times New Roman"/>
          <w:color w:val="000000"/>
          <w:sz w:val="28"/>
          <w:szCs w:val="28"/>
          <w:highlight w:val="white"/>
        </w:rPr>
        <w:t>, 06:39-47.10.19422/j.cnki.ddsj.2020.06.006.</w:t>
      </w:r>
    </w:p>
    <w:p>
      <w:pPr>
        <w:pStyle w:val="Normal"/>
        <w:widowControl/>
        <w:shd w:val="clear" w:fill="FFFFFF"/>
        <w:bidi w:val="0"/>
        <w:spacing w:lineRule="auto" w:line="360"/>
        <w:ind w:left="567" w:right="0" w:hanging="567"/>
        <w:jc w:val="both"/>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auto"/>
          <w:sz w:val="28"/>
          <w:szCs w:val="28"/>
          <w:highlight w:val="white"/>
        </w:rPr>
        <w:t xml:space="preserve">Shuhao Yao (2016). Research on EU Common Security and Defense Policy from the perspective of Europeanization. </w:t>
      </w:r>
      <w:r>
        <w:rPr>
          <w:rFonts w:eastAsia="Times New Roman" w:cs="Times New Roman" w:ascii="Times New Roman" w:hAnsi="Times New Roman"/>
          <w:i/>
          <w:iCs/>
          <w:color w:val="auto"/>
          <w:sz w:val="28"/>
          <w:szCs w:val="28"/>
          <w:highlight w:val="white"/>
        </w:rPr>
        <w:t>Shandong University.</w:t>
      </w:r>
    </w:p>
    <w:p>
      <w:pPr>
        <w:pStyle w:val="Normal"/>
        <w:widowControl/>
        <w:shd w:val="clear" w:fill="FFFFFF"/>
        <w:bidi w:val="0"/>
        <w:spacing w:lineRule="auto" w:line="360"/>
        <w:ind w:left="567" w:right="0" w:hanging="567"/>
        <w:jc w:val="both"/>
        <w:rPr>
          <w:color w:val="ED1C24"/>
        </w:rPr>
      </w:pPr>
      <w:r>
        <w:rPr>
          <w:rFonts w:eastAsia="Times New Roman" w:cs="Times New Roman" w:ascii="Times New Roman" w:hAnsi="Times New Roman"/>
          <w:color w:val="auto"/>
          <w:sz w:val="28"/>
          <w:szCs w:val="28"/>
          <w:highlight w:val="white"/>
        </w:rPr>
        <w:t xml:space="preserve">Shuqing Yang (2017). Analysis of the operation mechanism and development dilemma of EU common foreign and security policy. </w:t>
      </w:r>
      <w:r>
        <w:rPr>
          <w:rFonts w:eastAsia="Times New Roman" w:cs="Times New Roman" w:ascii="Times New Roman" w:hAnsi="Times New Roman"/>
          <w:i/>
          <w:iCs/>
          <w:color w:val="auto"/>
          <w:sz w:val="28"/>
          <w:szCs w:val="28"/>
          <w:highlight w:val="white"/>
        </w:rPr>
        <w:t>Institute of diplomacy</w:t>
      </w:r>
      <w:r>
        <w:rPr>
          <w:rFonts w:eastAsia="Times New Roman" w:cs="Times New Roman" w:ascii="Times New Roman" w:hAnsi="Times New Roman"/>
          <w:color w:val="auto"/>
          <w:sz w:val="28"/>
          <w:szCs w:val="28"/>
          <w:highlight w:val="white"/>
        </w:rPr>
        <w:t>.</w:t>
      </w:r>
    </w:p>
    <w:p>
      <w:pPr>
        <w:pStyle w:val="Normal"/>
        <w:widowControl w:val="false"/>
        <w:bidi w:val="0"/>
        <w:spacing w:lineRule="auto" w:line="360"/>
        <w:ind w:left="567" w:right="0" w:hanging="567"/>
        <w:jc w:val="both"/>
        <w:rPr>
          <w:color w:val="auto"/>
        </w:rPr>
      </w:pPr>
      <w:r>
        <w:rPr>
          <w:rFonts w:eastAsia="Times New Roman" w:cs="Times New Roman" w:ascii="Times New Roman" w:hAnsi="Times New Roman"/>
          <w:color w:val="auto"/>
          <w:sz w:val="28"/>
          <w:szCs w:val="28"/>
        </w:rPr>
        <w:t xml:space="preserve">Silva, M. (2022, </w:t>
      </w:r>
      <w:r>
        <w:rPr>
          <w:rFonts w:eastAsia="Times New Roman" w:cs="Times New Roman" w:ascii="Times New Roman" w:hAnsi="Times New Roman"/>
          <w:color w:val="auto"/>
          <w:sz w:val="28"/>
          <w:szCs w:val="28"/>
        </w:rPr>
        <w:t>March 1</w:t>
      </w:r>
      <w:r>
        <w:rPr>
          <w:rFonts w:eastAsia="Times New Roman" w:cs="Times New Roman" w:ascii="Times New Roman" w:hAnsi="Times New Roman"/>
          <w:color w:val="auto"/>
          <w:sz w:val="28"/>
          <w:szCs w:val="28"/>
        </w:rPr>
        <w:t xml:space="preserve">). “The Effectiveness of the EU’s China Policy: The Case of the Comprehensive Agreement on Investment (CAI)”, coleurope.eu/sites/default/files/research-paper/EDP%201-2022%20Silva.pdf, </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Siyao L. (2017). Research on the new characteristics and new trends of china-Europe trade friction in the post-crisis era. </w:t>
      </w:r>
      <w:r>
        <w:rPr>
          <w:rFonts w:eastAsia="Times New Roman" w:cs="Times New Roman" w:ascii="Times New Roman" w:hAnsi="Times New Roman"/>
          <w:i/>
          <w:iCs/>
          <w:color w:val="000000"/>
          <w:sz w:val="28"/>
          <w:szCs w:val="28"/>
          <w:highlight w:val="white"/>
        </w:rPr>
        <w:t>Market Weekly (Theoretical Research)</w:t>
      </w:r>
      <w:r>
        <w:rPr>
          <w:rFonts w:eastAsia="Times New Roman" w:cs="Times New Roman" w:ascii="Times New Roman" w:hAnsi="Times New Roman"/>
          <w:color w:val="000000"/>
          <w:sz w:val="28"/>
          <w:szCs w:val="28"/>
          <w:highlight w:val="white"/>
        </w:rPr>
        <w:t>, 03:112-113.</w:t>
      </w:r>
    </w:p>
    <w:p>
      <w:pPr>
        <w:pStyle w:val="Normal"/>
        <w:widowControl w:val="false"/>
        <w:bidi w:val="0"/>
        <w:spacing w:lineRule="auto" w:line="360"/>
        <w:ind w:left="567" w:right="0" w:hanging="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 xml:space="preserve">Sørensen, C. T. N. (2013). “Is China Becoming More Aggressive? </w:t>
      </w:r>
      <w:r>
        <w:rPr>
          <w:rFonts w:eastAsia="Times New Roman" w:cs="Times New Roman" w:ascii="Times New Roman" w:hAnsi="Times New Roman"/>
          <w:i w:val="false"/>
          <w:iCs w:val="false"/>
          <w:sz w:val="28"/>
          <w:szCs w:val="28"/>
        </w:rPr>
        <w:t>A Neoclassical Realist Analysis”</w:t>
      </w:r>
      <w:r>
        <w:rPr>
          <w:rFonts w:eastAsia="Times New Roman" w:cs="Times New Roman" w:ascii="Times New Roman" w:hAnsi="Times New Roman"/>
          <w:i/>
          <w:sz w:val="28"/>
          <w:szCs w:val="28"/>
        </w:rPr>
        <w:t>, Asian Perspective</w:t>
      </w:r>
      <w:r>
        <w:rPr>
          <w:rFonts w:eastAsia="Times New Roman" w:cs="Times New Roman" w:ascii="Times New Roman" w:hAnsi="Times New Roman"/>
          <w:sz w:val="28"/>
          <w:szCs w:val="28"/>
        </w:rPr>
        <w:t xml:space="preserve">, 37(3): 363-385. </w:t>
      </w:r>
    </w:p>
    <w:p>
      <w:pPr>
        <w:pStyle w:val="Normal"/>
        <w:widowControl w:val="false"/>
        <w:bidi w:val="0"/>
        <w:spacing w:lineRule="auto" w:line="360"/>
        <w:ind w:left="567" w:right="0" w:hanging="567"/>
        <w:jc w:val="both"/>
        <w:rPr/>
      </w:pPr>
      <w:r>
        <w:rPr>
          <w:rFonts w:eastAsia="Times New Roman" w:cs="Times New Roman" w:ascii="Times New Roman" w:hAnsi="Times New Roman"/>
          <w:sz w:val="28"/>
          <w:szCs w:val="28"/>
        </w:rPr>
        <w:t xml:space="preserve">Szunomár, Á (2017, </w:t>
      </w:r>
      <w:r>
        <w:rPr>
          <w:rFonts w:eastAsia="Times New Roman" w:cs="Times New Roman" w:ascii="Times New Roman" w:hAnsi="Times New Roman"/>
          <w:sz w:val="28"/>
          <w:szCs w:val="28"/>
        </w:rPr>
        <w:t>December 6</w:t>
      </w:r>
      <w:r>
        <w:rPr>
          <w:rFonts w:eastAsia="Times New Roman" w:cs="Times New Roman" w:ascii="Times New Roman" w:hAnsi="Times New Roman"/>
          <w:sz w:val="28"/>
          <w:szCs w:val="28"/>
        </w:rPr>
        <w:t xml:space="preserve">). “Cooperation between China and Central and Eastern Europe: Promising Start, Doubtful Outlook”, </w:t>
      </w:r>
      <w:r>
        <w:rPr>
          <w:rFonts w:eastAsia="Times New Roman" w:cs="Times New Roman" w:ascii="Times New Roman" w:hAnsi="Times New Roman"/>
          <w:sz w:val="28"/>
          <w:szCs w:val="28"/>
        </w:rPr>
        <w:t xml:space="preserve">Available at </w:t>
      </w:r>
      <w:r>
        <w:rPr>
          <w:rFonts w:eastAsia="Times New Roman" w:cs="Times New Roman" w:ascii="Times New Roman" w:hAnsi="Times New Roman"/>
          <w:sz w:val="28"/>
          <w:szCs w:val="28"/>
        </w:rPr>
        <w:t>https://www/</w:t>
      </w:r>
      <w:r>
        <w:rPr/>
        <w:t xml:space="preserve"> </w:t>
      </w:r>
      <w:r>
        <w:rPr>
          <w:rFonts w:eastAsia="Times New Roman" w:cs="Times New Roman" w:ascii="Times New Roman" w:hAnsi="Times New Roman"/>
          <w:sz w:val="28"/>
          <w:szCs w:val="28"/>
        </w:rPr>
        <w:t>chinausfocus.com/finance-economy/cooperation-between-china-and-centraland-eastern-europe-promising-start-doubtful-outlook.</w:t>
      </w:r>
    </w:p>
    <w:p>
      <w:pPr>
        <w:pStyle w:val="Normal"/>
        <w:spacing w:lineRule="auto" w:line="360"/>
        <w:rPr>
          <w:color w:val="auto"/>
        </w:rPr>
      </w:pPr>
      <w:r>
        <w:rPr>
          <w:rFonts w:eastAsia="Times New Roman" w:cs="Times New Roman" w:ascii="Times New Roman" w:hAnsi="Times New Roman"/>
          <w:color w:val="auto"/>
          <w:sz w:val="28"/>
          <w:szCs w:val="28"/>
        </w:rPr>
        <w:t xml:space="preserve">Walt, S. M. (1987) The Origins of Alliances. New York: Cornell University Press. </w:t>
      </w:r>
    </w:p>
    <w:p>
      <w:pPr>
        <w:pStyle w:val="Normal"/>
        <w:widowControl w:val="false"/>
        <w:bidi w:val="0"/>
        <w:spacing w:lineRule="auto" w:line="360"/>
        <w:ind w:left="567" w:right="0" w:hanging="567"/>
        <w:jc w:val="both"/>
        <w:rPr>
          <w:rFonts w:ascii="Times New Roman" w:hAnsi="Times New Roman" w:eastAsia="Times New Roman" w:cs="Times New Roman"/>
          <w:sz w:val="28"/>
          <w:szCs w:val="28"/>
        </w:rPr>
      </w:pPr>
      <w:r>
        <w:rPr>
          <w:rFonts w:eastAsia="Times New Roman" w:cs="Times New Roman" w:ascii="Times New Roman" w:hAnsi="Times New Roman"/>
          <w:color w:val="auto"/>
          <w:sz w:val="28"/>
          <w:szCs w:val="28"/>
        </w:rPr>
        <w:t xml:space="preserve">Walt, S. M. (1988) “Testing theories of alliance formation: the case of Southwest Asia”, </w:t>
      </w:r>
      <w:r>
        <w:rPr>
          <w:rFonts w:eastAsia="Times New Roman" w:cs="Times New Roman" w:ascii="Times New Roman" w:hAnsi="Times New Roman"/>
          <w:i/>
          <w:color w:val="auto"/>
          <w:sz w:val="28"/>
          <w:szCs w:val="28"/>
        </w:rPr>
        <w:t>International Organization</w:t>
      </w:r>
      <w:r>
        <w:rPr>
          <w:rFonts w:eastAsia="Times New Roman" w:cs="Times New Roman" w:ascii="Times New Roman" w:hAnsi="Times New Roman"/>
          <w:color w:val="auto"/>
          <w:sz w:val="28"/>
          <w:szCs w:val="28"/>
        </w:rPr>
        <w:t xml:space="preserve">, 42(2): 275-316. </w:t>
      </w:r>
    </w:p>
    <w:p>
      <w:pPr>
        <w:pStyle w:val="Normal"/>
        <w:spacing w:lineRule="auto" w:line="360"/>
        <w:rPr>
          <w:rFonts w:ascii="Times New Roman" w:hAnsi="Times New Roman" w:eastAsia="Times New Roman" w:cs="Times New Roman"/>
          <w:sz w:val="28"/>
          <w:szCs w:val="28"/>
        </w:rPr>
      </w:pPr>
      <w:r>
        <w:rPr>
          <w:rFonts w:eastAsia="Times New Roman" w:cs="Times New Roman" w:ascii="Times New Roman" w:hAnsi="Times New Roman"/>
          <w:color w:val="auto"/>
          <w:sz w:val="28"/>
          <w:szCs w:val="28"/>
        </w:rPr>
        <w:t xml:space="preserve">Waltz, K. N. (1979) Theory of International Politics. New York: </w:t>
      </w:r>
      <w:r>
        <w:rPr>
          <w:rFonts w:eastAsia="Times New Roman" w:cs="Times New Roman" w:ascii="Times New Roman" w:hAnsi="Times New Roman"/>
          <w:i/>
          <w:iCs/>
          <w:color w:val="auto"/>
          <w:sz w:val="28"/>
          <w:szCs w:val="28"/>
        </w:rPr>
        <w:t>Random House.</w:t>
      </w:r>
      <w:r>
        <w:rPr>
          <w:rFonts w:eastAsia="Times New Roman" w:cs="Times New Roman" w:ascii="Times New Roman" w:hAnsi="Times New Roman"/>
          <w:color w:val="auto"/>
          <w:sz w:val="28"/>
          <w:szCs w:val="28"/>
        </w:rPr>
        <w:t xml:space="preserve"> </w:t>
      </w:r>
    </w:p>
    <w:p>
      <w:pPr>
        <w:pStyle w:val="Normal"/>
        <w:widowControl w:val="false"/>
        <w:bidi w:val="0"/>
        <w:spacing w:lineRule="auto" w:line="360"/>
        <w:ind w:left="567" w:right="0" w:hanging="567"/>
        <w:jc w:val="both"/>
        <w:rPr>
          <w:rFonts w:ascii="Times New Roman" w:hAnsi="Times New Roman" w:eastAsia="Times New Roman" w:cs="Times New Roman"/>
          <w:sz w:val="28"/>
          <w:szCs w:val="28"/>
        </w:rPr>
      </w:pPr>
      <w:r>
        <w:rPr>
          <w:rFonts w:eastAsia="Times New Roman" w:cs="Times New Roman" w:ascii="Times New Roman" w:hAnsi="Times New Roman"/>
          <w:color w:val="auto"/>
          <w:sz w:val="28"/>
          <w:szCs w:val="28"/>
        </w:rPr>
        <w:t xml:space="preserve">Waltz, K. N. (1996) “International politics is not foreign policy”, </w:t>
      </w:r>
      <w:r>
        <w:rPr>
          <w:rFonts w:eastAsia="Times New Roman" w:cs="Times New Roman" w:ascii="Times New Roman" w:hAnsi="Times New Roman"/>
          <w:i/>
          <w:color w:val="auto"/>
          <w:sz w:val="28"/>
          <w:szCs w:val="28"/>
        </w:rPr>
        <w:t>Security Studies,</w:t>
      </w:r>
      <w:r>
        <w:rPr>
          <w:rFonts w:eastAsia="Times New Roman" w:cs="Times New Roman" w:ascii="Times New Roman" w:hAnsi="Times New Roman"/>
          <w:color w:val="auto"/>
          <w:sz w:val="28"/>
          <w:szCs w:val="28"/>
        </w:rPr>
        <w:t xml:space="preserve"> 6(1): 54–57. </w:t>
      </w:r>
    </w:p>
    <w:p>
      <w:pPr>
        <w:pStyle w:val="Normal"/>
        <w:widowControl w:val="false"/>
        <w:bidi w:val="0"/>
        <w:spacing w:lineRule="auto" w:line="360"/>
        <w:ind w:left="567" w:right="0" w:hanging="567"/>
        <w:jc w:val="both"/>
        <w:rPr>
          <w:rFonts w:ascii="Times New Roman" w:hAnsi="Times New Roman" w:eastAsia="Times New Roman" w:cs="Times New Roman"/>
          <w:sz w:val="28"/>
          <w:szCs w:val="28"/>
        </w:rPr>
      </w:pPr>
      <w:r>
        <w:rPr>
          <w:rFonts w:eastAsia="Times New Roman" w:cs="Times New Roman" w:ascii="Times New Roman" w:hAnsi="Times New Roman"/>
          <w:color w:val="auto"/>
          <w:sz w:val="28"/>
          <w:szCs w:val="28"/>
        </w:rPr>
        <w:t xml:space="preserve">Waltz, K. N. (2001) Man, the State and War: A theoretical Analysis. New York: </w:t>
      </w:r>
      <w:r>
        <w:rPr>
          <w:rFonts w:eastAsia="Times New Roman" w:cs="Times New Roman" w:ascii="Times New Roman" w:hAnsi="Times New Roman"/>
          <w:i/>
          <w:iCs/>
          <w:color w:val="auto"/>
          <w:sz w:val="28"/>
          <w:szCs w:val="28"/>
        </w:rPr>
        <w:t xml:space="preserve">Columbia University Press. </w:t>
      </w:r>
    </w:p>
    <w:p>
      <w:pPr>
        <w:pStyle w:val="Normal"/>
        <w:widowControl/>
        <w:shd w:val="clear" w:fill="FFFFFF"/>
        <w:bidi w:val="0"/>
        <w:spacing w:lineRule="auto" w:line="360"/>
        <w:ind w:left="567" w:right="0" w:hanging="567"/>
        <w:jc w:val="both"/>
        <w:rPr>
          <w:color w:val="auto"/>
        </w:rPr>
      </w:pPr>
      <w:r>
        <w:rPr>
          <w:rFonts w:eastAsia="Times New Roman" w:cs="Times New Roman" w:ascii="Times New Roman" w:hAnsi="Times New Roman"/>
          <w:color w:val="auto"/>
          <w:sz w:val="28"/>
          <w:szCs w:val="28"/>
          <w:highlight w:val="white"/>
        </w:rPr>
        <w:t xml:space="preserve">Weigang S. (2020). Participation study of the European Union in the United Nations system. </w:t>
      </w:r>
      <w:r>
        <w:rPr>
          <w:rFonts w:eastAsia="Times New Roman" w:cs="Times New Roman" w:ascii="Times New Roman" w:hAnsi="Times New Roman"/>
          <w:i/>
          <w:iCs/>
          <w:color w:val="auto"/>
          <w:sz w:val="28"/>
          <w:szCs w:val="28"/>
          <w:highlight w:val="white"/>
        </w:rPr>
        <w:t>Shandong University.</w:t>
      </w:r>
    </w:p>
    <w:p>
      <w:pPr>
        <w:pStyle w:val="Normal"/>
        <w:spacing w:lineRule="auto" w:line="360"/>
        <w:rPr>
          <w:color w:val="auto"/>
        </w:rPr>
      </w:pPr>
      <w:r>
        <w:rPr>
          <w:rFonts w:eastAsia="Times New Roman" w:cs="Times New Roman" w:ascii="Times New Roman" w:hAnsi="Times New Roman"/>
          <w:color w:val="auto"/>
          <w:sz w:val="28"/>
          <w:szCs w:val="28"/>
        </w:rPr>
        <w:t xml:space="preserve">Wendt A. (1999). Social Theory of International Politics. </w:t>
      </w:r>
      <w:r>
        <w:rPr>
          <w:rFonts w:eastAsia="Times New Roman" w:cs="Times New Roman" w:ascii="Times New Roman" w:hAnsi="Times New Roman"/>
          <w:i/>
          <w:iCs/>
          <w:color w:val="auto"/>
          <w:sz w:val="28"/>
          <w:szCs w:val="28"/>
        </w:rPr>
        <w:t>Cambridge</w:t>
      </w:r>
    </w:p>
    <w:p>
      <w:pPr>
        <w:pStyle w:val="Normal"/>
        <w:widowControl/>
        <w:shd w:val="clear" w:fill="FFFFFF"/>
        <w:bidi w:val="0"/>
        <w:spacing w:lineRule="auto" w:line="360"/>
        <w:ind w:left="567" w:right="0" w:hanging="567"/>
        <w:jc w:val="both"/>
        <w:rPr>
          <w:color w:val="auto"/>
        </w:rPr>
      </w:pPr>
      <w:r>
        <w:rPr>
          <w:rFonts w:eastAsia="Times New Roman" w:cs="Times New Roman" w:ascii="Times New Roman" w:hAnsi="Times New Roman"/>
          <w:color w:val="auto"/>
          <w:sz w:val="28"/>
          <w:szCs w:val="28"/>
          <w:highlight w:val="white"/>
        </w:rPr>
        <w:t xml:space="preserve">Wu N. (2017). China and China-EU relations since the European debt crisis. </w:t>
      </w:r>
      <w:r>
        <w:rPr>
          <w:rFonts w:eastAsia="Times New Roman" w:cs="Times New Roman" w:ascii="Times New Roman" w:hAnsi="Times New Roman"/>
          <w:i/>
          <w:iCs/>
          <w:color w:val="auto"/>
          <w:sz w:val="28"/>
          <w:szCs w:val="28"/>
          <w:highlight w:val="white"/>
        </w:rPr>
        <w:t>University of International Relations.</w:t>
      </w:r>
    </w:p>
    <w:p>
      <w:pPr>
        <w:pStyle w:val="Normal"/>
        <w:widowControl/>
        <w:shd w:val="clear" w:fill="FFFFFF"/>
        <w:bidi w:val="0"/>
        <w:spacing w:lineRule="auto" w:line="360"/>
        <w:ind w:left="567" w:right="0" w:hanging="567"/>
        <w:jc w:val="both"/>
        <w:rPr>
          <w:color w:val="auto"/>
        </w:rPr>
      </w:pPr>
      <w:r>
        <w:rPr>
          <w:rFonts w:eastAsia="Times New Roman" w:cs="Times New Roman" w:ascii="Times New Roman" w:hAnsi="Times New Roman"/>
          <w:color w:val="auto"/>
          <w:sz w:val="28"/>
          <w:szCs w:val="28"/>
          <w:highlight w:val="white"/>
        </w:rPr>
        <w:t>Xiaoqi L. (2015). A Study of the Establishment of the European Economic and Monetary Union.</w:t>
      </w:r>
      <w:r>
        <w:rPr>
          <w:rFonts w:eastAsia="Times New Roman" w:cs="Times New Roman" w:ascii="Times New Roman" w:hAnsi="Times New Roman"/>
          <w:i/>
          <w:iCs/>
          <w:color w:val="auto"/>
          <w:sz w:val="28"/>
          <w:szCs w:val="28"/>
          <w:highlight w:val="white"/>
        </w:rPr>
        <w:t xml:space="preserve"> Huazhong Normal University</w:t>
      </w:r>
      <w:r>
        <w:rPr>
          <w:rFonts w:eastAsia="Times New Roman" w:cs="Times New Roman" w:ascii="Times New Roman" w:hAnsi="Times New Roman"/>
          <w:color w:val="auto"/>
          <w:sz w:val="28"/>
          <w:szCs w:val="28"/>
          <w:highlight w:val="white"/>
        </w:rPr>
        <w:t>.</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Xiaozhong Z. (2015). New development of China-CEEC relations since 2000. </w:t>
      </w:r>
      <w:r>
        <w:rPr>
          <w:rFonts w:eastAsia="Times New Roman" w:cs="Times New Roman" w:ascii="Times New Roman" w:hAnsi="Times New Roman"/>
          <w:i/>
          <w:iCs/>
          <w:color w:val="000000"/>
          <w:sz w:val="28"/>
          <w:szCs w:val="28"/>
          <w:highlight w:val="white"/>
        </w:rPr>
        <w:t>The China International Strategic Review</w:t>
      </w:r>
      <w:r>
        <w:rPr>
          <w:rFonts w:eastAsia="Times New Roman" w:cs="Times New Roman" w:ascii="Times New Roman" w:hAnsi="Times New Roman"/>
          <w:color w:val="000000"/>
          <w:sz w:val="28"/>
          <w:szCs w:val="28"/>
          <w:highlight w:val="white"/>
        </w:rPr>
        <w:t>, 10:179-189.</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Xin F., Mei Y. (2024). Open up new prospects for China-EU economic and trade cooperation under the new circumstances. </w:t>
      </w:r>
      <w:r>
        <w:rPr>
          <w:rFonts w:eastAsia="Times New Roman" w:cs="Times New Roman" w:ascii="Times New Roman" w:hAnsi="Times New Roman"/>
          <w:i/>
          <w:iCs/>
          <w:color w:val="000000"/>
          <w:sz w:val="28"/>
          <w:szCs w:val="28"/>
          <w:highlight w:val="white"/>
        </w:rPr>
        <w:t>Northern economy and trade</w:t>
      </w:r>
      <w:r>
        <w:rPr>
          <w:rFonts w:eastAsia="Times New Roman" w:cs="Times New Roman" w:ascii="Times New Roman" w:hAnsi="Times New Roman"/>
          <w:color w:val="000000"/>
          <w:sz w:val="28"/>
          <w:szCs w:val="28"/>
          <w:highlight w:val="white"/>
        </w:rPr>
        <w:t>, 06:36-38</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Xudong Z. (2019). Join hands to create a better future for China-EU relations in a new era. In China today, 68(04):10-13.</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Xueyi L., Tingjun Z. (2023). Analysis of the EU's dependence on China and its influence on member states. </w:t>
      </w:r>
      <w:r>
        <w:rPr>
          <w:rFonts w:eastAsia="Times New Roman" w:cs="Times New Roman" w:ascii="Times New Roman" w:hAnsi="Times New Roman"/>
          <w:i/>
          <w:iCs/>
          <w:color w:val="000000"/>
          <w:sz w:val="28"/>
          <w:szCs w:val="28"/>
          <w:highlight w:val="white"/>
        </w:rPr>
        <w:t>In the European Studies</w:t>
      </w:r>
      <w:r>
        <w:rPr>
          <w:rFonts w:eastAsia="Times New Roman" w:cs="Times New Roman" w:ascii="Times New Roman" w:hAnsi="Times New Roman"/>
          <w:color w:val="000000"/>
          <w:sz w:val="28"/>
          <w:szCs w:val="28"/>
          <w:highlight w:val="white"/>
        </w:rPr>
        <w:t>, 41(06):1-33+181.</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Yafei Y. (2014). Research on the investment rules of the China-EU Comprehensive Investment Agreement. </w:t>
      </w:r>
      <w:r>
        <w:rPr>
          <w:rFonts w:eastAsia="Times New Roman" w:cs="Times New Roman" w:ascii="Times New Roman" w:hAnsi="Times New Roman"/>
          <w:i/>
          <w:iCs/>
          <w:color w:val="000000"/>
          <w:sz w:val="28"/>
          <w:szCs w:val="28"/>
          <w:highlight w:val="white"/>
        </w:rPr>
        <w:t>Heilongjiang University</w:t>
      </w:r>
      <w:r>
        <w:rPr>
          <w:rFonts w:eastAsia="Times New Roman" w:cs="Times New Roman" w:ascii="Times New Roman" w:hAnsi="Times New Roman"/>
          <w:color w:val="000000"/>
          <w:sz w:val="28"/>
          <w:szCs w:val="28"/>
          <w:highlight w:val="white"/>
        </w:rPr>
        <w:t>.</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Yamei W. (2016). Analysis of the factors affecting China-EU investment cooperation. </w:t>
      </w:r>
      <w:r>
        <w:rPr>
          <w:rFonts w:eastAsia="Times New Roman" w:cs="Times New Roman" w:ascii="Times New Roman" w:hAnsi="Times New Roman"/>
          <w:i/>
          <w:iCs/>
          <w:color w:val="000000"/>
          <w:sz w:val="28"/>
          <w:szCs w:val="28"/>
          <w:highlight w:val="white"/>
        </w:rPr>
        <w:t>The German Studies</w:t>
      </w:r>
      <w:r>
        <w:rPr>
          <w:rFonts w:eastAsia="Times New Roman" w:cs="Times New Roman" w:ascii="Times New Roman" w:hAnsi="Times New Roman"/>
          <w:color w:val="000000"/>
          <w:sz w:val="28"/>
          <w:szCs w:val="28"/>
          <w:highlight w:val="white"/>
        </w:rPr>
        <w:t>, 31(02):70-85+131.</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Yang W., Yi W. (2014). Research on the development status, problems and countermeasures of China-Europe trade in the post-crisis period. </w:t>
      </w:r>
      <w:r>
        <w:rPr>
          <w:rFonts w:eastAsia="Times New Roman" w:cs="Times New Roman" w:ascii="Times New Roman" w:hAnsi="Times New Roman"/>
          <w:i/>
          <w:iCs/>
          <w:color w:val="000000"/>
          <w:sz w:val="28"/>
          <w:szCs w:val="28"/>
          <w:highlight w:val="white"/>
        </w:rPr>
        <w:t>Productivity research</w:t>
      </w:r>
      <w:r>
        <w:rPr>
          <w:rFonts w:eastAsia="Times New Roman" w:cs="Times New Roman" w:ascii="Times New Roman" w:hAnsi="Times New Roman"/>
          <w:color w:val="000000"/>
          <w:sz w:val="28"/>
          <w:szCs w:val="28"/>
          <w:highlight w:val="white"/>
        </w:rPr>
        <w:t>, 09:107-110+132+165.10.19374/j.cnki.14-1145/f.2014.09.030.</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Yaran F. (2016). An Analysis of the role of EU External Action Agency on EU Public Diplomacy. Guangdong </w:t>
      </w:r>
      <w:r>
        <w:rPr>
          <w:rFonts w:eastAsia="Times New Roman" w:cs="Times New Roman" w:ascii="Times New Roman" w:hAnsi="Times New Roman"/>
          <w:i/>
          <w:iCs/>
          <w:color w:val="000000"/>
          <w:sz w:val="28"/>
          <w:szCs w:val="28"/>
          <w:highlight w:val="white"/>
        </w:rPr>
        <w:t>University of Foreign Studies University</w:t>
      </w:r>
      <w:r>
        <w:rPr>
          <w:rFonts w:eastAsia="Times New Roman" w:cs="Times New Roman" w:ascii="Times New Roman" w:hAnsi="Times New Roman"/>
          <w:color w:val="000000"/>
          <w:sz w:val="28"/>
          <w:szCs w:val="28"/>
          <w:highlight w:val="white"/>
        </w:rPr>
        <w:t>.</w:t>
      </w:r>
    </w:p>
    <w:p>
      <w:pPr>
        <w:pStyle w:val="Normal"/>
        <w:widowControl w:val="false"/>
        <w:bidi w:val="0"/>
        <w:spacing w:lineRule="auto" w:line="360"/>
        <w:ind w:left="567" w:right="0" w:hanging="567"/>
        <w:jc w:val="both"/>
        <w:rPr/>
      </w:pPr>
      <w:r>
        <w:rPr>
          <w:rFonts w:eastAsia="Times New Roman" w:cs="Times New Roman" w:ascii="Times New Roman" w:hAnsi="Times New Roman"/>
          <w:sz w:val="28"/>
          <w:szCs w:val="28"/>
        </w:rPr>
        <w:t xml:space="preserve">Ye, X. (2019) “Rediscovering the Transition in China’s National Interest: A Neoclassical Realist Approach”, </w:t>
      </w:r>
      <w:r>
        <w:rPr>
          <w:rFonts w:eastAsia="Times New Roman" w:cs="Times New Roman" w:ascii="Times New Roman" w:hAnsi="Times New Roman"/>
          <w:i/>
          <w:sz w:val="28"/>
          <w:szCs w:val="28"/>
        </w:rPr>
        <w:t>Journal of Current Chinese Affairs</w:t>
      </w:r>
      <w:r>
        <w:rPr>
          <w:rFonts w:eastAsia="Times New Roman" w:cs="Times New Roman" w:ascii="Times New Roman" w:hAnsi="Times New Roman"/>
          <w:sz w:val="28"/>
          <w:szCs w:val="28"/>
        </w:rPr>
        <w:t xml:space="preserve">, 48(1): 76-105. </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Yiqing W. (2016). Political constraints in the China-EU comprehensive strategic partnership. </w:t>
      </w:r>
      <w:r>
        <w:rPr>
          <w:rFonts w:eastAsia="Times New Roman" w:cs="Times New Roman" w:ascii="Times New Roman" w:hAnsi="Times New Roman"/>
          <w:i/>
          <w:iCs/>
          <w:color w:val="000000"/>
          <w:sz w:val="28"/>
          <w:szCs w:val="28"/>
          <w:highlight w:val="white"/>
        </w:rPr>
        <w:t>University of International Relations</w:t>
      </w:r>
      <w:r>
        <w:rPr>
          <w:rFonts w:eastAsia="Times New Roman" w:cs="Times New Roman" w:ascii="Times New Roman" w:hAnsi="Times New Roman"/>
          <w:color w:val="000000"/>
          <w:sz w:val="28"/>
          <w:szCs w:val="28"/>
          <w:highlight w:val="white"/>
        </w:rPr>
        <w:t>.2016.</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Yuanyuan F. (2019). The feasibility of differential integration in the EU from the practice of the euro zone. </w:t>
      </w:r>
      <w:r>
        <w:rPr>
          <w:rFonts w:eastAsia="Times New Roman" w:cs="Times New Roman" w:ascii="Times New Roman" w:hAnsi="Times New Roman"/>
          <w:i/>
          <w:iCs/>
          <w:color w:val="000000"/>
          <w:sz w:val="28"/>
          <w:szCs w:val="28"/>
          <w:highlight w:val="white"/>
        </w:rPr>
        <w:t>Beijing Foreign Studies University</w:t>
      </w:r>
      <w:r>
        <w:rPr>
          <w:rFonts w:eastAsia="Times New Roman" w:cs="Times New Roman" w:ascii="Times New Roman" w:hAnsi="Times New Roman"/>
          <w:color w:val="000000"/>
          <w:sz w:val="28"/>
          <w:szCs w:val="28"/>
          <w:highlight w:val="white"/>
        </w:rPr>
        <w:t>.</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Yuping W. (2019). Development trend and prospects of China-EU economic cooperation in the future. </w:t>
      </w:r>
      <w:r>
        <w:rPr>
          <w:rFonts w:eastAsia="Times New Roman" w:cs="Times New Roman" w:ascii="Times New Roman" w:hAnsi="Times New Roman"/>
          <w:i/>
          <w:iCs/>
          <w:color w:val="000000"/>
          <w:sz w:val="28"/>
          <w:szCs w:val="28"/>
          <w:highlight w:val="white"/>
        </w:rPr>
        <w:t>The People's Forum</w:t>
      </w:r>
      <w:r>
        <w:rPr>
          <w:rFonts w:eastAsia="Times New Roman" w:cs="Times New Roman" w:ascii="Times New Roman" w:hAnsi="Times New Roman"/>
          <w:color w:val="000000"/>
          <w:sz w:val="28"/>
          <w:szCs w:val="28"/>
          <w:highlight w:val="white"/>
        </w:rPr>
        <w:t>, 24:252-253.</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Zhang L. (2017). The cooperative research of China and the EU on non-affairs from the perspective of multilateralism. </w:t>
      </w:r>
      <w:r>
        <w:rPr>
          <w:rFonts w:eastAsia="Times New Roman" w:cs="Times New Roman" w:ascii="Times New Roman" w:hAnsi="Times New Roman"/>
          <w:i/>
          <w:iCs/>
          <w:color w:val="000000"/>
          <w:sz w:val="28"/>
          <w:szCs w:val="28"/>
          <w:highlight w:val="white"/>
        </w:rPr>
        <w:t>University Of Shanxi</w:t>
      </w:r>
      <w:r>
        <w:rPr>
          <w:rFonts w:eastAsia="Times New Roman" w:cs="Times New Roman" w:ascii="Times New Roman" w:hAnsi="Times New Roman"/>
          <w:color w:val="000000"/>
          <w:sz w:val="28"/>
          <w:szCs w:val="28"/>
          <w:highlight w:val="white"/>
        </w:rPr>
        <w:t>.</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Zhongping F. (2018). Increasing common interests need to promote greater cooperation between China and the EU [J]. </w:t>
      </w:r>
      <w:r>
        <w:rPr>
          <w:rFonts w:eastAsia="Times New Roman" w:cs="Times New Roman" w:ascii="Times New Roman" w:hAnsi="Times New Roman"/>
          <w:i/>
          <w:iCs/>
          <w:color w:val="000000"/>
          <w:sz w:val="28"/>
          <w:szCs w:val="28"/>
          <w:highlight w:val="white"/>
        </w:rPr>
        <w:t>The China International Strategic Review</w:t>
      </w:r>
      <w:r>
        <w:rPr>
          <w:rFonts w:eastAsia="Times New Roman" w:cs="Times New Roman" w:ascii="Times New Roman" w:hAnsi="Times New Roman"/>
          <w:color w:val="000000"/>
          <w:sz w:val="28"/>
          <w:szCs w:val="28"/>
          <w:highlight w:val="white"/>
        </w:rPr>
        <w:t>, 01:99-107.</w:t>
      </w:r>
    </w:p>
    <w:p>
      <w:pPr>
        <w:pStyle w:val="Normal"/>
        <w:widowControl/>
        <w:shd w:val="clear" w:fill="FFFFFF"/>
        <w:bidi w:val="0"/>
        <w:spacing w:lineRule="auto" w:line="360"/>
        <w:ind w:left="567" w:right="0" w:hanging="567"/>
        <w:jc w:val="both"/>
        <w:rPr/>
      </w:pPr>
      <w:r>
        <w:rPr>
          <w:rFonts w:eastAsia="Times New Roman" w:cs="Times New Roman" w:ascii="Times New Roman" w:hAnsi="Times New Roman"/>
          <w:color w:val="000000"/>
          <w:sz w:val="28"/>
          <w:szCs w:val="28"/>
          <w:highlight w:val="white"/>
        </w:rPr>
        <w:t xml:space="preserve">Zhongping F. (2018). Increasing common interests will promote greater cooperation between China and the EU. China International Strategic Review 2018(falling-rising tone). China International Strategic Review 2018(I): </w:t>
      </w:r>
      <w:r>
        <w:rPr>
          <w:rFonts w:eastAsia="Times New Roman" w:cs="Times New Roman" w:ascii="Times New Roman" w:hAnsi="Times New Roman"/>
          <w:i/>
          <w:iCs/>
          <w:color w:val="000000"/>
          <w:sz w:val="28"/>
          <w:szCs w:val="28"/>
          <w:highlight w:val="white"/>
        </w:rPr>
        <w:t>Institute of International Strategy, Peking University</w:t>
      </w:r>
      <w:r>
        <w:rPr>
          <w:rFonts w:eastAsia="Times New Roman" w:cs="Times New Roman" w:ascii="Times New Roman" w:hAnsi="Times New Roman"/>
          <w:color w:val="000000"/>
          <w:sz w:val="28"/>
          <w:szCs w:val="28"/>
          <w:highlight w:val="white"/>
        </w:rPr>
        <w:t>, 106-114.</w:t>
      </w:r>
    </w:p>
    <w:p>
      <w:pPr>
        <w:pStyle w:val="Normal"/>
        <w:widowControl w:val="false"/>
        <w:bidi w:val="0"/>
        <w:spacing w:lineRule="auto" w:line="360"/>
        <w:ind w:left="567" w:right="0" w:hanging="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Zuokui, L. Z. (2018) “Europe’s Protectionist Position on the Belt and Road Initiative and Its Influence”, </w:t>
      </w:r>
      <w:r>
        <w:rPr>
          <w:rFonts w:eastAsia="Times New Roman" w:cs="Times New Roman" w:ascii="Times New Roman" w:hAnsi="Times New Roman"/>
          <w:i/>
          <w:sz w:val="28"/>
          <w:szCs w:val="28"/>
        </w:rPr>
        <w:t>China International Studies</w:t>
      </w:r>
      <w:r>
        <w:rPr>
          <w:rFonts w:eastAsia="Times New Roman" w:cs="Times New Roman" w:ascii="Times New Roman" w:hAnsi="Times New Roman"/>
          <w:sz w:val="28"/>
          <w:szCs w:val="28"/>
        </w:rPr>
        <w:t xml:space="preserve">, 145-165. </w:t>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widowControl/>
        <w:shd w:val="clear" w:fill="FFFFFF"/>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highlight w:val="white"/>
        </w:rPr>
      </w:r>
    </w:p>
    <w:p>
      <w:pPr>
        <w:pStyle w:val="Normal"/>
        <w:spacing w:lineRule="auto" w:line="360"/>
        <w:ind w:firstLine="708"/>
        <w:rPr/>
      </w:pPr>
      <w:r>
        <w:rPr/>
      </w:r>
    </w:p>
    <w:sectPr>
      <w:headerReference w:type="default" r:id="rId2"/>
      <w:type w:val="nextPage"/>
      <w:pgSz w:w="11906" w:h="16838"/>
      <w:pgMar w:left="1701" w:right="850" w:header="708" w:top="1134" w:footer="0" w:bottom="1134" w:gutter="0"/>
      <w:pgNumType w:start="1" w:fmt="decimal"/>
      <w:formProt w:val="false"/>
      <w:titlePg/>
      <w:textDirection w:val="lrTb"/>
      <w:docGrid w:type="default" w:linePitch="100" w:charSpace="593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Liberation Sans">
    <w:altName w:val="Arial"/>
    <w:charset w:val="cc"/>
    <w:family w:val="roman"/>
    <w:pitch w:val="variable"/>
  </w:font>
  <w:font w:name="Georgia">
    <w:charset w:val="cc"/>
    <w:family w:val="roman"/>
    <w:pitch w:val="variable"/>
  </w:font>
  <w:font w:name="Times New Roman">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pageBreakBefore w:val="false"/>
      <w:widowControl w:val="false"/>
      <w:shd w:val="clear" w:fill="auto"/>
      <w:tabs>
        <w:tab w:val="center" w:pos="4677" w:leader="none"/>
        <w:tab w:val="right" w:pos="9355" w:leader="none"/>
      </w:tabs>
      <w:spacing w:lineRule="auto" w:line="240" w:before="0" w:after="0"/>
      <w:ind w:left="0" w:right="0" w:hanging="0"/>
      <w:jc w:val="right"/>
      <w:rPr/>
    </w:pPr>
    <w:r>
      <w:rPr/>
      <w:fldChar w:fldCharType="begin"/>
    </w:r>
    <w:r>
      <w:rPr/>
      <w:instrText> PAGE </w:instrText>
    </w:r>
    <w:r>
      <w:rPr/>
      <w:fldChar w:fldCharType="separate"/>
    </w:r>
    <w:r>
      <w:rPr/>
      <w:t>67</w:t>
    </w:r>
    <w:r>
      <w:rPr/>
      <w:fldChar w:fldCharType="end"/>
    </w:r>
  </w:p>
  <w:p>
    <w:pPr>
      <w:pStyle w:val="Normal"/>
      <w:keepNext w:val="false"/>
      <w:keepLines w:val="false"/>
      <w:pageBreakBefore w:val="false"/>
      <w:widowControl w:val="false"/>
      <w:shd w:val="clear" w:fill="auto"/>
      <w:tabs>
        <w:tab w:val="center" w:pos="4677" w:leader="none"/>
        <w:tab w:val="right" w:pos="9355" w:leader="none"/>
      </w:tabs>
      <w:spacing w:lineRule="auto" w:line="240" w:before="0" w:after="0"/>
      <w:ind w:left="0" w:right="0" w:hanging="0"/>
      <w:jc w:val="both"/>
      <w:rPr>
        <w:rFonts w:ascii="Calibri" w:hAnsi="Calibri" w:eastAsia="Calibri" w:cs="Calibri"/>
        <w:b w:val="false"/>
        <w:b w:val="false"/>
        <w:i w:val="false"/>
        <w:i w:val="false"/>
        <w:caps w:val="false"/>
        <w:smallCaps w:val="false"/>
        <w:strike w:val="false"/>
        <w:dstrike w:val="false"/>
        <w:color w:val="000000"/>
        <w:position w:val="0"/>
        <w:sz w:val="21"/>
        <w:sz w:val="21"/>
        <w:szCs w:val="21"/>
        <w:u w:val="none"/>
        <w:vertAlign w:val="baseline"/>
      </w:rPr>
    </w:pPr>
    <w:r>
      <w:rPr>
        <w:rFonts w:eastAsia="Calibri" w:cs="Calibri"/>
        <w:b w:val="false"/>
        <w:i w:val="false"/>
        <w:caps w:val="false"/>
        <w:smallCaps w:val="false"/>
        <w:strike w:val="false"/>
        <w:dstrike w:val="false"/>
        <w:color w:val="000000"/>
        <w:position w:val="0"/>
        <w:sz w:val="21"/>
        <w:sz w:val="21"/>
        <w:szCs w:val="21"/>
        <w:u w:val="none"/>
        <w:vertAlign w:val="baseline"/>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78"/>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Cs w:val="21"/>
        <w:lang w:val="en-US" w:eastAsia="zh-CN" w:bidi="hi-IN"/>
      </w:rPr>
    </w:rPrDefault>
    <w:pPrDefault>
      <w:pPr/>
    </w:pPrDefault>
  </w:docDefaults>
  <w:style w:type="paragraph" w:styleId="Normal">
    <w:name w:val="Normal"/>
    <w:qFormat/>
    <w:pPr>
      <w:widowControl w:val="false"/>
      <w:bidi w:val="0"/>
      <w:jc w:val="both"/>
    </w:pPr>
    <w:rPr>
      <w:rFonts w:ascii="Calibri" w:hAnsi="Calibri" w:eastAsia="Calibri" w:cs="Calibri"/>
      <w:color w:val="00000A"/>
      <w:kern w:val="0"/>
      <w:sz w:val="21"/>
      <w:szCs w:val="21"/>
      <w:lang w:val="en-US" w:eastAsia="zh-CN" w:bidi="hi-IN"/>
    </w:rPr>
  </w:style>
  <w:style w:type="paragraph" w:styleId="1">
    <w:name w:val="Heading 1"/>
    <w:next w:val="Normal"/>
    <w:qFormat/>
    <w:pPr>
      <w:keepNext w:val="true"/>
      <w:keepLines/>
      <w:pageBreakBefore w:val="false"/>
      <w:widowControl w:val="false"/>
      <w:spacing w:lineRule="auto" w:line="240" w:before="480" w:after="120"/>
    </w:pPr>
    <w:rPr>
      <w:rFonts w:ascii="Calibri" w:hAnsi="Calibri" w:eastAsia="Calibri" w:cs="Calibri"/>
      <w:b/>
      <w:color w:val="auto"/>
      <w:kern w:val="0"/>
      <w:sz w:val="48"/>
      <w:szCs w:val="48"/>
      <w:lang w:val="en-US" w:eastAsia="zh-CN" w:bidi="hi-IN"/>
    </w:rPr>
  </w:style>
  <w:style w:type="paragraph" w:styleId="2">
    <w:name w:val="Heading 2"/>
    <w:next w:val="Normal"/>
    <w:qFormat/>
    <w:pPr>
      <w:keepNext w:val="true"/>
      <w:keepLines/>
      <w:pageBreakBefore w:val="false"/>
      <w:widowControl w:val="false"/>
      <w:spacing w:lineRule="auto" w:line="240" w:before="360" w:after="80"/>
    </w:pPr>
    <w:rPr>
      <w:rFonts w:ascii="Calibri" w:hAnsi="Calibri" w:eastAsia="Calibri" w:cs="Calibri"/>
      <w:b/>
      <w:color w:val="auto"/>
      <w:kern w:val="0"/>
      <w:sz w:val="36"/>
      <w:szCs w:val="36"/>
      <w:lang w:val="en-US" w:eastAsia="zh-CN" w:bidi="hi-IN"/>
    </w:rPr>
  </w:style>
  <w:style w:type="paragraph" w:styleId="3">
    <w:name w:val="Heading 3"/>
    <w:next w:val="Normal"/>
    <w:qFormat/>
    <w:pPr>
      <w:keepNext w:val="true"/>
      <w:keepLines/>
      <w:pageBreakBefore w:val="false"/>
      <w:widowControl w:val="false"/>
      <w:spacing w:lineRule="auto" w:line="240" w:before="280" w:after="80"/>
    </w:pPr>
    <w:rPr>
      <w:rFonts w:ascii="Calibri" w:hAnsi="Calibri" w:eastAsia="Calibri" w:cs="Calibri"/>
      <w:b/>
      <w:color w:val="auto"/>
      <w:kern w:val="0"/>
      <w:sz w:val="28"/>
      <w:szCs w:val="28"/>
      <w:lang w:val="en-US" w:eastAsia="zh-CN" w:bidi="hi-IN"/>
    </w:rPr>
  </w:style>
  <w:style w:type="paragraph" w:styleId="4">
    <w:name w:val="Heading 4"/>
    <w:next w:val="Normal"/>
    <w:qFormat/>
    <w:pPr>
      <w:keepNext w:val="true"/>
      <w:keepLines/>
      <w:pageBreakBefore w:val="false"/>
      <w:widowControl w:val="false"/>
      <w:spacing w:lineRule="auto" w:line="240" w:before="240" w:after="40"/>
    </w:pPr>
    <w:rPr>
      <w:rFonts w:ascii="Calibri" w:hAnsi="Calibri" w:eastAsia="Calibri" w:cs="Calibri"/>
      <w:b/>
      <w:color w:val="auto"/>
      <w:kern w:val="0"/>
      <w:sz w:val="24"/>
      <w:szCs w:val="24"/>
      <w:lang w:val="en-US" w:eastAsia="zh-CN" w:bidi="hi-IN"/>
    </w:rPr>
  </w:style>
  <w:style w:type="paragraph" w:styleId="5">
    <w:name w:val="Heading 5"/>
    <w:next w:val="Normal"/>
    <w:qFormat/>
    <w:pPr>
      <w:keepNext w:val="true"/>
      <w:keepLines/>
      <w:pageBreakBefore w:val="false"/>
      <w:widowControl w:val="false"/>
      <w:spacing w:lineRule="auto" w:line="240" w:before="220" w:after="40"/>
    </w:pPr>
    <w:rPr>
      <w:rFonts w:ascii="Calibri" w:hAnsi="Calibri" w:eastAsia="Calibri" w:cs="Calibri"/>
      <w:b/>
      <w:color w:val="auto"/>
      <w:kern w:val="0"/>
      <w:sz w:val="22"/>
      <w:szCs w:val="22"/>
      <w:lang w:val="en-US" w:eastAsia="zh-CN" w:bidi="hi-IN"/>
    </w:rPr>
  </w:style>
  <w:style w:type="paragraph" w:styleId="6">
    <w:name w:val="Heading 6"/>
    <w:next w:val="Normal"/>
    <w:qFormat/>
    <w:pPr>
      <w:keepNext w:val="true"/>
      <w:keepLines/>
      <w:pageBreakBefore w:val="false"/>
      <w:widowControl w:val="false"/>
      <w:spacing w:lineRule="auto" w:line="240" w:before="200" w:after="40"/>
    </w:pPr>
    <w:rPr>
      <w:rFonts w:ascii="Calibri" w:hAnsi="Calibri" w:eastAsia="Calibri" w:cs="Calibri"/>
      <w:b/>
      <w:color w:val="auto"/>
      <w:kern w:val="0"/>
      <w:sz w:val="20"/>
      <w:szCs w:val="20"/>
      <w:lang w:val="en-US" w:eastAsia="zh-CN" w:bidi="hi-IN"/>
    </w:rPr>
  </w:style>
  <w:style w:type="paragraph" w:styleId="Style8">
    <w:name w:val="Заголовок"/>
    <w:basedOn w:val="Normal"/>
    <w:next w:val="Style9"/>
    <w:qFormat/>
    <w:pPr>
      <w:keepNext w:val="true"/>
      <w:spacing w:before="240" w:after="120"/>
    </w:pPr>
    <w:rPr>
      <w:rFonts w:ascii="Liberation Sans" w:hAnsi="Liberation Sans" w:eastAsia="Microsoft YaHei" w:cs="Arial"/>
      <w:sz w:val="28"/>
      <w:szCs w:val="28"/>
    </w:rPr>
  </w:style>
  <w:style w:type="paragraph" w:styleId="Style9">
    <w:name w:val="Body Text"/>
    <w:basedOn w:val="Normal"/>
    <w:pPr>
      <w:spacing w:lineRule="auto" w:line="276" w:before="0" w:after="140"/>
    </w:pPr>
    <w:rPr/>
  </w:style>
  <w:style w:type="paragraph" w:styleId="Style10">
    <w:name w:val="List"/>
    <w:basedOn w:val="Style9"/>
    <w:pPr/>
    <w:rPr>
      <w:rFonts w:cs="Arial"/>
    </w:rPr>
  </w:style>
  <w:style w:type="paragraph" w:styleId="Style11">
    <w:name w:val="Caption"/>
    <w:basedOn w:val="Normal"/>
    <w:qFormat/>
    <w:pPr>
      <w:suppressLineNumbers/>
      <w:spacing w:before="120" w:after="120"/>
    </w:pPr>
    <w:rPr>
      <w:rFonts w:cs="Arial"/>
      <w:i/>
      <w:iCs/>
      <w:sz w:val="24"/>
      <w:szCs w:val="24"/>
    </w:rPr>
  </w:style>
  <w:style w:type="paragraph" w:styleId="Style12">
    <w:name w:val="Указатель"/>
    <w:basedOn w:val="Normal"/>
    <w:qFormat/>
    <w:pPr>
      <w:suppressLineNumbers/>
    </w:pPr>
    <w:rPr>
      <w:rFonts w:cs="Arial"/>
    </w:rPr>
  </w:style>
  <w:style w:type="paragraph" w:styleId="LOnormal" w:default="1">
    <w:name w:val="LO-normal"/>
    <w:qFormat/>
    <w:pPr>
      <w:widowControl/>
      <w:bidi w:val="0"/>
      <w:jc w:val="both"/>
    </w:pPr>
    <w:rPr>
      <w:rFonts w:ascii="Calibri" w:hAnsi="Calibri" w:eastAsia="Calibri" w:cs="Calibri"/>
      <w:color w:val="00000A"/>
      <w:kern w:val="0"/>
      <w:sz w:val="21"/>
      <w:szCs w:val="21"/>
      <w:lang w:val="en-US" w:eastAsia="zh-CN" w:bidi="hi-IN"/>
    </w:rPr>
  </w:style>
  <w:style w:type="paragraph" w:styleId="Style13">
    <w:name w:val="Title"/>
    <w:basedOn w:val="LOnormal"/>
    <w:next w:val="Normal"/>
    <w:qFormat/>
    <w:pPr>
      <w:keepNext w:val="true"/>
      <w:keepLines/>
      <w:pageBreakBefore w:val="false"/>
      <w:spacing w:lineRule="auto" w:line="240" w:before="480" w:after="120"/>
    </w:pPr>
    <w:rPr>
      <w:b/>
      <w:sz w:val="72"/>
      <w:szCs w:val="72"/>
    </w:rPr>
  </w:style>
  <w:style w:type="paragraph" w:styleId="Style14">
    <w:name w:val="Subtitle"/>
    <w:basedOn w:val="LOnormal"/>
    <w:next w:val="Normal"/>
    <w:qFormat/>
    <w:pPr>
      <w:keepNext w:val="true"/>
      <w:keepLines/>
      <w:pageBreakBefore w:val="false"/>
      <w:spacing w:lineRule="auto" w:line="240" w:before="360" w:after="80"/>
    </w:pPr>
    <w:rPr>
      <w:rFonts w:ascii="Georgia" w:hAnsi="Georgia" w:eastAsia="Georgia" w:cs="Georgia"/>
      <w:i/>
      <w:color w:val="666666"/>
      <w:sz w:val="48"/>
      <w:szCs w:val="48"/>
    </w:rPr>
  </w:style>
  <w:style w:type="paragraph" w:styleId="Style15">
    <w:name w:val="Header"/>
    <w:basedOn w:val="Normal"/>
    <w:pPr/>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14</TotalTime>
  <Application>LibreOffice/6.0.2.1$Windows_x86 LibreOffice_project/f7f06a8f319e4b62f9bc5095aa112a65d2f3ac89</Application>
  <Pages>67</Pages>
  <Words>20599</Words>
  <Characters>119842</Characters>
  <CharactersWithSpaces>140748</CharactersWithSpaces>
  <Paragraphs>240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2024-12-02T14:01:34Z</dcterms:modified>
  <cp:revision>3</cp:revision>
  <dc:subject/>
  <dc:title/>
</cp:coreProperties>
</file>