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bottom w:val="single" w:sz="4" w:space="1" w:color="000000"/>
        </w:pBdr>
        <w:spacing w:lineRule="auto" w:line="240" w:before="0" w:after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  <w:t xml:space="preserve">  </w:t>
      </w: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>
      <w:pPr>
        <w:pStyle w:val="Normal"/>
        <w:pBdr>
          <w:bottom w:val="single" w:sz="4" w:space="1" w:color="000000"/>
        </w:pBdr>
        <w:spacing w:lineRule="auto" w:line="240" w:before="240" w:after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Факультет міжнародних відносин, політології та соціології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(повне найменування інституту/факультету)</w:t>
      </w:r>
    </w:p>
    <w:p>
      <w:pPr>
        <w:pStyle w:val="Normal"/>
        <w:pBdr>
          <w:bottom w:val="single" w:sz="4" w:space="1" w:color="000000"/>
        </w:pBdr>
        <w:spacing w:lineRule="auto" w:line="240" w:before="240" w:after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міжнародних відносин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(повна назва кафедри)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</w:rPr>
        <w:t>Дипломна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 робота </w:t>
      </w:r>
    </w:p>
    <w:p>
      <w:pPr>
        <w:pStyle w:val="Normal"/>
        <w:pBdr>
          <w:bottom w:val="single" w:sz="4" w:space="1" w:color="000000"/>
        </w:pBdr>
        <w:spacing w:lineRule="auto" w:line="240" w:before="240" w:after="200"/>
        <w:ind w:left="1134" w:right="850" w:hanging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>
      <w:pPr>
        <w:pStyle w:val="Normal"/>
        <w:tabs>
          <w:tab w:val="clear" w:pos="720"/>
          <w:tab w:val="right" w:pos="9355" w:leader="none"/>
        </w:tabs>
        <w:spacing w:lineRule="auto" w:line="240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sz w:val="28"/>
          <w:szCs w:val="28"/>
          <w:u w:val="single"/>
          <w:lang w:val="uk-UA"/>
        </w:rPr>
        <w:t>«Середземноморська політика Туреччини у ХХI ст.»</w:t>
      </w:r>
    </w:p>
    <w:p>
      <w:pPr>
        <w:pStyle w:val="Normal"/>
        <w:tabs>
          <w:tab w:val="clear" w:pos="720"/>
          <w:tab w:val="right" w:pos="9355" w:leader="none"/>
        </w:tabs>
        <w:spacing w:lineRule="auto" w:line="240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«</w:t>
      </w:r>
      <w:r>
        <w:rPr>
          <w:rFonts w:ascii="Times New Roman" w:hAnsi="Times New Roman"/>
          <w:sz w:val="28"/>
          <w:szCs w:val="28"/>
          <w:u w:val="single"/>
          <w:lang w:val="en-US"/>
        </w:rPr>
        <w:t xml:space="preserve">Mediterranean policy of Turkey in the </w:t>
      </w:r>
      <w:r>
        <w:rPr>
          <w:rFonts w:ascii="Times New Roman" w:hAnsi="Times New Roman"/>
          <w:sz w:val="28"/>
          <w:szCs w:val="28"/>
          <w:u w:val="single"/>
          <w:lang w:val="uk-UA"/>
        </w:rPr>
        <w:t>ХХI</w:t>
      </w:r>
      <w:r>
        <w:rPr>
          <w:rFonts w:ascii="Times New Roman" w:hAnsi="Times New Roman"/>
          <w:sz w:val="28"/>
          <w:szCs w:val="28"/>
          <w:u w:val="single"/>
          <w:lang w:val="en-US"/>
        </w:rPr>
        <w:t xml:space="preserve"> century</w:t>
      </w:r>
      <w:r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>
      <w:pPr>
        <w:pStyle w:val="Normal"/>
        <w:tabs>
          <w:tab w:val="clear" w:pos="720"/>
          <w:tab w:val="right" w:pos="9355" w:leader="none"/>
        </w:tabs>
        <w:spacing w:lineRule="auto" w:line="240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Виконав(ла): студент(ка) денної форми навчання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спеціальності 291 –  Міжнародні відносини, </w:t>
      </w:r>
    </w:p>
    <w:p>
      <w:pPr>
        <w:pStyle w:val="Normal"/>
        <w:spacing w:lineRule="auto" w:line="240" w:before="0" w:after="0"/>
        <w:ind w:left="2835" w:hanging="0"/>
        <w:jc w:val="right"/>
        <w:rPr>
          <w:rFonts w:ascii="Times New Roman" w:hAnsi="Times New Roman"/>
          <w:sz w:val="28"/>
          <w:szCs w:val="28"/>
          <w:u w:val="single"/>
          <w:vertAlign w:val="subscript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суспільні комунікації та регіональні студії</w:t>
      </w:r>
    </w:p>
    <w:p>
      <w:pPr>
        <w:pStyle w:val="Normal"/>
        <w:spacing w:lineRule="auto" w:line="120" w:before="0" w:after="0"/>
        <w:ind w:left="2829" w:hanging="0"/>
        <w:jc w:val="right"/>
        <w:rPr>
          <w:rFonts w:ascii="Times New Roman" w:hAnsi="Times New Roman"/>
          <w:sz w:val="28"/>
          <w:szCs w:val="28"/>
          <w:vertAlign w:val="subscript"/>
          <w:lang w:val="uk-UA"/>
        </w:rPr>
      </w:pPr>
      <w:r>
        <w:rPr>
          <w:rFonts w:ascii="Times New Roman" w:hAnsi="Times New Roman"/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>
      <w:pPr>
        <w:pStyle w:val="Normal"/>
        <w:spacing w:lineRule="auto" w:line="120"/>
        <w:jc w:val="right"/>
        <w:rPr>
          <w:rFonts w:ascii="Times New Roman" w:hAnsi="Times New Roman"/>
          <w:sz w:val="44"/>
          <w:szCs w:val="44"/>
          <w:vertAlign w:val="subscript"/>
          <w:lang w:val="uk-UA"/>
        </w:rPr>
      </w:pPr>
      <w:r>
        <w:rPr>
          <w:rFonts w:ascii="Times New Roman" w:hAnsi="Times New Roman"/>
          <w:sz w:val="28"/>
          <w:szCs w:val="28"/>
          <w:vertAlign w:val="subscript"/>
          <w:lang w:val="uk-UA"/>
        </w:rPr>
        <w:tab/>
        <w:tab/>
        <w:tab/>
      </w:r>
      <w:r>
        <w:rPr>
          <w:rFonts w:ascii="Times New Roman" w:hAnsi="Times New Roman"/>
          <w:sz w:val="44"/>
          <w:szCs w:val="44"/>
          <w:vertAlign w:val="subscript"/>
          <w:lang w:val="uk-UA"/>
        </w:rPr>
        <w:t>Дорошко Анастасія Ігорівна</w:t>
      </w:r>
    </w:p>
    <w:p>
      <w:pPr>
        <w:pStyle w:val="Normal"/>
        <w:spacing w:lineRule="auto" w:line="165"/>
        <w:ind w:left="2124" w:firstLine="707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Керівник  д. політ. н., доц. Майстренко Ю.І. _________________________</w:t>
      </w:r>
    </w:p>
    <w:p>
      <w:pPr>
        <w:pStyle w:val="Normal"/>
        <w:spacing w:lineRule="auto" w:line="165"/>
        <w:ind w:left="2124" w:firstLine="707"/>
        <w:jc w:val="right"/>
        <w:rPr>
          <w:rFonts w:ascii="Times New Roman" w:hAnsi="Times New Roman"/>
          <w:sz w:val="20"/>
          <w:szCs w:val="20"/>
          <w:vertAlign w:val="subscript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0"/>
          <w:szCs w:val="20"/>
          <w:lang w:val="uk-UA"/>
        </w:rPr>
        <w:t>науковий ступінь, вчене звання, прізвище та ініціали, підпис)</w:t>
      </w:r>
    </w:p>
    <w:p>
      <w:pPr>
        <w:pStyle w:val="Normal"/>
        <w:tabs>
          <w:tab w:val="clear" w:pos="720"/>
          <w:tab w:val="left" w:pos="5245" w:leader="none"/>
          <w:tab w:val="right" w:pos="9355" w:leader="none"/>
        </w:tabs>
        <w:spacing w:lineRule="auto" w:line="240" w:before="120" w:after="200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</w:t>
      </w:r>
      <w:r>
        <w:rPr>
          <w:rFonts w:ascii="Times New Roman" w:hAnsi="Times New Roman"/>
          <w:sz w:val="28"/>
          <w:szCs w:val="28"/>
          <w:lang w:val="uk-UA"/>
        </w:rPr>
        <w:t>Рецензент  к. політ. н., доц. Глебов С.В.</w:t>
      </w:r>
    </w:p>
    <w:p>
      <w:pPr>
        <w:pStyle w:val="Normal"/>
        <w:tabs>
          <w:tab w:val="clear" w:pos="720"/>
          <w:tab w:val="left" w:pos="5245" w:leader="none"/>
          <w:tab w:val="right" w:pos="9355" w:leader="none"/>
        </w:tabs>
        <w:spacing w:lineRule="auto" w:line="120" w:before="120" w:after="200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0"/>
          <w:szCs w:val="20"/>
          <w:lang w:val="uk-UA"/>
        </w:rPr>
        <w:t>науковий ступінь, вчене звання,прізвище та ініціали)</w:t>
      </w:r>
    </w:p>
    <w:tbl>
      <w:tblPr>
        <w:tblW w:w="9869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082"/>
        <w:gridCol w:w="4786"/>
      </w:tblGrid>
      <w:tr>
        <w:trPr/>
        <w:tc>
          <w:tcPr>
            <w:tcW w:w="5082" w:type="dxa"/>
            <w:tcBorders/>
          </w:tcPr>
          <w:p>
            <w:pPr>
              <w:pStyle w:val="Normal"/>
              <w:widowControl w:val="false"/>
              <w:spacing w:lineRule="auto" w:line="252" w:before="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>
            <w:pPr>
              <w:pStyle w:val="Normal"/>
              <w:widowControl w:val="false"/>
              <w:spacing w:lineRule="auto" w:line="252"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>
            <w:pPr>
              <w:pStyle w:val="Normal"/>
              <w:widowControl w:val="false"/>
              <w:spacing w:lineRule="auto" w:line="252"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 від _9.11._ 2021 р.</w:t>
            </w:r>
          </w:p>
          <w:p>
            <w:pPr>
              <w:pStyle w:val="Normal"/>
              <w:widowControl w:val="false"/>
              <w:spacing w:lineRule="auto" w:line="252" w:before="60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>
            <w:pPr>
              <w:pStyle w:val="Normal"/>
              <w:widowControl w:val="false"/>
              <w:tabs>
                <w:tab w:val="clear" w:pos="720"/>
                <w:tab w:val="left" w:pos="1168" w:leader="none"/>
                <w:tab w:val="left" w:pos="3861" w:leader="none"/>
              </w:tabs>
              <w:spacing w:lineRule="auto" w:line="252" w:before="360" w:after="20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      Брусиловська О.І.</w:t>
            </w:r>
          </w:p>
          <w:p>
            <w:pPr>
              <w:pStyle w:val="Normal"/>
              <w:widowControl w:val="false"/>
              <w:tabs>
                <w:tab w:val="clear" w:pos="720"/>
                <w:tab w:val="left" w:pos="284" w:leader="none"/>
                <w:tab w:val="left" w:pos="1767" w:leader="none"/>
              </w:tabs>
              <w:spacing w:lineRule="auto" w:line="252" w:before="0" w:after="200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</w:p>
        </w:tc>
        <w:tc>
          <w:tcPr>
            <w:tcW w:w="4786" w:type="dxa"/>
            <w:tcBorders/>
          </w:tcPr>
          <w:p>
            <w:pPr>
              <w:pStyle w:val="Normal"/>
              <w:widowControl w:val="false"/>
              <w:tabs>
                <w:tab w:val="clear" w:pos="720"/>
                <w:tab w:val="right" w:pos="4462" w:leader="none"/>
              </w:tabs>
              <w:spacing w:lineRule="auto" w:line="252" w:before="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№__</w:t>
            </w: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>7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</w:t>
            </w:r>
          </w:p>
          <w:p>
            <w:pPr>
              <w:pStyle w:val="Normal"/>
              <w:widowControl w:val="false"/>
              <w:tabs>
                <w:tab w:val="clear" w:pos="720"/>
                <w:tab w:val="right" w:pos="4462" w:leader="none"/>
              </w:tabs>
              <w:spacing w:lineRule="auto" w:line="252"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___ від ______2021 р.</w:t>
            </w:r>
          </w:p>
          <w:p>
            <w:pPr>
              <w:pStyle w:val="Normal"/>
              <w:widowControl w:val="false"/>
              <w:tabs>
                <w:tab w:val="clear" w:pos="720"/>
                <w:tab w:val="right" w:pos="4462" w:leader="none"/>
              </w:tabs>
              <w:spacing w:lineRule="auto" w:line="252" w:before="12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___/____</w:t>
            </w:r>
          </w:p>
          <w:p>
            <w:pPr>
              <w:pStyle w:val="Normal"/>
              <w:widowControl w:val="false"/>
              <w:spacing w:lineRule="auto" w:line="252" w:before="0" w:after="0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>
            <w:pPr>
              <w:pStyle w:val="Normal"/>
              <w:widowControl w:val="false"/>
              <w:spacing w:lineRule="auto" w:line="252" w:before="360"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>
            <w:pPr>
              <w:pStyle w:val="Normal"/>
              <w:widowControl w:val="false"/>
              <w:tabs>
                <w:tab w:val="clear" w:pos="720"/>
                <w:tab w:val="left" w:pos="1446" w:leader="none"/>
                <w:tab w:val="right" w:pos="4462" w:leader="none"/>
              </w:tabs>
              <w:spacing w:lineRule="auto" w:line="252" w:before="360" w:after="20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Глебов В.В.</w:t>
            </w:r>
          </w:p>
          <w:p>
            <w:pPr>
              <w:pStyle w:val="Normal"/>
              <w:widowControl w:val="false"/>
              <w:tabs>
                <w:tab w:val="clear" w:pos="720"/>
                <w:tab w:val="left" w:pos="454" w:leader="none"/>
                <w:tab w:val="left" w:pos="2155" w:leader="none"/>
              </w:tabs>
              <w:spacing w:lineRule="auto" w:line="252" w:before="0" w:after="20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</w:p>
        </w:tc>
      </w:tr>
      <w:tr>
        <w:trPr/>
        <w:tc>
          <w:tcPr>
            <w:tcW w:w="5082" w:type="dxa"/>
            <w:tcBorders/>
          </w:tcPr>
          <w:p>
            <w:pPr>
              <w:pStyle w:val="Normal"/>
              <w:widowControl w:val="false"/>
              <w:spacing w:lineRule="auto" w:line="252" w:before="0" w:after="20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</w:r>
          </w:p>
        </w:tc>
        <w:tc>
          <w:tcPr>
            <w:tcW w:w="4786" w:type="dxa"/>
            <w:tcBorders/>
          </w:tcPr>
          <w:p>
            <w:pPr>
              <w:pStyle w:val="Normal"/>
              <w:widowControl w:val="false"/>
              <w:spacing w:lineRule="auto" w:line="252" w:before="0" w:after="20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</w:r>
          </w:p>
        </w:tc>
      </w:tr>
    </w:tbl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</w:r>
    </w:p>
    <w:p>
      <w:pPr>
        <w:pStyle w:val="Normal"/>
        <w:rPr>
          <w:rFonts w:ascii="Times New Roman" w:hAnsi="Times New Roman"/>
          <w:b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               </w:t>
      </w:r>
      <w:r>
        <w:rPr>
          <w:rFonts w:ascii="Times New Roman" w:hAnsi="Times New Roman"/>
          <w:b/>
          <w:sz w:val="28"/>
          <w:szCs w:val="28"/>
          <w:lang w:val="uk-UA"/>
        </w:rPr>
        <w:t>Одеса 2021</w:t>
      </w:r>
    </w:p>
    <w:p>
      <w:pPr>
        <w:pStyle w:val="Normal"/>
        <w:spacing w:lineRule="auto" w:line="360" w:before="0" w:after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  <w:t xml:space="preserve">                                                           </w:t>
      </w: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  <w:t>ЗМІСТ</w:t>
      </w:r>
      <w:r>
        <w:rPr>
          <w:rFonts w:ascii="Times New Roman" w:hAnsi="Times New Roman"/>
          <w:b/>
          <w:bCs/>
          <w:spacing w:val="2"/>
          <w:sz w:val="28"/>
          <w:szCs w:val="28"/>
        </w:rPr>
        <w:t xml:space="preserve">        </w:t>
      </w:r>
    </w:p>
    <w:p>
      <w:pPr>
        <w:pStyle w:val="Normal"/>
        <w:tabs>
          <w:tab w:val="clear" w:pos="720"/>
          <w:tab w:val="right" w:pos="9355" w:leader="none"/>
        </w:tabs>
        <w:spacing w:lineRule="auto" w:line="360" w:before="0" w:after="0"/>
        <w:ind w:left="357" w:hanging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Вступ </w:t>
      </w:r>
      <w:r>
        <w:rPr>
          <w:rFonts w:ascii="Times New Roman" w:hAnsi="Times New Roman"/>
          <w:bCs/>
          <w:sz w:val="28"/>
          <w:szCs w:val="28"/>
          <w:lang w:val="uk-UA"/>
        </w:rPr>
        <w:t>................................................................................................................  3</w:t>
      </w:r>
    </w:p>
    <w:p>
      <w:pPr>
        <w:pStyle w:val="Normal"/>
        <w:tabs>
          <w:tab w:val="clear" w:pos="720"/>
          <w:tab w:val="right" w:pos="9355" w:leader="none"/>
        </w:tabs>
        <w:spacing w:lineRule="auto" w:line="360" w:before="0" w:after="0"/>
        <w:ind w:left="357" w:hanging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Розділ 1. Теоретичні засади дослідження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..................................................... 7</w:t>
      </w:r>
    </w:p>
    <w:p>
      <w:pPr>
        <w:pStyle w:val="Normal"/>
        <w:spacing w:lineRule="auto" w:line="360" w:before="0" w:after="0"/>
        <w:ind w:left="357" w:hanging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Розділ</w:t>
      </w:r>
      <w:r>
        <w:rPr>
          <w:rFonts w:ascii="Times New Roman" w:hAnsi="Times New Roman"/>
          <w:bCs/>
          <w:sz w:val="28"/>
          <w:szCs w:val="28"/>
          <w:lang w:val="uk-UA"/>
        </w:rPr>
        <w:t> </w:t>
      </w:r>
      <w:r>
        <w:rPr>
          <w:rFonts w:ascii="Times New Roman" w:hAnsi="Times New Roman"/>
          <w:bCs/>
          <w:sz w:val="28"/>
          <w:szCs w:val="28"/>
        </w:rPr>
        <w:t>2.</w:t>
      </w:r>
      <w:r>
        <w:rPr>
          <w:rFonts w:ascii="Times New Roman" w:hAnsi="Times New Roman"/>
          <w:bCs/>
          <w:sz w:val="28"/>
          <w:szCs w:val="28"/>
          <w:lang w:val="uk-UA"/>
        </w:rPr>
        <w:t> Зацікавленість Турецької республіки Середземноморському   регіоні............................................................................................................... 27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Розділ 3. Політичні зіткнення Турецької республіки з країнами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Cs/>
          <w:sz w:val="24"/>
          <w:szCs w:val="24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Середземноморського регіону....................................................................... 47  </w:t>
      </w:r>
      <w:r>
        <w:rPr>
          <w:rFonts w:ascii="Times New Roman" w:hAnsi="Times New Roman"/>
          <w:bCs/>
          <w:sz w:val="24"/>
          <w:szCs w:val="24"/>
          <w:lang w:val="uk-UA"/>
        </w:rPr>
        <w:t xml:space="preserve">                                                                    </w:t>
      </w:r>
    </w:p>
    <w:p>
      <w:pPr>
        <w:pStyle w:val="Normal"/>
        <w:tabs>
          <w:tab w:val="clear" w:pos="720"/>
          <w:tab w:val="right" w:pos="9355" w:leader="none"/>
        </w:tabs>
        <w:spacing w:lineRule="auto" w:line="360" w:before="0" w:after="0"/>
        <w:ind w:left="357" w:hanging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Висновки.......................................................................................................... 66</w:t>
      </w:r>
    </w:p>
    <w:p>
      <w:pPr>
        <w:pStyle w:val="Normal"/>
        <w:tabs>
          <w:tab w:val="clear" w:pos="720"/>
          <w:tab w:val="right" w:pos="9355" w:leader="none"/>
        </w:tabs>
        <w:spacing w:lineRule="auto" w:line="360" w:before="0" w:after="0"/>
        <w:ind w:left="357" w:hanging="0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Список використаної літератури</w:t>
      </w:r>
      <w:r>
        <w:rPr>
          <w:rFonts w:ascii="Times New Roman" w:hAnsi="Times New Roman"/>
          <w:bCs/>
          <w:sz w:val="28"/>
          <w:szCs w:val="28"/>
          <w:lang w:val="uk-UA"/>
        </w:rPr>
        <w:t>................................................................... 6</w:t>
      </w:r>
      <w:r>
        <w:rPr>
          <w:rFonts w:ascii="Times New Roman" w:hAnsi="Times New Roman"/>
          <w:bCs/>
          <w:sz w:val="28"/>
          <w:szCs w:val="28"/>
        </w:rPr>
        <w:t>8</w:t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</w:r>
    </w:p>
    <w:p>
      <w:pPr>
        <w:pStyle w:val="Normal"/>
        <w:tabs>
          <w:tab w:val="clear" w:pos="720"/>
          <w:tab w:val="left" w:pos="1080" w:leader="none"/>
        </w:tabs>
        <w:ind w:left="360" w:hanging="0"/>
        <w:jc w:val="both"/>
        <w:rPr>
          <w:rFonts w:ascii="Times New Roman" w:hAnsi="Times New Roman"/>
          <w:b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ВСТУП</w:t>
      </w:r>
    </w:p>
    <w:p>
      <w:pPr>
        <w:pStyle w:val="Normal"/>
        <w:tabs>
          <w:tab w:val="clear" w:pos="720"/>
          <w:tab w:val="left" w:pos="1080" w:leader="none"/>
        </w:tabs>
        <w:spacing w:lineRule="auto" w:line="360" w:before="0" w:after="0"/>
        <w:ind w:left="357" w:firstLine="723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Актуальність теми дослідження обумовлена тим, що Середземномор’я має вагоме місце, в рамках системи міжнародних відносин. В останнє десятиліття регіон характеризується особливою зростаючою стратегічною значимістю для Турецької республіки, що знайшла відображення в політиці як регіональних, так і глобальних акторів. Цей процес безпосередньо пов’язаний з виявленням у регіоні значних запасів викопних джерел енергії і можливістю для прибережних країн,  розробляти нові родовища або бути частиною транзитного маршруту. Більше того, тут розташовуються найбільш значущі на сьогоднішній день зони ескалації військових конфліктів, що привертають увагу і торкаються інтересів цілої низки держав далеко за межами регіону. Все це сприяє активізацію політики різних гравців у Східному Середземномор</w:t>
      </w:r>
      <w:r>
        <w:rPr>
          <w:rFonts w:ascii="Times New Roman" w:hAnsi="Times New Roman"/>
          <w:bCs/>
          <w:sz w:val="28"/>
          <w:szCs w:val="28"/>
        </w:rPr>
        <w:t>’</w:t>
      </w:r>
      <w:r>
        <w:rPr>
          <w:rFonts w:ascii="Times New Roman" w:hAnsi="Times New Roman"/>
          <w:bCs/>
          <w:sz w:val="28"/>
          <w:szCs w:val="28"/>
          <w:lang w:val="uk-UA"/>
        </w:rPr>
        <w:t>ї та посиленому суперництву, а отже, набуттю комплексного розвитку регіону.</w:t>
      </w:r>
    </w:p>
    <w:p>
      <w:pPr>
        <w:pStyle w:val="Normal"/>
        <w:tabs>
          <w:tab w:val="clear" w:pos="720"/>
          <w:tab w:val="left" w:pos="1080" w:leader="none"/>
          <w:tab w:val="left" w:pos="1440" w:leader="none"/>
        </w:tabs>
        <w:spacing w:lineRule="auto" w:line="360" w:before="0" w:after="0"/>
        <w:ind w:left="357" w:firstLine="723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Наукова актуальність теми дослідження визначає об’єктивну потребу наукового осмислення зовнішньої політики Туреччини на сучасному етапі. З огляду зростаючої зовнішньополітичної активності початку XXI століття та   все більш динамічну політику в Східному Середземномор’ї Турецької  республіки. </w:t>
      </w:r>
    </w:p>
    <w:p>
      <w:pPr>
        <w:pStyle w:val="Normal"/>
        <w:tabs>
          <w:tab w:val="clear" w:pos="720"/>
          <w:tab w:val="left" w:pos="180" w:leader="none"/>
          <w:tab w:val="left" w:pos="1080" w:leader="none"/>
        </w:tabs>
        <w:spacing w:lineRule="auto" w:line="360" w:before="0" w:after="0"/>
        <w:ind w:left="357" w:hanging="0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Практична актуальність обумовлена тим, що Середземномор’я </w:t>
      </w:r>
      <w:r>
        <w:rPr>
          <w:rFonts w:ascii="Times New Roman" w:hAnsi="Times New Roman"/>
          <w:sz w:val="24"/>
          <w:szCs w:val="24"/>
          <w:lang w:val="uk-UA"/>
        </w:rPr>
        <w:t>–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не просто окремий зовнішньополітичний напрямок Туреччини, а частина більш масштабного близькосхідного плану дій щодо закріплення статусу регіонального лідера з амбіціями на глобальному рівні.</w:t>
      </w:r>
    </w:p>
    <w:p>
      <w:pPr>
        <w:pStyle w:val="Normal"/>
        <w:tabs>
          <w:tab w:val="clear" w:pos="720"/>
          <w:tab w:val="left" w:pos="4050" w:leader="none"/>
        </w:tabs>
        <w:spacing w:lineRule="auto" w:line="360" w:before="0" w:after="0"/>
        <w:ind w:left="357" w:firstLine="723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Мета наукового дослідження полягає в комплексному аналізі регіональної політики Туреччини в Середземномор’ї </w:t>
      </w:r>
      <w:r>
        <w:rPr>
          <w:rFonts w:ascii="Times New Roman" w:hAnsi="Times New Roman"/>
          <w:sz w:val="28"/>
          <w:szCs w:val="28"/>
        </w:rPr>
        <w:t>в ХХІ столітті</w:t>
      </w:r>
      <w:r>
        <w:rPr>
          <w:rFonts w:ascii="Times New Roman" w:hAnsi="Times New Roman"/>
          <w:sz w:val="28"/>
          <w:szCs w:val="28"/>
          <w:lang w:val="uk-UA" w:eastAsia="ru-RU"/>
        </w:rPr>
        <w:t>. Для досягнення поставленої мети необхідно виконати наступні завдання:</w:t>
      </w:r>
    </w:p>
    <w:p>
      <w:pPr>
        <w:pStyle w:val="ListParagraph"/>
        <w:tabs>
          <w:tab w:val="clear" w:pos="720"/>
          <w:tab w:val="left" w:pos="709" w:leader="none"/>
        </w:tabs>
        <w:spacing w:lineRule="auto" w:line="360" w:before="0" w:after="0"/>
        <w:ind w:left="-360" w:firstLine="1440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1)  розглянути теоретичні основи дослідження;</w:t>
      </w:r>
    </w:p>
    <w:p>
      <w:pPr>
        <w:pStyle w:val="ListParagraph"/>
        <w:tabs>
          <w:tab w:val="clear" w:pos="720"/>
          <w:tab w:val="left" w:pos="709" w:leader="none"/>
        </w:tabs>
        <w:spacing w:lineRule="auto" w:line="360" w:before="0" w:after="0"/>
        <w:ind w:left="360" w:hanging="0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2) проаналізувати концептуальні засади зовнішньої політики Туреччини в </w:t>
      </w:r>
      <w:r>
        <w:rPr>
          <w:rFonts w:ascii="Times New Roman" w:hAnsi="Times New Roman"/>
          <w:sz w:val="28"/>
          <w:szCs w:val="28"/>
          <w:lang w:val="uk-UA" w:eastAsia="ru-RU"/>
        </w:rPr>
        <w:t>Середземномор’ї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;</w:t>
      </w:r>
    </w:p>
    <w:p>
      <w:pPr>
        <w:pStyle w:val="ListParagraph"/>
        <w:spacing w:lineRule="auto" w:line="360" w:before="0" w:after="0"/>
        <w:ind w:left="360" w:hanging="0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eastAsia="ru-RU"/>
        </w:rPr>
        <w:t>3)</w:t>
      </w:r>
      <w:r>
        <w:rPr>
          <w:rFonts w:ascii="Times New Roman" w:hAnsi="Times New Roman"/>
          <w:color w:val="000000"/>
          <w:sz w:val="28"/>
          <w:szCs w:val="28"/>
          <w:lang w:val="en-US" w:eastAsia="ru-RU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визначити  проблематику між країнами Середземноморського регіону;</w:t>
      </w:r>
    </w:p>
    <w:p>
      <w:pPr>
        <w:pStyle w:val="ListParagraph"/>
        <w:spacing w:lineRule="auto" w:line="360" w:before="0" w:after="0"/>
        <w:ind w:left="360" w:firstLine="360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       </w:t>
      </w:r>
      <w:r>
        <w:rPr>
          <w:rFonts w:ascii="Times New Roman" w:hAnsi="Times New Roman"/>
          <w:bCs/>
          <w:sz w:val="28"/>
          <w:szCs w:val="28"/>
        </w:rPr>
        <w:t>4)</w:t>
      </w:r>
      <w:r>
        <w:rPr>
          <w:rFonts w:ascii="Times New Roman" w:hAnsi="Times New Roman"/>
          <w:bCs/>
          <w:sz w:val="28"/>
          <w:szCs w:val="28"/>
          <w:lang w:val="en-US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/>
          <w:bCs/>
          <w:sz w:val="28"/>
          <w:szCs w:val="28"/>
        </w:rPr>
        <w:t>урецьке стратегічне бачення та енергетичні проблеми в Середземномор’ї;</w:t>
      </w:r>
    </w:p>
    <w:p>
      <w:pPr>
        <w:pStyle w:val="Normal"/>
        <w:spacing w:lineRule="auto" w:line="360" w:before="0" w:after="0"/>
        <w:ind w:left="357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  <w:r>
        <w:rPr>
          <w:rFonts w:ascii="Times New Roman" w:hAnsi="Times New Roman"/>
          <w:sz w:val="28"/>
          <w:szCs w:val="28"/>
          <w:lang w:val="uk-UA"/>
        </w:rPr>
        <w:t>Об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єктом дослідження є зовнішня політика Туреччини</w:t>
      </w:r>
      <w:r>
        <w:rPr>
          <w:rFonts w:ascii="Times New Roman" w:hAnsi="Times New Roman"/>
          <w:sz w:val="28"/>
          <w:szCs w:val="28"/>
        </w:rPr>
        <w:t>;</w:t>
      </w:r>
    </w:p>
    <w:p>
      <w:pPr>
        <w:pStyle w:val="Normal"/>
        <w:tabs>
          <w:tab w:val="clear" w:pos="720"/>
          <w:tab w:val="left" w:pos="4050" w:leader="none"/>
        </w:tabs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      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Предметом дослідження </w:t>
      </w:r>
      <w:r>
        <w:rPr>
          <w:sz w:val="20"/>
        </w:rPr>
        <w:t>–</w:t>
      </w:r>
      <w:r>
        <w:rPr>
          <w:sz w:val="20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основні напрями зовнішньої політики Туреччини </w:t>
      </w:r>
      <w:r>
        <w:rPr>
          <w:rFonts w:ascii="Times New Roman" w:hAnsi="Times New Roman"/>
          <w:sz w:val="28"/>
          <w:szCs w:val="28"/>
          <w:lang w:val="uk-UA"/>
        </w:rPr>
        <w:t>в Середземномор’ї.</w:t>
      </w:r>
    </w:p>
    <w:p>
      <w:pPr>
        <w:pStyle w:val="Normal"/>
        <w:tabs>
          <w:tab w:val="clear" w:pos="720"/>
          <w:tab w:val="left" w:pos="4050" w:leader="none"/>
        </w:tabs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В рамках предмета дослідження підлягає вивченню ряд історіографічних комплексів англійською, турецькою, українською та російською мовами, що включають розгляд: теоретичних аспектів розвитку міжнародних відносин в Середземномор’ї, проблеми  Туреччини і її зовнішньої політики, питань історії розвитку відносин між Туреччиною та країнами Середземномор’я. </w:t>
      </w:r>
    </w:p>
    <w:p>
      <w:pPr>
        <w:pStyle w:val="Normal"/>
        <w:tabs>
          <w:tab w:val="clear" w:pos="720"/>
          <w:tab w:val="left" w:pos="4050" w:leader="none"/>
        </w:tabs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</w:t>
      </w:r>
      <w:r>
        <w:rPr>
          <w:rFonts w:ascii="Times New Roman" w:hAnsi="Times New Roman"/>
          <w:sz w:val="28"/>
          <w:szCs w:val="28"/>
          <w:lang w:val="uk-UA" w:eastAsia="ru-RU"/>
        </w:rPr>
        <w:t>Первинні та вторинні джерела, які були використані в магістерській роботі включають в себе загальні праці з міжнародних відносин, роботи вчених-сходознавців, наукові статті, офіціальні звернення правлячої еліти, виступів офіційних осіб, матеріалів преси.</w:t>
      </w:r>
    </w:p>
    <w:p>
      <w:pPr>
        <w:pStyle w:val="Normal"/>
        <w:tabs>
          <w:tab w:val="clear" w:pos="720"/>
          <w:tab w:val="left" w:pos="4050" w:leader="none"/>
        </w:tabs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Хронологічні рамки дослідження охоплюють період</w:t>
      </w:r>
      <w:r>
        <w:rPr>
          <w:rFonts w:ascii="Times New Roman" w:hAnsi="Times New Roman"/>
          <w:sz w:val="28"/>
          <w:szCs w:val="28"/>
          <w:lang w:val="uk-UA"/>
        </w:rPr>
        <w:t xml:space="preserve"> ХХІ століття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, а саме правління Р.Т.Ердогана.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У роботі використовуються якісні методи дослідження, які включають методи збору архівних та документальних досліджень й метод збору медіа й вторинних джерел. Як метод аналізу якісних даних використано дискурс-аналіз, який дозволить зрозуміти характер відносин між Туреччиною та країнами</w:t>
      </w:r>
      <w:r>
        <w:rPr>
          <w:rFonts w:ascii="Times New Roman" w:hAnsi="Times New Roman"/>
          <w:sz w:val="28"/>
          <w:szCs w:val="28"/>
          <w:lang w:val="uk-UA"/>
        </w:rPr>
        <w:t xml:space="preserve"> Середземномор’я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. На основі отриманих даних можливо сформувати загальне уявлення про направленість зовнішньої політики Туреччини.</w:t>
      </w:r>
    </w:p>
    <w:p>
      <w:pPr>
        <w:pStyle w:val="Normal"/>
        <w:tabs>
          <w:tab w:val="clear" w:pos="720"/>
          <w:tab w:val="left" w:pos="1080" w:leader="none"/>
        </w:tabs>
        <w:spacing w:lineRule="auto" w:line="360" w:before="0" w:after="0"/>
        <w:ind w:left="357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Також використано системний підхід, який дозволив представити комплексне бачення середовища, в якому здійснює свою </w:t>
      </w:r>
      <w:r>
        <w:rPr>
          <w:rFonts w:ascii="Times New Roman" w:hAnsi="Times New Roman"/>
          <w:sz w:val="28"/>
          <w:szCs w:val="28"/>
          <w:lang w:val="uk-UA" w:eastAsia="ru-RU"/>
        </w:rPr>
        <w:t>зовнішню політику Туреччина</w:t>
      </w:r>
      <w:r>
        <w:rPr>
          <w:rFonts w:ascii="Times New Roman" w:hAnsi="Times New Roman"/>
          <w:sz w:val="28"/>
          <w:szCs w:val="28"/>
          <w:lang w:val="uk-UA"/>
        </w:rPr>
        <w:t>. Системний підхід до вивчення багатофакторної регіональної міжнародної ситуації дозволив дати цілісний аналіз багаторівневої системи міжнародних відносин в Середземномор’ї. Принцип історизму, котрий також використовується в роботі, ставить вимогу вивчати предмет дослідження в його розвитку з чіткою прив’язкою роботи до просторово-часових координат існування об’єкта й предмета, що вимагає підтримки системності дослідження, а саме – з’ясування причин, умов, особливостей появи та етапів функціонування досліджуваного феномену.</w:t>
      </w:r>
    </w:p>
    <w:p>
      <w:pPr>
        <w:pStyle w:val="Normal"/>
        <w:spacing w:lineRule="auto" w:line="360" w:before="0" w:after="0"/>
        <w:ind w:left="357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Отож комплексний характер наукової проблеми зумовив обрання відповідної методології дослідження, яка ґрунтується на загальних та спеціальних методах пізнання. </w:t>
      </w:r>
      <w:r>
        <w:rPr>
          <w:rFonts w:ascii="Times New Roman" w:hAnsi="Times New Roman"/>
          <w:sz w:val="28"/>
          <w:szCs w:val="28"/>
        </w:rPr>
        <w:t>У цілому розрізняють загальнонаукові та конкретно-наукові (спеціальні, емпіричні) методи. Із загальнонаукових методів використано діалектичний, історичний, логіко-семантичний, аналіз, синтез, індукцію, дедукцію, аналогію, моделювання тощо.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sz w:val="28"/>
          <w:szCs w:val="28"/>
          <w:lang w:val="uk-UA"/>
        </w:rPr>
        <w:t xml:space="preserve">Наукова новизна даного дослідження полягає в тому, що вперше був проведений комплексний аналіз умов, в яких здійснюється зовнішня політика Туреччини; удосконалено результати системного підходу щодо </w:t>
      </w:r>
      <w:r>
        <w:rPr>
          <w:rFonts w:ascii="Times New Roman" w:hAnsi="Times New Roman"/>
          <w:sz w:val="28"/>
          <w:szCs w:val="28"/>
          <w:lang w:val="uk-UA" w:eastAsia="ru-RU"/>
        </w:rPr>
        <w:t>основних напрямків співробітництва на сучасному етапі розвитку</w:t>
      </w:r>
      <w:r>
        <w:rPr>
          <w:rFonts w:ascii="Times New Roman" w:hAnsi="Times New Roman"/>
          <w:sz w:val="28"/>
          <w:szCs w:val="28"/>
          <w:lang w:val="uk-UA"/>
        </w:rPr>
        <w:t xml:space="preserve">; набуло подальшого розвитку визначення </w:t>
      </w:r>
      <w:r>
        <w:rPr>
          <w:rFonts w:ascii="Times New Roman" w:hAnsi="Times New Roman"/>
          <w:sz w:val="28"/>
          <w:szCs w:val="28"/>
          <w:lang w:val="uk-UA" w:eastAsia="ru-RU"/>
        </w:rPr>
        <w:t>факторів, на основі яких формувалися принципи зовнішньої політики сучасної Туреччини.</w:t>
      </w:r>
    </w:p>
    <w:p>
      <w:pPr>
        <w:pStyle w:val="Normal"/>
        <w:spacing w:lineRule="auto" w:line="360" w:before="0" w:after="0"/>
        <w:ind w:left="36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Дана робота складається з трьох розділів, кожен з яких розкриває конкретну суть дослідження. Так, у першому розділі проводиться характеристика обраного напряму дослідження міжнародних відносин, а також надано огляд джерельної бази дослідження та методів, котрі застосовувались під час написання роботи. </w:t>
      </w:r>
    </w:p>
    <w:p>
      <w:pPr>
        <w:pStyle w:val="Normal"/>
        <w:spacing w:lineRule="auto" w:line="360" w:before="0" w:after="0"/>
        <w:ind w:left="360" w:firstLine="3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sz w:val="28"/>
          <w:szCs w:val="28"/>
        </w:rPr>
        <w:t xml:space="preserve">У другому розділі </w:t>
      </w:r>
      <w:r>
        <w:rPr>
          <w:rFonts w:ascii="Times New Roman" w:hAnsi="Times New Roman"/>
          <w:sz w:val="28"/>
          <w:szCs w:val="28"/>
          <w:lang w:val="uk-UA"/>
        </w:rPr>
        <w:t>проаналізовано зовнішньополітичний курс Туреччини в Середземноморському регіоні.</w:t>
      </w:r>
    </w:p>
    <w:p>
      <w:pPr>
        <w:pStyle w:val="Normal"/>
        <w:spacing w:lineRule="auto" w:line="360" w:before="0" w:after="0"/>
        <w:ind w:left="360" w:firstLine="34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sz w:val="28"/>
          <w:szCs w:val="28"/>
          <w:lang w:val="uk-UA"/>
        </w:rPr>
        <w:t xml:space="preserve">Третій розділ передбачає вивчення проблематики відносин між країнами Середземномор’я та Туреччиною. </w:t>
      </w:r>
    </w:p>
    <w:p>
      <w:pPr>
        <w:pStyle w:val="Normal"/>
        <w:tabs>
          <w:tab w:val="clear" w:pos="720"/>
          <w:tab w:val="left" w:pos="1080" w:leader="none"/>
        </w:tabs>
        <w:spacing w:lineRule="auto" w:line="360" w:before="0" w:after="0"/>
        <w:ind w:left="360" w:firstLine="349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Магістерська робота складається зі вступу, основної частини (трьох розділів), висновків та списку використаних джерел</w:t>
      </w:r>
      <w:r>
        <w:rPr>
          <w:rFonts w:ascii="Times New Roman" w:hAnsi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що складає 66 сторінок.</w:t>
      </w:r>
      <w:r>
        <w:rPr>
          <w:rFonts w:ascii="Times New Roman" w:hAnsi="Times New Roman"/>
          <w:color w:val="FF0000"/>
          <w:sz w:val="28"/>
          <w:szCs w:val="28"/>
        </w:rPr>
        <w:t xml:space="preserve">               </w:t>
      </w:r>
      <w:r>
        <w:br w:type="page"/>
      </w:r>
    </w:p>
    <w:p>
      <w:pPr>
        <w:pStyle w:val="Normal"/>
        <w:spacing w:lineRule="auto" w:line="360" w:before="0" w:after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  <w:t xml:space="preserve">                  </w:t>
      </w:r>
    </w:p>
    <w:p>
      <w:pPr>
        <w:pStyle w:val="Normal"/>
        <w:spacing w:lineRule="auto" w:line="360" w:before="0" w:after="0"/>
        <w:ind w:left="360" w:hanging="0"/>
        <w:jc w:val="right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center"/>
        <w:rPr>
          <w:rFonts w:ascii="Times New Roman" w:hAnsi="Times New Roman"/>
          <w:b/>
          <w:b/>
          <w:color w:val="000000"/>
          <w:sz w:val="28"/>
          <w:szCs w:val="28"/>
          <w:shd w:fill="FFFFFF" w:val="clear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shd w:fill="FFFFFF" w:val="clear"/>
          <w:lang w:val="uk-UA"/>
        </w:rPr>
        <w:t>ВИСНОВКИ</w:t>
      </w:r>
    </w:p>
    <w:p>
      <w:pPr>
        <w:pStyle w:val="Normal"/>
        <w:spacing w:lineRule="auto" w:line="360" w:before="0" w:after="0"/>
        <w:ind w:left="36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>
        <w:rPr>
          <w:rFonts w:ascii="Times New Roman" w:hAnsi="Times New Roman"/>
          <w:sz w:val="28"/>
          <w:szCs w:val="28"/>
          <w:lang w:val="uk-UA"/>
        </w:rPr>
        <w:t>Отже, нами були розглянуті основні напрямки п</w:t>
      </w:r>
      <w:r>
        <w:rPr>
          <w:rFonts w:eastAsia="SimSun" w:ascii="Times New Roman" w:hAnsi="Times New Roman"/>
          <w:kern w:val="2"/>
          <w:sz w:val="28"/>
          <w:szCs w:val="28"/>
          <w:lang w:val="uk-UA" w:eastAsia="zh-CN" w:bidi="hi-IN"/>
        </w:rPr>
        <w:t>олітики Турецької Республіки в регіоні Середземномор’я</w:t>
      </w:r>
      <w:r>
        <w:rPr>
          <w:rFonts w:ascii="Times New Roman" w:hAnsi="Times New Roman"/>
          <w:sz w:val="28"/>
          <w:szCs w:val="28"/>
          <w:lang w:val="uk-UA"/>
        </w:rPr>
        <w:t>. Відповідно ми можемо зробити наступні висновки.</w:t>
      </w:r>
    </w:p>
    <w:p>
      <w:pPr>
        <w:pStyle w:val="Normal"/>
        <w:spacing w:lineRule="auto" w:line="360" w:before="0" w:after="0"/>
        <w:ind w:left="36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розкриття та пояснення характеру зовнішньої політики Туреччини в Середземномор’ї, її змісту та закономірностей є застосування науково-теоретичної бази школи політичного реалізму.</w:t>
      </w:r>
    </w:p>
    <w:p>
      <w:pPr>
        <w:pStyle w:val="Normal"/>
        <w:tabs>
          <w:tab w:val="clear" w:pos="720"/>
          <w:tab w:val="left" w:pos="900" w:leader="none"/>
        </w:tabs>
        <w:spacing w:lineRule="auto" w:line="360" w:before="0" w:after="0"/>
        <w:ind w:left="36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Нами було розглянуто регіональну політику Туреччини в Середземномор’ї, саме тут зіткнулися інтереси основних регіональних акторів, серед яких Туреччина прагне грати лідируючу роль.</w:t>
      </w:r>
    </w:p>
    <w:p>
      <w:pPr>
        <w:pStyle w:val="Normal"/>
        <w:tabs>
          <w:tab w:val="clear" w:pos="720"/>
          <w:tab w:val="left" w:pos="900" w:leader="none"/>
        </w:tabs>
        <w:spacing w:lineRule="auto" w:line="360" w:before="0" w:after="0"/>
        <w:ind w:left="36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Давитоуглу заклав ідеологічні основи сучасної зовнішньої політики. Політична доктрина Давитоуглу й сьогодні продовжує відігравати визначальну роль у зовнішній політиці Туреччини. Зовнішня політика Туреччини заснована на стійких, стабільних принципах, які є її провідниками на міжнародній арені. «Загальні принципи» в більш поширеному значенні є тими самими загальними та вічними правилами, які не втрачають своєї дії ні в якому разі.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           </w:t>
      </w:r>
      <w:r>
        <w:rPr>
          <w:rFonts w:ascii="Times New Roman" w:hAnsi="Times New Roman"/>
          <w:sz w:val="28"/>
          <w:szCs w:val="28"/>
        </w:rPr>
        <w:t xml:space="preserve">Виходячи з вищесказаного, нову позицію і формат відносин Туреччини з міжнародним співтовариством можна визначити як логічну і доцільну. Сьогоднішня зовнішньополітична парадигма спрямована на посилення лідерських позицій передусім у територіально близьких регіонах, споріднених культурно та релігійно. 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</w:rPr>
        <w:t>дміністрація Р.</w:t>
      </w:r>
      <w:r>
        <w:rPr>
          <w:rFonts w:ascii="Times New Roman" w:hAnsi="Times New Roman"/>
          <w:sz w:val="28"/>
          <w:szCs w:val="28"/>
          <w:lang w:val="uk-UA"/>
        </w:rPr>
        <w:t>Т.</w:t>
      </w:r>
      <w:r>
        <w:rPr>
          <w:rFonts w:ascii="Times New Roman" w:hAnsi="Times New Roman"/>
          <w:sz w:val="28"/>
          <w:szCs w:val="28"/>
        </w:rPr>
        <w:t xml:space="preserve"> Ердогана зробила своєчасний вибір на користь цих напрямків, де політика країни є бажаною, а підґрунтя для її реалізації сприятливим. Враховуючи зростання економічного потенціалу країни, можна зробити прогноз, що уряд успішно продовжуватиме об’єднання Близького Сходу, де Туреччина відіграватиме провідну роль лідера, центру і зразка для інших акторів і залишатиметься готовою долучатися політичним, гуманітарним і дипломатичним шляхом, як в односторонньому порядку, так і в альянсі з союзникамидля врегулювання політичної ситуації в країнах регіону. Течії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</w:rPr>
        <w:t>неоосманізму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</w:rPr>
        <w:t xml:space="preserve"> та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</w:rPr>
        <w:t>неопантюркізму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</w:rPr>
        <w:t xml:space="preserve">, в основі яких лежить побудова великої могутньої міжнародної спільноти та об’єднання всіх тюркських народів, а також активна участь країни в житті не лише Близького Сходу, але і в інших сусідніх регіонах має амбітні плани щодо присутності ТР у всіх пріоритетних для держави регіонах, причому на базі асиметричних відносин. Принцип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</w:rPr>
        <w:t>нуль проблем з сусідами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</w:rPr>
        <w:t>, безсумнівно, ще деякий час залишатиметься домінуючим, та все-таки Туреччина, судячи з усього, стане більш активною у питанні підтримки народних рухів і більш критичною по відношенню до диктаторських режимів у регіоні. В результаті, Турецька Республіка, шляхом слідування новим зовнішньополітичним пріоритетам не лише закріпиться як регіональний лідер, але і значно зміцнить свої позиції на міжнародній політичній арені у відносинах з країнами Заходу.</w:t>
      </w:r>
    </w:p>
    <w:p>
      <w:pPr>
        <w:pStyle w:val="Normal"/>
        <w:tabs>
          <w:tab w:val="clear" w:pos="720"/>
          <w:tab w:val="left" w:pos="900" w:leader="none"/>
        </w:tabs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</w:t>
      </w:r>
      <w:r>
        <w:rPr>
          <w:rFonts w:ascii="Times New Roman" w:hAnsi="Times New Roman"/>
          <w:sz w:val="28"/>
          <w:szCs w:val="28"/>
          <w:lang w:val="uk-UA"/>
        </w:rPr>
        <w:t>Потрібно зазначити  причини конфліктів Туреччини з іншими країнами Середземномор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 першу чергу це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енергетична проблема</w:t>
      </w:r>
      <w:r>
        <w:rPr>
          <w:rFonts w:ascii="Times New Roman" w:hAnsi="Times New Roman"/>
          <w:sz w:val="28"/>
          <w:szCs w:val="28"/>
        </w:rPr>
        <w:t>. К</w:t>
      </w:r>
      <w:r>
        <w:rPr>
          <w:rFonts w:ascii="Times New Roman" w:hAnsi="Times New Roman"/>
          <w:sz w:val="28"/>
          <w:szCs w:val="28"/>
          <w:lang w:val="uk-UA"/>
        </w:rPr>
        <w:t>рім того активна позиція регіонального лідерства Туреччини</w:t>
      </w:r>
      <w:r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не влаштовує ряд Європейских країн</w:t>
      </w:r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а саме Францію та Грецію.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</w:rPr>
      </w:pPr>
      <w:r>
        <w:rPr>
          <w:rFonts w:ascii="Times New Roman" w:hAnsi="Times New Roman"/>
          <w:b/>
          <w:bCs/>
          <w:spacing w:val="2"/>
          <w:sz w:val="28"/>
          <w:szCs w:val="28"/>
        </w:rPr>
      </w:r>
    </w:p>
    <w:p>
      <w:pPr>
        <w:pStyle w:val="Normal"/>
        <w:spacing w:lineRule="auto" w:line="360" w:before="0" w:after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/>
          <w:b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СПИСОК ВИКОРИСТАНОЇ ЛІТЕРАТУРИ </w:t>
      </w:r>
    </w:p>
    <w:p>
      <w:pPr>
        <w:pStyle w:val="Normal"/>
        <w:tabs>
          <w:tab w:val="clear" w:pos="720"/>
          <w:tab w:val="left" w:pos="900" w:leader="none"/>
        </w:tabs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color w:val="FF0000"/>
          <w:sz w:val="28"/>
          <w:szCs w:val="28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Аватков В.А. </w:t>
      </w:r>
      <w:r>
        <w:rPr>
          <w:rFonts w:ascii="Times New Roman" w:hAnsi="Times New Roman"/>
          <w:i/>
          <w:color w:val="000000"/>
          <w:sz w:val="28"/>
          <w:szCs w:val="28"/>
        </w:rPr>
        <w:t>Внешнеполитическая идеология Турецкой Республики при правлении Партии справедливости и развития:</w:t>
      </w:r>
      <w:r>
        <w:rPr>
          <w:rFonts w:ascii="Times New Roman" w:hAnsi="Times New Roman"/>
          <w:color w:val="000000"/>
          <w:sz w:val="28"/>
          <w:szCs w:val="28"/>
        </w:rPr>
        <w:t xml:space="preserve"> дис. к.полит.н. М. 161 с. Аватков В.А., Видяйкин А.С. 2013.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2. </w:t>
      </w:r>
      <w:r>
        <w:rPr>
          <w:rFonts w:ascii="Times New Roman" w:hAnsi="Times New Roman"/>
          <w:color w:val="000000"/>
          <w:sz w:val="28"/>
          <w:szCs w:val="28"/>
        </w:rPr>
        <w:t xml:space="preserve">Грубов В. </w:t>
      </w:r>
      <w:r>
        <w:rPr>
          <w:rFonts w:ascii="Times New Roman" w:hAnsi="Times New Roman"/>
          <w:i/>
          <w:color w:val="000000"/>
          <w:sz w:val="28"/>
          <w:szCs w:val="28"/>
        </w:rPr>
        <w:t>Ренесанс політичного реалізму</w:t>
      </w:r>
      <w:r>
        <w:rPr>
          <w:rFonts w:ascii="Times New Roman" w:hAnsi="Times New Roman"/>
          <w:color w:val="000000"/>
          <w:sz w:val="28"/>
          <w:szCs w:val="28"/>
        </w:rPr>
        <w:t xml:space="preserve"> // Політика і час. — 2002. — № 7. — С. 68-74</w:t>
      </w:r>
    </w:p>
    <w:p>
      <w:pPr>
        <w:pStyle w:val="Normal"/>
        <w:shd w:val="clear" w:color="auto" w:fill="FFFFFF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Кукулка Ю. </w:t>
      </w:r>
      <w:r>
        <w:rPr>
          <w:rFonts w:ascii="Times New Roman" w:hAnsi="Times New Roman"/>
          <w:i/>
          <w:color w:val="000000"/>
          <w:sz w:val="28"/>
          <w:szCs w:val="28"/>
        </w:rPr>
        <w:t>Проблемы теории международных отношений:</w:t>
      </w:r>
      <w:r>
        <w:rPr>
          <w:rFonts w:ascii="Times New Roman" w:hAnsi="Times New Roman"/>
          <w:color w:val="000000"/>
          <w:sz w:val="28"/>
          <w:szCs w:val="28"/>
        </w:rPr>
        <w:t xml:space="preserve"> [Пер. с польского]/ Юзеф Кукулка,. — М.: Прогресс, 1980. — 320 с.</w:t>
      </w:r>
    </w:p>
    <w:p>
      <w:pPr>
        <w:pStyle w:val="Normal"/>
        <w:shd w:val="clear" w:color="auto" w:fill="FFFFFF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4.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Мальський М. </w:t>
      </w:r>
      <w:r>
        <w:rPr>
          <w:rFonts w:ascii="Times New Roman" w:hAnsi="Times New Roman"/>
          <w:i/>
          <w:color w:val="000000"/>
          <w:sz w:val="28"/>
          <w:szCs w:val="28"/>
        </w:rPr>
        <w:t>Теорія міжнародних відносин:</w:t>
      </w:r>
      <w:r>
        <w:rPr>
          <w:rFonts w:ascii="Times New Roman" w:hAnsi="Times New Roman"/>
          <w:color w:val="000000"/>
          <w:sz w:val="28"/>
          <w:szCs w:val="28"/>
        </w:rPr>
        <w:t xml:space="preserve"> рекомендовано Мін.освіти/Львівський націон. ун-т ім. І.Франка . — 2-е вид., пе-рероб. і доп.. — К.: Кобза, 2003. — 527 с.</w:t>
      </w:r>
    </w:p>
    <w:p>
      <w:pPr>
        <w:pStyle w:val="Normal"/>
        <w:shd w:val="clear" w:color="auto" w:fill="FFFFFF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FF0000"/>
          <w:sz w:val="28"/>
          <w:szCs w:val="28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Моргентау Г.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Политические отношения между нациями. Борьба за власть и мир</w:t>
      </w:r>
      <w:r>
        <w:rPr>
          <w:rFonts w:ascii="Times New Roman" w:hAnsi="Times New Roman"/>
          <w:color w:val="000000"/>
          <w:sz w:val="28"/>
          <w:szCs w:val="28"/>
        </w:rPr>
        <w:t xml:space="preserve"> // Социально-политический журнал. 1997. № 2. С. 189—201.</w:t>
      </w:r>
    </w:p>
    <w:p>
      <w:pPr>
        <w:pStyle w:val="ListParagraph"/>
        <w:spacing w:lineRule="auto" w:line="360" w:before="0" w:after="0"/>
        <w:ind w:left="360" w:firstLine="720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6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 </w:t>
      </w:r>
      <w:hyperlink r:id="rId2" w:tgtFrame="Об авторе подробнее"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</w:rPr>
          <w:t>Надеин-Раевский</w:t>
        </w:r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  <w:lang w:val="uk-UA"/>
          </w:rPr>
          <w:t> </w:t>
        </w:r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</w:rPr>
          <w:t>В.А.</w:t>
        </w:r>
      </w:hyperlink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 </w:t>
      </w:r>
      <w:hyperlink r:id="rId3" w:tgtFrame="Турция на пороге непростого выбора [Текст] / В.А. Надеин-Раевский // Международная жизнь. – 2014. – №  3. – С. 110 – 125.">
        <w:r>
          <w:rPr>
            <w:rFonts w:ascii="Times New Roman" w:hAnsi="Times New Roman"/>
            <w:i/>
            <w:color w:val="000000"/>
            <w:sz w:val="28"/>
            <w:szCs w:val="28"/>
            <w:u w:val="none"/>
            <w:shd w:fill="FFFFFF" w:val="clear"/>
          </w:rPr>
          <w:t xml:space="preserve">Турция на пороге непростого выбора </w:t>
        </w:r>
        <w:r>
          <w:rPr>
            <w:rFonts w:ascii="Times New Roman" w:hAnsi="Times New Roman"/>
            <w:color w:val="000000"/>
            <w:sz w:val="28"/>
            <w:szCs w:val="28"/>
            <w:u w:val="none"/>
            <w:shd w:fill="FFFFFF" w:val="clear"/>
          </w:rPr>
          <w:t>[Текст] / В.А. Надеин-Раевский // Международная жизнь. – 2014. – №  3. – С. 110 – 125.</w:t>
        </w:r>
      </w:hyperlink>
    </w:p>
    <w:p>
      <w:pPr>
        <w:pStyle w:val="ListParagraph"/>
        <w:spacing w:lineRule="auto" w:line="360" w:before="0" w:after="0"/>
        <w:ind w:left="360" w:firstLine="720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7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 </w:t>
      </w:r>
      <w:hyperlink r:id="rId4" w:tgtFrame="Об авторе подробнее"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</w:rPr>
          <w:t>Надеин-Раевский В.А.</w:t>
        </w:r>
      </w:hyperlink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hyperlink r:id="rId5" w:tgtFrame="Идейная борьба и Новая Турция">
        <w:r>
          <w:rPr>
            <w:rFonts w:ascii="Times New Roman" w:hAnsi="Times New Roman"/>
            <w:i/>
            <w:color w:val="000000"/>
            <w:sz w:val="28"/>
            <w:szCs w:val="28"/>
            <w:u w:val="none"/>
            <w:shd w:fill="FFFFFF" w:val="clear"/>
          </w:rPr>
          <w:t xml:space="preserve">Идейная борьба и </w:t>
        </w:r>
        <w:r>
          <w:rPr>
            <w:rFonts w:ascii="Times New Roman" w:hAnsi="Times New Roman"/>
            <w:i/>
            <w:color w:val="000000"/>
            <w:sz w:val="28"/>
            <w:szCs w:val="28"/>
          </w:rPr>
          <w:t>«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shd w:fill="FFFFFF" w:val="clear"/>
          </w:rPr>
          <w:t>Новая Турция</w:t>
        </w:r>
        <w:r>
          <w:rPr>
            <w:rFonts w:ascii="Times New Roman" w:hAnsi="Times New Roman"/>
            <w:i/>
            <w:color w:val="000000"/>
            <w:sz w:val="28"/>
            <w:szCs w:val="28"/>
          </w:rPr>
          <w:t>»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shd w:fill="FFFFFF" w:val="clear"/>
          </w:rPr>
          <w:t xml:space="preserve"> </w:t>
        </w:r>
        <w:r>
          <w:rPr>
            <w:rFonts w:ascii="Times New Roman" w:hAnsi="Times New Roman"/>
            <w:color w:val="000000"/>
            <w:sz w:val="28"/>
            <w:szCs w:val="28"/>
            <w:u w:val="none"/>
            <w:shd w:fill="FFFFFF" w:val="clear"/>
          </w:rPr>
          <w:t>[Текст] / В.А. Надеин-Раевский // Вестник МГИМО – Университета. – 2016. – № 2 (47). – С. 22 – 31.</w:t>
        </w:r>
      </w:hyperlink>
    </w:p>
    <w:p>
      <w:pPr>
        <w:pStyle w:val="Normal"/>
        <w:shd w:val="clear" w:color="auto" w:fill="FFFFFF"/>
        <w:spacing w:lineRule="auto" w:line="360" w:before="0" w:after="0"/>
        <w:ind w:left="284" w:hanging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      </w:t>
      </w:r>
      <w:r>
        <w:rPr>
          <w:rFonts w:ascii="Times New Roman" w:hAnsi="Times New Roman"/>
          <w:color w:val="000000"/>
          <w:sz w:val="28"/>
          <w:szCs w:val="28"/>
        </w:rPr>
        <w:t>8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Петрунина О.Е. </w:t>
      </w:r>
      <w:r>
        <w:rPr>
          <w:rFonts w:ascii="Times New Roman" w:hAnsi="Times New Roman"/>
          <w:i/>
          <w:color w:val="000000"/>
          <w:sz w:val="28"/>
          <w:szCs w:val="28"/>
        </w:rPr>
        <w:t>Греческая нация и государство в XVIII–XX вв.                       Очерки политического развития:</w:t>
      </w:r>
      <w:r>
        <w:rPr>
          <w:rFonts w:ascii="Times New Roman" w:hAnsi="Times New Roman"/>
          <w:color w:val="000000"/>
          <w:sz w:val="28"/>
          <w:szCs w:val="28"/>
        </w:rPr>
        <w:t xml:space="preserve"> /монография/. М.: КДУ, 2010. 744 с. 17.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</w:t>
      </w:r>
      <w:r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</w:rPr>
        <w:t>9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Рытов А.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Г. </w:t>
      </w:r>
      <w:r>
        <w:rPr>
          <w:rFonts w:ascii="Times New Roman" w:hAnsi="Times New Roman"/>
          <w:i/>
          <w:color w:val="000000"/>
          <w:sz w:val="28"/>
          <w:szCs w:val="28"/>
        </w:rPr>
        <w:t>Внешняя политика Греции в эпоху глобальных перемен (1990– 2005).</w:t>
      </w:r>
      <w:r>
        <w:rPr>
          <w:rFonts w:ascii="Times New Roman" w:hAnsi="Times New Roman"/>
          <w:color w:val="000000"/>
          <w:sz w:val="28"/>
          <w:szCs w:val="28"/>
        </w:rPr>
        <w:t xml:space="preserve"> М.: ИКАР, 2005. 90 с. 18. 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</w:rPr>
        <w:t>10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 </w:t>
      </w:r>
      <w:hyperlink r:id="rId6" w:tgtFrame="Об авторе подробнее"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</w:rPr>
          <w:t>Свистунова</w:t>
        </w:r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  <w:lang w:val="uk-UA"/>
          </w:rPr>
          <w:t> </w:t>
        </w:r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</w:rPr>
          <w:t>И.А</w:t>
        </w:r>
        <w:r>
          <w:rPr>
            <w:rFonts w:ascii="Times New Roman" w:hAnsi="Times New Roman"/>
            <w:color w:val="000000"/>
            <w:sz w:val="28"/>
            <w:szCs w:val="28"/>
            <w:shd w:fill="FFFFFF" w:val="clear"/>
          </w:rPr>
          <w:t>.</w:t>
        </w:r>
      </w:hyperlink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7" w:tgtFrame="Региональная политика Турции: стратегия в отношении стран Африки [Текст] / И. А. Свистунова // Проблемы национальной стратегии. – 2018. – № 4 (49). – С. 67-80.Turkey’s Regional Policy: the Strategy toward African Countries">
        <w:r>
          <w:rPr>
            <w:rFonts w:ascii="Times New Roman" w:hAnsi="Times New Roman"/>
            <w:i/>
            <w:color w:val="000000"/>
            <w:sz w:val="28"/>
            <w:szCs w:val="28"/>
            <w:u w:val="none"/>
            <w:shd w:fill="FFFFFF" w:val="clear"/>
          </w:rPr>
          <w:t xml:space="preserve">Региональная политика Турции: стратегия в отношении стран Африки </w:t>
        </w:r>
        <w:r>
          <w:rPr>
            <w:rFonts w:ascii="Times New Roman" w:hAnsi="Times New Roman"/>
            <w:color w:val="000000"/>
            <w:sz w:val="28"/>
            <w:szCs w:val="28"/>
            <w:u w:val="none"/>
            <w:shd w:fill="FFFFFF" w:val="clear"/>
          </w:rPr>
          <w:t>[Текст] / И. А. Свистунова // Проблемы национальной стратегии. – 2018. – № 4 (49). – С. 67-80.</w:t>
        </w:r>
      </w:hyperlink>
    </w:p>
    <w:p>
      <w:pPr>
        <w:pStyle w:val="Normal"/>
        <w:spacing w:lineRule="auto" w:line="360" w:before="0" w:after="0"/>
        <w:ind w:left="357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11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Старкин И.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И., Лебедева Е.В.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Кипрская проблема в контексте реализации стратегии ЕС по урегулированию этноконфессиональных конфликтов </w:t>
      </w:r>
      <w:r>
        <w:rPr>
          <w:rFonts w:ascii="Times New Roman" w:hAnsi="Times New Roman"/>
          <w:color w:val="000000"/>
          <w:sz w:val="28"/>
          <w:szCs w:val="28"/>
        </w:rPr>
        <w:t xml:space="preserve">// Общество: философия, история, культура. 2013. № 4. С. 33–36. </w:t>
      </w:r>
    </w:p>
    <w:p>
      <w:pPr>
        <w:pStyle w:val="Normal"/>
        <w:spacing w:lineRule="auto" w:line="360" w:before="0" w:after="0"/>
        <w:ind w:left="357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</w:t>
      </w:r>
      <w:r>
        <w:rPr>
          <w:rFonts w:ascii="Times New Roman" w:hAnsi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</w:rPr>
        <w:t>12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Степанов В.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В. </w:t>
      </w:r>
      <w:r>
        <w:rPr>
          <w:rFonts w:ascii="Times New Roman" w:hAnsi="Times New Roman"/>
          <w:i/>
          <w:color w:val="000000"/>
          <w:sz w:val="28"/>
          <w:szCs w:val="28"/>
        </w:rPr>
        <w:t>Кипрский конфликт: современное восприятие и проблема преодоления /Этничность и религия в современных конфликтах</w:t>
      </w:r>
      <w:r>
        <w:rPr>
          <w:rFonts w:ascii="Times New Roman" w:hAnsi="Times New Roman"/>
          <w:color w:val="000000"/>
          <w:sz w:val="28"/>
          <w:szCs w:val="28"/>
        </w:rPr>
        <w:t xml:space="preserve"> / Ин-т этнологии и антропологии им. Н. Н. Миклухо-Маклая РАН. М.: Наука, 2012. С. 466–518. 21. </w:t>
      </w:r>
    </w:p>
    <w:p>
      <w:pPr>
        <w:pStyle w:val="Normal"/>
        <w:spacing w:lineRule="auto" w:line="360" w:before="0" w:after="0"/>
        <w:ind w:left="357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/>
          <w:color w:val="000000"/>
          <w:sz w:val="28"/>
          <w:szCs w:val="28"/>
        </w:rPr>
        <w:t>3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>
        <w:rPr>
          <w:rFonts w:ascii="Times New Roman" w:hAnsi="Times New Roman"/>
          <w:color w:val="000000"/>
          <w:sz w:val="28"/>
          <w:szCs w:val="28"/>
        </w:rPr>
        <w:t>улейманов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А.В. 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Проблемы внешней политики Турции на современном этапе </w:t>
      </w:r>
      <w:r>
        <w:rPr>
          <w:rFonts w:ascii="Times New Roman" w:hAnsi="Times New Roman"/>
          <w:color w:val="000000"/>
          <w:sz w:val="28"/>
          <w:szCs w:val="28"/>
        </w:rPr>
        <w:t xml:space="preserve">// Вестник СПбГУ. Сер. 6. 2014. Вып. 3. С. 162–169. </w:t>
      </w:r>
    </w:p>
    <w:p>
      <w:pPr>
        <w:pStyle w:val="Normal"/>
        <w:spacing w:lineRule="auto" w:line="360" w:before="0" w:after="0"/>
        <w:ind w:left="357" w:hanging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/>
          <w:color w:val="000000"/>
          <w:sz w:val="28"/>
          <w:szCs w:val="28"/>
        </w:rPr>
        <w:t>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Сулейманов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А.В. </w:t>
      </w:r>
      <w:r>
        <w:rPr>
          <w:rFonts w:ascii="Times New Roman" w:hAnsi="Times New Roman"/>
          <w:i/>
          <w:color w:val="000000"/>
          <w:sz w:val="28"/>
          <w:szCs w:val="28"/>
        </w:rPr>
        <w:t>Проблема Кипра: история и современность / Мировая экономика и международные отношения.</w:t>
      </w:r>
      <w:r>
        <w:rPr>
          <w:rFonts w:ascii="Times New Roman" w:hAnsi="Times New Roman"/>
          <w:color w:val="000000"/>
          <w:sz w:val="28"/>
          <w:szCs w:val="28"/>
        </w:rPr>
        <w:t xml:space="preserve"> 2019. Т. 63. № 2. С. 75–84. 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color w:val="FF0000"/>
        </w:rPr>
        <w:t xml:space="preserve">             </w:t>
      </w:r>
      <w:r>
        <w:rPr>
          <w:color w:val="FF0000"/>
          <w:lang w:val="uk-UA"/>
        </w:rPr>
        <w:t xml:space="preserve"> </w:t>
      </w:r>
      <w:r>
        <w:rPr>
          <w:color w:val="FF0000"/>
        </w:rPr>
        <w:t xml:space="preserve">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/>
          <w:color w:val="000000"/>
          <w:sz w:val="28"/>
          <w:szCs w:val="28"/>
        </w:rPr>
        <w:t xml:space="preserve">5. Улунян А. </w:t>
      </w:r>
      <w:r>
        <w:rPr>
          <w:rFonts w:ascii="Times New Roman" w:hAnsi="Times New Roman"/>
          <w:i/>
          <w:color w:val="000000"/>
          <w:sz w:val="28"/>
          <w:szCs w:val="28"/>
        </w:rPr>
        <w:t>Балканы: горячий мир холодной войны. Греция и Турция между Западом и Востоком (1945–1960 гг.).</w:t>
      </w:r>
      <w:r>
        <w:rPr>
          <w:rFonts w:ascii="Times New Roman" w:hAnsi="Times New Roman"/>
          <w:color w:val="000000"/>
          <w:sz w:val="28"/>
          <w:szCs w:val="28"/>
        </w:rPr>
        <w:t xml:space="preserve"> М.: Ин-т всеобщей истории РАН, 2001. 283 с. 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</w:rPr>
        <w:t xml:space="preserve">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/>
          <w:color w:val="000000"/>
          <w:sz w:val="28"/>
          <w:szCs w:val="28"/>
        </w:rPr>
        <w:t>6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Улунян А. </w:t>
      </w:r>
      <w:r>
        <w:rPr>
          <w:rFonts w:ascii="Times New Roman" w:hAnsi="Times New Roman"/>
          <w:i/>
          <w:color w:val="000000"/>
          <w:sz w:val="28"/>
          <w:szCs w:val="28"/>
        </w:rPr>
        <w:t>Греция от «черных полковников» к демократии /Тоталитаризм в Европе XX века.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Из истории идеологий, движений, режимов и их преодоления.</w:t>
      </w:r>
      <w:r>
        <w:rPr>
          <w:rFonts w:ascii="Times New Roman" w:hAnsi="Times New Roman"/>
          <w:color w:val="000000"/>
          <w:sz w:val="28"/>
          <w:szCs w:val="28"/>
        </w:rPr>
        <w:t xml:space="preserve"> М.: Памятники исторической мысли, 1996. С. 439–454. 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/>
          <w:color w:val="000000"/>
          <w:sz w:val="28"/>
          <w:szCs w:val="28"/>
        </w:rPr>
        <w:t>7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Улунян А. </w:t>
      </w:r>
      <w:r>
        <w:rPr>
          <w:rFonts w:ascii="Times New Roman" w:hAnsi="Times New Roman"/>
          <w:i/>
          <w:color w:val="000000"/>
          <w:sz w:val="28"/>
          <w:szCs w:val="28"/>
        </w:rPr>
        <w:t>Современная Греция в мировой экономике и политике / отв. ред. Ю. Д. Квашнин. М.: ИМЭМО РАН, 2013. 183</w:t>
      </w:r>
      <w:r>
        <w:rPr>
          <w:rFonts w:ascii="Times New Roman" w:hAnsi="Times New Roman"/>
          <w:color w:val="000000"/>
          <w:sz w:val="28"/>
          <w:szCs w:val="28"/>
        </w:rPr>
        <w:t xml:space="preserve"> с. 26. Юго-Восточная Европа в эпоху кардинальных перемен / под. ред. А. А. Язьковой. М.: Весь Мир, 2007. 352 с</w:t>
      </w:r>
    </w:p>
    <w:p>
      <w:pPr>
        <w:pStyle w:val="Normal"/>
        <w:shd w:val="clear" w:color="auto" w:fill="FFFFFF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/>
          <w:color w:val="000000"/>
          <w:sz w:val="28"/>
          <w:szCs w:val="28"/>
        </w:rPr>
        <w:t>8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Цыганков П.А. </w:t>
      </w:r>
      <w:r>
        <w:rPr>
          <w:rFonts w:ascii="Times New Roman" w:hAnsi="Times New Roman"/>
          <w:i/>
          <w:color w:val="000000"/>
          <w:sz w:val="28"/>
          <w:szCs w:val="28"/>
        </w:rPr>
        <w:t>Природа международных отношений</w:t>
      </w:r>
      <w:r>
        <w:rPr>
          <w:rFonts w:ascii="Times New Roman" w:hAnsi="Times New Roman"/>
          <w:color w:val="000000"/>
          <w:sz w:val="28"/>
          <w:szCs w:val="28"/>
        </w:rPr>
        <w:t xml:space="preserve"> // Вест.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>Моск. универс, сер. 18. Социология и политология. 1999. — № 1. — С. 120-122.</w:t>
      </w:r>
    </w:p>
    <w:p>
      <w:pPr>
        <w:pStyle w:val="ListParagraph"/>
        <w:spacing w:lineRule="auto" w:line="360" w:before="0" w:after="0"/>
        <w:ind w:left="360" w:firstLine="720"/>
        <w:contextualSpacing/>
        <w:jc w:val="both"/>
        <w:rPr>
          <w:rFonts w:ascii="Times New Roman" w:hAnsi="Times New Roman"/>
          <w:i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>
        <w:rPr>
          <w:rFonts w:ascii="Times New Roman" w:hAnsi="Times New Roman"/>
          <w:color w:val="000000"/>
          <w:sz w:val="28"/>
          <w:szCs w:val="28"/>
        </w:rPr>
        <w:t>9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Чому геополітичне протистояння у Східному Середземномор’ї – це більше ніж про нафту? </w:t>
      </w:r>
      <w:hyperlink r:id="rId8">
        <w:r>
          <w:rPr>
            <w:rFonts w:ascii="Times New Roman" w:hAnsi="Times New Roman"/>
            <w:i/>
            <w:color w:val="000000"/>
            <w:sz w:val="28"/>
            <w:szCs w:val="28"/>
            <w:u w:val="none"/>
          </w:rPr>
          <w:t>https://adastra.org.ua/blog/chomu-geopolitichne-protistoyannya-u-shidnomu-seredzemnomoryi-ce-bilshe-nizh-pro-naftu_1</w:t>
        </w:r>
      </w:hyperlink>
      <w:r>
        <w:rPr>
          <w:i/>
          <w:color w:val="000000"/>
          <w:lang w:val="uk-UA"/>
        </w:rPr>
        <w:t>.</w:t>
      </w:r>
    </w:p>
    <w:p>
      <w:pPr>
        <w:pStyle w:val="ListParagraph"/>
        <w:spacing w:lineRule="auto" w:line="360" w:before="0" w:after="0"/>
        <w:ind w:left="360" w:firstLine="720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20.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</w:rPr>
        <w:t xml:space="preserve">Черников И.Ф. </w:t>
      </w:r>
      <w:r>
        <w:rPr>
          <w:rFonts w:ascii="Times New Roman" w:hAnsi="Times New Roman"/>
          <w:i/>
          <w:color w:val="000000"/>
          <w:sz w:val="28"/>
          <w:szCs w:val="28"/>
        </w:rPr>
        <w:t>К вопросу о светском характере Турецкой Республики и активизации в ней исламского фундаментализма // Очерки политического и социально-экономического развития стран Востока</w:t>
      </w:r>
      <w:r>
        <w:rPr>
          <w:rFonts w:ascii="Times New Roman" w:hAnsi="Times New Roman"/>
          <w:color w:val="000000"/>
          <w:sz w:val="28"/>
          <w:szCs w:val="28"/>
        </w:rPr>
        <w:t>. – К., 1998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>
      <w:pPr>
        <w:pStyle w:val="ListParagraph"/>
        <w:spacing w:lineRule="auto" w:line="360" w:before="0" w:after="0"/>
        <w:ind w:left="360" w:firstLine="720"/>
        <w:contextualSpacing/>
        <w:jc w:val="both"/>
        <w:rPr>
          <w:rFonts w:ascii="Times New Roman" w:hAnsi="Times New Roman"/>
          <w:color w:val="FF0000"/>
          <w:sz w:val="28"/>
          <w:szCs w:val="28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21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 </w:t>
      </w:r>
      <w:hyperlink r:id="rId9" w:tgtFrame="Об авторе подробнее"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</w:rPr>
          <w:t>Свистунова</w:t>
        </w:r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  <w:lang w:val="uk-UA"/>
          </w:rPr>
          <w:t> </w:t>
        </w:r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</w:rPr>
          <w:t>И.А</w:t>
        </w:r>
        <w:r>
          <w:rPr>
            <w:rFonts w:ascii="Times New Roman" w:hAnsi="Times New Roman"/>
            <w:color w:val="000000"/>
            <w:sz w:val="28"/>
            <w:szCs w:val="28"/>
            <w:shd w:fill="FFFFFF" w:val="clear"/>
          </w:rPr>
          <w:t>.</w:t>
        </w:r>
      </w:hyperlink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0" w:tgtFrame="Региональная политика Турции: стратегия в отношении стран Африки [Текст] / И. А. Свистунова // Проблемы национальной стратегии. – 2018. – № 4 (49). – С. 67-80.Turkey’s Regional Policy: the Strategy toward African Countries">
        <w:r>
          <w:rPr>
            <w:rFonts w:ascii="Times New Roman" w:hAnsi="Times New Roman"/>
            <w:i/>
            <w:color w:val="000000"/>
            <w:sz w:val="28"/>
            <w:szCs w:val="28"/>
            <w:u w:val="none"/>
            <w:shd w:fill="FFFFFF" w:val="clear"/>
          </w:rPr>
          <w:t xml:space="preserve">Региональная политика Турции: стратегия в отношении стран Африки </w:t>
        </w:r>
        <w:r>
          <w:rPr>
            <w:rFonts w:ascii="Times New Roman" w:hAnsi="Times New Roman"/>
            <w:color w:val="000000"/>
            <w:sz w:val="28"/>
            <w:szCs w:val="28"/>
            <w:u w:val="none"/>
            <w:shd w:fill="FFFFFF" w:val="clear"/>
          </w:rPr>
          <w:t xml:space="preserve">[Текст] / И. А. Свистунова // 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shd w:fill="FFFFFF" w:val="clear"/>
          </w:rPr>
          <w:t>Проблемы национальной стратегии.</w:t>
        </w:r>
        <w:r>
          <w:rPr>
            <w:rFonts w:ascii="Times New Roman" w:hAnsi="Times New Roman"/>
            <w:color w:val="000000"/>
            <w:sz w:val="28"/>
            <w:szCs w:val="28"/>
            <w:u w:val="none"/>
            <w:shd w:fill="FFFFFF" w:val="clear"/>
          </w:rPr>
          <w:t xml:space="preserve"> – 2018. – № 4 (49). – С. 67-80.</w:t>
        </w:r>
      </w:hyperlink>
      <w:hyperlink r:id="rId11" w:tgtFrame="Тренды Ближнего Востока и Центральной Азии [Текст] = Contemporary trends in the Middle East and Central Asia / Н. Ю. Сурков // Вестник МГИМО - Университета. – 2018. – № 6(63). – С. 325-333. DOI: 10.24833/2071-8160-2018-6-63-325-333. – Рец. на кн.: Звягельская">
        <w:r>
          <w:rPr>
            <w:rFonts w:ascii="Times New Roman" w:hAnsi="Times New Roman"/>
            <w:color w:val="FF0000"/>
            <w:sz w:val="28"/>
            <w:szCs w:val="28"/>
            <w:shd w:fill="FFFFFF" w:val="clear"/>
          </w:rPr>
          <w:br/>
        </w:r>
      </w:hyperlink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22. </w:t>
      </w:r>
      <w:hyperlink r:id="rId12" w:tgtFrame="Об авторе подробнее"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</w:rPr>
          <w:t>Фролов</w:t>
        </w:r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  <w:lang w:val="uk-UA"/>
          </w:rPr>
          <w:t> </w:t>
        </w:r>
        <w:r>
          <w:rPr>
            <w:rFonts w:ascii="Times New Roman" w:hAnsi="Times New Roman"/>
            <w:i w:val="false"/>
            <w:color w:val="000000"/>
            <w:sz w:val="28"/>
            <w:szCs w:val="28"/>
            <w:shd w:fill="FFFFFF" w:val="clear"/>
          </w:rPr>
          <w:t>А.В.</w:t>
        </w:r>
      </w:hyperlink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13" w:tgtFrame="Ближний Восток: традиции и трансформации [Текст] / А.В. Фролов, Р. Мустафин // Международная жизнь. – 2014. – № 8. – С. 45 – 62.">
        <w:r>
          <w:rPr>
            <w:rFonts w:ascii="Times New Roman" w:hAnsi="Times New Roman"/>
            <w:color w:val="000000"/>
            <w:sz w:val="28"/>
            <w:szCs w:val="28"/>
            <w:u w:val="none"/>
            <w:shd w:fill="FFFFFF" w:val="clear"/>
          </w:rPr>
          <w:t>Б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shd w:fill="FFFFFF" w:val="clear"/>
          </w:rPr>
          <w:t xml:space="preserve">лижний Восток: традиции и трансформации </w:t>
        </w:r>
        <w:r>
          <w:rPr>
            <w:rFonts w:ascii="Times New Roman" w:hAnsi="Times New Roman"/>
            <w:color w:val="000000"/>
            <w:sz w:val="28"/>
            <w:szCs w:val="28"/>
            <w:u w:val="none"/>
            <w:shd w:fill="FFFFFF" w:val="clear"/>
          </w:rPr>
          <w:t>[Текст] / А.В. Фролов, Р. Мустафин // Международная жизнь. – 2014. – № 8. – С. 45 – 62.</w:t>
        </w:r>
      </w:hyperlink>
    </w:p>
    <w:p>
      <w:pPr>
        <w:pStyle w:val="Normal"/>
        <w:spacing w:lineRule="auto" w:line="360" w:before="0" w:after="0"/>
        <w:ind w:left="360" w:firstLine="720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23. .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Albert M., Cederman L.-E., Wendt A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. New Systems Theories of World Politics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// N.Y.: Palgrave Macmillan, 2010. 312 p. 436.</w:t>
      </w:r>
    </w:p>
    <w:p>
      <w:pPr>
        <w:pStyle w:val="Normal"/>
        <w:spacing w:lineRule="auto" w:line="360" w:before="0" w:after="0"/>
        <w:ind w:left="360" w:firstLine="720"/>
        <w:jc w:val="both"/>
        <w:rPr>
          <w:rFonts w:ascii="Times New Roman" w:hAnsi="Times New Roman"/>
          <w:i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24. Balkanlar'daki Osmanlı Restore Ediliyor. URL: </w:t>
      </w:r>
      <w:hyperlink r:id="rId14"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http://t24.com.tr/haber/balkanlardaki-osmanli restoreediliyor/4324</w:t>
        </w:r>
      </w:hyperlink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</w:p>
    <w:p>
      <w:pPr>
        <w:pStyle w:val="Normal"/>
        <w:spacing w:lineRule="auto" w:line="360" w:before="0" w:after="0"/>
        <w:ind w:left="360" w:firstLine="720"/>
        <w:jc w:val="both"/>
        <w:rPr>
          <w:rFonts w:ascii="Times New Roman" w:hAnsi="Times New Roman"/>
          <w:i/>
          <w:i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25. Balkanlarda Türkiye'ye Vize Uygulayan Ülke Kalmadı! URL: </w:t>
      </w:r>
      <w:hyperlink r:id="rId15"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http://tatil.milliyet.com.tr/balkanlardaturkiye-ye-vize-uygulayan-ulke-kalmadi-/anitur/haberdetay/08.12.2010/1323776/default.htm</w:t>
        </w:r>
      </w:hyperlink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26. 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Balc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ı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T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ü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rkiye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D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ış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Politiikas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ı: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İ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lkeler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Akt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ö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rler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ve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Uygulamalar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. 3.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Bask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ı.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İ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stanbul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ALFA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2017.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339.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27. Sükan, Ö. 21.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Yüzyıl Başlarında Balkanlar ve Türkiye. Komtanlığı Yayınları.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İstanbul.: 200.</w:t>
      </w:r>
    </w:p>
    <w:p>
      <w:pPr>
        <w:pStyle w:val="Normal"/>
        <w:spacing w:lineRule="auto" w:line="360" w:before="0" w:after="0"/>
        <w:ind w:left="360"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28. 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Davuto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ğ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lu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2011.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Stratejik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Derinlik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T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ü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rkiyenin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uluslararas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ı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konumu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İstanbul. 584 s. Fox J., Sandler Sh. 2004. Bringing Religion into International Relations.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N.Y.: Palgrave Macmillan. 213 p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>
      <w:pPr>
        <w:pStyle w:val="ListParagraph"/>
        <w:spacing w:lineRule="auto" w:line="360" w:before="0" w:after="0"/>
        <w:ind w:left="0" w:hanging="0"/>
        <w:contextualSpacing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FF0000"/>
          <w:sz w:val="28"/>
          <w:szCs w:val="28"/>
          <w:lang w:val="en-US"/>
        </w:rPr>
        <w:t xml:space="preserve">               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29. 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Deep sea rivals: europe, turkey, and new eastern mediterranean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conflict lines </w:t>
      </w:r>
      <w:hyperlink r:id="rId16"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https://ecfr.eu/special/eastern_med/turkey</w:t>
        </w:r>
      </w:hyperlink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</w:p>
    <w:p>
      <w:pPr>
        <w:pStyle w:val="Normal"/>
        <w:spacing w:lineRule="auto" w:line="360" w:before="0" w:after="0"/>
        <w:ind w:left="360"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30. Demirtaş B. Turkey and the Balkans: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Overcoming Prejudices, Building Bridges and Constructing a Common Future</w:t>
      </w:r>
      <w:r>
        <w:rPr>
          <w:rFonts w:ascii="Times New Roman" w:hAnsi="Times New Roman"/>
          <w:sz w:val="28"/>
          <w:szCs w:val="28"/>
          <w:lang w:val="uk-UA"/>
        </w:rPr>
        <w:t xml:space="preserve"> // Perceptions. Vol. 18. No: 2. 2013.</w:t>
      </w:r>
    </w:p>
    <w:p>
      <w:pPr>
        <w:pStyle w:val="ListParagraph"/>
        <w:spacing w:lineRule="auto" w:line="360" w:before="0" w:after="0"/>
        <w:ind w:left="360" w:firstLine="720"/>
        <w:contextualSpacing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31. 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Eastern mediterranean in uncharted waters: Perspectives on Emerging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Geopolitical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Realities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hyperlink r:id="rId17"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https://www.kas.de/documents/283907/10938219/Eastern+Mediterranean+in+Uncharted+Waters_KAS+Turkey.pdf/6f554da1-93ac-bba6-6fd0-3c8738244d4b?version=1.0&amp;t=1607590823989</w:t>
        </w:r>
      </w:hyperlink>
      <w:r>
        <w:rPr>
          <w:rFonts w:ascii="Times New Roman" w:hAnsi="Times New Roman"/>
          <w:i/>
          <w:color w:val="FF0000"/>
          <w:sz w:val="28"/>
          <w:szCs w:val="28"/>
          <w:lang w:val="uk-UA"/>
        </w:rPr>
        <w:t>.</w:t>
      </w:r>
    </w:p>
    <w:p>
      <w:pPr>
        <w:pStyle w:val="ListParagraph"/>
        <w:spacing w:lineRule="auto" w:line="360" w:before="0" w:after="0"/>
        <w:ind w:left="360" w:hanging="0"/>
        <w:contextualSpacing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32. 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Energy Discoveries in the Eastern Mediterranean: Conflict or Cooperation?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  </w:t>
      </w:r>
      <w:hyperlink r:id="rId18"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https://core.ac.uk/download/pdf/52923264.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 xml:space="preserve"> </w:t>
        </w:r>
      </w:hyperlink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  </w:t>
      </w:r>
    </w:p>
    <w:p>
      <w:pPr>
        <w:pStyle w:val="ListParagraph"/>
        <w:spacing w:lineRule="auto" w:line="360" w:before="0" w:after="0"/>
        <w:ind w:left="360" w:hanging="0"/>
        <w:contextualSpacing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Turkey’s enterprising and humanitarian foreign policy </w:t>
      </w:r>
      <w:hyperlink r:id="rId19"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https://www.mfa.gov.tr/synopsis-of-the-turkish-foreign-policy.en.mfa</w:t>
        </w:r>
      </w:hyperlink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</w:p>
    <w:p>
      <w:pPr>
        <w:pStyle w:val="Normal"/>
        <w:spacing w:lineRule="auto" w:line="360" w:before="0" w:after="0"/>
        <w:ind w:left="360"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33. 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Ersoy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T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ü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rkiye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-Ç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in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askeri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ili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ş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kileri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yeni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bir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analitik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ç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er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ç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eve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i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ç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inde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de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ğ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erlendirme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//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Avrasya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Dosyas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ı, 2009. Т. 14. № 2. С. 143.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34. 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Ersoy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Akdeniz bölgesinde uluslararası ilişkiler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//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Avrasya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Dosyas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ı, 2003. С. 43.</w:t>
      </w:r>
    </w:p>
    <w:p>
      <w:pPr>
        <w:pStyle w:val="ListParagraph"/>
        <w:tabs>
          <w:tab w:val="clear" w:pos="720"/>
          <w:tab w:val="left" w:pos="1080" w:leader="none"/>
        </w:tabs>
        <w:spacing w:lineRule="auto" w:line="360" w:before="0" w:after="0"/>
        <w:ind w:left="360" w:hanging="0"/>
        <w:contextualSpacing/>
        <w:jc w:val="both"/>
        <w:rPr>
          <w:i/>
          <w:i/>
          <w:color w:val="FF0000"/>
          <w:lang w:val="en-US"/>
        </w:rPr>
      </w:pP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35.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Greece, Israel, Cyprus sign EastMed gas pipeline deal </w:t>
      </w:r>
      <w:hyperlink r:id="rId20"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https://www.reuters.com/article/us-greece-cyprus-israel-pipeline/greece-israel-cyprus-sign-eastmed-gas-pipeline-deal-id</w:t>
        </w:r>
      </w:hyperlink>
      <w:r>
        <w:rPr>
          <w:i/>
          <w:color w:val="FF0000"/>
          <w:lang w:val="uk-UA"/>
        </w:rPr>
        <w:t>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color w:val="FF0000"/>
          <w:sz w:val="28"/>
          <w:szCs w:val="28"/>
          <w:lang w:val="en-US"/>
        </w:rPr>
        <w:t xml:space="preserve">         </w:t>
      </w: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36.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Gilpin, R., (1981), </w:t>
      </w:r>
      <w:r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War and Change in International Politics,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Cambridge: Cambridge University Press,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398 p.</w:t>
      </w:r>
    </w:p>
    <w:p>
      <w:pPr>
        <w:pStyle w:val="Normal"/>
        <w:spacing w:lineRule="auto" w:line="360" w:before="0" w:after="0"/>
        <w:ind w:left="360" w:firstLine="720"/>
        <w:jc w:val="both"/>
        <w:rPr>
          <w:rFonts w:ascii="Times New Roman" w:hAnsi="Times New Roman"/>
          <w:i/>
          <w:i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37. Gizli Silah: Diziler. URL: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http://ihaber.istanbul.edu.tr/medya/gizli-silah-diziler-h1243</w:t>
      </w:r>
      <w:r>
        <w:rPr>
          <w:rFonts w:ascii="Times New Roman" w:hAnsi="Times New Roman"/>
          <w:i/>
          <w:color w:val="FF0000"/>
          <w:sz w:val="28"/>
          <w:szCs w:val="28"/>
          <w:lang w:val="uk-UA"/>
        </w:rPr>
        <w:t>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38. 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Oğuzlu T. Soft power in Turkish foreign policy // </w:t>
      </w:r>
      <w:r>
        <w:rPr>
          <w:rFonts w:ascii="Times New Roman" w:hAnsi="Times New Roman"/>
          <w:i/>
          <w:color w:val="000000"/>
          <w:sz w:val="28"/>
          <w:szCs w:val="28"/>
          <w:lang w:val="en-US"/>
        </w:rPr>
        <w:t>Australian Journal of International Affairs,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2007. P. 81-97.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39. Oran B. Türk Dış Politikası: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Temel İlkeleri ve Soğuk Savaş Ertesindeki Durumu Üzerine Notlar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// AÜSBFD. T. 51/1-4. 1996.</w:t>
      </w:r>
    </w:p>
    <w:p>
      <w:pPr>
        <w:pStyle w:val="ListParagraph"/>
        <w:spacing w:lineRule="auto" w:line="360" w:before="0" w:after="0"/>
        <w:ind w:left="360" w:hanging="360"/>
        <w:contextualSpacing/>
        <w:jc w:val="both"/>
        <w:rPr>
          <w:rFonts w:ascii="Times New Roman" w:hAnsi="Times New Roman"/>
          <w:i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40.</w:t>
      </w:r>
      <w:r>
        <w:rPr>
          <w:color w:val="000000"/>
          <w:lang w:val="uk-UA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Türkiye'nin Akdeniz'deki sorunları </w:t>
      </w:r>
      <w:hyperlink r:id="rId21"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https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://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www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.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reuters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.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com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/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article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/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us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 xml:space="preserve">      greece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cyprus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israel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pipeline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/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greece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israel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cyprus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sign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eastmed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gas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pipeline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deal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000000"/>
            <w:sz w:val="28"/>
            <w:szCs w:val="28"/>
            <w:u w:val="none"/>
            <w:lang w:val="en-US"/>
          </w:rPr>
          <w:t>id</w:t>
        </w:r>
      </w:hyperlink>
      <w:r>
        <w:rPr>
          <w:i/>
          <w:color w:val="000000"/>
          <w:lang w:val="uk-UA"/>
        </w:rPr>
        <w:t>.</w:t>
      </w:r>
    </w:p>
    <w:p>
      <w:pPr>
        <w:pStyle w:val="Normal"/>
        <w:spacing w:lineRule="auto" w:line="360" w:before="0" w:after="0"/>
        <w:ind w:left="360" w:hanging="360"/>
        <w:jc w:val="both"/>
        <w:rPr>
          <w:rFonts w:ascii="Times New Roman" w:hAnsi="Times New Roman"/>
          <w:i/>
          <w:i/>
          <w:color w:val="FF0000"/>
          <w:sz w:val="28"/>
          <w:szCs w:val="28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41. </w:t>
      </w:r>
      <w:r>
        <w:rPr>
          <w:rFonts w:ascii="Times New Roman" w:hAnsi="Times New Roman"/>
          <w:sz w:val="28"/>
          <w:szCs w:val="28"/>
          <w:lang w:val="en-US"/>
        </w:rPr>
        <w:t xml:space="preserve">Turkey's global strategy: introduction: the sources of Turkish grand strategy – ‘strategic depth’ and ‘zero-problems’ in context </w:t>
      </w:r>
      <w:hyperlink r:id="rId22"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https://core.ac.uk/download/pdf/2800247.pdf</w:t>
        </w:r>
      </w:hyperlink>
      <w:r>
        <w:rPr>
          <w:rFonts w:ascii="Times New Roman" w:hAnsi="Times New Roman"/>
          <w:i/>
          <w:sz w:val="28"/>
          <w:szCs w:val="28"/>
          <w:lang w:val="uk-UA"/>
        </w:rPr>
        <w:t> </w:t>
      </w:r>
      <w:r>
        <w:rPr>
          <w:rFonts w:ascii="Times New Roman" w:hAnsi="Times New Roman"/>
          <w:i/>
          <w:sz w:val="28"/>
          <w:szCs w:val="28"/>
          <w:lang w:val="en-US"/>
        </w:rPr>
        <w:t>Turkey</w:t>
      </w:r>
      <w:r>
        <w:rPr>
          <w:rFonts w:ascii="Times New Roman" w:hAnsi="Times New Roman"/>
          <w:i/>
          <w:sz w:val="28"/>
          <w:szCs w:val="28"/>
          <w:lang w:val="uk-UA"/>
        </w:rPr>
        <w:t>’</w:t>
      </w:r>
      <w:r>
        <w:rPr>
          <w:rFonts w:ascii="Times New Roman" w:hAnsi="Times New Roman"/>
          <w:i/>
          <w:sz w:val="28"/>
          <w:szCs w:val="28"/>
          <w:lang w:val="en-US"/>
        </w:rPr>
        <w:t>s eastern Mediterranean quagmire  </w:t>
      </w:r>
      <w:hyperlink r:id="rId23"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https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uk-UA"/>
          </w:rPr>
          <w:t>: //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www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uk-UA"/>
          </w:rPr>
          <w:t>.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mei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uk-UA"/>
          </w:rPr>
          <w:t>.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edu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uk-UA"/>
          </w:rPr>
          <w:t xml:space="preserve">/ 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publications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uk-UA"/>
          </w:rPr>
          <w:t xml:space="preserve">/ 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turkeys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uk-UA"/>
          </w:rPr>
          <w:t xml:space="preserve">- 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eastern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uk-UA"/>
          </w:rPr>
          <w:t xml:space="preserve">- 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mediterranean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uk-UA"/>
          </w:rPr>
          <w:t>-</w:t>
        </w:r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quagmire</w:t>
        </w:r>
      </w:hyperlink>
      <w:r>
        <w:rPr>
          <w:rFonts w:ascii="Times New Roman" w:hAnsi="Times New Roman"/>
          <w:i/>
          <w:sz w:val="28"/>
          <w:szCs w:val="28"/>
          <w:lang w:val="uk-UA"/>
        </w:rPr>
        <w:t>.</w:t>
      </w:r>
    </w:p>
    <w:p>
      <w:pPr>
        <w:pStyle w:val="ListParagraph"/>
        <w:spacing w:lineRule="auto" w:line="360" w:before="0" w:after="0"/>
        <w:ind w:left="360" w:hanging="0"/>
        <w:contextualSpacing/>
        <w:jc w:val="both"/>
        <w:rPr>
          <w:rFonts w:ascii="Times New Roman" w:hAnsi="Times New Roman"/>
          <w:i/>
          <w:i/>
          <w:sz w:val="28"/>
          <w:szCs w:val="28"/>
          <w:lang w:val="en-US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sz w:val="28"/>
          <w:szCs w:val="28"/>
          <w:lang w:val="uk-UA"/>
        </w:rPr>
        <w:t>42.</w:t>
      </w:r>
      <w:r>
        <w:rPr>
          <w:lang w:val="uk-UA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Turkey’s Geostrategic Vision and Energy Concernsin the Eastern Mediterranean Security Architecture: A View from Ankar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  <w:lang w:val="en-US"/>
        </w:rPr>
        <w:t xml:space="preserve"> chapter 7 </w:t>
      </w:r>
      <w:hyperlink r:id="rId24"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http://library.fes.de/pdf-files/bueros/zypern/15662.pdf</w:t>
        </w:r>
      </w:hyperlink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</w:p>
    <w:p>
      <w:pPr>
        <w:pStyle w:val="ListParagraph"/>
        <w:spacing w:lineRule="auto" w:line="360" w:before="0" w:after="0"/>
        <w:ind w:left="360" w:hanging="0"/>
        <w:contextualSpacing/>
        <w:jc w:val="both"/>
        <w:rPr>
          <w:rFonts w:ascii="Times New Roman" w:hAnsi="Times New Roman"/>
          <w:i/>
          <w:i/>
          <w:color w:val="FF0000"/>
          <w:sz w:val="28"/>
          <w:szCs w:val="28"/>
          <w:lang w:val="en-US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  </w:t>
      </w:r>
      <w:r>
        <w:rPr>
          <w:rFonts w:ascii="Times New Roman" w:hAnsi="Times New Roman"/>
          <w:sz w:val="28"/>
          <w:szCs w:val="28"/>
          <w:lang w:val="uk-UA"/>
        </w:rPr>
        <w:t>43. </w:t>
      </w:r>
      <w:r>
        <w:rPr>
          <w:rFonts w:ascii="Times New Roman" w:hAnsi="Times New Roman"/>
          <w:sz w:val="28"/>
          <w:szCs w:val="28"/>
          <w:lang w:val="en-US"/>
        </w:rPr>
        <w:t xml:space="preserve">The 21st century turkish maritime geopolitical landscape in the eastern mediterranean </w:t>
      </w:r>
      <w:hyperlink r:id="rId25"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https://www.turkheritage.org/en/publications/analysis-by-tho-contributors-and-liaisons/the-21st-century-turkish-maritimegeopolitical-landscape-in-the-eastern-mediterranean-7785</w:t>
        </w:r>
      </w:hyperlink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i/>
          <w:color w:val="FF0000"/>
          <w:sz w:val="28"/>
          <w:szCs w:val="28"/>
          <w:lang w:val="en-US"/>
        </w:rPr>
        <w:t xml:space="preserve"> </w:t>
      </w:r>
    </w:p>
    <w:p>
      <w:pPr>
        <w:pStyle w:val="ListParagraph"/>
        <w:spacing w:lineRule="auto" w:line="360" w:before="0" w:after="0"/>
        <w:ind w:left="360" w:hanging="0"/>
        <w:contextualSpacing/>
        <w:jc w:val="both"/>
        <w:rPr>
          <w:rFonts w:ascii="Times New Roman" w:hAnsi="Times New Roman"/>
          <w:i/>
          <w:i/>
          <w:sz w:val="28"/>
          <w:szCs w:val="28"/>
          <w:lang w:val="en-US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     </w:t>
      </w:r>
      <w:r>
        <w:rPr>
          <w:rFonts w:ascii="Times New Roman" w:hAnsi="Times New Roman"/>
          <w:sz w:val="28"/>
          <w:szCs w:val="28"/>
          <w:lang w:val="uk-UA"/>
        </w:rPr>
        <w:t>44. </w:t>
      </w:r>
      <w:r>
        <w:rPr>
          <w:rFonts w:ascii="Times New Roman" w:hAnsi="Times New Roman"/>
          <w:sz w:val="28"/>
          <w:szCs w:val="28"/>
          <w:lang w:val="en-US"/>
        </w:rPr>
        <w:t xml:space="preserve">Trouble with Turkey in the Eastern Mediterranean </w:t>
      </w:r>
      <w:hyperlink r:id="rId26"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https://css.ethz.ch/content/dam/ethz/special-interest/gess/cis/center-fosecurities-studies/pdfs/CSSAnalyse275-EN.pdf</w:t>
        </w:r>
      </w:hyperlink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</w:p>
    <w:p>
      <w:pPr>
        <w:pStyle w:val="ListParagraph"/>
        <w:spacing w:lineRule="auto" w:line="360" w:before="0" w:after="0"/>
        <w:ind w:left="360" w:firstLine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sz w:val="28"/>
          <w:szCs w:val="28"/>
          <w:lang w:val="uk-UA"/>
        </w:rPr>
        <w:t>45. </w:t>
      </w:r>
      <w:r>
        <w:rPr>
          <w:rFonts w:ascii="Times New Roman" w:hAnsi="Times New Roman"/>
          <w:sz w:val="28"/>
          <w:szCs w:val="28"/>
          <w:lang w:val="en-US"/>
        </w:rPr>
        <w:t>The transformation of Turkish foreign policy: The rise of the tradingstate</w:t>
      </w:r>
      <w:r>
        <w:rPr>
          <w:rFonts w:ascii="Times New Roman" w:hAnsi="Times New Roman"/>
          <w:sz w:val="28"/>
          <w:szCs w:val="28"/>
          <w:lang w:val="uk-UA"/>
        </w:rPr>
        <w:t> </w:t>
      </w:r>
      <w:hyperlink r:id="rId27">
        <w:r>
          <w:rPr>
            <w:rFonts w:ascii="Times New Roman" w:hAnsi="Times New Roman"/>
            <w:i/>
            <w:color w:val="auto"/>
            <w:sz w:val="28"/>
            <w:szCs w:val="28"/>
            <w:u w:val="none"/>
            <w:lang w:val="en-US"/>
          </w:rPr>
          <w:t>https://www.esiweb.org/pdf/news_id_412_5%20%20Article%20Kemal%20Kirisci.pdf</w:t>
        </w:r>
      </w:hyperlink>
      <w:r>
        <w:rPr>
          <w:i/>
          <w:lang w:val="uk-UA"/>
        </w:rPr>
        <w:t>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   </w:t>
      </w:r>
    </w:p>
    <w:p>
      <w:pPr>
        <w:pStyle w:val="ListParagraph"/>
        <w:spacing w:lineRule="auto" w:line="360" w:before="0" w:after="0"/>
        <w:ind w:left="360" w:hanging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color w:val="FF0000"/>
          <w:lang w:val="uk-UA"/>
        </w:rPr>
        <w:t xml:space="preserve">                </w:t>
      </w:r>
      <w:r>
        <w:rPr>
          <w:rFonts w:ascii="Times New Roman" w:hAnsi="Times New Roman"/>
          <w:sz w:val="28"/>
          <w:szCs w:val="28"/>
          <w:lang w:val="uk-UA"/>
        </w:rPr>
        <w:t xml:space="preserve">46. </w:t>
      </w:r>
      <w:r>
        <w:rPr>
          <w:rFonts w:ascii="Times New Roman" w:hAnsi="Times New Roman"/>
          <w:sz w:val="28"/>
          <w:szCs w:val="28"/>
          <w:lang w:val="en-US"/>
        </w:rPr>
        <w:t>Larrabee F.S. Troubled Partnership.U.S.-</w:t>
      </w:r>
      <w:r>
        <w:rPr>
          <w:rFonts w:ascii="Times New Roman" w:hAnsi="Times New Roman"/>
          <w:i/>
          <w:sz w:val="28"/>
          <w:szCs w:val="28"/>
          <w:lang w:val="en-US"/>
        </w:rPr>
        <w:t>Turkish Relations in an Era of Global Geopolitical Change</w:t>
      </w:r>
      <w:r>
        <w:rPr>
          <w:rFonts w:ascii="Times New Roman" w:hAnsi="Times New Roman"/>
          <w:sz w:val="28"/>
          <w:szCs w:val="28"/>
          <w:lang w:val="en-US"/>
        </w:rPr>
        <w:t>. Pittsburg: RAND, 2010. 164</w:t>
      </w:r>
    </w:p>
    <w:p>
      <w:pPr>
        <w:pStyle w:val="Normal"/>
        <w:tabs>
          <w:tab w:val="clear" w:pos="720"/>
          <w:tab w:val="left" w:pos="900" w:leader="none"/>
        </w:tabs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sz w:val="28"/>
          <w:szCs w:val="28"/>
          <w:lang w:val="uk-UA"/>
        </w:rPr>
        <w:t>47. </w:t>
      </w:r>
      <w:r>
        <w:rPr>
          <w:rFonts w:ascii="Times New Roman" w:hAnsi="Times New Roman"/>
          <w:sz w:val="28"/>
          <w:szCs w:val="28"/>
          <w:lang w:val="en-US"/>
        </w:rPr>
        <w:t>Tepeciklio</w:t>
      </w:r>
      <w:r>
        <w:rPr>
          <w:rFonts w:ascii="Times New Roman" w:hAnsi="Times New Roman"/>
          <w:sz w:val="28"/>
          <w:szCs w:val="28"/>
          <w:lang w:val="uk-UA"/>
        </w:rPr>
        <w:t>ğ</w:t>
      </w:r>
      <w:r>
        <w:rPr>
          <w:rFonts w:ascii="Times New Roman" w:hAnsi="Times New Roman"/>
          <w:sz w:val="28"/>
          <w:szCs w:val="28"/>
          <w:lang w:val="en-US"/>
        </w:rPr>
        <w:t>lu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E</w:t>
      </w:r>
      <w:r>
        <w:rPr>
          <w:rFonts w:ascii="Times New Roman" w:hAnsi="Times New Roman"/>
          <w:sz w:val="28"/>
          <w:szCs w:val="28"/>
          <w:lang w:val="uk-UA"/>
        </w:rPr>
        <w:t xml:space="preserve">. 2013. </w:t>
      </w:r>
      <w:r>
        <w:rPr>
          <w:rFonts w:ascii="Times New Roman" w:hAnsi="Times New Roman"/>
          <w:i/>
          <w:sz w:val="28"/>
          <w:szCs w:val="28"/>
          <w:lang w:val="en-US"/>
        </w:rPr>
        <w:t>T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r>
        <w:rPr>
          <w:rFonts w:ascii="Times New Roman" w:hAnsi="Times New Roman"/>
          <w:i/>
          <w:sz w:val="28"/>
          <w:szCs w:val="28"/>
          <w:lang w:val="en-US"/>
        </w:rPr>
        <w:t>rkiye</w:t>
      </w:r>
      <w:r>
        <w:rPr>
          <w:rFonts w:ascii="Times New Roman" w:hAnsi="Times New Roman"/>
          <w:i/>
          <w:sz w:val="28"/>
          <w:szCs w:val="28"/>
          <w:lang w:val="uk-UA"/>
        </w:rPr>
        <w:t>’</w:t>
      </w:r>
      <w:r>
        <w:rPr>
          <w:rFonts w:ascii="Times New Roman" w:hAnsi="Times New Roman"/>
          <w:i/>
          <w:sz w:val="28"/>
          <w:szCs w:val="28"/>
          <w:lang w:val="en-US"/>
        </w:rPr>
        <w:t>de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Uluslararas</w:t>
      </w:r>
      <w:r>
        <w:rPr>
          <w:rFonts w:ascii="Times New Roman" w:hAnsi="Times New Roman"/>
          <w:i/>
          <w:sz w:val="28"/>
          <w:szCs w:val="28"/>
          <w:lang w:val="uk-UA"/>
        </w:rPr>
        <w:t>ı İ</w:t>
      </w:r>
      <w:r>
        <w:rPr>
          <w:rFonts w:ascii="Times New Roman" w:hAnsi="Times New Roman"/>
          <w:i/>
          <w:sz w:val="28"/>
          <w:szCs w:val="28"/>
          <w:lang w:val="en-US"/>
        </w:rPr>
        <w:t>li</w:t>
      </w:r>
      <w:r>
        <w:rPr>
          <w:rFonts w:ascii="Times New Roman" w:hAnsi="Times New Roman"/>
          <w:i/>
          <w:sz w:val="28"/>
          <w:szCs w:val="28"/>
          <w:lang w:val="uk-UA"/>
        </w:rPr>
        <w:t>ş</w:t>
      </w:r>
      <w:r>
        <w:rPr>
          <w:rFonts w:ascii="Times New Roman" w:hAnsi="Times New Roman"/>
          <w:i/>
          <w:sz w:val="28"/>
          <w:szCs w:val="28"/>
          <w:lang w:val="en-US"/>
        </w:rPr>
        <w:t>kiler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ğ</w:t>
      </w:r>
      <w:r>
        <w:rPr>
          <w:rFonts w:ascii="Times New Roman" w:hAnsi="Times New Roman"/>
          <w:i/>
          <w:sz w:val="28"/>
          <w:szCs w:val="28"/>
          <w:lang w:val="en-US"/>
        </w:rPr>
        <w:t>itimi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i/>
          <w:sz w:val="28"/>
          <w:szCs w:val="28"/>
          <w:lang w:val="en-US"/>
        </w:rPr>
        <w:t>Lisans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ve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Lisans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r>
        <w:rPr>
          <w:rFonts w:ascii="Times New Roman" w:hAnsi="Times New Roman"/>
          <w:i/>
          <w:sz w:val="28"/>
          <w:szCs w:val="28"/>
          <w:lang w:val="en-US"/>
        </w:rPr>
        <w:t>st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ü </w:t>
      </w:r>
      <w:r>
        <w:rPr>
          <w:rFonts w:ascii="Times New Roman" w:hAnsi="Times New Roman"/>
          <w:i/>
          <w:sz w:val="28"/>
          <w:szCs w:val="28"/>
          <w:lang w:val="en-US"/>
        </w:rPr>
        <w:t>Ders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Programlar</w:t>
      </w:r>
      <w:r>
        <w:rPr>
          <w:rFonts w:ascii="Times New Roman" w:hAnsi="Times New Roman"/>
          <w:i/>
          <w:sz w:val="28"/>
          <w:szCs w:val="28"/>
          <w:lang w:val="uk-UA"/>
        </w:rPr>
        <w:t>ı</w:t>
      </w:r>
      <w:r>
        <w:rPr>
          <w:rFonts w:ascii="Times New Roman" w:hAnsi="Times New Roman"/>
          <w:i/>
          <w:sz w:val="28"/>
          <w:szCs w:val="28"/>
          <w:lang w:val="en-US"/>
        </w:rPr>
        <w:t>n</w:t>
      </w:r>
      <w:r>
        <w:rPr>
          <w:rFonts w:ascii="Times New Roman" w:hAnsi="Times New Roman"/>
          <w:i/>
          <w:sz w:val="28"/>
          <w:szCs w:val="28"/>
          <w:lang w:val="uk-UA"/>
        </w:rPr>
        <w:t>ı</w:t>
      </w:r>
      <w:r>
        <w:rPr>
          <w:rFonts w:ascii="Times New Roman" w:hAnsi="Times New Roman"/>
          <w:i/>
          <w:sz w:val="28"/>
          <w:szCs w:val="28"/>
          <w:lang w:val="en-US"/>
        </w:rPr>
        <w:t>n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Kar</w:t>
      </w:r>
      <w:r>
        <w:rPr>
          <w:rFonts w:ascii="Times New Roman" w:hAnsi="Times New Roman"/>
          <w:i/>
          <w:sz w:val="28"/>
          <w:szCs w:val="28"/>
          <w:lang w:val="uk-UA"/>
        </w:rPr>
        <w:t>şı</w:t>
      </w:r>
      <w:r>
        <w:rPr>
          <w:rFonts w:ascii="Times New Roman" w:hAnsi="Times New Roman"/>
          <w:i/>
          <w:sz w:val="28"/>
          <w:szCs w:val="28"/>
          <w:lang w:val="en-US"/>
        </w:rPr>
        <w:t>la</w:t>
      </w:r>
      <w:r>
        <w:rPr>
          <w:rFonts w:ascii="Times New Roman" w:hAnsi="Times New Roman"/>
          <w:i/>
          <w:sz w:val="28"/>
          <w:szCs w:val="28"/>
          <w:lang w:val="uk-UA"/>
        </w:rPr>
        <w:t>ş</w:t>
      </w:r>
      <w:r>
        <w:rPr>
          <w:rFonts w:ascii="Times New Roman" w:hAnsi="Times New Roman"/>
          <w:i/>
          <w:sz w:val="28"/>
          <w:szCs w:val="28"/>
          <w:lang w:val="en-US"/>
        </w:rPr>
        <w:t>t</w:t>
      </w:r>
      <w:r>
        <w:rPr>
          <w:rFonts w:ascii="Times New Roman" w:hAnsi="Times New Roman"/>
          <w:i/>
          <w:sz w:val="28"/>
          <w:szCs w:val="28"/>
          <w:lang w:val="uk-UA"/>
        </w:rPr>
        <w:t>ı</w:t>
      </w:r>
      <w:r>
        <w:rPr>
          <w:rFonts w:ascii="Times New Roman" w:hAnsi="Times New Roman"/>
          <w:i/>
          <w:sz w:val="28"/>
          <w:szCs w:val="28"/>
          <w:lang w:val="en-US"/>
        </w:rPr>
        <w:t>rmal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ı </w:t>
      </w:r>
      <w:r>
        <w:rPr>
          <w:rFonts w:ascii="Times New Roman" w:hAnsi="Times New Roman"/>
          <w:i/>
          <w:sz w:val="28"/>
          <w:szCs w:val="28"/>
          <w:lang w:val="en-US"/>
        </w:rPr>
        <w:t>Bir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Analizi</w:t>
      </w:r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  <w:lang w:val="en-US"/>
        </w:rPr>
        <w:t>Ege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Akademik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Bak</w:t>
      </w:r>
      <w:r>
        <w:rPr>
          <w:rFonts w:ascii="Times New Roman" w:hAnsi="Times New Roman"/>
          <w:sz w:val="28"/>
          <w:szCs w:val="28"/>
          <w:lang w:val="uk-UA"/>
        </w:rPr>
        <w:t xml:space="preserve">ış. </w:t>
      </w:r>
      <w:r>
        <w:rPr>
          <w:rFonts w:ascii="Times New Roman" w:hAnsi="Times New Roman"/>
          <w:sz w:val="28"/>
          <w:szCs w:val="28"/>
        </w:rPr>
        <w:t>No</w:t>
      </w:r>
      <w:r>
        <w:rPr>
          <w:rFonts w:ascii="Times New Roman" w:hAnsi="Times New Roman"/>
          <w:sz w:val="28"/>
          <w:szCs w:val="28"/>
          <w:lang w:val="uk-UA"/>
        </w:rPr>
        <w:t xml:space="preserve">. 3. </w:t>
      </w:r>
      <w:r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>. 303-316.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sz w:val="28"/>
          <w:szCs w:val="28"/>
          <w:lang w:val="uk-UA"/>
        </w:rPr>
        <w:t>48. </w:t>
      </w:r>
      <w:r>
        <w:rPr>
          <w:rFonts w:ascii="Times New Roman" w:hAnsi="Times New Roman"/>
          <w:sz w:val="28"/>
          <w:szCs w:val="28"/>
          <w:lang w:val="en-US"/>
        </w:rPr>
        <w:t>K</w:t>
      </w:r>
      <w:r>
        <w:rPr>
          <w:rFonts w:ascii="Times New Roman" w:hAnsi="Times New Roman"/>
          <w:sz w:val="28"/>
          <w:szCs w:val="28"/>
          <w:lang w:val="uk-UA"/>
        </w:rPr>
        <w:t>ö</w:t>
      </w:r>
      <w:r>
        <w:rPr>
          <w:rFonts w:ascii="Times New Roman" w:hAnsi="Times New Roman"/>
          <w:sz w:val="28"/>
          <w:szCs w:val="28"/>
          <w:lang w:val="en-US"/>
        </w:rPr>
        <w:t>seo</w:t>
      </w:r>
      <w:r>
        <w:rPr>
          <w:rFonts w:ascii="Times New Roman" w:hAnsi="Times New Roman"/>
          <w:sz w:val="28"/>
          <w:szCs w:val="28"/>
          <w:lang w:val="uk-UA"/>
        </w:rPr>
        <w:t>ğ</w:t>
      </w:r>
      <w:r>
        <w:rPr>
          <w:rFonts w:ascii="Times New Roman" w:hAnsi="Times New Roman"/>
          <w:sz w:val="28"/>
          <w:szCs w:val="28"/>
          <w:lang w:val="en-US"/>
        </w:rPr>
        <w:t>lu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M</w:t>
      </w:r>
      <w:r>
        <w:rPr>
          <w:rFonts w:ascii="Times New Roman" w:hAnsi="Times New Roman"/>
          <w:sz w:val="28"/>
          <w:szCs w:val="28"/>
          <w:lang w:val="uk-UA"/>
        </w:rPr>
        <w:t>., Ç</w:t>
      </w:r>
      <w:r>
        <w:rPr>
          <w:rFonts w:ascii="Times New Roman" w:hAnsi="Times New Roman"/>
          <w:sz w:val="28"/>
          <w:szCs w:val="28"/>
          <w:lang w:val="en-US"/>
        </w:rPr>
        <w:t>evikel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</w:t>
      </w:r>
      <w:r>
        <w:rPr>
          <w:rFonts w:ascii="Times New Roman" w:hAnsi="Times New Roman"/>
          <w:sz w:val="28"/>
          <w:szCs w:val="28"/>
          <w:lang w:val="uk-UA"/>
        </w:rPr>
        <w:t xml:space="preserve">. 2014. </w:t>
      </w:r>
      <w:r>
        <w:rPr>
          <w:rFonts w:ascii="Times New Roman" w:hAnsi="Times New Roman"/>
          <w:i/>
          <w:sz w:val="28"/>
          <w:szCs w:val="28"/>
          <w:lang w:val="en-US"/>
        </w:rPr>
        <w:t>Yumu</w:t>
      </w:r>
      <w:r>
        <w:rPr>
          <w:rFonts w:ascii="Times New Roman" w:hAnsi="Times New Roman"/>
          <w:i/>
          <w:sz w:val="28"/>
          <w:szCs w:val="28"/>
          <w:lang w:val="uk-UA"/>
        </w:rPr>
        <w:t>ş</w:t>
      </w:r>
      <w:r>
        <w:rPr>
          <w:rFonts w:ascii="Times New Roman" w:hAnsi="Times New Roman"/>
          <w:i/>
          <w:sz w:val="28"/>
          <w:szCs w:val="28"/>
          <w:lang w:val="en-US"/>
        </w:rPr>
        <w:t>ak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g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üç: </w:t>
      </w:r>
      <w:r>
        <w:rPr>
          <w:rFonts w:ascii="Times New Roman" w:hAnsi="Times New Roman"/>
          <w:i/>
          <w:sz w:val="28"/>
          <w:szCs w:val="28"/>
          <w:lang w:val="en-US"/>
        </w:rPr>
        <w:t>insani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yard</w:t>
      </w:r>
      <w:r>
        <w:rPr>
          <w:rFonts w:ascii="Times New Roman" w:hAnsi="Times New Roman"/>
          <w:i/>
          <w:sz w:val="28"/>
          <w:szCs w:val="28"/>
          <w:lang w:val="uk-UA"/>
        </w:rPr>
        <w:t>ı</w:t>
      </w:r>
      <w:r>
        <w:rPr>
          <w:rFonts w:ascii="Times New Roman" w:hAnsi="Times New Roman"/>
          <w:i/>
          <w:sz w:val="28"/>
          <w:szCs w:val="28"/>
          <w:lang w:val="en-US"/>
        </w:rPr>
        <w:t>m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operasyonlar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ı </w:t>
      </w:r>
      <w:r>
        <w:rPr>
          <w:rFonts w:ascii="Times New Roman" w:hAnsi="Times New Roman"/>
          <w:i/>
          <w:sz w:val="28"/>
          <w:szCs w:val="28"/>
          <w:lang w:val="en-US"/>
        </w:rPr>
        <w:t>ve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T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r>
        <w:rPr>
          <w:rFonts w:ascii="Times New Roman" w:hAnsi="Times New Roman"/>
          <w:i/>
          <w:sz w:val="28"/>
          <w:szCs w:val="28"/>
          <w:lang w:val="en-US"/>
        </w:rPr>
        <w:t>rkiye</w:t>
      </w:r>
      <w:r>
        <w:rPr>
          <w:rFonts w:ascii="Times New Roman" w:hAnsi="Times New Roman"/>
          <w:i/>
          <w:sz w:val="28"/>
          <w:szCs w:val="28"/>
          <w:lang w:val="uk-UA"/>
        </w:rPr>
        <w:t>'</w:t>
      </w:r>
      <w:r>
        <w:rPr>
          <w:rFonts w:ascii="Times New Roman" w:hAnsi="Times New Roman"/>
          <w:i/>
          <w:sz w:val="28"/>
          <w:szCs w:val="28"/>
          <w:lang w:val="en-US"/>
        </w:rPr>
        <w:t>deki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suriyeli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r>
        <w:rPr>
          <w:rFonts w:ascii="Times New Roman" w:hAnsi="Times New Roman"/>
          <w:i/>
          <w:sz w:val="28"/>
          <w:szCs w:val="28"/>
          <w:lang w:val="en-US"/>
        </w:rPr>
        <w:t>lteciler</w:t>
      </w:r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  <w:lang w:val="en-US"/>
        </w:rPr>
        <w:t>Akademik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Bak</w:t>
      </w:r>
      <w:r>
        <w:rPr>
          <w:rFonts w:ascii="Times New Roman" w:hAnsi="Times New Roman"/>
          <w:sz w:val="28"/>
          <w:szCs w:val="28"/>
          <w:lang w:val="uk-UA"/>
        </w:rPr>
        <w:t xml:space="preserve">ış </w:t>
      </w:r>
      <w:r>
        <w:rPr>
          <w:rFonts w:ascii="Times New Roman" w:hAnsi="Times New Roman"/>
          <w:sz w:val="28"/>
          <w:szCs w:val="28"/>
          <w:lang w:val="en-US"/>
        </w:rPr>
        <w:t>Dergisi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May</w:t>
      </w:r>
      <w:r>
        <w:rPr>
          <w:rFonts w:ascii="Times New Roman" w:hAnsi="Times New Roman"/>
          <w:sz w:val="28"/>
          <w:szCs w:val="28"/>
          <w:lang w:val="uk-UA"/>
        </w:rPr>
        <w:t>ı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en-US"/>
        </w:rPr>
        <w:t>Haziran</w:t>
      </w:r>
      <w:r>
        <w:rPr>
          <w:rFonts w:ascii="Times New Roman" w:hAnsi="Times New Roman"/>
          <w:sz w:val="28"/>
          <w:szCs w:val="28"/>
          <w:lang w:val="uk-UA"/>
        </w:rPr>
        <w:t>. № 43.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sz w:val="28"/>
          <w:szCs w:val="28"/>
          <w:lang w:val="uk-UA"/>
        </w:rPr>
        <w:t>49. </w:t>
      </w:r>
      <w:r>
        <w:rPr>
          <w:rFonts w:ascii="Times New Roman" w:hAnsi="Times New Roman"/>
          <w:sz w:val="28"/>
          <w:szCs w:val="28"/>
          <w:lang w:val="en-US"/>
        </w:rPr>
        <w:t xml:space="preserve">Çelenk A.A.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Democratization of the National Security Discourse and the Political Parties in Turkey </w:t>
      </w:r>
      <w:r>
        <w:rPr>
          <w:rFonts w:ascii="Times New Roman" w:hAnsi="Times New Roman"/>
          <w:sz w:val="28"/>
          <w:szCs w:val="28"/>
          <w:lang w:val="en-US"/>
        </w:rPr>
        <w:t xml:space="preserve">//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Erciyes Üniversitesi </w:t>
      </w:r>
      <w:r>
        <w:rPr>
          <w:rFonts w:ascii="Times New Roman" w:hAnsi="Times New Roman"/>
          <w:i/>
          <w:sz w:val="28"/>
          <w:szCs w:val="28"/>
        </w:rPr>
        <w:t>І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ktisadi ve </w:t>
      </w:r>
      <w:r>
        <w:rPr>
          <w:rFonts w:ascii="Times New Roman" w:hAnsi="Times New Roman"/>
          <w:i/>
          <w:sz w:val="28"/>
          <w:szCs w:val="28"/>
        </w:rPr>
        <w:t>І</w:t>
      </w:r>
      <w:r>
        <w:rPr>
          <w:rFonts w:ascii="Times New Roman" w:hAnsi="Times New Roman"/>
          <w:i/>
          <w:sz w:val="28"/>
          <w:szCs w:val="28"/>
          <w:lang w:val="en-US"/>
        </w:rPr>
        <w:t>dari Bilimler Fakültesi Dergisi.</w:t>
      </w:r>
      <w:r>
        <w:rPr>
          <w:rFonts w:ascii="Times New Roman" w:hAnsi="Times New Roman"/>
          <w:sz w:val="28"/>
          <w:szCs w:val="28"/>
          <w:lang w:val="en-US"/>
        </w:rPr>
        <w:t xml:space="preserve"> – Temmuz - Aralık 2009. – Sayı 33. – S. 122-123. 5 Jenkins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</w:t>
      </w:r>
      <w:r>
        <w:rPr>
          <w:rFonts w:ascii="Times New Roman" w:hAnsi="Times New Roman"/>
          <w:sz w:val="28"/>
          <w:szCs w:val="28"/>
          <w:lang w:val="uk-UA"/>
        </w:rPr>
        <w:t>50. Ç</w:t>
      </w:r>
      <w:r>
        <w:rPr>
          <w:rFonts w:ascii="Times New Roman" w:hAnsi="Times New Roman"/>
          <w:sz w:val="28"/>
          <w:szCs w:val="28"/>
          <w:lang w:val="en-US"/>
        </w:rPr>
        <w:t>avu</w:t>
      </w:r>
      <w:r>
        <w:rPr>
          <w:rFonts w:ascii="Times New Roman" w:hAnsi="Times New Roman"/>
          <w:sz w:val="28"/>
          <w:szCs w:val="28"/>
          <w:lang w:val="uk-UA"/>
        </w:rPr>
        <w:t xml:space="preserve">ş </w:t>
      </w:r>
      <w:r>
        <w:rPr>
          <w:rFonts w:ascii="Times New Roman" w:hAnsi="Times New Roman"/>
          <w:sz w:val="28"/>
          <w:szCs w:val="28"/>
          <w:lang w:val="en-US"/>
        </w:rPr>
        <w:t>T</w:t>
      </w:r>
      <w:r>
        <w:rPr>
          <w:rFonts w:ascii="Times New Roman" w:hAnsi="Times New Roman"/>
          <w:sz w:val="28"/>
          <w:szCs w:val="28"/>
          <w:lang w:val="uk-UA"/>
        </w:rPr>
        <w:t xml:space="preserve">. 2012. </w:t>
      </w:r>
      <w:r>
        <w:rPr>
          <w:rFonts w:ascii="Times New Roman" w:hAnsi="Times New Roman"/>
          <w:i/>
          <w:sz w:val="28"/>
          <w:szCs w:val="28"/>
          <w:lang w:val="en-US"/>
        </w:rPr>
        <w:t>D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ış </w:t>
      </w:r>
      <w:r>
        <w:rPr>
          <w:rFonts w:ascii="Times New Roman" w:hAnsi="Times New Roman"/>
          <w:i/>
          <w:sz w:val="28"/>
          <w:szCs w:val="28"/>
          <w:lang w:val="en-US"/>
        </w:rPr>
        <w:t>politikada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yumu</w:t>
      </w:r>
      <w:r>
        <w:rPr>
          <w:rFonts w:ascii="Times New Roman" w:hAnsi="Times New Roman"/>
          <w:i/>
          <w:sz w:val="28"/>
          <w:szCs w:val="28"/>
          <w:lang w:val="uk-UA"/>
        </w:rPr>
        <w:t>ş</w:t>
      </w:r>
      <w:r>
        <w:rPr>
          <w:rFonts w:ascii="Times New Roman" w:hAnsi="Times New Roman"/>
          <w:i/>
          <w:sz w:val="28"/>
          <w:szCs w:val="28"/>
          <w:lang w:val="en-US"/>
        </w:rPr>
        <w:t>ak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g</w:t>
      </w:r>
      <w:r>
        <w:rPr>
          <w:rFonts w:ascii="Times New Roman" w:hAnsi="Times New Roman"/>
          <w:i/>
          <w:sz w:val="28"/>
          <w:szCs w:val="28"/>
          <w:lang w:val="uk-UA"/>
        </w:rPr>
        <w:t>üç</w:t>
      </w:r>
      <w:r>
        <w:rPr>
          <w:rFonts w:ascii="Times New Roman" w:hAnsi="Times New Roman"/>
          <w:i/>
          <w:sz w:val="28"/>
          <w:szCs w:val="28"/>
          <w:lang w:val="en-US"/>
        </w:rPr>
        <w:t>k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avram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ı </w:t>
      </w:r>
      <w:r>
        <w:rPr>
          <w:rFonts w:ascii="Times New Roman" w:hAnsi="Times New Roman"/>
          <w:i/>
          <w:sz w:val="28"/>
          <w:szCs w:val="28"/>
          <w:lang w:val="en-US"/>
        </w:rPr>
        <w:t>ve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t</w:t>
      </w:r>
      <w:r>
        <w:rPr>
          <w:rFonts w:ascii="Times New Roman" w:hAnsi="Times New Roman"/>
          <w:i/>
          <w:sz w:val="28"/>
          <w:szCs w:val="28"/>
          <w:lang w:val="uk-UA"/>
        </w:rPr>
        <w:t>ü</w:t>
      </w:r>
      <w:r>
        <w:rPr>
          <w:rFonts w:ascii="Times New Roman" w:hAnsi="Times New Roman"/>
          <w:i/>
          <w:sz w:val="28"/>
          <w:szCs w:val="28"/>
          <w:lang w:val="en-US"/>
        </w:rPr>
        <w:t>rkiye</w:t>
      </w:r>
      <w:r>
        <w:rPr>
          <w:rFonts w:ascii="Times New Roman" w:hAnsi="Times New Roman"/>
          <w:i/>
          <w:sz w:val="28"/>
          <w:szCs w:val="28"/>
          <w:lang w:val="uk-UA"/>
        </w:rPr>
        <w:t>'</w:t>
      </w:r>
      <w:r>
        <w:rPr>
          <w:rFonts w:ascii="Times New Roman" w:hAnsi="Times New Roman"/>
          <w:i/>
          <w:sz w:val="28"/>
          <w:szCs w:val="28"/>
          <w:lang w:val="en-US"/>
        </w:rPr>
        <w:t>nin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yumu</w:t>
      </w:r>
      <w:r>
        <w:rPr>
          <w:rFonts w:ascii="Times New Roman" w:hAnsi="Times New Roman"/>
          <w:i/>
          <w:sz w:val="28"/>
          <w:szCs w:val="28"/>
          <w:lang w:val="uk-UA"/>
        </w:rPr>
        <w:t>ş</w:t>
      </w:r>
      <w:r>
        <w:rPr>
          <w:rFonts w:ascii="Times New Roman" w:hAnsi="Times New Roman"/>
          <w:i/>
          <w:sz w:val="28"/>
          <w:szCs w:val="28"/>
          <w:lang w:val="en-US"/>
        </w:rPr>
        <w:t>ak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g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üç </w:t>
      </w:r>
      <w:r>
        <w:rPr>
          <w:rFonts w:ascii="Times New Roman" w:hAnsi="Times New Roman"/>
          <w:i/>
          <w:sz w:val="28"/>
          <w:szCs w:val="28"/>
          <w:lang w:val="en-US"/>
        </w:rPr>
        <w:t>kullan</w:t>
      </w:r>
      <w:r>
        <w:rPr>
          <w:rFonts w:ascii="Times New Roman" w:hAnsi="Times New Roman"/>
          <w:i/>
          <w:sz w:val="28"/>
          <w:szCs w:val="28"/>
          <w:lang w:val="uk-UA"/>
        </w:rPr>
        <w:t>ı</w:t>
      </w:r>
      <w:r>
        <w:rPr>
          <w:rFonts w:ascii="Times New Roman" w:hAnsi="Times New Roman"/>
          <w:i/>
          <w:sz w:val="28"/>
          <w:szCs w:val="28"/>
          <w:lang w:val="en-US"/>
        </w:rPr>
        <w:t>m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ı – </w:t>
      </w:r>
      <w:r>
        <w:rPr>
          <w:rFonts w:ascii="Times New Roman" w:hAnsi="Times New Roman"/>
          <w:i/>
          <w:sz w:val="28"/>
          <w:szCs w:val="28"/>
          <w:lang w:val="en-US"/>
        </w:rPr>
        <w:t>KS</w:t>
      </w:r>
      <w:r>
        <w:rPr>
          <w:rFonts w:ascii="Times New Roman" w:hAnsi="Times New Roman"/>
          <w:i/>
          <w:sz w:val="28"/>
          <w:szCs w:val="28"/>
          <w:lang w:val="uk-UA"/>
        </w:rPr>
        <w:t>Ü İİ</w:t>
      </w:r>
      <w:r>
        <w:rPr>
          <w:rFonts w:ascii="Times New Roman" w:hAnsi="Times New Roman"/>
          <w:i/>
          <w:sz w:val="28"/>
          <w:szCs w:val="28"/>
          <w:lang w:val="en-US"/>
        </w:rPr>
        <w:t>BF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Dergisi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Vol. 2. Iss. 2. P. 23-36.</w:t>
      </w:r>
    </w:p>
    <w:p>
      <w:pPr>
        <w:pStyle w:val="Normal"/>
        <w:spacing w:lineRule="auto" w:line="360" w:before="0" w:after="0"/>
        <w:ind w:firstLine="108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51.</w:t>
      </w:r>
      <w:r>
        <w:rPr>
          <w:rFonts w:ascii="Times New Roman" w:hAnsi="Times New Roman"/>
          <w:sz w:val="28"/>
          <w:szCs w:val="28"/>
          <w:lang w:val="en-US"/>
        </w:rPr>
        <w:t xml:space="preserve">Waltz, K., (1979), </w:t>
      </w:r>
      <w:r>
        <w:rPr>
          <w:rFonts w:ascii="Times New Roman" w:hAnsi="Times New Roman"/>
          <w:i/>
          <w:iCs/>
          <w:sz w:val="28"/>
          <w:szCs w:val="28"/>
          <w:lang w:val="en-US"/>
        </w:rPr>
        <w:t>Theory of International Politics</w:t>
      </w:r>
      <w:r>
        <w:rPr>
          <w:rFonts w:ascii="Times New Roman" w:hAnsi="Times New Roman"/>
          <w:sz w:val="28"/>
          <w:szCs w:val="28"/>
          <w:lang w:val="en-US"/>
        </w:rPr>
        <w:t xml:space="preserve">. N.-Y., 154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>
      <w:pPr>
        <w:pStyle w:val="ListParagraph"/>
        <w:spacing w:lineRule="auto" w:line="360" w:before="0" w:after="0"/>
        <w:ind w:left="0" w:hanging="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</w:t>
      </w:r>
      <w:r>
        <w:rPr>
          <w:rFonts w:ascii="Times New Roman" w:hAnsi="Times New Roman"/>
          <w:sz w:val="28"/>
          <w:szCs w:val="28"/>
          <w:lang w:val="uk-UA"/>
        </w:rPr>
        <w:t>52.</w:t>
      </w:r>
      <w:r>
        <w:rPr>
          <w:rFonts w:ascii="Times New Roman" w:hAnsi="Times New Roman"/>
          <w:sz w:val="28"/>
          <w:szCs w:val="28"/>
          <w:lang w:val="en-US"/>
        </w:rPr>
        <w:t xml:space="preserve">Waltz, K., (2008), </w:t>
      </w:r>
      <w:r>
        <w:rPr>
          <w:rFonts w:ascii="Times New Roman" w:hAnsi="Times New Roman"/>
          <w:i/>
          <w:iCs/>
          <w:sz w:val="28"/>
          <w:szCs w:val="28"/>
          <w:lang w:val="en-US"/>
        </w:rPr>
        <w:t>Realism and International Politics</w:t>
      </w:r>
      <w:r>
        <w:rPr>
          <w:rFonts w:ascii="Times New Roman" w:hAnsi="Times New Roman"/>
          <w:sz w:val="28"/>
          <w:szCs w:val="28"/>
          <w:lang w:val="en-US"/>
        </w:rPr>
        <w:t>. N.-Y., 355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>
      <w:pPr>
        <w:pStyle w:val="ListParagraph"/>
        <w:spacing w:lineRule="auto" w:line="360" w:before="0" w:after="0"/>
        <w:ind w:left="360" w:firstLine="108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left="360" w:hanging="0"/>
        <w:jc w:val="both"/>
        <w:rPr>
          <w:rFonts w:ascii="Times New Roman" w:hAnsi="Times New Roman"/>
          <w:b/>
          <w:b/>
          <w:bCs/>
          <w:spacing w:val="2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pacing w:val="2"/>
          <w:sz w:val="28"/>
          <w:szCs w:val="28"/>
          <w:lang w:val="uk-UA"/>
        </w:rPr>
      </w:r>
    </w:p>
    <w:p>
      <w:pPr>
        <w:pStyle w:val="Normal"/>
        <w:spacing w:lineRule="auto" w:line="360" w:before="0" w:after="0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/>
      </w:r>
    </w:p>
    <w:sectPr>
      <w:headerReference w:type="default" r:id="rId28"/>
      <w:type w:val="nextPage"/>
      <w:pgSz w:w="11906" w:h="16838"/>
      <w:pgMar w:left="1701" w:right="850" w:header="708" w:top="1134" w:footer="0" w:bottom="1134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6"/>
      <w:spacing w:before="0" w:after="200"/>
      <w:ind w:right="360" w:hanging="0"/>
      <w:rPr/>
    </w:pPr>
    <w:r>
      <w:rPr/>
    </w:r>
    <w:r>
      <mc:AlternateContent>
        <mc:Choice Requires="wps">
          <w:drawing>
            <wp:anchor behindDoc="0" distT="0" distB="0" distL="0" distR="0" simplePos="0" locked="0" layoutInCell="0" allowOverlap="1" relativeHeight="14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78435" cy="204470"/>
              <wp:effectExtent l="0" t="0" r="0" b="0"/>
              <wp:wrapSquare wrapText="bothSides"/>
              <wp:docPr id="1" name="Врезка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8435" cy="20447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6"/>
                            <w:pBdr/>
                            <w:spacing w:before="0" w:after="200"/>
                            <w:rPr>
                              <w:rStyle w:val="Pagenumber"/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Pagenumber"/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sz w:val="28"/>
                              <w:szCs w:val="28"/>
                              <w:rFonts w:ascii="Times New Roman" w:hAnsi="Times New Roman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  <w:sz w:val="28"/>
                              <w:szCs w:val="28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sz w:val="28"/>
                              <w:szCs w:val="28"/>
                              <w:rFonts w:ascii="Times New Roman" w:hAnsi="Times New Roman"/>
                            </w:rPr>
                            <w:t>7</w:t>
                          </w:r>
                          <w:r>
                            <w:rPr>
                              <w:rStyle w:val="Pagenumber"/>
                              <w:sz w:val="28"/>
                              <w:szCs w:val="28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14.05pt;height:16.1pt;mso-wrap-distance-left:0pt;mso-wrap-distance-right:0pt;mso-wrap-distance-top:0pt;mso-wrap-distance-bottom:0pt;margin-top:0.05pt;mso-position-vertical-relative:text;margin-left:453.7pt;mso-position-horizontal:right;mso-position-horizontal-relative:margin">
              <v:fill opacity="0f"/>
              <v:textbox inset="0in,0in,0in,0in">
                <w:txbxContent>
                  <w:p>
                    <w:pPr>
                      <w:pStyle w:val="Style26"/>
                      <w:pBdr/>
                      <w:spacing w:before="0" w:after="200"/>
                      <w:rPr>
                        <w:rStyle w:val="Pagenumber"/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Style w:val="Pagenumber"/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Pagenumber"/>
                        <w:sz w:val="28"/>
                        <w:szCs w:val="28"/>
                        <w:rFonts w:ascii="Times New Roman" w:hAnsi="Times New Roman"/>
                      </w:rPr>
                      <w:instrText> PAGE </w:instrText>
                    </w:r>
                    <w:r>
                      <w:rPr>
                        <w:rStyle w:val="Pagenumber"/>
                        <w:sz w:val="28"/>
                        <w:szCs w:val="28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rStyle w:val="Pagenumber"/>
                        <w:sz w:val="28"/>
                        <w:szCs w:val="28"/>
                        <w:rFonts w:ascii="Times New Roman" w:hAnsi="Times New Roman"/>
                      </w:rPr>
                      <w:t>7</w:t>
                    </w:r>
                    <w:r>
                      <w:rPr>
                        <w:rStyle w:val="Pagenumber"/>
                        <w:sz w:val="28"/>
                        <w:szCs w:val="28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footer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c05e1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ru-RU" w:bidi="ar-SA"/>
    </w:rPr>
  </w:style>
  <w:style w:type="paragraph" w:styleId="2">
    <w:name w:val="Heading 2"/>
    <w:basedOn w:val="Normal"/>
    <w:next w:val="Normal"/>
    <w:link w:val="20"/>
    <w:uiPriority w:val="99"/>
    <w:qFormat/>
    <w:rsid w:val="008c2664"/>
    <w:pPr>
      <w:keepNext w:val="true"/>
      <w:keepLines/>
      <w:spacing w:lineRule="auto" w:line="240" w:before="40" w:after="200"/>
      <w:outlineLvl w:val="1"/>
    </w:pPr>
    <w:rPr>
      <w:rFonts w:eastAsia="Times New Roman"/>
      <w:szCs w:val="26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21" w:customStyle="1">
    <w:name w:val="Заголовок 2 Знак"/>
    <w:basedOn w:val="DefaultParagraphFont"/>
    <w:link w:val="2"/>
    <w:uiPriority w:val="99"/>
    <w:qFormat/>
    <w:locked/>
    <w:rsid w:val="008c2664"/>
    <w:rPr>
      <w:rFonts w:eastAsia="Times New Roman" w:cs="Times New Roman"/>
      <w:sz w:val="26"/>
      <w:szCs w:val="26"/>
      <w:lang w:val="ru-RU" w:eastAsia="ru-RU"/>
    </w:rPr>
  </w:style>
  <w:style w:type="character" w:styleId="Times" w:customStyle="1">
    <w:name w:val="Заголовок Times Знак"/>
    <w:basedOn w:val="DefaultParagraphFont"/>
    <w:link w:val="Times"/>
    <w:uiPriority w:val="99"/>
    <w:qFormat/>
    <w:locked/>
    <w:rsid w:val="00f720a5"/>
    <w:rPr>
      <w:rFonts w:eastAsia="Times New Roman" w:cs="Times New Roman"/>
      <w:b/>
      <w:caps/>
      <w:sz w:val="32"/>
      <w:szCs w:val="32"/>
      <w:lang w:val="pl-PL" w:eastAsia="en-US" w:bidi="ar-SA"/>
    </w:rPr>
  </w:style>
  <w:style w:type="character" w:styleId="Style13" w:customStyle="1">
    <w:name w:val="Підрозділ Знак"/>
    <w:basedOn w:val="Times"/>
    <w:link w:val="a3"/>
    <w:uiPriority w:val="99"/>
    <w:qFormat/>
    <w:locked/>
    <w:rsid w:val="00f720a5"/>
    <w:rPr>
      <w:rFonts w:eastAsia="Times New Roman" w:cs="Times New Roman"/>
      <w:b/>
      <w:caps/>
      <w:sz w:val="32"/>
      <w:szCs w:val="32"/>
      <w:lang w:val="pl-PL" w:eastAsia="en-US" w:bidi="ar-SA"/>
    </w:rPr>
  </w:style>
  <w:style w:type="character" w:styleId="1" w:customStyle="1">
    <w:name w:val="Підзаголовок1 Знак"/>
    <w:basedOn w:val="Style13"/>
    <w:link w:val="1"/>
    <w:uiPriority w:val="99"/>
    <w:qFormat/>
    <w:locked/>
    <w:rsid w:val="008c2664"/>
    <w:rPr>
      <w:rFonts w:eastAsia="Times New Roman" w:cs="Times New Roman"/>
      <w:b/>
      <w:caps/>
      <w:sz w:val="32"/>
      <w:szCs w:val="32"/>
      <w:lang w:val="pl-PL" w:eastAsia="en-US" w:bidi="ar-SA"/>
    </w:rPr>
  </w:style>
  <w:style w:type="character" w:styleId="Style14" w:customStyle="1">
    <w:name w:val="Нижний колонтитул Знак"/>
    <w:basedOn w:val="DefaultParagraphFont"/>
    <w:link w:val="a5"/>
    <w:uiPriority w:val="99"/>
    <w:qFormat/>
    <w:locked/>
    <w:rsid w:val="00fc05e1"/>
    <w:rPr>
      <w:rFonts w:ascii="Times New Roman" w:hAnsi="Times New Roman" w:cs="Times New Roman"/>
      <w:sz w:val="20"/>
      <w:szCs w:val="20"/>
      <w:lang w:val="uk-UA" w:eastAsia="ru-RU"/>
    </w:rPr>
  </w:style>
  <w:style w:type="character" w:styleId="Style15" w:customStyle="1">
    <w:name w:val="Верхний колонтитул Знак"/>
    <w:basedOn w:val="DefaultParagraphFont"/>
    <w:link w:val="a8"/>
    <w:uiPriority w:val="99"/>
    <w:semiHidden/>
    <w:qFormat/>
    <w:locked/>
    <w:rsid w:val="00045fa2"/>
    <w:rPr>
      <w:rFonts w:cs="Times New Roman"/>
      <w:lang w:eastAsia="en-US"/>
    </w:rPr>
  </w:style>
  <w:style w:type="character" w:styleId="Pagenumber">
    <w:name w:val="page number"/>
    <w:basedOn w:val="DefaultParagraphFont"/>
    <w:uiPriority w:val="99"/>
    <w:qFormat/>
    <w:rsid w:val="00565ca2"/>
    <w:rPr>
      <w:rFonts w:cs="Times New Roman"/>
    </w:rPr>
  </w:style>
  <w:style w:type="character" w:styleId="Style16">
    <w:name w:val="Интернет-ссылка"/>
    <w:basedOn w:val="DefaultParagraphFont"/>
    <w:uiPriority w:val="99"/>
    <w:rsid w:val="00511054"/>
    <w:rPr>
      <w:rFonts w:cs="Times New Roman"/>
      <w:color w:val="0000FF"/>
      <w:u w:val="single"/>
    </w:rPr>
  </w:style>
  <w:style w:type="character" w:styleId="Hgkelc" w:customStyle="1">
    <w:name w:val="hgkelc"/>
    <w:basedOn w:val="DefaultParagraphFont"/>
    <w:uiPriority w:val="99"/>
    <w:qFormat/>
    <w:rsid w:val="00511054"/>
    <w:rPr>
      <w:rFonts w:cs="Times New Roman"/>
    </w:rPr>
  </w:style>
  <w:style w:type="character" w:styleId="Style17">
    <w:name w:val="Выделение"/>
    <w:basedOn w:val="DefaultParagraphFont"/>
    <w:uiPriority w:val="99"/>
    <w:qFormat/>
    <w:locked/>
    <w:rsid w:val="00cf1e4e"/>
    <w:rPr>
      <w:rFonts w:cs="Times New Roman"/>
      <w:i/>
      <w:iCs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Ari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Arial"/>
    </w:rPr>
  </w:style>
  <w:style w:type="paragraph" w:styleId="Times1" w:customStyle="1">
    <w:name w:val="Заголовок Times"/>
    <w:next w:val="Normal"/>
    <w:link w:val="Times0"/>
    <w:uiPriority w:val="99"/>
    <w:qFormat/>
    <w:rsid w:val="00f720a5"/>
    <w:pPr>
      <w:widowControl/>
      <w:bidi w:val="0"/>
      <w:spacing w:lineRule="auto" w:line="259" w:before="0" w:after="160"/>
      <w:ind w:firstLine="709"/>
      <w:contextualSpacing/>
      <w:jc w:val="left"/>
    </w:pPr>
    <w:rPr>
      <w:rFonts w:eastAsia="Times New Roman" w:ascii="Calibri" w:hAnsi="Calibri" w:cs="Times New Roman"/>
      <w:b/>
      <w:caps/>
      <w:color w:val="auto"/>
      <w:kern w:val="0"/>
      <w:sz w:val="32"/>
      <w:szCs w:val="32"/>
      <w:lang w:val="pl-PL" w:eastAsia="en-US" w:bidi="ar-SA"/>
    </w:rPr>
  </w:style>
  <w:style w:type="paragraph" w:styleId="Style23" w:customStyle="1">
    <w:name w:val="Підрозділ"/>
    <w:basedOn w:val="Times1"/>
    <w:next w:val="Normal"/>
    <w:link w:val="a4"/>
    <w:uiPriority w:val="99"/>
    <w:qFormat/>
    <w:rsid w:val="00f720a5"/>
    <w:pPr/>
    <w:rPr>
      <w:b w:val="false"/>
      <w:caps w:val="false"/>
      <w:smallCaps w:val="false"/>
      <w:sz w:val="28"/>
    </w:rPr>
  </w:style>
  <w:style w:type="paragraph" w:styleId="11" w:customStyle="1">
    <w:name w:val="Підзаголовок1"/>
    <w:basedOn w:val="Style23"/>
    <w:link w:val="10"/>
    <w:uiPriority w:val="99"/>
    <w:qFormat/>
    <w:rsid w:val="008c2664"/>
    <w:pPr/>
    <w:rPr/>
  </w:style>
  <w:style w:type="paragraph" w:styleId="Style24">
    <w:name w:val="Верхний и нижний колонтитулы"/>
    <w:basedOn w:val="Normal"/>
    <w:qFormat/>
    <w:pPr/>
    <w:rPr/>
  </w:style>
  <w:style w:type="paragraph" w:styleId="Style25">
    <w:name w:val="Footer"/>
    <w:basedOn w:val="Normal"/>
    <w:link w:val="a6"/>
    <w:uiPriority w:val="99"/>
    <w:rsid w:val="00fc05e1"/>
    <w:pPr>
      <w:tabs>
        <w:tab w:val="clear" w:pos="720"/>
        <w:tab w:val="center" w:pos="4153" w:leader="none"/>
        <w:tab w:val="right" w:pos="8306" w:leader="none"/>
      </w:tabs>
      <w:spacing w:lineRule="auto" w:line="240" w:before="0" w:after="0"/>
    </w:pPr>
    <w:rPr>
      <w:rFonts w:ascii="Times New Roman" w:hAnsi="Times New Roman" w:eastAsia="Times New Roman"/>
      <w:sz w:val="20"/>
      <w:szCs w:val="20"/>
      <w:lang w:val="uk-UA" w:eastAsia="ru-RU"/>
    </w:rPr>
  </w:style>
  <w:style w:type="paragraph" w:styleId="ListParagraph">
    <w:name w:val="List Paragraph"/>
    <w:basedOn w:val="Normal"/>
    <w:uiPriority w:val="99"/>
    <w:qFormat/>
    <w:rsid w:val="0038713c"/>
    <w:pPr>
      <w:spacing w:before="0" w:after="200"/>
      <w:ind w:left="720" w:hanging="0"/>
      <w:contextualSpacing/>
    </w:pPr>
    <w:rPr/>
  </w:style>
  <w:style w:type="paragraph" w:styleId="Style26">
    <w:name w:val="Header"/>
    <w:basedOn w:val="Normal"/>
    <w:link w:val="a9"/>
    <w:uiPriority w:val="99"/>
    <w:rsid w:val="00565ca2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NormalWeb">
    <w:name w:val="Normal (Web)"/>
    <w:basedOn w:val="Normal"/>
    <w:uiPriority w:val="99"/>
    <w:qFormat/>
    <w:rsid w:val="00511054"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ru-RU"/>
    </w:rPr>
  </w:style>
  <w:style w:type="paragraph" w:styleId="Style27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imemo.ru/index.php?page_id=555&amp;id=191" TargetMode="External"/><Relationship Id="rId3" Type="http://schemas.openxmlformats.org/officeDocument/2006/relationships/hyperlink" Target="https://www.imemo.ru/index.php?page_id=645&amp;id=2876" TargetMode="External"/><Relationship Id="rId4" Type="http://schemas.openxmlformats.org/officeDocument/2006/relationships/hyperlink" Target="https://www.imemo.ru/index.php?page_id=555&amp;id=191" TargetMode="External"/><Relationship Id="rId5" Type="http://schemas.openxmlformats.org/officeDocument/2006/relationships/hyperlink" Target="./New%20Turkey%22" TargetMode="External"/><Relationship Id="rId6" Type="http://schemas.openxmlformats.org/officeDocument/2006/relationships/hyperlink" Target="https://www.imemo.ru/index.php?page_id=555&amp;id=2076" TargetMode="External"/><Relationship Id="rId7" Type="http://schemas.openxmlformats.org/officeDocument/2006/relationships/hyperlink" Target="https://www.imemo.ru/index.php?page_id=645&amp;id=4627" TargetMode="External"/><Relationship Id="rId8" Type="http://schemas.openxmlformats.org/officeDocument/2006/relationships/hyperlink" Target="https://adastra.org.ua/blog/chomu-geopolitichne-protistoyannya-u-shidnomu-seredzemnomoryi-ce-bilshe-nizh-pro-naftu_1" TargetMode="External"/><Relationship Id="rId9" Type="http://schemas.openxmlformats.org/officeDocument/2006/relationships/hyperlink" Target="https://www.imemo.ru/index.php?page_id=555&amp;id=2076" TargetMode="External"/><Relationship Id="rId10" Type="http://schemas.openxmlformats.org/officeDocument/2006/relationships/hyperlink" Target="https://www.imemo.ru/index.php?page_id=645&amp;id=4627" TargetMode="External"/><Relationship Id="rId11" Type="http://schemas.openxmlformats.org/officeDocument/2006/relationships/hyperlink" Target="https://www.imemo.ru/index.php?page_id=645&amp;id=4406" TargetMode="External"/><Relationship Id="rId12" Type="http://schemas.openxmlformats.org/officeDocument/2006/relationships/hyperlink" Target="https://www.imemo.ru/index.php?page_id=555&amp;id=403" TargetMode="External"/><Relationship Id="rId13" Type="http://schemas.openxmlformats.org/officeDocument/2006/relationships/hyperlink" Target="https://www.imemo.ru/index.php?page_id=645&amp;id=2871" TargetMode="External"/><Relationship Id="rId14" Type="http://schemas.openxmlformats.org/officeDocument/2006/relationships/hyperlink" Target="http://t24.com.tr/haber/balkanlardaki-osmanli restoreediliyor/4324" TargetMode="External"/><Relationship Id="rId15" Type="http://schemas.openxmlformats.org/officeDocument/2006/relationships/hyperlink" Target="http://tatil.milliyet.com.tr/balkanlardaturkiye-ye-vize-uygulayan-ulke-kalmadi-/anitur/haberdetay/08.12.2010/1323776/default.htm" TargetMode="External"/><Relationship Id="rId16" Type="http://schemas.openxmlformats.org/officeDocument/2006/relationships/hyperlink" Target="https://ecfr.eu/special/eastern_med/turkey" TargetMode="External"/><Relationship Id="rId17" Type="http://schemas.openxmlformats.org/officeDocument/2006/relationships/hyperlink" Target="https://www.kas.de/documents/283907/10938219/Eastern+Mediterranean+in+Uncharted+Waters_KAS+Turkey.pdf/6f554da1-93ac-bba6-6fd0-3c8738244d4b?version=1.0&amp;t=1607590823989" TargetMode="External"/><Relationship Id="rId18" Type="http://schemas.openxmlformats.org/officeDocument/2006/relationships/hyperlink" Target="https://core.ac.uk/download/pdf/52923264. pdf" TargetMode="External"/><Relationship Id="rId19" Type="http://schemas.openxmlformats.org/officeDocument/2006/relationships/hyperlink" Target="https://www.mfa.gov.tr/synopsis-of-the-turkish-foreign-policy.en.mfa" TargetMode="External"/><Relationship Id="rId20" Type="http://schemas.openxmlformats.org/officeDocument/2006/relationships/hyperlink" Target="https://www.reuters.com/article/us-greece-cyprus-israel-pipeline/greece-israel-cyprus-sign-eastmed-gas-pipeline-deal-idUSKBN1Z10R5" TargetMode="External"/><Relationship Id="rId21" Type="http://schemas.openxmlformats.org/officeDocument/2006/relationships/hyperlink" Target="https://www.reuters.com/article/us-      greece-cyprus-israel-pipeline/greece-israel-cyprus-sign-eastmed-gas-pipeline-deal-id" TargetMode="External"/><Relationship Id="rId22" Type="http://schemas.openxmlformats.org/officeDocument/2006/relationships/hyperlink" Target="https://core.ac.uk/download/pdf/2800247.pdf" TargetMode="External"/><Relationship Id="rId23" Type="http://schemas.openxmlformats.org/officeDocument/2006/relationships/hyperlink" Target="https://www.mei.edu/publications/turkeys-eastern-mediterranean-quagmire" TargetMode="External"/><Relationship Id="rId24" Type="http://schemas.openxmlformats.org/officeDocument/2006/relationships/hyperlink" Target="http://library.fes.de/pdf-files/bueros/zypern/15662.pdf" TargetMode="External"/><Relationship Id="rId25" Type="http://schemas.openxmlformats.org/officeDocument/2006/relationships/hyperlink" Target="https://www.turkheritage.org/en/publications/analysis-by-tho-contributors-and-liaisons/the-21st-century-turkish-maritimegeopolitical-landscape-in-the-eastern-mediterranean-7785" TargetMode="External"/><Relationship Id="rId26" Type="http://schemas.openxmlformats.org/officeDocument/2006/relationships/hyperlink" Target="https://css.ethz.ch/content/dam/ethz/special-interest/gess/cis/center-fosecurities-studies/pdfs/CSSAnalyse275-EN.pdf" TargetMode="External"/><Relationship Id="rId27" Type="http://schemas.openxmlformats.org/officeDocument/2006/relationships/hyperlink" Target="https://www.esiweb.org/pdf/news_id_412_5  Article Kemal Kirisci.pdf" TargetMode="External"/><Relationship Id="rId28" Type="http://schemas.openxmlformats.org/officeDocument/2006/relationships/header" Target="header1.xml"/><Relationship Id="rId29" Type="http://schemas.openxmlformats.org/officeDocument/2006/relationships/fontTable" Target="fontTable.xml"/><Relationship Id="rId30" Type="http://schemas.openxmlformats.org/officeDocument/2006/relationships/settings" Target="settings.xml"/><Relationship Id="rId3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LibreOffice/7.0.2.2$Windows_X86_64 LibreOffice_project/8349ace3c3162073abd90d81fd06dcfb6b36b994</Application>
  <Pages>14</Pages>
  <Words>2186</Words>
  <Characters>16181</Characters>
  <CharactersWithSpaces>19328</CharactersWithSpaces>
  <Paragraphs>126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2022-05-19T09:03:00Z</dcterms:created>
  <dc:creator>Iryna Yakymets</dc:creator>
  <dc:description/>
  <dc:language>ru-RU</dc:language>
  <cp:lastModifiedBy/>
  <dcterms:modified xsi:type="dcterms:W3CDTF">2022-08-23T21:38:53Z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