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single" w:sz="4" w:space="0" w:color="000001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національний університет імені І. І. Мечникова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(повне найменування вищого навчального закладу)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single" w:sz="4" w:space="0" w:color="000001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Філологічний факультет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(повне найменування інституту/факультету)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single" w:sz="4" w:space="0" w:color="000001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прикладної лінгвістики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(повна назва кафедри)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spacing w:val="60"/>
          <w:sz w:val="28"/>
          <w:szCs w:val="28"/>
        </w:rPr>
      </w:pP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center"/>
        <w:rPr>
          <w:rFonts w:ascii="Times New Roman" w:hAnsi="Times New Roman" w:cs="Times New Roman"/>
          <w:b/>
          <w:bCs/>
          <w:spacing w:val="60"/>
          <w:sz w:val="28"/>
          <w:szCs w:val="28"/>
        </w:rPr>
      </w:pPr>
      <w:r>
        <w:rPr>
          <w:rFonts w:ascii="Times New Roman" w:hAnsi="Times New Roman"/>
          <w:b/>
          <w:bCs/>
          <w:spacing w:val="60"/>
          <w:sz w:val="28"/>
          <w:szCs w:val="28"/>
        </w:rPr>
        <w:t>Кваліфікаційна  робота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«Стратегії створення й просування мистецького контенту в мережевому дискурсі: полікодові форми репрезентації 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(на матеріалі сторінок у соцмережах Одеського художнього музею)»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6024B3" w:rsidRPr="00020F46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20F46">
        <w:rPr>
          <w:rFonts w:ascii="Times New Roman" w:hAnsi="Times New Roman"/>
          <w:sz w:val="28"/>
          <w:szCs w:val="28"/>
          <w:lang w:val="en-US"/>
        </w:rPr>
        <w:t xml:space="preserve">«Strategies for the creation and promotion of artistic content in the network discourse: polycode forms of representation </w:t>
      </w:r>
    </w:p>
    <w:p w:rsidR="006024B3" w:rsidRPr="00020F46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020F46">
        <w:rPr>
          <w:rFonts w:ascii="Times New Roman" w:hAnsi="Times New Roman"/>
          <w:sz w:val="28"/>
          <w:szCs w:val="28"/>
          <w:lang w:val="en-US"/>
        </w:rPr>
        <w:t>(on the material of the pages in the social networks of the O</w:t>
      </w:r>
      <w:r>
        <w:rPr>
          <w:rFonts w:ascii="Times New Roman" w:hAnsi="Times New Roman"/>
          <w:sz w:val="28"/>
          <w:szCs w:val="28"/>
          <w:lang w:val="en-US"/>
        </w:rPr>
        <w:t>FAM</w:t>
      </w:r>
      <w:r w:rsidRPr="00020F46">
        <w:rPr>
          <w:rFonts w:ascii="Times New Roman" w:hAnsi="Times New Roman"/>
          <w:sz w:val="28"/>
          <w:szCs w:val="28"/>
          <w:lang w:val="en-US"/>
        </w:rPr>
        <w:t xml:space="preserve">)» </w:t>
      </w:r>
    </w:p>
    <w:p w:rsidR="006024B3" w:rsidRPr="00020F46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right" w:pos="9329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right" w:pos="9329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здобуття ступеня вищої освіти «магістр»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3420"/>
        <w:jc w:val="both"/>
        <w:rPr>
          <w:rFonts w:ascii="Times New Roman" w:hAnsi="Times New Roman" w:cs="Times New Roman"/>
          <w:sz w:val="28"/>
          <w:szCs w:val="28"/>
        </w:rPr>
      </w:pP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Виконала: студентка денної форми навчання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спеціальності 035 Філологія 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035.10 «Прикладна лінгвістика»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Освітня програма «Прикладна лінгвістика»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ind w:firstLine="2835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Анастасія ЛЕВЧЕНКО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5245"/>
          <w:tab w:val="right" w:pos="9329"/>
        </w:tabs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Науковий керівник:                           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5245"/>
          <w:tab w:val="right" w:pos="9329"/>
        </w:tabs>
        <w:spacing w:after="0" w:line="240" w:lineRule="auto"/>
        <w:ind w:firstLine="283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________ д. філол. н., проф. Наталія КОНДРАТЕНКО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5245"/>
          <w:tab w:val="right" w:pos="9329"/>
        </w:tabs>
        <w:spacing w:after="0" w:line="240" w:lineRule="auto"/>
        <w:ind w:firstLine="2835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/>
          <w:sz w:val="28"/>
          <w:szCs w:val="28"/>
        </w:rPr>
        <w:t xml:space="preserve"> Рецензент:  к. філол. н., доц. Лариса ШЕВЧУК</w:t>
      </w: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5245"/>
          <w:tab w:val="right" w:pos="9329"/>
        </w:tabs>
        <w:spacing w:after="0" w:line="360" w:lineRule="auto"/>
        <w:jc w:val="both"/>
        <w:rPr>
          <w:rFonts w:ascii="Times New Roman" w:hAnsi="Times New Roman" w:cs="Times New Roman"/>
          <w:sz w:val="16"/>
          <w:szCs w:val="16"/>
        </w:rPr>
      </w:pPr>
    </w:p>
    <w:tbl>
      <w:tblPr>
        <w:tblStyle w:val="TableNormal"/>
        <w:tblW w:w="9639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A0" w:firstRow="1" w:lastRow="0" w:firstColumn="1" w:lastColumn="0" w:noHBand="0" w:noVBand="1"/>
      </w:tblPr>
      <w:tblGrid>
        <w:gridCol w:w="4536"/>
        <w:gridCol w:w="5103"/>
      </w:tblGrid>
      <w:tr w:rsidR="006024B3" w:rsidTr="00051C48">
        <w:trPr>
          <w:trHeight w:val="3179"/>
          <w:jc w:val="center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48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 w:rsidRPr="000F7891">
              <w:rPr>
                <w:rFonts w:ascii="Times New Roman" w:hAnsi="Times New Roman"/>
                <w:sz w:val="28"/>
                <w:szCs w:val="28"/>
              </w:rPr>
              <w:t xml:space="preserve">__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від </w:t>
            </w:r>
            <w:r w:rsidRPr="000F7891">
              <w:rPr>
                <w:rFonts w:ascii="Times New Roman" w:hAnsi="Times New Roman"/>
                <w:sz w:val="28"/>
                <w:szCs w:val="28"/>
              </w:rPr>
              <w:t xml:space="preserve">____________2022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р. 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F7891">
              <w:rPr>
                <w:rFonts w:ascii="Times New Roman" w:hAnsi="Times New Roman"/>
                <w:sz w:val="28"/>
                <w:szCs w:val="28"/>
              </w:rPr>
              <w:t xml:space="preserve">___________ </w:t>
            </w:r>
            <w:r>
              <w:rPr>
                <w:rFonts w:ascii="Times New Roman" w:hAnsi="Times New Roman"/>
                <w:sz w:val="28"/>
                <w:szCs w:val="28"/>
              </w:rPr>
              <w:t>к. філол. н.,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</w:rPr>
              <w:t xml:space="preserve">       (підпис)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доц. Лариса ШЕВЧУК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left" w:pos="284"/>
                <w:tab w:val="left" w:pos="1767"/>
              </w:tabs>
              <w:jc w:val="both"/>
            </w:pPr>
            <w:r>
              <w:rPr>
                <w:rFonts w:ascii="Times New Roman" w:hAnsi="Times New Roman" w:cs="Times New Roman"/>
              </w:rPr>
              <w:tab/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tcMar>
              <w:top w:w="80" w:type="dxa"/>
              <w:left w:w="80" w:type="dxa"/>
              <w:bottom w:w="80" w:type="dxa"/>
              <w:right w:w="80" w:type="dxa"/>
            </w:tcMar>
          </w:tcPr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right" w:pos="4462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Захищено на засіданні ЕК № 3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right" w:pos="4462"/>
              </w:tabs>
              <w:spacing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протокол № </w:t>
            </w:r>
            <w:r w:rsidRPr="000F7891">
              <w:rPr>
                <w:rFonts w:ascii="Times New Roman" w:hAnsi="Times New Roman"/>
                <w:sz w:val="28"/>
                <w:szCs w:val="28"/>
              </w:rPr>
              <w:t xml:space="preserve">__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від </w:t>
            </w:r>
            <w:r w:rsidRPr="000F7891">
              <w:rPr>
                <w:rFonts w:ascii="Times New Roman" w:hAnsi="Times New Roman"/>
                <w:sz w:val="28"/>
                <w:szCs w:val="28"/>
              </w:rPr>
              <w:t xml:space="preserve">________2022 </w:t>
            </w:r>
            <w:r>
              <w:rPr>
                <w:rFonts w:ascii="Times New Roman" w:hAnsi="Times New Roman"/>
                <w:sz w:val="28"/>
                <w:szCs w:val="28"/>
              </w:rPr>
              <w:t>р.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right" w:pos="4462"/>
              </w:tabs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</w:t>
            </w:r>
            <w:r w:rsidRPr="000F7891">
              <w:rPr>
                <w:rFonts w:ascii="Times New Roman" w:hAnsi="Times New Roman"/>
                <w:sz w:val="28"/>
                <w:szCs w:val="28"/>
              </w:rPr>
              <w:t>__________/______/_____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</w:rPr>
              <w:t>(за національною шкалою / шкалою ЕСТS/ бали)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0F7891">
              <w:rPr>
                <w:rFonts w:ascii="Times New Roman" w:hAnsi="Times New Roman"/>
                <w:sz w:val="28"/>
                <w:szCs w:val="28"/>
              </w:rPr>
              <w:t xml:space="preserve">___________  </w:t>
            </w:r>
            <w:r>
              <w:rPr>
                <w:rFonts w:ascii="Times New Roman" w:hAnsi="Times New Roman"/>
                <w:sz w:val="28"/>
                <w:szCs w:val="28"/>
              </w:rPr>
              <w:t>д. філол. н.,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      </w:t>
            </w:r>
            <w:r>
              <w:rPr>
                <w:rFonts w:ascii="Times New Roman" w:hAnsi="Times New Roman"/>
              </w:rPr>
              <w:t>(підпис)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проф. Галина ЯРОЦЬКА</w:t>
            </w:r>
          </w:p>
          <w:p w:rsidR="006024B3" w:rsidRDefault="006024B3" w:rsidP="00051C4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ar w:val="none" w:sz="0" w:color="auto"/>
              </w:pBdr>
              <w:tabs>
                <w:tab w:val="left" w:pos="454"/>
                <w:tab w:val="left" w:pos="2155"/>
              </w:tabs>
              <w:jc w:val="both"/>
            </w:pPr>
            <w:r>
              <w:rPr>
                <w:rFonts w:ascii="Times New Roman" w:hAnsi="Times New Roman" w:cs="Times New Roman"/>
              </w:rPr>
              <w:tab/>
            </w:r>
          </w:p>
        </w:tc>
      </w:tr>
    </w:tbl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tabs>
          <w:tab w:val="left" w:pos="5245"/>
          <w:tab w:val="right" w:pos="9329"/>
        </w:tabs>
        <w:spacing w:after="0" w:line="240" w:lineRule="auto"/>
        <w:ind w:left="108" w:hanging="108"/>
        <w:jc w:val="center"/>
        <w:rPr>
          <w:rFonts w:ascii="Times New Roman" w:hAnsi="Times New Roman" w:cs="Times New Roman"/>
          <w:sz w:val="16"/>
          <w:szCs w:val="16"/>
        </w:rPr>
      </w:pP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24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center"/>
        <w:rPr>
          <w:rFonts w:ascii="Times New Roman" w:hAnsi="Times New Roman" w:cs="Times New Roman"/>
          <w:b/>
          <w:bCs/>
          <w:sz w:val="16"/>
          <w:szCs w:val="16"/>
        </w:rPr>
      </w:pPr>
    </w:p>
    <w:p w:rsidR="006024B3" w:rsidRDefault="006024B3" w:rsidP="006024B3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  <w:shd w:val="clear" w:color="auto" w:fill="auto"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5786120</wp:posOffset>
                </wp:positionH>
                <wp:positionV relativeFrom="line">
                  <wp:posOffset>2832100</wp:posOffset>
                </wp:positionV>
                <wp:extent cx="408940" cy="370840"/>
                <wp:effectExtent l="8255" t="11430" r="11430" b="8255"/>
                <wp:wrapNone/>
                <wp:docPr id="1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08940" cy="370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016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D30BB4" id="Прямоугольник 1" o:spid="_x0000_s1026" style="position:absolute;margin-left:455.6pt;margin-top:223pt;width:32.2pt;height:29.2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" strokecolor="white" strokeweight=".8pt">
                <w10:wrap anchory="line"/>
              </v:rect>
            </w:pict>
          </mc:Fallback>
        </mc:AlternateContent>
      </w:r>
      <w:r>
        <w:rPr>
          <w:rFonts w:ascii="Times New Roman" w:hAnsi="Times New Roman"/>
          <w:b/>
          <w:bCs/>
          <w:sz w:val="28"/>
          <w:szCs w:val="28"/>
        </w:rPr>
        <w:t>Одеса – 2022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</w:pPr>
      <w:r>
        <w:rPr>
          <w:rFonts w:ascii="Arial Unicode MS"/>
          <w:sz w:val="28"/>
          <w:szCs w:val="28"/>
        </w:rPr>
        <w:br w:type="page"/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ЗМІСТ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Вступ…………………………………………………………………….………….3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1.</w:t>
      </w:r>
      <w:r>
        <w:t xml:space="preserve"> </w:t>
      </w:r>
      <w:r>
        <w:rPr>
          <w:rFonts w:ascii="Times New Roman" w:hAnsi="Times New Roman"/>
          <w:sz w:val="28"/>
          <w:szCs w:val="28"/>
        </w:rPr>
        <w:t>Дискурс соціальних мереж: основні характеристики …………......….7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 Дискурс як об’єкт мовознавчих досліджень…………………………..……7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1.2. Лінгвістичні дослідження інтернет-дискурсу……………………………..11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 Мережевий дискурс: жанрові форми та особливості функціонування…..15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2. Вербальний контент Художнього музею в соцмережі Facebook: типологія жанрів……………………………………….………….………….….20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 Специфіка мережевого контенту офіційної сторінки Одеського художнього музею……………………………………………………….…...….20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2.1.1. Одеський художній музей як інституційний суб’єкт мережевого дискурсу…………………………………………………………………….20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2.1.2. Специфіка контенту в соціальних мережах………………….….....23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2.2. Мовленнєві жанри вербального контенту……………………………...…25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2.2.1. Поняття мовленнєвого жанру в лінгвістиці………………….……25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2.2.2. Типи мовленнєвих жанрів мережевого дискурсу на сторінці ОХМ…………………………………………………………………….…..30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3. Комунікативні стратегії взаємодії з адресатами в полікодовому мережевому дискурсі …………………………………………………………...47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3.1. Полікодовість як визначальна ознака соціальних мереж………………...47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3.2. Графічно-літерні засоби реалізації полікодовості……………………..…49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3.3. Поєднання різних мовно-знакових систем у мережевому контенті….….51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3.4. Іконічні знаки в полікодових текстах соцмережі…………………………53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Висновки………………………………………………………….…………..….59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</w:pPr>
      <w:r>
        <w:rPr>
          <w:rFonts w:ascii="Times New Roman" w:hAnsi="Times New Roman"/>
          <w:sz w:val="28"/>
          <w:szCs w:val="28"/>
        </w:rPr>
        <w:t>Список використаних джерел………………………………….…….…………62</w:t>
      </w:r>
      <w:r>
        <w:rPr>
          <w:rFonts w:ascii="Arial Unicode MS"/>
          <w:sz w:val="28"/>
          <w:szCs w:val="28"/>
        </w:rPr>
        <w:br w:type="page"/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ВСТУП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Актуальність магістерської роботи</w:t>
      </w:r>
      <w:r>
        <w:rPr>
          <w:rFonts w:ascii="Times New Roman" w:hAnsi="Times New Roman"/>
          <w:sz w:val="28"/>
          <w:szCs w:val="28"/>
        </w:rPr>
        <w:t xml:space="preserve">. Віртуалізація комунікативного простору розширила можливості обміну інформацією, зокрема із залученням соціальних мереж. Репрезентація інформації різного скерування в соціальних мережах набула поширення не лише серед окремих користувачів, а й серед інституційних суб’єктів. До таких суб’єктів належать різноманітні культурно-мистецькі інституції – театри, мистецькі проєкти, музеї тощо. Завдяки можливостям інтернет-комунікації у такий спосіб здійснюється комплексний обмін інформацією та спілкування з потенційними адресатами. З лінгвістичної точки зору комунікативну взаємодію і соціальних мережах розглядають як дискурсивну діяльність мовних особистостей. На позначення цього явища в сучасному мовознавстві вживають термін «мережевий дискурс», потрактовуючи його як один з різновидів віртуального або інтернет-дискурсу. Вивчення мережевого дискурсу ґрунтується на різних підходах, серед яких домінує лінгвопрагматичний, що передбачає виокремлення та аналіз комунікативних інтенцій, мовленнєвих актів, мовленнєвих жанрів і комунікативних стратегій учасників. Насамперед у центрі уваги постає дискурсивна діяльність учасників віртуального спілкування. У разі діяльності інституційного суб’єкта взаємодія здійснюється між організацією та потенційними споживачами, проте цей процес реалізований  через контент, представлений у соцмережах відповідними фахівцями. 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Соцмережі дають змогу поєднати вербальний контент з контентом іншої знакової природи, передусім іконічного характеру (статичні та динамічні зображення). Вибір для аналізу мережевого контенту Одеського художнього музею зумовлений саме тим, що в соцмережах представлено як різноманітні мовленнєві жанри, що охоплюють вербальні компоненти, так і ілюстративні елементи – живопис, графіку, відео тощо. Таке поєднання різних знакових елементів у мережевому дискурсі потребує використання специфічних комунікативних стратегій взаємодії з адресатами та потребує ґрунтовного </w:t>
      </w:r>
      <w:r>
        <w:rPr>
          <w:rFonts w:ascii="Times New Roman" w:hAnsi="Times New Roman"/>
          <w:sz w:val="28"/>
          <w:szCs w:val="28"/>
        </w:rPr>
        <w:lastRenderedPageBreak/>
        <w:t xml:space="preserve">мовознавчого аналізу в прикладному аспекті, що і становить </w:t>
      </w:r>
      <w:r>
        <w:rPr>
          <w:rFonts w:ascii="Times New Roman" w:hAnsi="Times New Roman"/>
          <w:b/>
          <w:bCs/>
          <w:sz w:val="28"/>
          <w:szCs w:val="28"/>
        </w:rPr>
        <w:t xml:space="preserve">актуальність </w:t>
      </w:r>
      <w:r>
        <w:rPr>
          <w:rFonts w:ascii="Times New Roman" w:hAnsi="Times New Roman"/>
          <w:sz w:val="28"/>
          <w:szCs w:val="28"/>
        </w:rPr>
        <w:t>нашої магістерської роботи.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Проблеми дослідження віртуального дискурсу висвітлено у наукових розвідках українських дослідників О. Горошко, Л. Компанцевої, Т. Полякової, О. Тищенка, С. Чемеркіна та ін., зокрема питання комунікативної взаємодії в соціальних мережах проаналізовано в працях С. Нерян і Л. Швелідзе, виконаних у лінгвопрагматичному аспекті. Загалом лінгвопрагматичні параметри дискурсивної діяльності розглянуто у дослідженнях А. Бєлової, Ф. Бацевича, А. Загнітка, Н. Кондратенко, А. Мартинюк, О. Селіванової, С. Шабат-Савки та ін. Проблеми полікодовості та мультимодальності стали предметом аналізу у працях І. Бехти, Д. Добровольської, І. Колегаєвої, Л. Макарук, І. Шевченко та ін.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Мета магістерської роботи</w:t>
      </w:r>
      <w:r>
        <w:rPr>
          <w:rFonts w:ascii="Times New Roman" w:hAnsi="Times New Roman"/>
          <w:sz w:val="28"/>
          <w:szCs w:val="28"/>
        </w:rPr>
        <w:t xml:space="preserve"> – дослідити особливості вербальної і полікодової презентації інформації про діяльність Одеського художнього музею в соціальних мережах.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Мета передбачала розв’язання таких </w:t>
      </w:r>
      <w:r>
        <w:rPr>
          <w:rFonts w:ascii="Times New Roman" w:hAnsi="Times New Roman"/>
          <w:b/>
          <w:bCs/>
          <w:sz w:val="28"/>
          <w:szCs w:val="28"/>
        </w:rPr>
        <w:t>завдань</w:t>
      </w:r>
      <w:r>
        <w:rPr>
          <w:rFonts w:ascii="Times New Roman" w:hAnsi="Times New Roman"/>
          <w:sz w:val="28"/>
          <w:szCs w:val="28"/>
        </w:rPr>
        <w:t xml:space="preserve">: 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1) визначити поняття інтернет-дискурсу та схарактеризувати мережевий дискурс як його різновид;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2) проаналізувати контент сторінки Одеського художнього музею (далі – ОХМ) в соцмережі </w:t>
      </w:r>
      <w:r>
        <w:rPr>
          <w:rFonts w:ascii="Times New Roman" w:hAnsi="Times New Roman"/>
          <w:sz w:val="28"/>
          <w:szCs w:val="28"/>
          <w:lang w:val="en-US"/>
        </w:rPr>
        <w:t>Facebook</w:t>
      </w:r>
      <w:r>
        <w:rPr>
          <w:rFonts w:ascii="Times New Roman" w:hAnsi="Times New Roman"/>
          <w:sz w:val="28"/>
          <w:szCs w:val="28"/>
        </w:rPr>
        <w:t>;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3) визначити і схарактеризувати мовленнєві жанри, представлені на офіційній сторінці в соціальній мережі </w:t>
      </w:r>
      <w:r>
        <w:rPr>
          <w:rFonts w:ascii="Times New Roman" w:hAnsi="Times New Roman"/>
          <w:sz w:val="28"/>
          <w:szCs w:val="28"/>
          <w:lang w:val="en-US"/>
        </w:rPr>
        <w:t>Facebook</w:t>
      </w:r>
      <w:r>
        <w:rPr>
          <w:rFonts w:ascii="Times New Roman" w:hAnsi="Times New Roman"/>
          <w:sz w:val="28"/>
          <w:szCs w:val="28"/>
        </w:rPr>
        <w:t xml:space="preserve"> Одеського художнього музею;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4) описати основні комунікативні стратегії взаємодії з адресатами на офіційній сторінці в соціальній мережі </w:t>
      </w:r>
      <w:r>
        <w:rPr>
          <w:rFonts w:ascii="Times New Roman" w:hAnsi="Times New Roman"/>
          <w:sz w:val="28"/>
          <w:szCs w:val="28"/>
          <w:lang w:val="en-US"/>
        </w:rPr>
        <w:t>Facebook</w:t>
      </w:r>
      <w:r>
        <w:rPr>
          <w:rFonts w:ascii="Times New Roman" w:hAnsi="Times New Roman"/>
          <w:sz w:val="28"/>
          <w:szCs w:val="28"/>
        </w:rPr>
        <w:t xml:space="preserve"> Одеського художнього музею;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5) проаналізувати поєднання різних знакових систем і обґрунтувати полікодовий характер контенту, представленого на офіційній сторінці в соціальній мережі Facebook Одеського художнього музею.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Об’єктом</w:t>
      </w:r>
      <w:r>
        <w:rPr>
          <w:rFonts w:ascii="Times New Roman" w:hAnsi="Times New Roman"/>
          <w:sz w:val="28"/>
          <w:szCs w:val="28"/>
        </w:rPr>
        <w:t xml:space="preserve"> дослідження є вербальний і невербальний контент мережевого дискурсу інституційного суб’єкта-користувача, а </w:t>
      </w:r>
      <w:r>
        <w:rPr>
          <w:rFonts w:ascii="Times New Roman" w:hAnsi="Times New Roman"/>
          <w:b/>
          <w:bCs/>
          <w:sz w:val="28"/>
          <w:szCs w:val="28"/>
        </w:rPr>
        <w:t>предметом</w:t>
      </w:r>
      <w:r>
        <w:rPr>
          <w:rFonts w:ascii="Times New Roman" w:hAnsi="Times New Roman"/>
          <w:sz w:val="28"/>
          <w:szCs w:val="28"/>
        </w:rPr>
        <w:t xml:space="preserve"> – комунікативні стратегії взаємодії з адресатами в соціальній мережі </w:t>
      </w:r>
      <w:r>
        <w:rPr>
          <w:rFonts w:ascii="Times New Roman" w:hAnsi="Times New Roman"/>
          <w:sz w:val="28"/>
          <w:szCs w:val="28"/>
          <w:lang w:val="en-US"/>
        </w:rPr>
        <w:t>Facebook</w:t>
      </w:r>
      <w:r>
        <w:rPr>
          <w:rFonts w:ascii="Times New Roman" w:hAnsi="Times New Roman"/>
          <w:sz w:val="28"/>
          <w:szCs w:val="28"/>
        </w:rPr>
        <w:t xml:space="preserve"> Одеського художнього музею. 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Джерельна база</w:t>
      </w:r>
      <w:r>
        <w:rPr>
          <w:rFonts w:ascii="Times New Roman" w:hAnsi="Times New Roman"/>
          <w:sz w:val="28"/>
          <w:szCs w:val="28"/>
        </w:rPr>
        <w:t xml:space="preserve"> охоплює усі записи (дописи і коментарі) користувача «</w:t>
      </w:r>
      <w:r>
        <w:rPr>
          <w:rFonts w:ascii="Times New Roman" w:hAnsi="Times New Roman"/>
          <w:sz w:val="28"/>
          <w:szCs w:val="28"/>
          <w:lang w:val="en-US"/>
        </w:rPr>
        <w:t>OFAM</w:t>
      </w:r>
      <w:r>
        <w:rPr>
          <w:rFonts w:ascii="Times New Roman" w:hAnsi="Times New Roman"/>
          <w:sz w:val="28"/>
          <w:szCs w:val="28"/>
        </w:rPr>
        <w:t xml:space="preserve"> – Одеський художній музей»  на офіційній інтернет-сторінці в соціальній мережі </w:t>
      </w:r>
      <w:r>
        <w:rPr>
          <w:rFonts w:ascii="Times New Roman" w:hAnsi="Times New Roman"/>
          <w:sz w:val="28"/>
          <w:szCs w:val="28"/>
          <w:lang w:val="en-US"/>
        </w:rPr>
        <w:t>Facebook</w:t>
      </w:r>
      <w:r>
        <w:rPr>
          <w:rFonts w:ascii="Times New Roman" w:hAnsi="Times New Roman"/>
          <w:sz w:val="28"/>
          <w:szCs w:val="28"/>
        </w:rPr>
        <w:t xml:space="preserve"> (</w:t>
      </w:r>
      <w:hyperlink r:id="rId5" w:history="1">
        <w:r>
          <w:rPr>
            <w:rStyle w:val="Hyperlink0"/>
          </w:rPr>
          <w:t>https://www.facebook.com/ofam.org.ua</w:t>
        </w:r>
      </w:hyperlink>
      <w:r>
        <w:rPr>
          <w:rStyle w:val="a3"/>
          <w:rFonts w:ascii="Times New Roman" w:hAnsi="Times New Roman"/>
          <w:sz w:val="28"/>
          <w:szCs w:val="28"/>
        </w:rPr>
        <w:t>) за 2022 рік.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426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b/>
          <w:bCs/>
          <w:sz w:val="28"/>
          <w:szCs w:val="28"/>
        </w:rPr>
        <w:t>Наукова новизна</w:t>
      </w:r>
      <w:r>
        <w:rPr>
          <w:rStyle w:val="a3"/>
          <w:rFonts w:ascii="Times New Roman" w:hAnsi="Times New Roman"/>
          <w:sz w:val="28"/>
          <w:szCs w:val="28"/>
        </w:rPr>
        <w:t xml:space="preserve"> дослідження зумовлена тим, що в роботі обґрунтовано поняття інституційного користувача соціальної мережі; розроблено типологію мовленнєвих жанрів вербального культурно-мистецького контенту; визначено основні стратегії взаємодії з адресатами з урахуванням полікодовості мережевого дискурсу.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b/>
          <w:bCs/>
          <w:sz w:val="28"/>
          <w:szCs w:val="28"/>
        </w:rPr>
        <w:t>Теоретичне значення</w:t>
      </w:r>
      <w:r>
        <w:rPr>
          <w:rStyle w:val="a3"/>
          <w:rFonts w:ascii="Times New Roman" w:hAnsi="Times New Roman"/>
          <w:sz w:val="28"/>
          <w:szCs w:val="28"/>
        </w:rPr>
        <w:t xml:space="preserve"> дослідження полягає у поглибленні теоретичних засад інтернет-лінгвістики, комп</w:t>
      </w:r>
      <w:r>
        <w:rPr>
          <w:rStyle w:val="a3"/>
          <w:rFonts w:ascii="Times New Roman" w:hAnsi="Times New Roman" w:cs="Times New Roman"/>
          <w:sz w:val="28"/>
          <w:szCs w:val="28"/>
        </w:rPr>
        <w:t>ʼ</w:t>
      </w:r>
      <w:r>
        <w:rPr>
          <w:rStyle w:val="a3"/>
          <w:rFonts w:ascii="Times New Roman" w:hAnsi="Times New Roman"/>
          <w:sz w:val="28"/>
          <w:szCs w:val="28"/>
        </w:rPr>
        <w:t xml:space="preserve">ютерної лінгвістики, дискурсології і лінгвопрагматики; теорії мовленнєвих жанрів і комунікативних стратегій. 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b/>
          <w:bCs/>
          <w:sz w:val="28"/>
          <w:szCs w:val="28"/>
        </w:rPr>
        <w:t>Практичне значення</w:t>
      </w:r>
      <w:r>
        <w:rPr>
          <w:rStyle w:val="a3"/>
          <w:rFonts w:ascii="Times New Roman" w:hAnsi="Times New Roman"/>
          <w:sz w:val="28"/>
          <w:szCs w:val="28"/>
        </w:rPr>
        <w:t xml:space="preserve"> зумовлене можливістю використання отриманих результатів у викладанні курсів «Дискурсологія», «Комп’ютерна лінгвістика», «Медіалінгвістика», «Лінгвопрагматика» і «Комунікативна лінгвістика», а також у написанні курсових і магістерських робіт здобувачів ЗВО.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b/>
          <w:bCs/>
          <w:sz w:val="28"/>
          <w:szCs w:val="28"/>
        </w:rPr>
        <w:t>Апробація магістерської роботи</w:t>
      </w:r>
      <w:r>
        <w:rPr>
          <w:rStyle w:val="a3"/>
          <w:rFonts w:ascii="Times New Roman" w:hAnsi="Times New Roman"/>
          <w:sz w:val="28"/>
          <w:szCs w:val="28"/>
        </w:rPr>
        <w:t>. Основні результати дослідження було оприлюднено під час виступів на конференції: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 І Міжнародний конгрес «Прикладна лінгвістика на півдні України: здобутки і перспективи» (Одеса, ОНУ, 22–23 вересня 2021). Доповідь: Навчання іноземної мови дітей молодшого шкільного віку: сприйняття і запам'ятовування тексту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За матеріалами проведеного дослідження підготовлено статтю: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Левченко А. В. Лексико-семантичне поле «криза» в українській лінгвосвідомості: за словниками й асоціативним експериментом.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Філологічні студії</w:t>
      </w:r>
      <w:r>
        <w:rPr>
          <w:rStyle w:val="a3"/>
          <w:rFonts w:ascii="Times New Roman" w:hAnsi="Times New Roman"/>
          <w:sz w:val="28"/>
          <w:szCs w:val="28"/>
        </w:rPr>
        <w:t xml:space="preserve">. Випуск ХІІ: збірник наукових статей  студентів філологічного </w:t>
      </w:r>
      <w:r>
        <w:rPr>
          <w:rStyle w:val="a3"/>
          <w:rFonts w:ascii="Times New Roman" w:hAnsi="Times New Roman"/>
          <w:sz w:val="28"/>
          <w:szCs w:val="28"/>
        </w:rPr>
        <w:lastRenderedPageBreak/>
        <w:t>факультету. Одеса: Одеський національний університет імені І. І. Мечникова, 2021. С. 45–51.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b/>
          <w:bCs/>
          <w:sz w:val="28"/>
          <w:szCs w:val="28"/>
        </w:rPr>
        <w:t>Структура роботи</w:t>
      </w:r>
      <w:r>
        <w:rPr>
          <w:rStyle w:val="a3"/>
          <w:rFonts w:ascii="Times New Roman" w:hAnsi="Times New Roman"/>
          <w:sz w:val="28"/>
          <w:szCs w:val="28"/>
        </w:rPr>
        <w:t xml:space="preserve">. Робота складається зі вступу, трьох розділів, висновків і списку використаної літератури. 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У першому розділі «Дискурс соціальних мереж: основні характеристики» представлено огляд основних підходів до поняття дискурсу, віртуального та мережевого дискурсу, визначено особливості дискурсу соціальних мереж. 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У другому розділі «Вербальний контент Художнього музею в соцмережі Facebook: типологія жанрів» схарактеризовано поняття мовленнєвого жанру та запропоновано типологію мовленнєвих жанрів, представлених на офіційній сторінці в соціальній мережі </w:t>
      </w:r>
      <w:r>
        <w:rPr>
          <w:rStyle w:val="a3"/>
          <w:rFonts w:ascii="Times New Roman" w:hAnsi="Times New Roman"/>
          <w:sz w:val="28"/>
          <w:szCs w:val="28"/>
          <w:lang w:val="en-US"/>
        </w:rPr>
        <w:t>Facebook</w:t>
      </w:r>
      <w:r>
        <w:rPr>
          <w:rStyle w:val="a3"/>
          <w:rFonts w:ascii="Times New Roman" w:hAnsi="Times New Roman"/>
          <w:sz w:val="28"/>
          <w:szCs w:val="28"/>
        </w:rPr>
        <w:t xml:space="preserve"> Одеського художнього музею.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У третьому розділі «Комунікативні стратегії взаємодії з адресатами в полікодовому мережевому дискурсі» проаналізовано поєднання елементів різних знакових систем в контенті, представленому на офіційній сторінці в соціальній мережі </w:t>
      </w:r>
      <w:r>
        <w:rPr>
          <w:rStyle w:val="a3"/>
          <w:rFonts w:ascii="Times New Roman" w:hAnsi="Times New Roman"/>
          <w:sz w:val="28"/>
          <w:szCs w:val="28"/>
          <w:lang w:val="en-US"/>
        </w:rPr>
        <w:t>Facebook</w:t>
      </w:r>
      <w:r>
        <w:rPr>
          <w:rStyle w:val="a3"/>
          <w:rFonts w:ascii="Times New Roman" w:hAnsi="Times New Roman"/>
          <w:sz w:val="28"/>
          <w:szCs w:val="28"/>
        </w:rPr>
        <w:t xml:space="preserve"> Одеського художнього музею.</w:t>
      </w: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</w:p>
    <w:p w:rsidR="006024B3" w:rsidRDefault="006024B3" w:rsidP="006024B3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ind w:firstLine="567"/>
      </w:pPr>
      <w:r>
        <w:rPr>
          <w:rStyle w:val="a3"/>
          <w:rFonts w:ascii="Arial Unicode MS"/>
          <w:sz w:val="28"/>
          <w:szCs w:val="28"/>
        </w:rPr>
        <w:br w:type="page"/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center"/>
        <w:rPr>
          <w:rStyle w:val="a3"/>
          <w:rFonts w:ascii="Times New Roman" w:hAnsi="Times New Roman" w:cs="Times New Roman"/>
          <w:b/>
          <w:bCs/>
          <w:sz w:val="28"/>
          <w:szCs w:val="28"/>
        </w:rPr>
      </w:pPr>
      <w:r>
        <w:rPr>
          <w:rStyle w:val="a3"/>
          <w:rFonts w:ascii="Times New Roman" w:hAnsi="Times New Roman"/>
          <w:b/>
          <w:bCs/>
          <w:sz w:val="28"/>
          <w:szCs w:val="28"/>
        </w:rPr>
        <w:lastRenderedPageBreak/>
        <w:t>ВИСНОВКИ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Розвиток сучасної лінгвістики та її міждисциплінарний характер зумовив необхідність визначення дискурсивної діяльності, пов’язаної з інтернет-простором. Зважаючи на дискусійний характер представлених у мовознавстві дефініцій, ми ґрунтуємося обґрунтуванні терміна «інтернет-дискурс», що вказує на опосередкований відповідними технічними засобами особливості віртуального спілкування. У межах інтернет-дискурсу представлено різні типи діяльності, зокрема опосередковані соціальними мережами, що уможливили вживання терміни «мережевий дискурс» або «дискурс соціальних мереж». Саме в мережевому дискурсі, який набув популярності останнім часом, комунікативну діяльність здійснюють окремі особи та інституційні суб’єкти. Ми зосередили увагу на інституційному суб’єкті культурно-мистецького характеру – Одеському художньому музеї.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Було розглянуто специфіку вербального і невербального контенту Одеського художнього музею, який представлений в інтернет-просторі і має офіційні сторінки в соцмережах. Контент потрактовано як вміст інтернет-сторінки, що охоплює вербальні і невербальні складники: зміст (наповнення) чогось (це можуть бути текстові матеріали або відео, аудіозаписи або картинки); будь-який вид інформації (текст, аудіо, відео, зображення), що становить зміст інфопродукту. У роботі виокремлено такі види контенту культурно-мистецького суб’єкта в мережевому дискурсі: 1) інформаційний контент містить нову інформацію про виставки, митців, події в музеї; 2) розважальний контент орієнтований на те, щоб адресати отримали задоволення від споживання інформації; 3) освітній контент представляє невідому раніше або корисну інформацію, подану з метою популяризації знань та підвищення обізнаності адресатів; 4) ритуальний контент присвячений знаковим подіям в історії країни і музею, які мають урочистий або сумний характер; 5) іміджевий контент скерований на позитивні характеристики </w:t>
      </w:r>
      <w:r>
        <w:rPr>
          <w:rStyle w:val="a3"/>
          <w:rFonts w:ascii="Times New Roman" w:hAnsi="Times New Roman"/>
          <w:sz w:val="28"/>
          <w:szCs w:val="28"/>
        </w:rPr>
        <w:lastRenderedPageBreak/>
        <w:t>суб’єкта. Види контенту визначають різновиди мовленнєвих жанрів, через які контент реалізований насамперед на вербальному рівні.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Ми проаналізували сторінку Одеського художнього музею в мережі </w:t>
      </w:r>
      <w:r>
        <w:rPr>
          <w:rStyle w:val="a3"/>
          <w:rFonts w:ascii="Times New Roman" w:hAnsi="Times New Roman"/>
          <w:sz w:val="28"/>
          <w:szCs w:val="28"/>
          <w:lang w:val="en-US"/>
        </w:rPr>
        <w:t>Facebook</w:t>
      </w:r>
      <w:r>
        <w:rPr>
          <w:rStyle w:val="a3"/>
          <w:rFonts w:ascii="Times New Roman" w:hAnsi="Times New Roman"/>
          <w:sz w:val="28"/>
          <w:szCs w:val="28"/>
        </w:rPr>
        <w:t xml:space="preserve"> за 2022 рік, починаючи з 1 січня, тобто охопили період до повномасштабного вторгнення і період після 24 лютого 2022 року. Було розглянуто 202 дописи і 46 коментарів, представлених на офіційній мережевій сторінці Одеського художнього музею. Крім того, ми проаналізували ілюстративний контент і відеоматеріали, представлені у Facebook.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Вербальний контент диференційовано за типами представлених мовленнєвих жанрів та розмежовано дописи і коментарі. Основний жанр – дописи – представлено як типологічні вияви.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1. Інформаційні дописи скеровані на повідомлення нової інформації адресатам і є найбільшою мірою представленими (становлять серед 202 дописів 54%). До інформаційних дописів належать допис-анонс, допис-звіт, допис-заява.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2. Ритуальні дописи в мережевому дискурсі є виявом ритуально-етикетної комунікативної поведінки комунікантів (загалом становлять 22%). Та представлені жанрами запрошення, привітання, подяка і некрологу.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3. Презентаційні жанри мережевого дискурсу представляють певного суб’єкта або певний об’єкт аудиторії в позитивно-оцінному вимірі (становлять 14%). На сторінці ОХМ презентаційні дописи насамперед представляють читачам маловідомих митців – художників, скульпторів. В окремих випадках презентаційні дописи актуалізують певну риси особистості або творчості художника.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4. Емоційно-експресивні жанри характеризуються висловленням позитивних або негативних емоцій щодо певної ситуації (становлять 12%). Мовними маркерами цього жанру є еліптичні речення; речення з підметом і присудком, вираженими однією частиною мови; наявність фігур експресивного  синтаксису. 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lastRenderedPageBreak/>
        <w:t xml:space="preserve">У мережевому дискурсі полікодовість забезпечується можливістю використання насамперед візуальних засобів – статичних і динамічних зображень. На сторінці Одеського художнього музею фіксуємо органічне поєднання вербальних і невербальних компонентів, при цьому центральна роль належить іконічним знакам – ілюстраціям репродукцій картин художників. 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Полікодовість у мережевому дискурсі насамперед скерована на потенційного адресата, тому основна комунікативна стратегія, якій підпорядкований контент – це інформаційно-розважальна. Основними засобами полікодовості є: 1) графічні виділення, серед яких частотні великі літери в основних дописах та відсутність виділення великими літерами з порушенням норм – у коментарях; 2) для коментарів характерно ненормативне вживання розділових знаків, зокрема зловживання знаком оклику; 3) полікодовість також реалізована у поєднання двох знакових систем вербального характеру – української та англійської мов, що на знаковому рівні сприймається як поєднання кирилиці з латиницею; 4) використання піктограм різного призначення та поєднання ілюстрацій з текстом.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Піктограми як основний засіб невербальної семіотики з мережевому дискурсі виконує функції: вираження емоцій; вираження солідарності і підтримки; актуалізації певної інформації; привернення уваги; виокремлення проблеми; атрибуції мистецьких творів; патріотичної маніфестації; етикетних реакцій; реакції читачів у коментарях. Серед поширених піктограм фіксуємо сердечко, палітру, смайлики.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  <w:rPr>
          <w:rStyle w:val="a3"/>
          <w:rFonts w:ascii="Times New Roman" w:hAnsi="Times New Roman" w:cs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 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both"/>
      </w:pP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rPr>
          <w:rStyle w:val="a3"/>
          <w:rFonts w:ascii="Times New Roman" w:hAnsi="Times New Roman" w:cs="Times New Roman"/>
          <w:sz w:val="28"/>
          <w:szCs w:val="28"/>
        </w:rPr>
      </w:pP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</w:pPr>
      <w:r>
        <w:rPr>
          <w:rStyle w:val="a3"/>
          <w:rFonts w:ascii="Arial Unicode MS"/>
          <w:sz w:val="28"/>
          <w:szCs w:val="28"/>
        </w:rPr>
        <w:br w:type="page"/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center"/>
        <w:rPr>
          <w:rStyle w:val="a3"/>
          <w:rFonts w:ascii="Times New Roman" w:hAnsi="Times New Roman" w:cs="Times New Roman"/>
          <w:b/>
          <w:bCs/>
          <w:caps/>
          <w:sz w:val="28"/>
          <w:szCs w:val="28"/>
        </w:rPr>
      </w:pPr>
      <w:r>
        <w:rPr>
          <w:rStyle w:val="a3"/>
          <w:rFonts w:ascii="Times New Roman" w:hAnsi="Times New Roman"/>
          <w:b/>
          <w:bCs/>
          <w:caps/>
          <w:sz w:val="28"/>
          <w:szCs w:val="28"/>
        </w:rPr>
        <w:lastRenderedPageBreak/>
        <w:t>Список використаної літератури</w:t>
      </w:r>
    </w:p>
    <w:p w:rsidR="00E20F55" w:rsidRDefault="00E20F55" w:rsidP="00E20F55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ind w:firstLine="567"/>
        <w:jc w:val="center"/>
        <w:rPr>
          <w:rStyle w:val="a3"/>
          <w:rFonts w:ascii="Times New Roman" w:hAnsi="Times New Roman" w:cs="Times New Roman"/>
          <w:b/>
          <w:bCs/>
          <w:caps/>
          <w:sz w:val="28"/>
          <w:szCs w:val="28"/>
        </w:rPr>
      </w:pP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Арутюнова Н. Д. Дискурс. В кн.: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Лингвистический энциклопедический словарь;</w:t>
      </w:r>
      <w:r>
        <w:rPr>
          <w:rStyle w:val="a3"/>
          <w:rFonts w:ascii="Times New Roman" w:hAnsi="Times New Roman"/>
          <w:sz w:val="28"/>
          <w:szCs w:val="28"/>
        </w:rPr>
        <w:t xml:space="preserve"> гл. ред. В. Н. Ярцева. М. : Сов. энциклопедия, 1990. С. 136–137.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Асмус Н. Г. Лингвистические особенности виртуального коммуникативного пространства: дисс. на соискание ученой степени канд. филол. наук. Челябинск, 2005. 266 с. 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Ахренова Н. А. Основные способы классификации жанров Интернет-дискурса. В кн.: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Вестник Челябинского государственного педагогического института</w:t>
      </w:r>
      <w:r>
        <w:rPr>
          <w:rStyle w:val="a3"/>
          <w:rFonts w:ascii="Times New Roman" w:hAnsi="Times New Roman"/>
          <w:sz w:val="28"/>
          <w:szCs w:val="28"/>
        </w:rPr>
        <w:t xml:space="preserve">. 2009. № 9. С. 166–174. 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Ахренова Н. А. Теоретические основы интернет-лингвистики. В кн.: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Филологические науки. Вопросы теории и практики</w:t>
      </w:r>
      <w:r>
        <w:rPr>
          <w:rStyle w:val="a3"/>
          <w:rFonts w:ascii="Times New Roman" w:hAnsi="Times New Roman"/>
          <w:sz w:val="28"/>
          <w:szCs w:val="28"/>
        </w:rPr>
        <w:t xml:space="preserve">. Тамбов: Грамота. 2013. № 10 (28). С. 22–26. 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Бахтин М. М. Проблема речевых жанров. В кн.: М. М. Бахтин. Литературно-критические статьи. М.: Худ. лит., 1986. С. 428–472.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Бацевич Ф. С. Лінгвістична генологія: проблеми і перспективи. Львів: ПАІС, 2005. 264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Бацевич Ф. С. Нариси з лінгвістичної прагматики: монографія. Львів: ПАІС, 2010. 336 с.</w:t>
      </w:r>
    </w:p>
    <w:p w:rsidR="00E20F55" w:rsidRDefault="00E20F55" w:rsidP="00E20F55">
      <w:pPr>
        <w:pStyle w:val="a4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Бенвенист Э. Общая лингвистика. Москва: Прогресс, 1974. 448 с.</w:t>
      </w:r>
    </w:p>
    <w:p w:rsidR="00E20F55" w:rsidRDefault="00E20F55" w:rsidP="00E20F55">
      <w:pPr>
        <w:pStyle w:val="a4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Бєлова А. Д. Віртуалізація комунікативного простору.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Мовні і концептуальні картини світу</w:t>
      </w:r>
      <w:r>
        <w:rPr>
          <w:rStyle w:val="a3"/>
          <w:rFonts w:ascii="Times New Roman" w:hAnsi="Times New Roman"/>
          <w:sz w:val="28"/>
          <w:szCs w:val="28"/>
        </w:rPr>
        <w:t xml:space="preserve">. 2015. Вип. 1. С. 86–97. 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Бєлова А. Д. Комунікативні стратегії і тактики: проблеми систематики.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Мовні і концептуальні картини світу</w:t>
      </w:r>
      <w:r>
        <w:rPr>
          <w:rStyle w:val="a3"/>
          <w:rFonts w:ascii="Times New Roman" w:hAnsi="Times New Roman"/>
          <w:sz w:val="28"/>
          <w:szCs w:val="28"/>
        </w:rPr>
        <w:t>. 2004. С. 11–16.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Горошко Е. И. Лингвистика Интернета: формирование дисциплинарной парадигмы. В кн.: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Жанры и типы текста в научном и медийном дискурсе</w:t>
      </w:r>
      <w:r>
        <w:rPr>
          <w:rStyle w:val="a3"/>
          <w:rFonts w:ascii="Times New Roman" w:hAnsi="Times New Roman"/>
          <w:sz w:val="28"/>
          <w:szCs w:val="28"/>
        </w:rPr>
        <w:t xml:space="preserve">. Орел: Картуш, 2007. Вып. 5. С. 223–237. 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Горошко Е. И., Полякова Т. Л. К построению типологии жанров социальных медий. В кн.: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Жанры речи.</w:t>
      </w:r>
      <w:r>
        <w:rPr>
          <w:rStyle w:val="a3"/>
          <w:rFonts w:ascii="Times New Roman" w:hAnsi="Times New Roman"/>
          <w:sz w:val="28"/>
          <w:szCs w:val="28"/>
        </w:rPr>
        <w:t xml:space="preserve"> Вып. 2 (12). 2015. С. 119–127.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lastRenderedPageBreak/>
        <w:t xml:space="preserve">Грайс Г. П. Логика и речевое общение.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Новое в зарубежной лингвистике: Лингвистическая прагматика</w:t>
      </w:r>
      <w:r>
        <w:rPr>
          <w:rStyle w:val="a3"/>
          <w:rFonts w:ascii="Times New Roman" w:hAnsi="Times New Roman"/>
          <w:sz w:val="28"/>
          <w:szCs w:val="28"/>
        </w:rPr>
        <w:t>.  Вып. XVI. Москва: Прогресс, 1985. С. 217–237.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Данько Ю. Феномен соціальних мереж у контексті становлення і розвитку мережевого суспільства.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Вісник Міжнародного слов’янського</w:t>
      </w:r>
      <w:r>
        <w:rPr>
          <w:rStyle w:val="a3"/>
          <w:rFonts w:ascii="Times New Roman" w:hAnsi="Times New Roman"/>
          <w:sz w:val="28"/>
          <w:szCs w:val="28"/>
        </w:rPr>
        <w:t xml:space="preserve">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університету</w:t>
      </w:r>
      <w:r>
        <w:rPr>
          <w:rStyle w:val="a3"/>
          <w:rFonts w:ascii="Times New Roman" w:hAnsi="Times New Roman"/>
          <w:sz w:val="28"/>
          <w:szCs w:val="28"/>
        </w:rPr>
        <w:t>. Харків. Серія «Соціологічні науки». 2012. Том. ХV. Вип. 1–2. С. 53–59.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 Дейк ван Т. А. Язык. Познание. Коммуникация; пер. с англ. Ю. Н. Караулова и В. В. Петрова. Москва: Прогресс, 1989. 312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Дейк ван Т. А., Кинч В. Стратегии понимания связного текста.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 xml:space="preserve">Новое в зарубежной лингвистике. </w:t>
      </w:r>
      <w:r>
        <w:rPr>
          <w:rStyle w:val="a3"/>
          <w:rFonts w:ascii="Times New Roman" w:hAnsi="Times New Roman"/>
          <w:sz w:val="28"/>
          <w:szCs w:val="28"/>
        </w:rPr>
        <w:t>Москва: Прогресс, 1988. Вып. 23. Когнитивные аспекты языка. С. 153–211.</w:t>
      </w:r>
    </w:p>
    <w:p w:rsidR="00E20F55" w:rsidRDefault="00E20F55" w:rsidP="00E20F55">
      <w:pPr>
        <w:pStyle w:val="psection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0" w:after="0" w:line="360" w:lineRule="auto"/>
        <w:jc w:val="both"/>
        <w:rPr>
          <w:sz w:val="28"/>
          <w:szCs w:val="28"/>
        </w:rPr>
      </w:pPr>
      <w:r>
        <w:rPr>
          <w:rStyle w:val="a3"/>
          <w:sz w:val="28"/>
          <w:szCs w:val="28"/>
        </w:rPr>
        <w:t>Дементьев В. В. Теория речевых жанров. Москва: Знак, 2010. 600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Дзюбіна О. І. Комунікативний аспект соціальних мереж Facebook і Twitter.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Вісник Дніпропетровського університету імені Альфреда Нобеля</w:t>
      </w:r>
      <w:r>
        <w:rPr>
          <w:rStyle w:val="a3"/>
          <w:rFonts w:ascii="Times New Roman" w:hAnsi="Times New Roman"/>
          <w:sz w:val="28"/>
          <w:szCs w:val="28"/>
        </w:rPr>
        <w:t>. Серія «Філологічні науки». 2016. № 2 (12). С. 218–222.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Дужникова А. С. Социальные сети: современные тенденции и типы пользования. В кн.: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Мониторинг общественного мнения: экономические и социальные перемены</w:t>
      </w:r>
      <w:r>
        <w:rPr>
          <w:rStyle w:val="a3"/>
          <w:rFonts w:ascii="Times New Roman" w:hAnsi="Times New Roman"/>
          <w:sz w:val="28"/>
          <w:szCs w:val="28"/>
        </w:rPr>
        <w:t xml:space="preserve">. 2012. № 5. С. 238–251. 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Загнітко А. П. Основи дискурсології. Донецьк: ДонНУ, 2008. 194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Интернет-пространство: речевой портрет пользователя: Коллективная монография.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Т. И. Попова, И. М. Вознесенская, Д. В. Колесова, В. М. Савотина</w:t>
      </w:r>
      <w:r>
        <w:rPr>
          <w:rStyle w:val="a3"/>
          <w:rFonts w:ascii="Times New Roman" w:hAnsi="Times New Roman"/>
          <w:sz w:val="28"/>
          <w:szCs w:val="28"/>
        </w:rPr>
        <w:t>. СПб.: Эйдос, 2012. 224 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Иссерс О. С. Коммуникативные стратегии и тактики русской речи. Москва: УРСС, 2003. 286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Іващук А. Варіативність та взаємоперехід інформаційних жанрів у сучасній українській пресі: автореф. дис. канд. наук. Київ, 2009. 17 с.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Карасик В. И. Языковой круг: личность, концепты, дискурс. Москва: Гнозис, 2004. 390 с.</w:t>
      </w:r>
    </w:p>
    <w:p w:rsidR="00E20F55" w:rsidRDefault="00E20F55" w:rsidP="00E20F55">
      <w:pPr>
        <w:pStyle w:val="a4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lastRenderedPageBreak/>
        <w:t xml:space="preserve">Карпенко М. Ю. Лінгвістичні особливості інтернет-дискурсу.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Мова.</w:t>
      </w:r>
      <w:r>
        <w:rPr>
          <w:rStyle w:val="a3"/>
          <w:rFonts w:ascii="Times New Roman" w:hAnsi="Times New Roman"/>
          <w:sz w:val="28"/>
          <w:szCs w:val="28"/>
        </w:rPr>
        <w:t xml:space="preserve"> 2016. № 26. С. 5–11.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Ковалевська А. В., Ковалевська Т. Ю. Технології нейролінгвістичного програмування: пріоритетні напрями і перспективи.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 xml:space="preserve">Записки з українського мовознавства. </w:t>
      </w:r>
      <w:r>
        <w:rPr>
          <w:rStyle w:val="a3"/>
          <w:rFonts w:ascii="Times New Roman" w:hAnsi="Times New Roman"/>
          <w:sz w:val="28"/>
          <w:szCs w:val="28"/>
        </w:rPr>
        <w:t>2019. Т. 2. Вип. 26. С. 351–362.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Ковалевська Т. Ю. Комунікативні аспекти нейролінгвістичного програмування: монографія. Одеса: Астропринт, 2008. 324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Ковальчукова М. А. Анонс как речевой жанр (на материале Интернет-дискурса).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Вестник Челябинского государственного университета</w:t>
      </w:r>
      <w:r>
        <w:rPr>
          <w:rStyle w:val="a3"/>
          <w:rFonts w:ascii="Times New Roman" w:hAnsi="Times New Roman"/>
          <w:sz w:val="28"/>
          <w:szCs w:val="28"/>
        </w:rPr>
        <w:t>. 2008. с. 54–57.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Ковригина Е. А. Коммуникативная стратегия самопрезентации в дискурсе интернет-интервью: дисс. на соискание ученой степени канд. филол. наук. Кемерово, 2010. 177 с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Коган К. М. Соціальні мережі як елемент нового соціального середовища.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Міжнародний науковий форум: соціологія, психологія, педагогіка, менеджмент</w:t>
      </w:r>
      <w:r>
        <w:rPr>
          <w:rStyle w:val="a3"/>
          <w:rFonts w:ascii="Times New Roman" w:hAnsi="Times New Roman"/>
          <w:sz w:val="28"/>
          <w:szCs w:val="28"/>
        </w:rPr>
        <w:t>. 2014. Вип. 16. С. 61–71.</w:t>
      </w:r>
    </w:p>
    <w:p w:rsidR="00E20F55" w:rsidRDefault="00E20F55" w:rsidP="00E20F55">
      <w:pPr>
        <w:pStyle w:val="a5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0" w:after="0" w:line="360" w:lineRule="auto"/>
        <w:jc w:val="both"/>
        <w:rPr>
          <w:sz w:val="28"/>
          <w:szCs w:val="28"/>
        </w:rPr>
      </w:pPr>
      <w:r>
        <w:rPr>
          <w:rStyle w:val="a3"/>
          <w:sz w:val="28"/>
          <w:szCs w:val="28"/>
        </w:rPr>
        <w:t>Компанцева Л. Ф. Інтернет-комунікація: когнітивно-прагматичний і лінгвокультурологічний аспекти: автореферат дис. на здобуття наук. ступеня доктора філол. наук. Київ, 2007. 34 с.</w:t>
      </w:r>
    </w:p>
    <w:p w:rsidR="00E20F55" w:rsidRDefault="00E20F55" w:rsidP="00E20F55">
      <w:pPr>
        <w:pStyle w:val="a5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0" w:after="0" w:line="360" w:lineRule="auto"/>
        <w:jc w:val="both"/>
        <w:rPr>
          <w:sz w:val="28"/>
          <w:szCs w:val="28"/>
        </w:rPr>
      </w:pPr>
      <w:r>
        <w:rPr>
          <w:rStyle w:val="a3"/>
          <w:sz w:val="28"/>
          <w:szCs w:val="28"/>
        </w:rPr>
        <w:t>Компанцева Л. Ф. Лінгвістична експертиза соціальних мереж. Київ: Аграр Медіа Груп, 2018. 318 с.</w:t>
      </w:r>
    </w:p>
    <w:p w:rsidR="00E20F55" w:rsidRDefault="00E20F55" w:rsidP="00E20F55">
      <w:pPr>
        <w:pStyle w:val="a5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before="0" w:after="0" w:line="360" w:lineRule="auto"/>
        <w:jc w:val="both"/>
        <w:rPr>
          <w:sz w:val="28"/>
          <w:szCs w:val="28"/>
        </w:rPr>
      </w:pPr>
      <w:r>
        <w:rPr>
          <w:rStyle w:val="a3"/>
          <w:sz w:val="28"/>
          <w:szCs w:val="28"/>
        </w:rPr>
        <w:t xml:space="preserve">Кондратенко Н., Степанюк М. Особливості анонсу як мовленнєвого жанру інтернет-дискурсу. </w:t>
      </w:r>
      <w:r>
        <w:rPr>
          <w:rStyle w:val="a3"/>
          <w:i/>
          <w:iCs/>
          <w:sz w:val="28"/>
          <w:szCs w:val="28"/>
        </w:rPr>
        <w:t>Вісник Одеського національного університету.</w:t>
      </w:r>
      <w:r>
        <w:rPr>
          <w:rStyle w:val="a3"/>
          <w:sz w:val="28"/>
          <w:szCs w:val="28"/>
        </w:rPr>
        <w:t xml:space="preserve"> Серія лінгвістика. 2022. Вип. 26 (2). С. 54–67.</w:t>
      </w:r>
    </w:p>
    <w:p w:rsidR="00E20F55" w:rsidRDefault="00E20F55" w:rsidP="00E20F55">
      <w:pPr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Кондратенко Н. В., Стрій Л. І., Билінська О. С. Лінгвопрагматика політичного дискурсу: типологія мовленнєвих жанрів: монографія; за заг. ред. Н.В. Кондратенко. Одеса: Астропринт, 2019. 236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Корнейко І. В., Петрова О. Б., Попова Н. О. Теорія жанру: теоретичні і прикладні аспекти: монографія. Харків: Друкарня «Мадрид», 2014. 127 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lastRenderedPageBreak/>
        <w:t>Красных В. В. «Свой» среди «чужих»: миф или реальность? Москва: Гнозис, 2003. 375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Кузмич Н. Комунікативна стратегія самопрезентації і тактики її реалізації (за матеріалами телевізійних інтерв’ю).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Вісник Львівського університету імені І. Франка</w:t>
      </w:r>
      <w:r>
        <w:rPr>
          <w:rStyle w:val="a3"/>
          <w:rFonts w:ascii="Times New Roman" w:hAnsi="Times New Roman"/>
          <w:sz w:val="28"/>
          <w:szCs w:val="28"/>
        </w:rPr>
        <w:t xml:space="preserve">. Серія іноземні мови. 2013. Вип. 21. С. 89–94. 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Лобовікова О. О., Мельніков А. С. Соціальні мережі як феномен інформаційного суспільства.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 xml:space="preserve">Вісник Львівського університету імені І. Франка. </w:t>
      </w:r>
      <w:r>
        <w:rPr>
          <w:rStyle w:val="a3"/>
          <w:rFonts w:ascii="Times New Roman" w:hAnsi="Times New Roman"/>
          <w:sz w:val="28"/>
          <w:szCs w:val="28"/>
        </w:rPr>
        <w:t>Серія соціологічна, 2011. Вип. 5. С. 150–164.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Макаров М. Основы теории дискурса. Москва: Гнозис, 2003. 280 с.</w:t>
      </w:r>
    </w:p>
    <w:p w:rsidR="00E20F55" w:rsidRDefault="00E20F55" w:rsidP="00E20F55">
      <w:pPr>
        <w:pStyle w:val="a4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Мамич М. В. Вербальний контент журналу «Жінка»в аспекті лінгвокульутрології та медіалінгвістики. Одеса: Астропринт, 2015. 528 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FFFFF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Мацько Л. І., Калита О. М., Поворознюк С. І. Комунікативна лінгвістика: навчально-методичний посібник. Київ: Вид-во Нац. пед. ун-ту імені М. П. Драгоманова, 2015. 256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Мирумян А. Г. Социальные сети в системе массовой коммуникации.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Вестник Адыгейского государственного университета</w:t>
      </w:r>
      <w:r>
        <w:rPr>
          <w:rStyle w:val="a3"/>
          <w:rFonts w:ascii="Times New Roman" w:hAnsi="Times New Roman"/>
          <w:sz w:val="28"/>
          <w:szCs w:val="28"/>
        </w:rPr>
        <w:t xml:space="preserve">. Серия 2: Филология и искусствоведение. 2015. Вып. 3 (164). С. 125–129. [Електронний ресурс]. – Режим доступу: </w:t>
      </w:r>
      <w:hyperlink r:id="rId6" w:history="1">
        <w:r>
          <w:rPr>
            <w:rStyle w:val="Hyperlink1"/>
            <w:rFonts w:ascii="Times New Roman" w:hAnsi="Times New Roman"/>
            <w:sz w:val="28"/>
            <w:szCs w:val="28"/>
          </w:rPr>
          <w:t>https://cyberleninka.ru/article/n/sotsialnye-seti-v-sisteme-massovoy-kommunikatsii</w:t>
        </w:r>
      </w:hyperlink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Митягина В. А., Сидорова И. Г. Жанры персонального интернет-дискурса: коммуникативные экспликации личности.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Жанры речи</w:t>
      </w:r>
      <w:r>
        <w:rPr>
          <w:rStyle w:val="a3"/>
          <w:rFonts w:ascii="Times New Roman" w:hAnsi="Times New Roman"/>
          <w:sz w:val="28"/>
          <w:szCs w:val="28"/>
        </w:rPr>
        <w:t>. 2016. № 2. С. 105–115. https://cyberleninka.ru/article/n/zhanry-personalnogo-internet-diskursa-kommunikativnye-eksplikatsii-lichnosti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hd w:val="clear" w:color="auto" w:fill="FFFFFF"/>
        <w:spacing w:after="0" w:line="360" w:lineRule="auto"/>
        <w:ind w:right="6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Навальная М. Развитие сетевых коммуникаций в Украине.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Problems of Intelligent, Sustainable and Inclusive Development in Central and Eastern Europe</w:t>
      </w:r>
      <w:r>
        <w:rPr>
          <w:rStyle w:val="a3"/>
          <w:rFonts w:ascii="Times New Roman" w:hAnsi="Times New Roman"/>
          <w:sz w:val="28"/>
          <w:szCs w:val="28"/>
        </w:rPr>
        <w:t>.  Toru</w:t>
      </w:r>
      <w:r>
        <w:rPr>
          <w:rStyle w:val="a3"/>
          <w:rFonts w:ascii="Times New Roman" w:hAnsi="Times New Roman"/>
          <w:sz w:val="28"/>
          <w:szCs w:val="28"/>
          <w:shd w:val="clear" w:color="auto" w:fill="FFFFFF"/>
        </w:rPr>
        <w:t>ń: Wydawnictwo Naukowe Uniwersytetu Miko</w:t>
      </w:r>
      <w:r>
        <w:rPr>
          <w:rStyle w:val="a3"/>
          <w:rFonts w:ascii="Times New Roman" w:hAnsi="Times New Roman"/>
          <w:sz w:val="28"/>
          <w:szCs w:val="28"/>
          <w:shd w:val="clear" w:color="auto" w:fill="F8F9FA"/>
        </w:rPr>
        <w:t>ł</w:t>
      </w:r>
      <w:r>
        <w:rPr>
          <w:rStyle w:val="a3"/>
          <w:rFonts w:ascii="Times New Roman" w:hAnsi="Times New Roman"/>
          <w:sz w:val="28"/>
          <w:szCs w:val="28"/>
          <w:shd w:val="clear" w:color="auto" w:fill="FFFFFF"/>
        </w:rPr>
        <w:t>aja Kopernika, 2016.  С. 307–318.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lastRenderedPageBreak/>
        <w:t xml:space="preserve">Нерян С. О. Допис у соцмережі як мовленнєвий жанр інтернет-комунікації.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Науковий вісник Херсонського державного університету</w:t>
      </w:r>
      <w:r>
        <w:rPr>
          <w:rStyle w:val="a3"/>
          <w:rFonts w:ascii="Times New Roman" w:hAnsi="Times New Roman"/>
          <w:sz w:val="28"/>
          <w:szCs w:val="28"/>
        </w:rPr>
        <w:t>. 2018. Вип. 34. Т. 1. С. 66–70.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Нерян С. О. Комунікативні тактики аргументації в мережевому дискурсі (на матеріалі українськомовного сегменту соцмережі Facebook).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Наукові праці Кам’янець-Подільського національного університету імені Івана Огієнка.</w:t>
      </w:r>
      <w:r>
        <w:rPr>
          <w:rStyle w:val="a3"/>
          <w:rFonts w:ascii="Times New Roman" w:hAnsi="Times New Roman"/>
          <w:sz w:val="28"/>
          <w:szCs w:val="28"/>
        </w:rPr>
        <w:t xml:space="preserve"> 2019. Вип. 50. С. 126–130.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Нерян С. О. Полікодовість аргументативного дискурсу в соцмережах.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Одеська лінгвістична школа: класичне і новітнє:</w:t>
      </w:r>
      <w:r>
        <w:rPr>
          <w:rStyle w:val="a3"/>
          <w:rFonts w:ascii="Times New Roman" w:hAnsi="Times New Roman"/>
          <w:sz w:val="28"/>
          <w:szCs w:val="28"/>
        </w:rPr>
        <w:t xml:space="preserve"> колективна монографія. За ред. Т. Ю. Ковалевської. 2019. Вип. 8. Т. 2. С. 333–338.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Нерян С. О. Спілкування в соцмережах: основні функції.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 xml:space="preserve">Трансформація фінансової системи та обліку в умовах інноваційної локалізації національної економіки: </w:t>
      </w:r>
      <w:r>
        <w:rPr>
          <w:rStyle w:val="a3"/>
          <w:rFonts w:ascii="Times New Roman" w:hAnsi="Times New Roman"/>
          <w:sz w:val="28"/>
          <w:szCs w:val="28"/>
        </w:rPr>
        <w:t>Збірник наукових праць за матеріалами Всеукраїнської науково-практичної конференції. Одеса: «Друкарський дім», 2018. С. 250–252.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Паздерська Р. С., Маковець О. В. Визначення контенту та стратегій підвищення його ефективності у віртуальних спільнотах.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Вісник Вінницького політехнічного інституту</w:t>
      </w:r>
      <w:r>
        <w:rPr>
          <w:rStyle w:val="a3"/>
          <w:rFonts w:ascii="Times New Roman" w:hAnsi="Times New Roman"/>
          <w:sz w:val="28"/>
          <w:szCs w:val="28"/>
        </w:rPr>
        <w:t>. 2021. № 3. С. 69–77.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Рудик М. Сучасні тенденції розвитку журналістських жанрів у блогосфері.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Вісник Львівського університету</w:t>
      </w:r>
      <w:r>
        <w:rPr>
          <w:rStyle w:val="a3"/>
          <w:rFonts w:ascii="Times New Roman" w:hAnsi="Times New Roman"/>
          <w:sz w:val="28"/>
          <w:szCs w:val="28"/>
        </w:rPr>
        <w:t>. Серія Журналістика. 2019. Вип. 46. С. 131–137.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Седов К. Ф. Дискурс и личность: Эволюция коммуникативной компетенции. Москва: Лабиринт, 2004. 320 с. 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Седов К. Ф. Языкознание. Речеведение. Генристика.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Жанри речи</w:t>
      </w:r>
      <w:r>
        <w:rPr>
          <w:rStyle w:val="a3"/>
          <w:rFonts w:ascii="Times New Roman" w:hAnsi="Times New Roman"/>
          <w:sz w:val="28"/>
          <w:szCs w:val="28"/>
        </w:rPr>
        <w:t>. Саратов: Наука, 2009. Вып. 6: Жанр и язык. С. 210–223.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Селіванова О. О.  Сучасна лінгвістика: напрями та проблеми: підручник. Полтава: Довкілля-К, 2008. 712 с.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Селіванова О. О. Світ свідомості в мові. Черкаси: Ю. Чебаненко, 2012. 488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lastRenderedPageBreak/>
        <w:t xml:space="preserve">Семенюк О. А., Паращук В. Ю. Основи теорії мовної комунікації. Київ: ВЦ «Академія», 2010. 240 с. 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Серажим К. С. Дискурс як соціолінгвальне явище: методологія, архітектоніка, варіативність: монографія. Київ: КНУ, 2002. 392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Сидоров Е. В. Онтология дискурса. Москва: ЛИБРОКОМ, 2009. 232 с.</w:t>
      </w:r>
    </w:p>
    <w:p w:rsidR="00E20F55" w:rsidRDefault="00E20F55" w:rsidP="00E20F55">
      <w:pPr>
        <w:pStyle w:val="a4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Сидорова И. Г.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Style w:val="a3"/>
          <w:rFonts w:ascii="Times New Roman" w:hAnsi="Times New Roman"/>
          <w:sz w:val="28"/>
          <w:szCs w:val="28"/>
        </w:rPr>
        <w:t xml:space="preserve">Коммуникативные технологии позиционирования языковой личности в соцсетях.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Известия Волгоградского государственного педагогического университета</w:t>
      </w:r>
      <w:r>
        <w:rPr>
          <w:rStyle w:val="a3"/>
          <w:rFonts w:ascii="Times New Roman" w:hAnsi="Times New Roman"/>
          <w:sz w:val="28"/>
          <w:szCs w:val="28"/>
        </w:rPr>
        <w:t>. 2019. Филологическе науки. С. 112–115.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Сонин А. Г., Мичурин Д. С. Эволюция поликодовых текстов: от воздействия к взаимодействию.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Вопросы психолингвистики</w:t>
      </w:r>
      <w:r>
        <w:rPr>
          <w:rStyle w:val="a3"/>
          <w:rFonts w:ascii="Times New Roman" w:hAnsi="Times New Roman"/>
          <w:sz w:val="28"/>
          <w:szCs w:val="28"/>
        </w:rPr>
        <w:t xml:space="preserve">. 2012. С. 164–173. </w:t>
      </w:r>
    </w:p>
    <w:p w:rsidR="00E20F55" w:rsidRDefault="00E20F55" w:rsidP="00E20F55">
      <w:pPr>
        <w:pStyle w:val="a4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Соссюр Ф. Курс загальної лінгвістики. Київ: Основи, 1998. 324 с.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Станко Д. В. Стратегії і тактики в емоційному мовленні.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Записки з романо-германської філології.</w:t>
      </w:r>
      <w:r>
        <w:rPr>
          <w:rStyle w:val="a3"/>
          <w:rFonts w:ascii="Times New Roman" w:hAnsi="Times New Roman"/>
          <w:sz w:val="28"/>
          <w:szCs w:val="28"/>
        </w:rPr>
        <w:t xml:space="preserve"> 2014. С. 179–185.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Стексова Т. И.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 xml:space="preserve"> </w:t>
      </w:r>
      <w:r>
        <w:rPr>
          <w:rStyle w:val="a3"/>
          <w:rFonts w:ascii="Times New Roman" w:hAnsi="Times New Roman"/>
          <w:sz w:val="28"/>
          <w:szCs w:val="28"/>
        </w:rPr>
        <w:t xml:space="preserve">Комментарий как речевой жанр и его вариативность.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Жанры речи</w:t>
      </w:r>
      <w:r>
        <w:rPr>
          <w:rStyle w:val="a3"/>
          <w:rFonts w:ascii="Times New Roman" w:hAnsi="Times New Roman"/>
          <w:sz w:val="28"/>
          <w:szCs w:val="28"/>
        </w:rPr>
        <w:t>. Саратов, 2014. С. 81–88.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Стернин И. А. Основы речевого воздействия: учебн. издание. Москва – Берлин: Директ-Медиа, 2015. 289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Стрій Л. І. Ритуальні жанри українського політичного дискурсу: структурно-семантичний і лінгвопрагматичний аспекти: дис. на здобуття наук. ступеня к. філол. н. Одеса, 2015. 190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Тичер С., Мейер М., Водак Р.,  Веттер Е. Методы анализа текста и дискурса. Харьков: Изд-во Гуманитарный центр, 2009. 356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Тищенко О. Мова інтернет-спілкування: стиль, норма, освіта.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Дивослово.</w:t>
      </w:r>
      <w:r>
        <w:rPr>
          <w:rStyle w:val="a3"/>
          <w:rFonts w:ascii="Times New Roman" w:hAnsi="Times New Roman"/>
          <w:sz w:val="28"/>
          <w:szCs w:val="28"/>
        </w:rPr>
        <w:t xml:space="preserve"> 2016. № 3. С. 35–39.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Тірон І. Веб-коментар як жанр сучасного медійного дискурсу.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Вісник Київського національного університету імені Тараса Шевченка.</w:t>
      </w:r>
      <w:r>
        <w:rPr>
          <w:rStyle w:val="a3"/>
          <w:rFonts w:ascii="Times New Roman" w:hAnsi="Times New Roman"/>
          <w:sz w:val="28"/>
          <w:szCs w:val="28"/>
        </w:rPr>
        <w:t xml:space="preserve"> 2011. Серія «іноземна філологія». Вип. 44. С. 42–45.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lastRenderedPageBreak/>
        <w:t xml:space="preserve">Ульянова М. А. Классификация жанров Интернет-дискурса.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Lingua mobilis</w:t>
      </w:r>
      <w:r>
        <w:rPr>
          <w:rStyle w:val="a3"/>
          <w:rFonts w:ascii="Times New Roman" w:hAnsi="Times New Roman"/>
          <w:sz w:val="28"/>
          <w:szCs w:val="28"/>
        </w:rPr>
        <w:t xml:space="preserve"> № 3 (49), 2014. С. 102–110. Режим доступу: </w:t>
      </w:r>
      <w:hyperlink r:id="rId7" w:history="1">
        <w:r>
          <w:rPr>
            <w:rStyle w:val="Hyperlink1"/>
            <w:rFonts w:ascii="Times New Roman" w:hAnsi="Times New Roman"/>
            <w:sz w:val="28"/>
            <w:szCs w:val="28"/>
          </w:rPr>
          <w:t>https://cyberleninka.ru/article/n/klassifikatsiya-zhanrov-internet-diskursa</w:t>
        </w:r>
      </w:hyperlink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Усачева О. Ю. К вопросу о жанрах интернет-коммуникации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Вестник Московского государственного областного университета</w:t>
      </w:r>
      <w:r>
        <w:rPr>
          <w:rStyle w:val="a3"/>
          <w:rFonts w:ascii="Times New Roman" w:hAnsi="Times New Roman"/>
          <w:sz w:val="28"/>
          <w:szCs w:val="28"/>
        </w:rPr>
        <w:t>. 2009. № 3. С. 55–65.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Фіялка С. Інтернет-коментарі в системі масової комунікації.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 xml:space="preserve">Вісник Книжкової палати. </w:t>
      </w:r>
      <w:r>
        <w:rPr>
          <w:rStyle w:val="a3"/>
          <w:rFonts w:ascii="Times New Roman" w:hAnsi="Times New Roman"/>
          <w:sz w:val="28"/>
          <w:szCs w:val="28"/>
        </w:rPr>
        <w:t>2015. Вип. 9. С. 47–48.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Форманова С. В. Коментар у соціальних мережах як мовленнєвий жанр.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Вісник Львівського університету</w:t>
      </w:r>
      <w:r>
        <w:rPr>
          <w:rStyle w:val="a3"/>
          <w:rFonts w:ascii="Times New Roman" w:hAnsi="Times New Roman"/>
          <w:sz w:val="28"/>
          <w:szCs w:val="28"/>
        </w:rPr>
        <w:t>. Серія філологічна. 2019. Вип. 70. С. 78–90.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Формановская Н. И. Речевое общение: коммуникативно-прагматический подход. Москва: Русский язык, 2002. 216 с.</w:t>
      </w:r>
    </w:p>
    <w:p w:rsidR="00E20F55" w:rsidRDefault="00E20F55" w:rsidP="00E20F55">
      <w:pPr>
        <w:pStyle w:val="a4"/>
        <w:widowControl w:val="0"/>
        <w:numPr>
          <w:ilvl w:val="0"/>
          <w:numId w:val="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pacing w:val="-6"/>
          <w:sz w:val="28"/>
          <w:szCs w:val="28"/>
        </w:rPr>
        <w:t>Шабат-Савка С. Т. Категорія комунікативної інтенції в українській мові: монографія. Чернівці: Букрек, 2014. 412 с.</w:t>
      </w:r>
    </w:p>
    <w:p w:rsidR="00E20F55" w:rsidRDefault="00E20F55" w:rsidP="00E20F55">
      <w:pPr>
        <w:pStyle w:val="a4"/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Швелідзе Л. Д. Кооперативні комунікативні стратегії взаємодії в соціальних мережах (на матеріалі дописів українських та американських користувачів).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Вчені записки Таврійського національного університету імені В. І. Вернадського.</w:t>
      </w:r>
      <w:r>
        <w:rPr>
          <w:rStyle w:val="a3"/>
          <w:rFonts w:ascii="Times New Roman" w:hAnsi="Times New Roman"/>
          <w:sz w:val="28"/>
          <w:szCs w:val="28"/>
        </w:rPr>
        <w:t xml:space="preserve"> Серія: Філологія. Соціальні комунікації». Том 31 (70) № 4, 2020. С. 42–51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Шевченко І. Когнітивно-прагматичні дослідження дискурсу. В кн.: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Дискурс як когнітивно-комунікативний феномен</w:t>
      </w:r>
      <w:r>
        <w:rPr>
          <w:rStyle w:val="a3"/>
          <w:rFonts w:ascii="Times New Roman" w:hAnsi="Times New Roman"/>
          <w:sz w:val="28"/>
          <w:szCs w:val="28"/>
        </w:rPr>
        <w:t>: монографія; за ред. І. Шевченко. Харків: ЧФ Константа, 2005. С. 105–117.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Шевченко І. С., Морозова О. І. Дискурс як мисленнєво-комунікативна діяльність. В кн.: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Дискурс як когнітивно-комунікативний феномен</w:t>
      </w:r>
      <w:r>
        <w:rPr>
          <w:rStyle w:val="a3"/>
          <w:rFonts w:ascii="Times New Roman" w:hAnsi="Times New Roman"/>
          <w:sz w:val="28"/>
          <w:szCs w:val="28"/>
        </w:rPr>
        <w:t>: колективна монографія; за ред. І. С. Шевченко. Харків: Константа, 2005. С. 21–28.</w:t>
      </w:r>
    </w:p>
    <w:p w:rsidR="00E20F55" w:rsidRDefault="00E20F55" w:rsidP="00E20F55">
      <w:pPr>
        <w:pStyle w:val="a4"/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Шкворченко Н. Інтернет-дискурс як лінгвістична категорія.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Актуальні питання гуманітарних наук.</w:t>
      </w:r>
      <w:r>
        <w:rPr>
          <w:rStyle w:val="a3"/>
          <w:rFonts w:ascii="Times New Roman" w:hAnsi="Times New Roman"/>
          <w:sz w:val="28"/>
          <w:szCs w:val="28"/>
        </w:rPr>
        <w:t xml:space="preserve"> 2019. № 23. Т. 3. С. 62–71.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lastRenderedPageBreak/>
        <w:t>Шкіцька І. Ю. Маніпулятивні тактики позитиву: лінгвістичний аспект. Київ: Видавничий дім Дмитра Бураго, 2012. 440 с.</w:t>
      </w:r>
    </w:p>
    <w:p w:rsidR="00E20F55" w:rsidRDefault="00E20F55" w:rsidP="00E20F55">
      <w:pPr>
        <w:numPr>
          <w:ilvl w:val="0"/>
          <w:numId w:val="3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Шмелева Т. В. Речевой жанр. Возможности описания и использования в преподавании языка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. Russistik. Русистика. Научный журнал актуальных проблем преподавания русского языка</w:t>
      </w:r>
      <w:r>
        <w:rPr>
          <w:rStyle w:val="a3"/>
          <w:rFonts w:ascii="Times New Roman" w:hAnsi="Times New Roman"/>
          <w:sz w:val="28"/>
          <w:szCs w:val="28"/>
        </w:rPr>
        <w:t>. Berlin, 1990. № 2. С. 20–32.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Щипицина Л. Ю. Жанры компьютерно-опосредованной коммуникации. Архангельск: Поморский ун-т, 2009. 238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Щипицина Л. Ю. Классификация жанров компьютерно-опосредованной коммуникации по их функции.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 xml:space="preserve">Известия Российского государственного педагогического университета имени А. И. Герцена. </w:t>
      </w:r>
      <w:r>
        <w:rPr>
          <w:rStyle w:val="a3"/>
          <w:rFonts w:ascii="Times New Roman" w:hAnsi="Times New Roman"/>
          <w:sz w:val="28"/>
          <w:szCs w:val="28"/>
        </w:rPr>
        <w:t>2009. № 144. 171–178.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Щипицина Л. Ю. Компьютерно-опосредованная коммуникация: Лингвистический аспект анализа. Москва: Красанд, 2010. 296 с.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Юрина И. А., Бородулина Н. Ю., Макеева М. Н. Исследование социальных сетей в контексте лингвистики новых медиа.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Филологические науки. Вопросы теории и практики</w:t>
      </w:r>
      <w:r>
        <w:rPr>
          <w:rStyle w:val="a3"/>
          <w:rFonts w:ascii="Times New Roman" w:hAnsi="Times New Roman"/>
          <w:sz w:val="28"/>
          <w:szCs w:val="28"/>
        </w:rPr>
        <w:t xml:space="preserve">. Тамбов: Грамота, 2017. № 11(77): в 3-х ч. Ч. 2. C. 178-181. Режим доступу: КиберЛенинка: </w:t>
      </w:r>
      <w:hyperlink r:id="rId8" w:history="1">
        <w:r>
          <w:rPr>
            <w:rStyle w:val="Hyperlink1"/>
            <w:rFonts w:ascii="Times New Roman" w:hAnsi="Times New Roman"/>
            <w:sz w:val="28"/>
            <w:szCs w:val="28"/>
          </w:rPr>
          <w:t>https://cyberleninka.ru/article/n/issledovanie-sotsialnyh-setey-v-kontekste-lingvistiki-novyh-media</w:t>
        </w:r>
      </w:hyperlink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 xml:space="preserve">Янко Т. Е. Когнитивные стратегии в речи двадцать лет спустя. </w:t>
      </w:r>
      <w:r>
        <w:rPr>
          <w:rStyle w:val="a3"/>
          <w:rFonts w:ascii="Times New Roman" w:hAnsi="Times New Roman"/>
          <w:i/>
          <w:iCs/>
          <w:sz w:val="28"/>
          <w:szCs w:val="28"/>
        </w:rPr>
        <w:t>Критика и семиотика.</w:t>
      </w:r>
      <w:r>
        <w:rPr>
          <w:rStyle w:val="a3"/>
          <w:rFonts w:ascii="Times New Roman" w:hAnsi="Times New Roman"/>
          <w:sz w:val="28"/>
          <w:szCs w:val="28"/>
        </w:rPr>
        <w:t xml:space="preserve"> 2015. № 2. С. 172–182. 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3"/>
          <w:rFonts w:ascii="Times New Roman" w:hAnsi="Times New Roman"/>
          <w:sz w:val="28"/>
          <w:szCs w:val="28"/>
        </w:rPr>
        <w:t>Яшенкова О. В. Основи теорії мовної комунікації: навч. посібник. Київ: ВЦ «Академія», 2010. 213 с.</w:t>
      </w:r>
      <w:r>
        <w:rPr>
          <w:rStyle w:val="a3"/>
          <w:rFonts w:ascii="Times New Roman" w:hAnsi="Times New Roman"/>
          <w:sz w:val="28"/>
          <w:szCs w:val="28"/>
          <w:lang w:val="en-US"/>
        </w:rPr>
        <w:t xml:space="preserve"> 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F7891">
        <w:rPr>
          <w:rStyle w:val="a3"/>
          <w:rFonts w:ascii="Times New Roman" w:hAnsi="Times New Roman"/>
          <w:sz w:val="28"/>
          <w:szCs w:val="28"/>
          <w:lang w:val="en-US"/>
        </w:rPr>
        <w:t xml:space="preserve">Crystal D. Language and the Internet. </w:t>
      </w:r>
      <w:r>
        <w:rPr>
          <w:rStyle w:val="a3"/>
          <w:rFonts w:ascii="Times New Roman" w:hAnsi="Times New Roman"/>
          <w:sz w:val="28"/>
          <w:szCs w:val="28"/>
        </w:rPr>
        <w:t>Cambridge University Press. 2001. 275 p.</w:t>
      </w:r>
    </w:p>
    <w:p w:rsidR="00E20F55" w:rsidRPr="000F7891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0F7891">
        <w:rPr>
          <w:rStyle w:val="a3"/>
          <w:rFonts w:ascii="Times New Roman" w:hAnsi="Times New Roman"/>
          <w:sz w:val="28"/>
          <w:szCs w:val="28"/>
          <w:lang w:val="en-US"/>
        </w:rPr>
        <w:t>Gumperz J. J. Discourse Strategies. Cambridge: Cambridge University Press, 1982. 225 p.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F7891">
        <w:rPr>
          <w:rStyle w:val="a3"/>
          <w:rFonts w:ascii="Times New Roman" w:hAnsi="Times New Roman"/>
          <w:sz w:val="28"/>
          <w:szCs w:val="28"/>
          <w:lang w:val="en-US"/>
        </w:rPr>
        <w:t xml:space="preserve">Harris Z. S. Discourse Analysis.  </w:t>
      </w:r>
      <w:r>
        <w:rPr>
          <w:rStyle w:val="a3"/>
          <w:rFonts w:ascii="Times New Roman" w:hAnsi="Times New Roman"/>
          <w:sz w:val="28"/>
          <w:szCs w:val="28"/>
        </w:rPr>
        <w:t>Language. 1952. Vol. 28. № 1. P. 1–30.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F7891">
        <w:rPr>
          <w:rStyle w:val="a3"/>
          <w:rFonts w:ascii="Times New Roman" w:hAnsi="Times New Roman"/>
          <w:sz w:val="28"/>
          <w:szCs w:val="28"/>
          <w:lang w:val="en-US"/>
        </w:rPr>
        <w:t xml:space="preserve">Leech G.N. Principles of Pragmatics. </w:t>
      </w:r>
      <w:r>
        <w:rPr>
          <w:rStyle w:val="a3"/>
          <w:rFonts w:ascii="Times New Roman" w:hAnsi="Times New Roman"/>
          <w:sz w:val="28"/>
          <w:szCs w:val="28"/>
        </w:rPr>
        <w:t>London: Longman, 1989. 250 p.</w:t>
      </w:r>
    </w:p>
    <w:p w:rsidR="00E20F55" w:rsidRDefault="00E20F55" w:rsidP="00E20F55">
      <w:pPr>
        <w:numPr>
          <w:ilvl w:val="0"/>
          <w:numId w:val="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F7891">
        <w:rPr>
          <w:rStyle w:val="a3"/>
          <w:rFonts w:ascii="Times New Roman" w:hAnsi="Times New Roman"/>
          <w:sz w:val="28"/>
          <w:szCs w:val="28"/>
          <w:lang w:val="en-US"/>
        </w:rPr>
        <w:lastRenderedPageBreak/>
        <w:t xml:space="preserve">Swales J. M. Genre analysis. English in academic and research settings. </w:t>
      </w:r>
      <w:r>
        <w:rPr>
          <w:rStyle w:val="a3"/>
          <w:rFonts w:ascii="Times New Roman" w:hAnsi="Times New Roman"/>
          <w:sz w:val="28"/>
          <w:szCs w:val="28"/>
        </w:rPr>
        <w:t>Cambridge, UK: Cambridge Univ. Press, 1999, 1998.</w:t>
      </w:r>
    </w:p>
    <w:p w:rsidR="00E20F55" w:rsidRDefault="00E20F55" w:rsidP="00E20F55">
      <w:pPr>
        <w:numPr>
          <w:ilvl w:val="0"/>
          <w:numId w:val="6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ar w:val="none" w:sz="0" w:color="auto"/>
        </w:pBd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0F7891">
        <w:rPr>
          <w:rStyle w:val="a3"/>
          <w:rFonts w:ascii="Times New Roman" w:hAnsi="Times New Roman"/>
          <w:sz w:val="28"/>
          <w:szCs w:val="28"/>
          <w:lang w:val="en-US"/>
        </w:rPr>
        <w:t xml:space="preserve">Thimbleby H. Internet, discourse and interaction potential. </w:t>
      </w:r>
      <w:r>
        <w:rPr>
          <w:rStyle w:val="a3"/>
          <w:rFonts w:ascii="Times New Roman" w:hAnsi="Times New Roman"/>
          <w:sz w:val="28"/>
          <w:szCs w:val="28"/>
        </w:rPr>
        <w:t>London: Middlesex University, 2006. 112 р.</w:t>
      </w:r>
    </w:p>
    <w:p w:rsidR="00C7716D" w:rsidRDefault="00C7716D">
      <w:bookmarkStart w:id="0" w:name="_GoBack"/>
      <w:bookmarkEnd w:id="0"/>
    </w:p>
    <w:sectPr w:rsidR="00C771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1046B71"/>
    <w:multiLevelType w:val="hybridMultilevel"/>
    <w:tmpl w:val="D7B832B2"/>
    <w:numStyleLink w:val="1"/>
  </w:abstractNum>
  <w:abstractNum w:abstractNumId="1">
    <w:nsid w:val="4E834575"/>
    <w:multiLevelType w:val="hybridMultilevel"/>
    <w:tmpl w:val="D7B832B2"/>
    <w:styleLink w:val="1"/>
    <w:lvl w:ilvl="0" w:tplc="42701F04">
      <w:start w:val="1"/>
      <w:numFmt w:val="decimal"/>
      <w:lvlText w:val="%1."/>
      <w:lvlJc w:val="left"/>
      <w:pPr>
        <w:ind w:left="786" w:hanging="360"/>
      </w:pPr>
      <w:rPr>
        <w:rFonts w:hAnsi="Arial Unicode MS" w:cs="Times New Roman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1" w:tplc="1F380FEA">
      <w:start w:val="1"/>
      <w:numFmt w:val="lowerLetter"/>
      <w:lvlText w:val="%2."/>
      <w:lvlJc w:val="left"/>
      <w:pPr>
        <w:ind w:left="1582" w:hanging="360"/>
      </w:pPr>
      <w:rPr>
        <w:rFonts w:hAnsi="Arial Unicode MS" w:cs="Times New Roman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2" w:tplc="D7F44C20">
      <w:start w:val="1"/>
      <w:numFmt w:val="lowerRoman"/>
      <w:lvlText w:val="%3."/>
      <w:lvlJc w:val="left"/>
      <w:pPr>
        <w:ind w:left="2302" w:hanging="320"/>
      </w:pPr>
      <w:rPr>
        <w:rFonts w:hAnsi="Arial Unicode MS" w:cs="Times New Roman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3" w:tplc="BDC24900">
      <w:start w:val="1"/>
      <w:numFmt w:val="decimal"/>
      <w:lvlText w:val="%4."/>
      <w:lvlJc w:val="left"/>
      <w:pPr>
        <w:ind w:left="3022" w:hanging="360"/>
      </w:pPr>
      <w:rPr>
        <w:rFonts w:hAnsi="Arial Unicode MS" w:cs="Times New Roman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4" w:tplc="0CD6CB16">
      <w:start w:val="1"/>
      <w:numFmt w:val="lowerLetter"/>
      <w:lvlText w:val="%5."/>
      <w:lvlJc w:val="left"/>
      <w:pPr>
        <w:ind w:left="3742" w:hanging="360"/>
      </w:pPr>
      <w:rPr>
        <w:rFonts w:hAnsi="Arial Unicode MS" w:cs="Times New Roman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5" w:tplc="96C81710">
      <w:start w:val="1"/>
      <w:numFmt w:val="lowerRoman"/>
      <w:lvlText w:val="%6."/>
      <w:lvlJc w:val="left"/>
      <w:pPr>
        <w:ind w:left="4462" w:hanging="320"/>
      </w:pPr>
      <w:rPr>
        <w:rFonts w:hAnsi="Arial Unicode MS" w:cs="Times New Roman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6" w:tplc="440007AC">
      <w:start w:val="1"/>
      <w:numFmt w:val="decimal"/>
      <w:lvlText w:val="%7."/>
      <w:lvlJc w:val="left"/>
      <w:pPr>
        <w:ind w:left="5182" w:hanging="360"/>
      </w:pPr>
      <w:rPr>
        <w:rFonts w:hAnsi="Arial Unicode MS" w:cs="Times New Roman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7" w:tplc="C518BCCA">
      <w:start w:val="1"/>
      <w:numFmt w:val="lowerLetter"/>
      <w:lvlText w:val="%8."/>
      <w:lvlJc w:val="left"/>
      <w:pPr>
        <w:ind w:left="5902" w:hanging="360"/>
      </w:pPr>
      <w:rPr>
        <w:rFonts w:hAnsi="Arial Unicode MS" w:cs="Times New Roman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  <w:lvl w:ilvl="8" w:tplc="01D0EB44">
      <w:start w:val="1"/>
      <w:numFmt w:val="lowerRoman"/>
      <w:lvlText w:val="%9."/>
      <w:lvlJc w:val="left"/>
      <w:pPr>
        <w:ind w:left="6622" w:hanging="320"/>
      </w:pPr>
      <w:rPr>
        <w:rFonts w:hAnsi="Arial Unicode MS" w:cs="Times New Roman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vertAlign w:val="baseline"/>
      </w:r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E6805FA8">
        <w:start w:val="1"/>
        <w:numFmt w:val="decimal"/>
        <w:lvlText w:val="%1."/>
        <w:lvlJc w:val="left"/>
        <w:pPr>
          <w:ind w:left="782" w:hanging="357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48403786">
        <w:start w:val="1"/>
        <w:numFmt w:val="lowerLetter"/>
        <w:lvlText w:val="%2."/>
        <w:lvlJc w:val="left"/>
        <w:pPr>
          <w:ind w:left="1578" w:hanging="357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2">
      <w:lvl w:ilvl="2" w:tplc="86EA48E8">
        <w:start w:val="1"/>
        <w:numFmt w:val="lowerRoman"/>
        <w:lvlText w:val="%3."/>
        <w:lvlJc w:val="left"/>
        <w:pPr>
          <w:ind w:left="2298" w:hanging="317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3">
      <w:lvl w:ilvl="3" w:tplc="3D9AB43C">
        <w:start w:val="1"/>
        <w:numFmt w:val="decimal"/>
        <w:lvlText w:val="%4."/>
        <w:lvlJc w:val="left"/>
        <w:pPr>
          <w:ind w:left="3018" w:hanging="357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4">
      <w:lvl w:ilvl="4" w:tplc="D3A27F2C">
        <w:start w:val="1"/>
        <w:numFmt w:val="lowerLetter"/>
        <w:lvlText w:val="%5."/>
        <w:lvlJc w:val="left"/>
        <w:pPr>
          <w:ind w:left="3738" w:hanging="357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5">
      <w:lvl w:ilvl="5" w:tplc="58B2228E">
        <w:start w:val="1"/>
        <w:numFmt w:val="lowerRoman"/>
        <w:lvlText w:val="%6."/>
        <w:lvlJc w:val="left"/>
        <w:pPr>
          <w:ind w:left="4458" w:hanging="317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6">
      <w:lvl w:ilvl="6" w:tplc="F26219D6">
        <w:start w:val="1"/>
        <w:numFmt w:val="decimal"/>
        <w:lvlText w:val="%7."/>
        <w:lvlJc w:val="left"/>
        <w:pPr>
          <w:ind w:left="5178" w:hanging="357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7">
      <w:lvl w:ilvl="7" w:tplc="80D6FE32">
        <w:start w:val="1"/>
        <w:numFmt w:val="lowerLetter"/>
        <w:lvlText w:val="%8."/>
        <w:lvlJc w:val="left"/>
        <w:pPr>
          <w:ind w:left="5898" w:hanging="357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8">
      <w:lvl w:ilvl="8" w:tplc="7EF60016">
        <w:start w:val="1"/>
        <w:numFmt w:val="lowerRoman"/>
        <w:lvlText w:val="%9."/>
        <w:lvlJc w:val="left"/>
        <w:pPr>
          <w:ind w:left="6618" w:hanging="317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</w:num>
  <w:num w:numId="4">
    <w:abstractNumId w:val="0"/>
    <w:lvlOverride w:ilvl="0">
      <w:lvl w:ilvl="0" w:tplc="E6805FA8">
        <w:start w:val="1"/>
        <w:numFmt w:val="decimal"/>
        <w:lvlText w:val="%1."/>
        <w:lvlJc w:val="left"/>
        <w:pPr>
          <w:tabs>
            <w:tab w:val="left" w:pos="1065"/>
          </w:tabs>
          <w:ind w:left="786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48403786">
        <w:start w:val="1"/>
        <w:numFmt w:val="lowerLetter"/>
        <w:lvlText w:val="%2."/>
        <w:lvlJc w:val="left"/>
        <w:pPr>
          <w:tabs>
            <w:tab w:val="left" w:pos="1065"/>
          </w:tabs>
          <w:ind w:left="158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2">
      <w:lvl w:ilvl="2" w:tplc="86EA48E8">
        <w:start w:val="1"/>
        <w:numFmt w:val="lowerRoman"/>
        <w:lvlText w:val="%3."/>
        <w:lvlJc w:val="left"/>
        <w:pPr>
          <w:tabs>
            <w:tab w:val="left" w:pos="1065"/>
          </w:tabs>
          <w:ind w:left="2302" w:hanging="32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3">
      <w:lvl w:ilvl="3" w:tplc="3D9AB43C">
        <w:start w:val="1"/>
        <w:numFmt w:val="decimal"/>
        <w:lvlText w:val="%4."/>
        <w:lvlJc w:val="left"/>
        <w:pPr>
          <w:tabs>
            <w:tab w:val="left" w:pos="1065"/>
          </w:tabs>
          <w:ind w:left="302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4">
      <w:lvl w:ilvl="4" w:tplc="D3A27F2C">
        <w:start w:val="1"/>
        <w:numFmt w:val="lowerLetter"/>
        <w:lvlText w:val="%5."/>
        <w:lvlJc w:val="left"/>
        <w:pPr>
          <w:tabs>
            <w:tab w:val="left" w:pos="1065"/>
          </w:tabs>
          <w:ind w:left="374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5">
      <w:lvl w:ilvl="5" w:tplc="58B2228E">
        <w:start w:val="1"/>
        <w:numFmt w:val="lowerRoman"/>
        <w:lvlText w:val="%6."/>
        <w:lvlJc w:val="left"/>
        <w:pPr>
          <w:tabs>
            <w:tab w:val="left" w:pos="1065"/>
          </w:tabs>
          <w:ind w:left="4462" w:hanging="32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6">
      <w:lvl w:ilvl="6" w:tplc="F26219D6">
        <w:start w:val="1"/>
        <w:numFmt w:val="decimal"/>
        <w:lvlText w:val="%7."/>
        <w:lvlJc w:val="left"/>
        <w:pPr>
          <w:tabs>
            <w:tab w:val="left" w:pos="1065"/>
          </w:tabs>
          <w:ind w:left="518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7">
      <w:lvl w:ilvl="7" w:tplc="80D6FE32">
        <w:start w:val="1"/>
        <w:numFmt w:val="lowerLetter"/>
        <w:lvlText w:val="%8."/>
        <w:lvlJc w:val="left"/>
        <w:pPr>
          <w:tabs>
            <w:tab w:val="left" w:pos="1065"/>
          </w:tabs>
          <w:ind w:left="590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8">
      <w:lvl w:ilvl="8" w:tplc="7EF60016">
        <w:start w:val="1"/>
        <w:numFmt w:val="lowerRoman"/>
        <w:lvlText w:val="%9."/>
        <w:lvlJc w:val="left"/>
        <w:pPr>
          <w:tabs>
            <w:tab w:val="left" w:pos="1065"/>
          </w:tabs>
          <w:ind w:left="6622" w:hanging="32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</w:num>
  <w:num w:numId="5">
    <w:abstractNumId w:val="0"/>
    <w:lvlOverride w:ilvl="0">
      <w:lvl w:ilvl="0" w:tplc="E6805FA8">
        <w:start w:val="1"/>
        <w:numFmt w:val="decimal"/>
        <w:lvlText w:val="%1."/>
        <w:lvlJc w:val="left"/>
        <w:pPr>
          <w:tabs>
            <w:tab w:val="left" w:pos="1276"/>
          </w:tabs>
          <w:ind w:left="786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48403786">
        <w:start w:val="1"/>
        <w:numFmt w:val="lowerLetter"/>
        <w:lvlText w:val="%2."/>
        <w:lvlJc w:val="left"/>
        <w:pPr>
          <w:tabs>
            <w:tab w:val="left" w:pos="1276"/>
          </w:tabs>
          <w:ind w:left="158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2">
      <w:lvl w:ilvl="2" w:tplc="86EA48E8">
        <w:start w:val="1"/>
        <w:numFmt w:val="lowerRoman"/>
        <w:lvlText w:val="%3."/>
        <w:lvlJc w:val="left"/>
        <w:pPr>
          <w:tabs>
            <w:tab w:val="left" w:pos="1276"/>
          </w:tabs>
          <w:ind w:left="2302" w:hanging="32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3">
      <w:lvl w:ilvl="3" w:tplc="3D9AB43C">
        <w:start w:val="1"/>
        <w:numFmt w:val="decimal"/>
        <w:lvlText w:val="%4."/>
        <w:lvlJc w:val="left"/>
        <w:pPr>
          <w:tabs>
            <w:tab w:val="left" w:pos="1276"/>
          </w:tabs>
          <w:ind w:left="302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4">
      <w:lvl w:ilvl="4" w:tplc="D3A27F2C">
        <w:start w:val="1"/>
        <w:numFmt w:val="lowerLetter"/>
        <w:lvlText w:val="%5."/>
        <w:lvlJc w:val="left"/>
        <w:pPr>
          <w:tabs>
            <w:tab w:val="left" w:pos="1276"/>
          </w:tabs>
          <w:ind w:left="374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5">
      <w:lvl w:ilvl="5" w:tplc="58B2228E">
        <w:start w:val="1"/>
        <w:numFmt w:val="lowerRoman"/>
        <w:lvlText w:val="%6."/>
        <w:lvlJc w:val="left"/>
        <w:pPr>
          <w:tabs>
            <w:tab w:val="left" w:pos="1276"/>
          </w:tabs>
          <w:ind w:left="4462" w:hanging="32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6">
      <w:lvl w:ilvl="6" w:tplc="F26219D6">
        <w:start w:val="1"/>
        <w:numFmt w:val="decimal"/>
        <w:lvlText w:val="%7."/>
        <w:lvlJc w:val="left"/>
        <w:pPr>
          <w:tabs>
            <w:tab w:val="left" w:pos="1276"/>
          </w:tabs>
          <w:ind w:left="518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7">
      <w:lvl w:ilvl="7" w:tplc="80D6FE32">
        <w:start w:val="1"/>
        <w:numFmt w:val="lowerLetter"/>
        <w:lvlText w:val="%8."/>
        <w:lvlJc w:val="left"/>
        <w:pPr>
          <w:tabs>
            <w:tab w:val="left" w:pos="1276"/>
          </w:tabs>
          <w:ind w:left="5902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8">
      <w:lvl w:ilvl="8" w:tplc="7EF60016">
        <w:start w:val="1"/>
        <w:numFmt w:val="lowerRoman"/>
        <w:lvlText w:val="%9."/>
        <w:lvlJc w:val="left"/>
        <w:pPr>
          <w:tabs>
            <w:tab w:val="left" w:pos="1276"/>
          </w:tabs>
          <w:ind w:left="6622" w:hanging="32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</w:num>
  <w:num w:numId="6">
    <w:abstractNumId w:val="0"/>
    <w:lvlOverride w:ilvl="0">
      <w:lvl w:ilvl="0" w:tplc="E6805FA8">
        <w:start w:val="1"/>
        <w:numFmt w:val="decimal"/>
        <w:lvlText w:val="%1."/>
        <w:lvlJc w:val="left"/>
        <w:pPr>
          <w:ind w:left="644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1">
      <w:lvl w:ilvl="1" w:tplc="48403786">
        <w:start w:val="1"/>
        <w:numFmt w:val="lowerLetter"/>
        <w:lvlText w:val="%2."/>
        <w:lvlJc w:val="left"/>
        <w:pPr>
          <w:ind w:left="1440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2">
      <w:lvl w:ilvl="2" w:tplc="86EA48E8">
        <w:start w:val="1"/>
        <w:numFmt w:val="lowerRoman"/>
        <w:lvlText w:val="%3."/>
        <w:lvlJc w:val="left"/>
        <w:pPr>
          <w:ind w:left="2160" w:hanging="32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3">
      <w:lvl w:ilvl="3" w:tplc="3D9AB43C">
        <w:start w:val="1"/>
        <w:numFmt w:val="decimal"/>
        <w:lvlText w:val="%4."/>
        <w:lvlJc w:val="left"/>
        <w:pPr>
          <w:ind w:left="2880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4">
      <w:lvl w:ilvl="4" w:tplc="D3A27F2C">
        <w:start w:val="1"/>
        <w:numFmt w:val="lowerLetter"/>
        <w:lvlText w:val="%5."/>
        <w:lvlJc w:val="left"/>
        <w:pPr>
          <w:ind w:left="3600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5">
      <w:lvl w:ilvl="5" w:tplc="58B2228E">
        <w:start w:val="1"/>
        <w:numFmt w:val="lowerRoman"/>
        <w:lvlText w:val="%6."/>
        <w:lvlJc w:val="left"/>
        <w:pPr>
          <w:ind w:left="4320" w:hanging="32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6">
      <w:lvl w:ilvl="6" w:tplc="F26219D6">
        <w:start w:val="1"/>
        <w:numFmt w:val="decimal"/>
        <w:lvlText w:val="%7."/>
        <w:lvlJc w:val="left"/>
        <w:pPr>
          <w:ind w:left="5040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7">
      <w:lvl w:ilvl="7" w:tplc="80D6FE32">
        <w:start w:val="1"/>
        <w:numFmt w:val="lowerLetter"/>
        <w:lvlText w:val="%8."/>
        <w:lvlJc w:val="left"/>
        <w:pPr>
          <w:ind w:left="5760" w:hanging="36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  <w:lvlOverride w:ilvl="8">
      <w:lvl w:ilvl="8" w:tplc="7EF60016">
        <w:start w:val="1"/>
        <w:numFmt w:val="lowerRoman"/>
        <w:lvlText w:val="%9."/>
        <w:lvlJc w:val="left"/>
        <w:pPr>
          <w:ind w:left="6480" w:hanging="320"/>
        </w:pPr>
        <w:rPr>
          <w:rFonts w:hAnsi="Arial Unicode MS" w:cs="Times New Roman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vertAlign w:val="baseline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24B3"/>
    <w:rsid w:val="006024B3"/>
    <w:rsid w:val="00C7716D"/>
    <w:rsid w:val="00E20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61AAD250-C5C1-4C5A-B54B-260BDC543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6024B3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</w:pPr>
    <w:rPr>
      <w:rFonts w:ascii="Calibri" w:eastAsia="Arial Unicode MS" w:hAnsi="Calibri" w:cs="Arial Unicode MS"/>
      <w:color w:val="000000"/>
      <w:u w:color="000000"/>
      <w:shd w:val="clear" w:color="FFFFFF" w:fill="FFFFFF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rsid w:val="006024B3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lang w:eastAsia="ru-RU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3">
    <w:name w:val="Немає"/>
    <w:rsid w:val="006024B3"/>
  </w:style>
  <w:style w:type="character" w:customStyle="1" w:styleId="Hyperlink0">
    <w:name w:val="Hyperlink.0"/>
    <w:basedOn w:val="a3"/>
    <w:rsid w:val="006024B3"/>
    <w:rPr>
      <w:rFonts w:ascii="Times New Roman" w:hAnsi="Times New Roman" w:cs="Times New Roman"/>
      <w:color w:val="0563C1"/>
      <w:sz w:val="28"/>
      <w:szCs w:val="28"/>
      <w:u w:val="single" w:color="0563C1"/>
      <w:lang w:val="ru-RU"/>
    </w:rPr>
  </w:style>
  <w:style w:type="paragraph" w:styleId="a4">
    <w:name w:val="List Paragraph"/>
    <w:basedOn w:val="a"/>
    <w:uiPriority w:val="34"/>
    <w:rsid w:val="00E20F55"/>
    <w:pPr>
      <w:ind w:left="720"/>
    </w:pPr>
    <w:rPr>
      <w:lang w:val="en-US"/>
    </w:rPr>
  </w:style>
  <w:style w:type="paragraph" w:customStyle="1" w:styleId="psection">
    <w:name w:val="psection"/>
    <w:rsid w:val="00E20F55"/>
    <w:pPr>
      <w:pBdr>
        <w:top w:val="none" w:sz="96" w:space="31" w:color="FFFFFF" w:shadow="1" w:frame="1"/>
        <w:left w:val="none" w:sz="96" w:space="31" w:color="FFFFFF" w:shadow="1" w:frame="1"/>
        <w:bottom w:val="none" w:sz="96" w:space="31" w:color="FFFFFF" w:shadow="1" w:frame="1"/>
        <w:right w:val="none" w:sz="96" w:space="31" w:color="FFFFFF" w:shadow="1" w:frame="1"/>
        <w:bar w:val="none" w:sz="0" w:color="000000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shd w:val="clear" w:color="FFFFFF" w:fill="FFFFFF"/>
      <w:lang w:eastAsia="ru-RU"/>
    </w:rPr>
  </w:style>
  <w:style w:type="paragraph" w:styleId="a5">
    <w:name w:val="Normal (Web)"/>
    <w:basedOn w:val="a"/>
    <w:uiPriority w:val="99"/>
    <w:rsid w:val="00E20F55"/>
    <w:pPr>
      <w:spacing w:before="100" w:after="100" w:line="240" w:lineRule="auto"/>
    </w:pPr>
    <w:rPr>
      <w:rFonts w:ascii="Times New Roman" w:hAnsi="Times New Roman"/>
      <w:sz w:val="24"/>
      <w:szCs w:val="24"/>
    </w:rPr>
  </w:style>
  <w:style w:type="character" w:customStyle="1" w:styleId="Hyperlink1">
    <w:name w:val="Hyperlink.1"/>
    <w:basedOn w:val="a3"/>
    <w:rsid w:val="00E20F55"/>
    <w:rPr>
      <w:rFonts w:cs="Times New Roman"/>
      <w:color w:val="0563C1"/>
      <w:u w:val="single" w:color="0563C1"/>
    </w:rPr>
  </w:style>
  <w:style w:type="numbering" w:customStyle="1" w:styleId="1">
    <w:name w:val="Импортированный стиль 1"/>
    <w:rsid w:val="00E20F55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yberleninka.ru/article/n/issledovanie-sotsialnyh-setey-v-kontekste-lingvistiki-novyh-medi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cyberleninka.ru/article/n/klassifikatsiya-zhanrov-internet-diskurs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cyberleninka.ru/article/n/sotsialnye-seti-v-sisteme-massovoy-kommunikatsii" TargetMode="External"/><Relationship Id="rId5" Type="http://schemas.openxmlformats.org/officeDocument/2006/relationships/hyperlink" Target="https://www.facebook.com/ofam.org.u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4161</Words>
  <Characters>23719</Characters>
  <Application>Microsoft Office Word</Application>
  <DocSecurity>0</DocSecurity>
  <Lines>197</Lines>
  <Paragraphs>55</Paragraphs>
  <ScaleCrop>false</ScaleCrop>
  <Company/>
  <LinksUpToDate>false</LinksUpToDate>
  <CharactersWithSpaces>27825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2023-03-30T09:38:00Z</dcterms:created>
  <dcterms:modified xsi:type="dcterms:W3CDTF">2023-03-30T09:39:00Z</dcterms:modified>
</cp:coreProperties>
</file>