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444A" w:rsidRPr="00E0444A" w:rsidRDefault="00E0444A" w:rsidP="00E0444A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E0444A" w:rsidRPr="00E0444A" w:rsidRDefault="00E0444A" w:rsidP="00E044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E0444A" w:rsidRPr="00E0444A" w:rsidRDefault="00E0444A" w:rsidP="00E0444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Інститут соціальних наук</w:t>
      </w:r>
    </w:p>
    <w:p w:rsidR="00E0444A" w:rsidRPr="00E0444A" w:rsidRDefault="00E0444A" w:rsidP="00E044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E0444A" w:rsidRPr="00E0444A" w:rsidRDefault="00E0444A" w:rsidP="00E0444A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E0444A" w:rsidRPr="00E0444A" w:rsidRDefault="00E0444A" w:rsidP="00E0444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E0444A" w:rsidRPr="00E0444A" w:rsidRDefault="00E0444A" w:rsidP="00E0444A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E0444A" w:rsidRPr="00E0444A" w:rsidRDefault="00E0444A" w:rsidP="00E0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E0444A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E0444A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E0444A" w:rsidRPr="00E0444A" w:rsidRDefault="00E0444A" w:rsidP="00E0444A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E0444A" w:rsidRPr="00E0444A" w:rsidRDefault="00E0444A" w:rsidP="00E0444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444A" w:rsidRPr="00E0444A" w:rsidRDefault="00E0444A" w:rsidP="00E0444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E0444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r w:rsidRPr="00E0444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Аравійські монархії </w:t>
      </w:r>
      <w:proofErr w:type="gramStart"/>
      <w:r w:rsidRPr="00E0444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в</w:t>
      </w:r>
      <w:proofErr w:type="gramEnd"/>
      <w:r w:rsidRPr="00E0444A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системі регіональних та міжнародних відносин на початку ХХІ ст.</w:t>
      </w:r>
      <w:r w:rsidRPr="00E0444A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»</w:t>
      </w:r>
    </w:p>
    <w:p w:rsidR="00E0444A" w:rsidRPr="00E0444A" w:rsidRDefault="00E0444A" w:rsidP="00E0444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E0444A" w:rsidRPr="00E0444A" w:rsidRDefault="00E0444A" w:rsidP="00E0444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E0444A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«Arabian monarchies in the system of regional and international relations in the early 21</w:t>
      </w:r>
      <w:r w:rsidRPr="00E0444A">
        <w:rPr>
          <w:rFonts w:ascii="Times New Roman" w:eastAsia="Times New Roman" w:hAnsi="Times New Roman" w:cs="Times New Roman"/>
          <w:sz w:val="24"/>
          <w:szCs w:val="24"/>
          <w:u w:val="single"/>
          <w:vertAlign w:val="superscript"/>
          <w:lang w:val="en-US" w:eastAsia="ru-RU"/>
        </w:rPr>
        <w:t>st</w:t>
      </w:r>
      <w:r w:rsidRPr="00E0444A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century»</w:t>
      </w:r>
    </w:p>
    <w:p w:rsidR="00E0444A" w:rsidRPr="00E0444A" w:rsidRDefault="00E0444A" w:rsidP="00E0444A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E0444A" w:rsidRPr="00E0444A" w:rsidRDefault="00E0444A" w:rsidP="00E0444A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E0444A" w:rsidRPr="00E0444A" w:rsidRDefault="00E0444A" w:rsidP="00E0444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 студентка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4 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E0444A" w:rsidRPr="00E0444A" w:rsidRDefault="00E0444A" w:rsidP="00E0444A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E0444A" w:rsidRPr="00E0444A" w:rsidRDefault="00E0444A" w:rsidP="00E0444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E0444A" w:rsidRPr="00E0444A" w:rsidRDefault="00E0444A" w:rsidP="00E0444A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E0444A" w:rsidRPr="00E0444A" w:rsidRDefault="00E0444A" w:rsidP="00E0444A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E0444A" w:rsidRPr="00E0444A" w:rsidRDefault="00E0444A" w:rsidP="00E0444A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Ромашко Євгенія Володимирівна</w:t>
      </w:r>
    </w:p>
    <w:p w:rsidR="00E0444A" w:rsidRPr="00E0444A" w:rsidRDefault="00E0444A" w:rsidP="00E0444A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E0444A" w:rsidRPr="00E0444A" w:rsidRDefault="00E0444A" w:rsidP="00E0444A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E0444A" w:rsidRPr="00E0444A" w:rsidRDefault="00E0444A" w:rsidP="00E0444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E0444A" w:rsidRPr="00E0444A" w:rsidRDefault="00E0444A" w:rsidP="00E0444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к.іст.н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Глебов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</w:t>
      </w:r>
    </w:p>
    <w:p w:rsidR="00E0444A" w:rsidRPr="00E0444A" w:rsidRDefault="00E0444A" w:rsidP="00E0444A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E0444A" w:rsidRPr="00E0444A" w:rsidRDefault="00E0444A" w:rsidP="00E0444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к.політ.н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., доц. Вакарчук Є.В.</w:t>
      </w:r>
    </w:p>
    <w:p w:rsidR="00E0444A" w:rsidRPr="00E0444A" w:rsidRDefault="00E0444A" w:rsidP="00E0444A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E0444A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E0444A" w:rsidRPr="00E0444A" w:rsidRDefault="00E0444A" w:rsidP="00E0444A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444A" w:rsidRPr="00E0444A" w:rsidRDefault="00E0444A" w:rsidP="00E0444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0444A" w:rsidRPr="00E0444A" w:rsidRDefault="00E0444A" w:rsidP="00E0444A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0444A" w:rsidRPr="00E0444A" w:rsidTr="00D9175A">
        <w:trPr>
          <w:jc w:val="center"/>
        </w:trPr>
        <w:tc>
          <w:tcPr>
            <w:tcW w:w="4967" w:type="dxa"/>
            <w:hideMark/>
          </w:tcPr>
          <w:p w:rsidR="00E0444A" w:rsidRPr="00E0444A" w:rsidRDefault="00E0444A" w:rsidP="00E0444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E0444A" w:rsidRPr="00E0444A" w:rsidRDefault="00E0444A" w:rsidP="00E0444A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E0444A" w:rsidRPr="00E0444A" w:rsidRDefault="00E0444A" w:rsidP="00E0444A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E0444A" w:rsidRPr="00E0444A" w:rsidRDefault="00E0444A" w:rsidP="00E0444A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E0444A" w:rsidRPr="00E0444A" w:rsidRDefault="00E0444A" w:rsidP="00E0444A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E0444A" w:rsidRPr="00E0444A" w:rsidRDefault="00E0444A" w:rsidP="00E0444A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E0444A" w:rsidRPr="00E0444A" w:rsidRDefault="00E0444A" w:rsidP="00E0444A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>____</w:t>
            </w:r>
          </w:p>
          <w:p w:rsidR="00E0444A" w:rsidRPr="00E0444A" w:rsidRDefault="00E0444A" w:rsidP="00E0444A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E0444A" w:rsidRPr="00E0444A" w:rsidRDefault="00E0444A" w:rsidP="00E0444A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E0444A" w:rsidRPr="00E0444A" w:rsidRDefault="00E0444A" w:rsidP="00E0444A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E0444A" w:rsidRPr="00E0444A" w:rsidRDefault="00E0444A" w:rsidP="00E0444A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E0444A" w:rsidRPr="00E0444A" w:rsidRDefault="00E0444A" w:rsidP="00E0444A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E0444A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E0444A" w:rsidRPr="00E0444A" w:rsidRDefault="00E0444A" w:rsidP="00E0444A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E0444A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E0444A" w:rsidRPr="00E0444A" w:rsidTr="00D9175A">
        <w:trPr>
          <w:jc w:val="center"/>
        </w:trPr>
        <w:tc>
          <w:tcPr>
            <w:tcW w:w="4967" w:type="dxa"/>
          </w:tcPr>
          <w:p w:rsidR="00E0444A" w:rsidRPr="00E0444A" w:rsidRDefault="00E0444A" w:rsidP="00E0444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E0444A" w:rsidRPr="00E0444A" w:rsidRDefault="00E0444A" w:rsidP="00E0444A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E0444A" w:rsidRPr="00E0444A" w:rsidRDefault="00E0444A" w:rsidP="00E0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E0444A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E0444A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E0444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7</w:t>
      </w:r>
    </w:p>
    <w:p w:rsidR="00E0444A" w:rsidRPr="00E0444A" w:rsidRDefault="00E0444A" w:rsidP="00E0444A">
      <w:pPr>
        <w:spacing w:after="160" w:line="259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План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Введение…………………………………………………………………………..3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1. Аравийские монархии в региональной подсистеме международных отношений…………………………………………………………………………6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1.1.Влияние монархической формы правления на формирование внешней политики государств Аравийского полуострова………………………………6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1.2.Конституционно-правовой механизм формирования внешней политики стран Аравийского полуострова……………………………………………….10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2. Аравийские монархии в региональных организациях………………14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2.1.ССАГПЗ (Совет сотрудничества арабских государств Персидского залива)……………………………………………………………………………14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2.2.Позиция Аравийских монархий и ЛАГ (Лига Арабских Государств) по проблемам региональных международных отношений………………………22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Глава 3. Развитие отношений стран Аравийского полуострова с международными организациями………………………………………………28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3.1.Международные организации (ООН, Всемирный Банк, МВФ, ОПЕК) и Аравийские монархии…………………………………………………………...28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3.2.Сотрудничество Аравийских монархий с НАТО и ЕС……………………33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Заключение……………………………………………………………………….43</w:t>
      </w:r>
    </w:p>
    <w:p w:rsidR="00E0444A" w:rsidRPr="00E0444A" w:rsidRDefault="00E0444A" w:rsidP="00E0444A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Список изученных источников…………………………………………………45</w:t>
      </w:r>
    </w:p>
    <w:p w:rsidR="00E0444A" w:rsidRPr="00E0444A" w:rsidRDefault="00E0444A" w:rsidP="00E0444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ru-RU"/>
        </w:rPr>
      </w:pPr>
    </w:p>
    <w:p w:rsidR="00E0444A" w:rsidRPr="00E0444A" w:rsidRDefault="00E0444A" w:rsidP="00E0444A">
      <w:pPr>
        <w:spacing w:after="160" w:line="259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E0444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br w:type="page"/>
      </w: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Введение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Темой данной дипломной работы является: «Аравийские монархии в системе региональных и международных отношений в начале ХХІ века».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Актуальность темы. В последнее время страны Персидского залива являются важными и влиятельными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акторами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системе региональных и международных отношений. Время их выхода на мировую политическую и экономическую арену начинается с периода получения ими  независимости от  метрополий.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современном мире территория Ближнего Востока является   источником конфликтов политико-экономического происхождения. Аравийские монархии являются одними из главных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акторов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Персидского залива, так как они имеют самые большие запасы энергетических ресурсов, что позволяет им оказывать большое влияние на региональной и международной политико-экономической арене.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Возникновение и развитие пограничных споров в зоне Персидского залива является одной из серьезных причин перманентной напряженности в этом регионе. В свете изучения современной ситуации вокруг территориальных конфликтов между прибрежными государствами является важным понимание сложной политической ситуации во всем регионе. Анализ влияния формы правления на становление внешней политики, участия в региональных и международных организациях, отношений с ведущими мировыми державами, способствует пониманию места Аравийских монархий в мировой политике и нахождению способов уравновешивания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конфликтогенности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региона.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Цель данной работы заключается в том, чтобы на основе исследования как региональных, так и международных отношений Аравийских монархий, сделать обобщения и выводы о роли и месте Аравийских монархий в мировой политике </w:t>
      </w: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начале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ХХ</w:t>
      </w:r>
      <w:r w:rsidRPr="00E0444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Достижению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вышепоставленной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цели подчинены следующие задачи: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</w:t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Рассмотреть влияние монархической формы правления на становление и определение вектора внешней политики;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2.</w:t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>Проанализировать эффективность деятельности ССАГПЗ и ЛАГ в решение региональных экономических и политических  проблем;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</w:t>
      </w: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ab/>
        <w:t xml:space="preserve">Проанализировать взаимодействие Аравийских монархий с ключевыми международными организациями и с главными военно-политическими блоками.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 написании дипломной работы были изучены источники как отечественного, так и зарубежного происхождения, которые можно условно разделить на три группы.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Первую группу источников представляют официальные документы, такие как Устав ССАГПЗ [34], годовой отчет Всемирного Банка [5], отчет ЛАГ [21] и отчет ССАГПЗ [22].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Вторая группа представлена работами украинских исследователей, которые внесли  значительный вклад в изучение ближневосточного региона. Это работы 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Ігошина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Ж. Б. [10],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Копель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О.А. [13, 14],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Рукомеда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Р.М. [24] в которых глубоко, на основе арабских источников проанализированы проблемы безопасности региона Персидского залива.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Третья группа источников представлена исследованиями российского происхождения. В монографии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Мелкумян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Е.С. "ССАГПЗ в глобальных и региональных процессах"[19] и Сапронова М.А. «Арабский восток: Власть и Конституции»[25] раскрываются главные процессы внутренней и внешней политики Аравийских монархий. В российских исследованиях, посвященных </w:t>
      </w:r>
      <w:proofErr w:type="spell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субрегиону</w:t>
      </w:r>
      <w:proofErr w:type="spell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Персидского залива, более разработанной является тема функционирования ССАГПЗ. Арабские монархии Персидского залива  до сих пор остаются мало изученными, особенно в плане межгосударственных отношений между странами Персидского залива.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Данная дипломная работа состоит из введения, трех глав, двух подпунктов к каждой главе  и заключения.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первой главе анализируются роль влияния монархической формы правления на становление внешней политики Аравийских монархий. Также рассматривается конституционно-правовой механизм внешней политики Аравийских монархий.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Вторая глава посвящена изучению деятельности ССАГПЗ и роли Аравийских монархий в ЛАГ. Способы взаимодействия арабских стран друг с другом и конфликты внутри организаций.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В третьей главе были изучены взаимодействия Аравийских монархий с международными организациями. Их влияние на международной арене.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заключении сделаны обобщения и вывод, подведены итоги исследования данной темы.</w:t>
      </w:r>
    </w:p>
    <w:p w:rsidR="006A055C" w:rsidRDefault="006A055C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Default="00E0444A">
      <w:pPr>
        <w:rPr>
          <w:lang w:val="ru-RU"/>
        </w:rPr>
      </w:pPr>
    </w:p>
    <w:p w:rsidR="00E0444A" w:rsidRPr="00E0444A" w:rsidRDefault="00E0444A" w:rsidP="00E0444A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Заключение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 ходе работы над заявленной темой были проанализированы различные аспекты региональной и международной политики Аравийских монархий. В результате проведенного исследования были сделаны следующие выводы: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1.Несмотря на успехи экономической интеграции, формирование системы коллективной безопасности происходит медленно, что связано не только с разногласиями внутри Аравийских монархий, но и с влиянием внешних факторов. Форсированное продвижение совместных экономических и политических проектов можно отнести к пассивным мерам обороны: таким </w:t>
      </w: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образом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каждая страна получает гарантии выживания в случае совершения против неё агрессии.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2.Несмотря на то, что официально потенциальные враги не декларируются, военная доктрина стран ССАГПЗ была направлена в основном против Ирана и Ирака, что связано с последствиями ирано-иракской и ирако-кувейтской войн.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Выработка военной стратегии стран ССАГПЗ, видение угроз и механизмы их отражения оказались в тесной взаимосвязи с доктринальными установками США в области безопасности и экономической политики. Из этого можно сделать вывод, что военная доктрина США оказывает огромное влияние на военную стратегию Аравийских монархий.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3.Сами страны ССАГПЗ могут стать мишенью для "демократического переустройства". Доказательством такого беспокойного прогноза могут стать и неоднократные обвинения США, выдвигаемые Саудовской Аравии в пособничестве международному терроризму. 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4.Лига арабских госуда</w:t>
      </w: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рств в в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иду некоторых событий теряет свои позиции и находится в кризисе, члены перестают воспринимать организацию как важную площадку для выработки политического консенсуса.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5.Страны ЕС стремятся к усилению отношений с Аравийскими </w:t>
      </w: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монархиями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так как это приведет большей стабилизации в регионе и более сильному влиянию ЕС на Аравийские монархии, которые являются главным источником энергоносителей для Европейского союза.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 xml:space="preserve">6.Можно наблюдать, что монархическая форма правления очень сильно отличает систему формирования внешней политики государства от других форм правления. Глава государства решает, какой будет внешняя политика и куда она будет направлена. Можно сделать вывод, что, так как курс внешней политики определяет один человек, она иногда может быть не объективной и ориентированной на личные убеждения главы государства, что не всегда </w:t>
      </w:r>
      <w:proofErr w:type="gramStart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выражает общегосударственный интерес</w:t>
      </w:r>
      <w:proofErr w:type="gramEnd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E0444A" w:rsidRPr="00E0444A" w:rsidRDefault="00E0444A" w:rsidP="00E0444A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bookmarkStart w:id="0" w:name="_GoBack"/>
      <w:bookmarkEnd w:id="0"/>
      <w:r w:rsidRPr="00E0444A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lastRenderedPageBreak/>
        <w:t>Список изученных источников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Анастасов П. Страны ССАГПЗ: Реформы и стабильность - журнал «NEO» - </w:t>
      </w:r>
      <w:hyperlink r:id="rId6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http://ru.journal-neo.org/2016/10/17/strany-ssagpz-reformy-i-stabil-nost/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Бирюков Е.С. Проблемы диверсификации экономики в странах ССАГПЗ, статья в сборнике докладов, сделанных в ИСАА на II конференции памяти В.В.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Посувалюка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, - М.: ИСАА при МГУ, 2001, – С. 38-50.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Бирюков Е.С. Страны ССАГПЗ на мировом рынке финансовых услуг, монография. – М.: «Экономика», 2007, – 212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Ближний Восток. Политико-экономический справочник - М., 1996, - 365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Годовой отчет Всемирного Банка - </w:t>
      </w:r>
      <w:hyperlink r:id="rId7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http://web.worldbank.org/WBSITE/EXTERNAL/EXTRUSSIANHOME/EXTRUSSABOUTUS/EXTANNREP2010RUS/0,,contentMDK:22685349~menuPK:7350718~pagePK:64168445~piPK:64168309~theSitePK:7251399,00.html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Демченко А.В. Внутренние факторы формирования внешней политики стран Арабского востока - журнал «Вестник МГИМО» №1; - М., 2010, - 13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Егорин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З., Абдель-Хамид Х. А. Война за ближневосточный мир, – М.: "Восточная литература", 1998, - 284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Жданов С.В. Арабские страны в мировой экономике, - М., 2006, - 256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Инджикян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Р.О. ОПЕК в мировом капиталистическом хозяйстве, – М., 1983, - 178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Ігошина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Ж. Б.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Трансформація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арабських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країн</w:t>
      </w:r>
      <w:proofErr w:type="spellEnd"/>
      <w:proofErr w:type="gram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контексті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процесів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глобалізації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монографія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, – О., -  «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Фенікс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»,- 2012, – 222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Карпенко Е. А. Военная стратегия стран ССАГПЗ и проблемы безопасности зоны Персидского залива - </w:t>
      </w:r>
      <w:hyperlink r:id="rId8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http://www.humanities.edu.ru/db/msg/35612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Князев А.Г. Персидский залив: истоки напряженности, – М.: «Знание», 1988, – 64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Копель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О.А.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Перської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затоки, -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Близький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Схід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proofErr w:type="gram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іжнародна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регіональні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Монографія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Рада нац.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оборони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Нац.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-т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пробл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міжнар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; - К.: ПЦ «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Фоліант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», 2008, - 591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Копель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О.А.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Європа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Близький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схід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Сфера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міжцивілізаційних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відносин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, - «</w:t>
      </w:r>
      <w:proofErr w:type="spellStart"/>
      <w:proofErr w:type="gram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proofErr w:type="gram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Київського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Тараса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Шевченка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, - №34, - 2006, - С.51-56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563C1"/>
          <w:sz w:val="28"/>
          <w:szCs w:val="28"/>
          <w:u w:val="single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Косов Ю.В. Мировая политика и международные отношения; Учебник - </w:t>
      </w:r>
      <w:hyperlink r:id="rId9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http://uchebnik-online.com/131/5.html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Мелихов И. А. Межгосударственные отношения на Востоке. Арабо-исламская составляющая внешней политики стран ССАГПЗ // Азия и Африка сегодня. – 2000. - № 3, - 163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Мелкумян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Е.С. Персидский залив: региональный баланс сил // МЭМО. – 2000. - № 9. – 156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Мелкумян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Е.С.: “Совет сотрудничества арабских государств Персидского залива и Европейский Союз: основные сферы взаимодействия” // </w:t>
      </w:r>
      <w:hyperlink r:id="rId10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http://www.iimes.ru/rus/1999/r99reg_pe.htm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Мелкумян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С.Е. ССАГПЗ в глобальных и региональных процессах, - М., 1999, 183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Оборонное и экономическое соглашение арабских государств // http://www. Arableagueonline.org 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</w:rPr>
        <w:t>тчет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ЛАГ - </w:t>
      </w:r>
      <w:hyperlink r:id="rId11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http://www.arableagueonline.org/las/index.jsp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</w:rPr>
        <w:t>тчет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</w:rPr>
        <w:t>деятельности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ССАГПЗ - </w:t>
      </w:r>
      <w:hyperlink r:id="rId12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http://gcc-sg.org/en-us/Pages/default.aspx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Ромашкина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Большой Ближний Восток: проблемы безопасности и ядерного распространения // МЭМО. – 2008. - № 4, - 174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Рукомеда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Р.М.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Ядерна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програма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Ізраїлю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-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Близький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Схід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proofErr w:type="gram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іжнародна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безпека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регіональні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Монографія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Рада нац.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оборони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Нац.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ін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-т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пробл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міжнар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безпеки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; - К.: ПЦ «</w:t>
      </w: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Фоліант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», 2008, - 591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Сапронова М.А. Арабский восток: Власть и Конституции, - 2001, -    214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Сапронова М.А. Политический процесс в арабских странах, - 2008, - 319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Сейфульмулюков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И.А. Страны ОПЕК в развивающемся мире – М., 1989, – 276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Современные международные отношения: Учебник. – М., 2001.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Сосин М.Ю. Перспективы введения единой валюты странами Совета Сотрудничества Арабских Государств Персидского Залива - Дипломатическая академия Министерства иностранных дел Российской Федерации, 2009; - С. 356 – 359.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Страны Персидского залива призвали ООН вмешаться в ситуацию в Алеппо, - «УНІАН», - </w:t>
      </w:r>
      <w:hyperlink r:id="rId13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https://www.unian.net/world/1550302-ctranyi-persidskogo-zaliva-prizvali-oon-vmeshatsya-v-situatsiyu-v-aleppo.html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Субх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М.А. О перспективах упразднения визового режима между ССАГПЗ и ЕС -  </w:t>
      </w:r>
      <w:hyperlink r:id="rId14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http://www.iimes.ru/?p=17109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Тигоренко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 Персидский залив: пути к региональной стабильности // МЭМО. – 1994. - № 4, - 142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Тонарин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П. Конфликтные ситуации и страны Персидского залива. // Международная жизнь. – 2003. - № 2. – 89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Устав ССАГПЗ - https://</w:t>
      </w:r>
      <w:hyperlink r:id="rId15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www.gcc-sg.org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Федорченко А.В. Экономическая интеграция на Ближнем Востоке: достижения или упущенные возможности? -  №5, 2010; - С.267 – 274.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Черкасский Я. В. Региональная безопасность Персидского залива - Белорусский журнал международного права и международных отношений, №4, 2002.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Шарипов</w:t>
      </w:r>
      <w:proofErr w:type="spellEnd"/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У.З. Персидский залив: обострение политической и военной ситуации и международных отношений в конце ХХ – начале ХХІ вв. – М., 2010, – 326 с.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Экономическое соглашение между странами ССАГПЗ от 2002 г. - http://www.gcc-sg.org </w:t>
      </w:r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Юрченко В. П. "Военное сотрудничество аравийских монархий: намерения и реальность" - // </w:t>
      </w:r>
      <w:hyperlink r:id="rId16" w:history="1">
        <w:r w:rsidRPr="00E0444A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http://www.iimes.ru/rus/stat/2002/22-12-02.htm</w:t>
        </w:r>
      </w:hyperlink>
    </w:p>
    <w:p w:rsidR="00E0444A" w:rsidRPr="00E0444A" w:rsidRDefault="00E0444A" w:rsidP="00E0444A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0444A">
        <w:rPr>
          <w:rFonts w:ascii="Times New Roman" w:eastAsia="Calibri" w:hAnsi="Times New Roman" w:cs="Times New Roman"/>
          <w:sz w:val="28"/>
          <w:szCs w:val="28"/>
          <w:lang w:val="ru-RU"/>
        </w:rPr>
        <w:t>Яковенко А. Опек – символ больших денег, газета «Международная жизнь», – № 6, – 1999, – С. 85 – 72.</w:t>
      </w:r>
    </w:p>
    <w:p w:rsidR="00E0444A" w:rsidRPr="00E0444A" w:rsidRDefault="00E0444A">
      <w:pPr>
        <w:rPr>
          <w:lang w:val="ru-RU"/>
        </w:rPr>
      </w:pPr>
    </w:p>
    <w:sectPr w:rsidR="00E0444A" w:rsidRPr="00E0444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BE4DDE"/>
    <w:multiLevelType w:val="hybridMultilevel"/>
    <w:tmpl w:val="2230D0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639E9"/>
    <w:rsid w:val="006A055C"/>
    <w:rsid w:val="00B639E9"/>
    <w:rsid w:val="00E0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umanities.edu.ru/db/msg/35612" TargetMode="External"/><Relationship Id="rId13" Type="http://schemas.openxmlformats.org/officeDocument/2006/relationships/hyperlink" Target="https://www.unian.net/world/1550302-ctranyi-persidskogo-zaliva-prizvali-oon-vmeshatsya-v-situatsiyu-v-aleppo.html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web.worldbank.org/WBSITE/EXTERNAL/EXTRUSSIANHOME/EXTRUSSABOUTUS/EXTANNREP2010RUS/0,,contentMDK:22685349~menuPK:7350718~pagePK:64168445~piPK:64168309~theSitePK:7251399,00.html" TargetMode="External"/><Relationship Id="rId12" Type="http://schemas.openxmlformats.org/officeDocument/2006/relationships/hyperlink" Target="http://gcc-sg.org/en-us/Pages/default.aspx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iimes.ru/rus/stat/2002/22-12-02.htm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ru.journal-neo.org/2016/10/17/strany-ssagpz-reformy-i-stabil-nost/" TargetMode="External"/><Relationship Id="rId11" Type="http://schemas.openxmlformats.org/officeDocument/2006/relationships/hyperlink" Target="http://www.arableagueonline.org/las/index.js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gcc-sg.org" TargetMode="External"/><Relationship Id="rId10" Type="http://schemas.openxmlformats.org/officeDocument/2006/relationships/hyperlink" Target="http://www.iimes.ru/rus/1999/r99reg_pe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uchebnik-online.com/131/5.html" TargetMode="External"/><Relationship Id="rId14" Type="http://schemas.openxmlformats.org/officeDocument/2006/relationships/hyperlink" Target="http://www.iimes.ru/?p=1710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9307</Words>
  <Characters>5306</Characters>
  <Application>Microsoft Office Word</Application>
  <DocSecurity>0</DocSecurity>
  <Lines>44</Lines>
  <Paragraphs>29</Paragraphs>
  <ScaleCrop>false</ScaleCrop>
  <Company/>
  <LinksUpToDate>false</LinksUpToDate>
  <CharactersWithSpaces>14584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2018-04-23T09:07:00Z</dcterms:created>
  <dcterms:modified xsi:type="dcterms:W3CDTF">2018-04-23T09:09:00Z</dcterms:modified>
</cp:coreProperties>
</file>