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011A" w:rsidRPr="0040011A" w:rsidRDefault="0040011A" w:rsidP="0040011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40011A" w:rsidRPr="0040011A" w:rsidRDefault="0040011A" w:rsidP="004001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40011A" w:rsidRPr="0040011A" w:rsidRDefault="0040011A" w:rsidP="0040011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40011A" w:rsidRPr="0040011A" w:rsidRDefault="0040011A" w:rsidP="004001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40011A" w:rsidRPr="0040011A" w:rsidRDefault="0040011A" w:rsidP="0040011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40011A" w:rsidRPr="0040011A" w:rsidRDefault="0040011A" w:rsidP="004001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40011A" w:rsidRPr="0040011A" w:rsidRDefault="0040011A" w:rsidP="0040011A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40011A" w:rsidRPr="0040011A" w:rsidRDefault="0040011A" w:rsidP="004001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40011A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40011A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40011A" w:rsidRPr="0040011A" w:rsidRDefault="0040011A" w:rsidP="0040011A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40011A" w:rsidRPr="0040011A" w:rsidRDefault="0040011A" w:rsidP="0040011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0011A" w:rsidRPr="0040011A" w:rsidRDefault="0040011A" w:rsidP="0040011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40011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proofErr w:type="spellStart"/>
      <w:r w:rsidRPr="0040011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Зовн</w:t>
      </w:r>
      <w:r w:rsidRPr="0040011A">
        <w:rPr>
          <w:rFonts w:ascii="Times New Roman" w:eastAsia="MS Mincho" w:hAnsi="Times New Roman" w:cs="Times New Roman"/>
          <w:b/>
          <w:sz w:val="28"/>
          <w:szCs w:val="28"/>
          <w:u w:val="single"/>
          <w:lang w:eastAsia="ja-JP"/>
        </w:rPr>
        <w:t>ішня</w:t>
      </w:r>
      <w:proofErr w:type="spellEnd"/>
      <w:r w:rsidRPr="0040011A">
        <w:rPr>
          <w:rFonts w:ascii="Times New Roman" w:eastAsia="MS Mincho" w:hAnsi="Times New Roman" w:cs="Times New Roman"/>
          <w:b/>
          <w:sz w:val="28"/>
          <w:szCs w:val="28"/>
          <w:u w:val="single"/>
          <w:lang w:eastAsia="ja-JP"/>
        </w:rPr>
        <w:t xml:space="preserve"> політика </w:t>
      </w:r>
      <w:proofErr w:type="gramStart"/>
      <w:r w:rsidRPr="0040011A">
        <w:rPr>
          <w:rFonts w:ascii="Times New Roman" w:eastAsia="MS Mincho" w:hAnsi="Times New Roman" w:cs="Times New Roman"/>
          <w:b/>
          <w:sz w:val="28"/>
          <w:szCs w:val="28"/>
          <w:u w:val="single"/>
          <w:lang w:eastAsia="ja-JP"/>
        </w:rPr>
        <w:t>країн</w:t>
      </w:r>
      <w:proofErr w:type="gramEnd"/>
      <w:r w:rsidRPr="0040011A">
        <w:rPr>
          <w:rFonts w:ascii="Times New Roman" w:eastAsia="MS Mincho" w:hAnsi="Times New Roman" w:cs="Times New Roman"/>
          <w:b/>
          <w:sz w:val="28"/>
          <w:szCs w:val="28"/>
          <w:u w:val="single"/>
          <w:lang w:eastAsia="ja-JP"/>
        </w:rPr>
        <w:t xml:space="preserve"> Бенілюксу 1945-1991 роках</w:t>
      </w:r>
      <w:r w:rsidRPr="0040011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40011A" w:rsidRPr="0040011A" w:rsidRDefault="0040011A" w:rsidP="0040011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0011A" w:rsidRPr="0040011A" w:rsidRDefault="0040011A" w:rsidP="0040011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011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«The foreign policy of the Benelux countries 1945-1991»</w:t>
      </w:r>
    </w:p>
    <w:p w:rsidR="0040011A" w:rsidRPr="0040011A" w:rsidRDefault="0040011A" w:rsidP="0040011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40011A" w:rsidRPr="0040011A" w:rsidRDefault="0040011A" w:rsidP="0040011A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0011A" w:rsidRPr="0040011A" w:rsidRDefault="0040011A" w:rsidP="0040011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студентка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40011A" w:rsidRPr="0040011A" w:rsidRDefault="0040011A" w:rsidP="0040011A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Денної форми навчання</w:t>
      </w:r>
    </w:p>
    <w:p w:rsidR="0040011A" w:rsidRPr="0040011A" w:rsidRDefault="0040011A" w:rsidP="0040011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Напрямку підготовки</w:t>
      </w:r>
    </w:p>
    <w:p w:rsidR="0040011A" w:rsidRPr="0040011A" w:rsidRDefault="0040011A" w:rsidP="0040011A">
      <w:pPr>
        <w:spacing w:after="0" w:line="240" w:lineRule="auto"/>
        <w:ind w:left="2121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</w:rPr>
        <w:t>___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 </w:t>
      </w:r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030201Міжнародні відносини</w:t>
      </w:r>
    </w:p>
    <w:p w:rsidR="0040011A" w:rsidRPr="0040011A" w:rsidRDefault="0040011A" w:rsidP="0040011A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(шифр і назва напряму підготовки або спеціальності)</w:t>
      </w:r>
    </w:p>
    <w:p w:rsidR="0040011A" w:rsidRPr="0040011A" w:rsidRDefault="0040011A" w:rsidP="0040011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Юрківська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Аліна Геннадіївна</w:t>
      </w:r>
    </w:p>
    <w:p w:rsidR="0040011A" w:rsidRPr="0040011A" w:rsidRDefault="0040011A" w:rsidP="0040011A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 xml:space="preserve">       (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40011A" w:rsidRPr="0040011A" w:rsidRDefault="0040011A" w:rsidP="0040011A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40011A" w:rsidRPr="0040011A" w:rsidRDefault="0040011A" w:rsidP="0040011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0011A" w:rsidRPr="0040011A" w:rsidRDefault="0040011A" w:rsidP="0040011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0011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0011A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val="ru-RU" w:eastAsia="ru-RU"/>
        </w:rPr>
        <w:t xml:space="preserve"> </w:t>
      </w:r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к. політ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н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.д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оц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 Романова О.В.</w:t>
      </w:r>
      <w:r w:rsidRPr="0040011A">
        <w:rPr>
          <w:rFonts w:ascii="Arial" w:eastAsia="Times New Roman" w:hAnsi="Arial" w:cs="Arial"/>
          <w:color w:val="000000"/>
          <w:sz w:val="20"/>
          <w:szCs w:val="20"/>
          <w:u w:val="single"/>
          <w:shd w:val="clear" w:color="auto" w:fill="FFFFFF"/>
          <w:lang w:val="ru-RU" w:eastAsia="ru-RU"/>
        </w:rPr>
        <w:t xml:space="preserve"> </w:t>
      </w:r>
      <w:r w:rsidRPr="0040011A">
        <w:rPr>
          <w:rFonts w:ascii="Arial" w:eastAsia="Times New Roman" w:hAnsi="Arial" w:cs="Arial"/>
          <w:color w:val="000000"/>
          <w:sz w:val="20"/>
          <w:szCs w:val="20"/>
          <w:u w:val="single"/>
          <w:shd w:val="clear" w:color="auto" w:fill="FFFFFF"/>
          <w:lang w:eastAsia="ru-RU"/>
        </w:rPr>
        <w:t>____</w:t>
      </w:r>
    </w:p>
    <w:p w:rsidR="0040011A" w:rsidRPr="0040011A" w:rsidRDefault="0040011A" w:rsidP="0040011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40011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40011A" w:rsidRPr="0040011A" w:rsidRDefault="0040011A" w:rsidP="0040011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ст.викл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 Кузьмін Д.В.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________</w:t>
      </w:r>
    </w:p>
    <w:p w:rsidR="0040011A" w:rsidRPr="0040011A" w:rsidRDefault="0040011A" w:rsidP="0040011A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40011A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40011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40011A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40011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40011A" w:rsidRPr="0040011A" w:rsidRDefault="0040011A" w:rsidP="0040011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0011A" w:rsidRPr="0040011A" w:rsidRDefault="0040011A" w:rsidP="0040011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0011A" w:rsidRPr="0040011A" w:rsidRDefault="0040011A" w:rsidP="0040011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40011A" w:rsidRPr="0040011A" w:rsidTr="00474CA4">
        <w:trPr>
          <w:jc w:val="center"/>
        </w:trPr>
        <w:tc>
          <w:tcPr>
            <w:tcW w:w="4967" w:type="dxa"/>
            <w:hideMark/>
          </w:tcPr>
          <w:p w:rsidR="0040011A" w:rsidRPr="0040011A" w:rsidRDefault="0040011A" w:rsidP="0040011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40011A" w:rsidRPr="0040011A" w:rsidRDefault="0040011A" w:rsidP="0040011A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40011A" w:rsidRPr="0040011A" w:rsidRDefault="0040011A" w:rsidP="0040011A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40011A" w:rsidRPr="0040011A" w:rsidRDefault="0040011A" w:rsidP="0040011A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40011A" w:rsidRPr="0040011A" w:rsidRDefault="0040011A" w:rsidP="0040011A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40011A" w:rsidRPr="0040011A" w:rsidRDefault="0040011A" w:rsidP="0040011A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40011A" w:rsidRPr="0040011A" w:rsidRDefault="0040011A" w:rsidP="0040011A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40011A" w:rsidRPr="0040011A" w:rsidRDefault="0040011A" w:rsidP="0040011A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40011A" w:rsidRPr="0040011A" w:rsidRDefault="0040011A" w:rsidP="0040011A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40011A" w:rsidRPr="0040011A" w:rsidRDefault="0040011A" w:rsidP="0040011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40011A" w:rsidRPr="0040011A" w:rsidRDefault="0040011A" w:rsidP="0040011A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40011A" w:rsidRPr="0040011A" w:rsidRDefault="0040011A" w:rsidP="0040011A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</w:t>
            </w:r>
            <w:r w:rsidRPr="0040011A">
              <w:rPr>
                <w:rFonts w:ascii="Times New Roman" w:eastAsia="Times New Roman" w:hAnsi="Times New Roman" w:cs="Times New Roman"/>
                <w:sz w:val="28"/>
                <w:szCs w:val="28"/>
              </w:rPr>
              <w:t>. Брусиловська О.І.</w:t>
            </w:r>
          </w:p>
          <w:p w:rsidR="0040011A" w:rsidRPr="0040011A" w:rsidRDefault="0040011A" w:rsidP="0040011A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40011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40011A" w:rsidRPr="0040011A" w:rsidTr="00474CA4">
        <w:trPr>
          <w:jc w:val="center"/>
        </w:trPr>
        <w:tc>
          <w:tcPr>
            <w:tcW w:w="4967" w:type="dxa"/>
          </w:tcPr>
          <w:p w:rsidR="0040011A" w:rsidRPr="0040011A" w:rsidRDefault="0040011A" w:rsidP="0040011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40011A" w:rsidRPr="0040011A" w:rsidRDefault="0040011A" w:rsidP="0040011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40011A" w:rsidRPr="0040011A" w:rsidRDefault="0040011A" w:rsidP="004001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0011A" w:rsidRPr="0040011A" w:rsidRDefault="0040011A" w:rsidP="004001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0011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40011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40011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40011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40011A" w:rsidRPr="0040011A" w:rsidRDefault="0040011A" w:rsidP="004001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40011A" w:rsidRPr="0040011A" w:rsidRDefault="0040011A" w:rsidP="0040011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b/>
          <w:sz w:val="24"/>
          <w:szCs w:val="28"/>
          <w:lang w:val="ru-RU" w:eastAsia="ru-RU"/>
        </w:rPr>
        <w:t>СОДЕРЖАНИЕ</w:t>
      </w:r>
    </w:p>
    <w:p w:rsidR="0040011A" w:rsidRPr="0040011A" w:rsidRDefault="0040011A" w:rsidP="0040011A">
      <w:pPr>
        <w:widowControl w:val="0"/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40011A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fldChar w:fldCharType="begin"/>
      </w:r>
      <w:r w:rsidRPr="0040011A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TOC \o "1-3" \h \z \u </w:instrText>
      </w:r>
      <w:r w:rsidRPr="0040011A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hyperlink w:anchor="_Toc478921747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>ВВЕДЕНИЕ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begin"/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instrText xml:space="preserve"> PAGEREF _Toc478921747 \h </w:instrTex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separate"/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>3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fldChar w:fldCharType="end"/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48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 xml:space="preserve">ГЛАВА 1. ФОРМИРОВАНИЕ ОСНОВ ВНЕШНЕЙ ПОЛИТИКИ СТРАН </w:t>
        </w:r>
        <w:r w:rsidRPr="0040011A">
          <w:rPr>
            <w:rFonts w:ascii="Times New Roman" w:eastAsia="Calibri" w:hAnsi="Times New Roman" w:cs="Calibri"/>
            <w:caps/>
            <w:noProof/>
            <w:color w:val="0000FF"/>
            <w:sz w:val="28"/>
            <w:szCs w:val="28"/>
            <w:u w:val="single"/>
            <w:lang w:val="ru-RU"/>
          </w:rPr>
          <w:t>Бенилюкса в 1945-1950 гг.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6</w:t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49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>1.1. Создание союза стран Бенилюкса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6</w:t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50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>1.2. Основные векторы внешнеполитической деятельности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15</w:t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51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>ГЛАВА 2. ОСОБЕННОСТИ ВНЕШНЕЙ ПОЛИТИКИ СТРАН БЕНИЛЮКСА В 1951-1980 гг.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22</w:t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52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>2.1. Участие стран Бенилюкса в создании Европейского Союза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22</w:t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53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>2.2. Другие направления внешней политики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31</w:t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54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 xml:space="preserve">ГЛАВА 3. ВНЕШНЯЯ ПОЛИТИКА СТРАН БЕНИЛЮКСА В  </w:t>
        </w:r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br/>
          <w:t>1981-1991 ГГ.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39</w:t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55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 w:eastAsia="ru-RU"/>
          </w:rPr>
          <w:t>ВЫВОДЫ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55</w:t>
        </w:r>
      </w:hyperlink>
    </w:p>
    <w:p w:rsidR="0040011A" w:rsidRPr="0040011A" w:rsidRDefault="0040011A" w:rsidP="0040011A">
      <w:pPr>
        <w:widowControl w:val="0"/>
        <w:tabs>
          <w:tab w:val="right" w:leader="dot" w:pos="9345"/>
        </w:tabs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w:anchor="_Toc478921756" w:history="1">
        <w:r w:rsidRPr="0040011A">
          <w:rPr>
            <w:rFonts w:ascii="Times New Roman" w:eastAsia="Calibri" w:hAnsi="Times New Roman" w:cs="Calibri"/>
            <w:noProof/>
            <w:color w:val="0000FF"/>
            <w:sz w:val="28"/>
            <w:szCs w:val="28"/>
            <w:u w:val="single"/>
            <w:lang w:val="ru-RU"/>
          </w:rPr>
          <w:t>СПИСОК ИСПОЛЬЗОВАННОЙ ЛИТЕРАТУРЫ</w:t>
        </w:r>
        <w:r w:rsidRPr="0040011A">
          <w:rPr>
            <w:rFonts w:ascii="Times New Roman" w:eastAsia="Calibri" w:hAnsi="Times New Roman" w:cs="Times New Roman"/>
            <w:noProof/>
            <w:webHidden/>
            <w:sz w:val="28"/>
            <w:szCs w:val="28"/>
            <w:lang w:val="ru-RU"/>
          </w:rPr>
          <w:tab/>
          <w:t>58</w:t>
        </w:r>
      </w:hyperlink>
    </w:p>
    <w:p w:rsidR="0040011A" w:rsidRPr="0040011A" w:rsidRDefault="0040011A" w:rsidP="0040011A">
      <w:pPr>
        <w:widowControl w:val="0"/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b/>
          <w:bCs/>
          <w:sz w:val="24"/>
          <w:szCs w:val="28"/>
          <w:lang w:val="ru-RU" w:eastAsia="ru-RU"/>
        </w:rPr>
        <w:fldChar w:fldCharType="end"/>
      </w:r>
    </w:p>
    <w:p w:rsidR="0040011A" w:rsidRPr="0040011A" w:rsidRDefault="0040011A" w:rsidP="0040011A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</w:p>
    <w:p w:rsidR="0040011A" w:rsidRPr="0040011A" w:rsidRDefault="0040011A" w:rsidP="0040011A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</w:pPr>
      <w:r w:rsidRPr="0040011A">
        <w:rPr>
          <w:rFonts w:ascii="Times New Roman" w:eastAsia="Times New Roman" w:hAnsi="Times New Roman" w:cs="Times New Roman"/>
          <w:b/>
          <w:bCs/>
          <w:iCs/>
          <w:caps/>
          <w:noProof/>
          <w:sz w:val="28"/>
          <w:szCs w:val="28"/>
          <w:lang w:val="ru-RU"/>
        </w:rPr>
        <w:br w:type="page"/>
      </w:r>
      <w:bookmarkStart w:id="0" w:name="_Toc478921747"/>
      <w:r w:rsidRPr="0040011A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  <w:lastRenderedPageBreak/>
        <w:t>ВВЕДЕНИЕ</w:t>
      </w:r>
      <w:bookmarkEnd w:id="0"/>
      <w:r w:rsidRPr="0040011A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  <w:t xml:space="preserve">  </w:t>
      </w:r>
    </w:p>
    <w:p w:rsidR="0040011A" w:rsidRPr="0040011A" w:rsidRDefault="0040011A" w:rsidP="0040011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Тема данной дипломной работы – «Внешняя политика стран Бенилюкса 1945-1991гг».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Европа, начиная с рубежа середины XX в.,  являет собой пример изменений самой конфигурации континентального развития.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Европе, как и прежде, есть государства-лидеры, есть страны «второй линии», оказывающие ограниченное воздействие на ход европейских и мировых событий, есть большие и малые государства.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Нельзя однозначно утверждать, что только большие государства в Европе играют важную роль. Особое место в Европе играют страны, расположенные на западе континента, которые относятся к группе малых стран – Бельгия, Нидерланды и Люксембург. Во многом именно благодаря этим странам и их созданному союзу Бенилюкса Европа обязана существованию Европейского союза.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этом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ошибочным будет утверждать, что внешняя политика этих стран ограничивалась только европейскими интеграционными процессами.  С другой стороны, внешней политике стран Бенилюкса уделяется недостаточно внимания в научной литературе. Именно поэтому исследование внешней политики стран Бенилюкс в период 1945-1991 гг. является актуальным для отечественной науки</w:t>
      </w:r>
      <w:r w:rsidRPr="0040011A">
        <w:rPr>
          <w:rFonts w:ascii="Times New Roman" w:eastAsia="Times New Roman" w:hAnsi="Times New Roman" w:cs="Times New Roman"/>
          <w:color w:val="0070C0"/>
          <w:sz w:val="28"/>
          <w:szCs w:val="28"/>
          <w:lang w:val="ru-RU" w:eastAsia="ru-RU"/>
        </w:rPr>
        <w:t>.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Главной целью исследования является изучение внешней политики стран Бенилюкса в 1945-1991 гг.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достижения поставленной цели необходимо решение следующих задач: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1) исследовать особенности создания союза стран Бенилюкса;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2) изучить основные векторы внешнеполитической деятельности;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3) рассмотреть участие</w:t>
      </w:r>
      <w:r w:rsidRPr="0040011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стран Бенилюкса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создании Европейского Союза;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4) выяснить другие направления внешней политики;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5) исследовать внешнюю политику стран Бенилюкса в 1981-1991 гг.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исследовании все источники и научные исследования можно объединить в различные группы. В группу документальных источников нужно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выделить Конституции Бельгии, Нидерландов и Люксембурга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_Ref478920450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15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_Ref478920452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_Ref478920453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17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а также Североатлантический договор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_Ref474601930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33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еще одну группу нужно выделить научные исследования  иностранных авторов, которые позволили взглянуть на внешнюю политику стран Бенилюкса с позиции людей с европейским менталитетом: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Руди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Эндуэг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«Управление и политика Нидерландов» [52], Джеймс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Мид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  <w:t xml:space="preserve">«Тематические исследования в Европейском экономическом единстве» [55],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Йорис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Воохоев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«Мир, прибыль и принципы: исследование голландской внешней политики»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_Ref478137893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59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Следующая группа научных исследований касается процессов европейской интеграции и роли в них стран Бенилюкса. К ним нужно отнести работы В.А. Артемова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_Ref478458729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В.Г. Барановского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_Ref476556535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Ю.А. Бортко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_Ref473630768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6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В. Б.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Княжинского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В. М. Потапова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_Ref476557144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А.Я. Капустина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_Ref476557739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13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], Ж.М.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Кембаева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_Ref478142877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14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В.В. Копейки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_Ref478459213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15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В.В. Мотылева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_Ref474592703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28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], Д.В.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Ченчика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_Ref478459777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43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А.О.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Чубарьяна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_Ref478459821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44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Особую роль в исследовании сыграла монография «Государства Альпийского региона и страны Бенилюкс в меняющейся Европе», в которой  рассматривается комплекс проблем, характерных для стран Бенилюкс (Бельгия, Нидерланды, Люксембург). В работе значительное внимание уделено взаимоотношениям вышеуказанных стран с Евросоюзом, различным аспектам их внешнеполитической практики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_Ref478135508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].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Важное место в исследовании занимает диссертация О. В. Богословской «Проблемы создания Политического союза Европы в политике Франции и Бельгии, конец 1950-х - середина 1960-х гг.»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_Ref474602531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5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], позволившая оценить роль Бельгии в процессах создания Европейского союза, идейные статьи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Х.Ван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Брука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_Ref478908595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8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 и  Л.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Тиндеманса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_Ref478906108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40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 изложивших свой взгляд на изменения в Европе;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диссертация А. С. Костюченко «География социально-экономического развития стран Бенилюкса»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_Ref474600207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позволившая определить факторы внешней политики стран Бенилюкса, а также ряд статей автора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_Ref478920981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_Ref474592239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исследование Ю.И. Юданова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_Ref474592313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26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], позволившее определить место стран Бенилюкса среди других государств Европы.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статье «Бенилюкс и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Вишеградская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группа: опыт сопоставления»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А.В.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Дрыночкин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проводит анализ двух субрегиональных групп в ЕС - союза Бенилюкс и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Вишеградской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группы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_Ref478917078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]. Роль во внешней политике Поль-Анри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Спаака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рассматривала Н.С. Малышева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_Ref478921150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27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Внешнюю политику стран Бенилюкса рассматривали Ю.Г. Акимов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_Ref478920653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], Р.Р.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Вахитов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_Ref478920819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9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И.В. Лесков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_Ref474598111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24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И.В. Ливанов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_Ref478921033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25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Б.И. Осминин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_Ref478921199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31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], О.Ю.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Смоленчук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_Ref478138496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35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_Ref478137940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36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Внутренние процессы в странах Бенилюкса и их влияние на внешнюю политику изучали С. Бирюков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_Ref478906753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4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], Ю.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Кучук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_Ref474602157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23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], О.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Сухий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_Ref474598989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37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А.Ю.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Тамарович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_Ref478921294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38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], М. Трусова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_Ref478921370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41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 (Бельгия), В.А. Вальков, Г.А.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Шатохина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-Мордвинцева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_Ref474597585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45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_Ref478921432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46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 (Нидерланды), Г.Е.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Поторочина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REF _Ref478921218 \r \h  \* MERGEFORMAT </w:instrTex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32</w:t>
      </w:r>
      <w:r w:rsidRPr="0040011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 (Люксембург).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Хронологические рамки исследования – 1945-1991гг. 1945 год – период окончание второй мировой войны и начало формирование внешней политики стран Бенилюкс. 1991 год – это распад СССР и крах биполярного режима.</w:t>
      </w:r>
      <w:r w:rsidRPr="0040011A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Работа состоит из введения, трех глав, выводов и списка изученной литературы. </w:t>
      </w:r>
    </w:p>
    <w:p w:rsidR="00852042" w:rsidRDefault="00852042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Default="0040011A">
      <w:pPr>
        <w:rPr>
          <w:lang w:val="ru-RU"/>
        </w:rPr>
      </w:pPr>
    </w:p>
    <w:p w:rsidR="0040011A" w:rsidRPr="0040011A" w:rsidRDefault="0040011A" w:rsidP="0040011A">
      <w:pPr>
        <w:widowControl w:val="0"/>
        <w:autoSpaceDE w:val="0"/>
        <w:autoSpaceDN w:val="0"/>
        <w:adjustRightInd w:val="0"/>
        <w:spacing w:after="0" w:line="360" w:lineRule="auto"/>
        <w:ind w:left="2831" w:firstLine="709"/>
        <w:jc w:val="both"/>
        <w:outlineLvl w:val="0"/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 w:eastAsia="ru-RU"/>
        </w:rPr>
      </w:pPr>
      <w:bookmarkStart w:id="1" w:name="_Toc478921755"/>
      <w:r w:rsidRPr="0040011A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 w:eastAsia="ru-RU"/>
        </w:rPr>
        <w:lastRenderedPageBreak/>
        <w:t>ВЫВОДЫ</w:t>
      </w:r>
      <w:bookmarkEnd w:id="1"/>
      <w:r w:rsidRPr="0040011A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Подводя итоги, можно сделать следующие выводы.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 Основой для создания Бенилюкса стал БЛЭС – союз Бельгии и Люксембурга. Во время второй мировой войны, правительства Бельгии, Нидерландов и Люксембурга в 1943 г. подписали валютное соглашение для регулирования взаимных платежей в послевоенный период и укрепления экономических связей. В 1944 г. на Лондонской конфе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ренции было принято решение о со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здании Бенилюкса – экономическо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го и военного союза Бельгии, Нидер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ландов и Люксембурга. Этим согла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шением отменялась значительная часть ограничений в перемещении товаров, граждан и капиталов на территории стран-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учасников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Бенилюкса.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 Большая зависимость стран Бенилюкса от внешнего мира и заинтересованность в привлечении иностранных капиталов, вначале английского, обусловило подписание правительствами Бельгии, Нидерландов и Люксембурга вместе с Англией и Францией Брюссельского пакта о создании Западного союза. Страны Бенилюкса активно участвовали в решении различных вопросов послевоенной Европы. При этом каждая страна проводила свою собственную внешнюю политику. В первую очередь она касалась колониальных владений Бельгии и Нидерландов.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целом тенденции экономического и политического развития стран Бенилюкса, наблюдавшиеся в послевоенный период и окончательно оформившиеся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начале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50-х гг., в значительной степени определили положение этих стран во второй половине XX в.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 Важную роль страны Бенилюкса сыграли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созданию Европейского союза. Бельгийская позиция в европейском интеграционном процессе в послевоенный период определялась, прежде всего, ее наиболее сильной зависимостью от внешних рынков. Боязнью оказаться в числе конкурентов новых создающихся европейских сообществ объяснялась активная поддержка со стороны Бельгии образования ЕОУС, «Общего рынка» и Евратома.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 второй половине 1950-х гг. создаются пер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вые европейские институты. Нидерланды в первое время даже возражали против будущих европейских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полити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ческих планов, являясь «американским доверен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ным лицом». Однако в дальнейшем активно включились в интеграционные процессы и играли в них активную роль.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Люксембург неформально активно поддерживал дальнейшее объединение европейских экономик в формате Европейского экономического сообщества (ЕЭС), принимал активное участие в процессе создания Римского договора и разработки структуры и организации работы Сообщества. Важную роль Люксембург сыграл в разрешении ряда конфликтов во время интеграционных конфликтов.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4. Важным направлением стран Бенилюкса стало участие в Организации Североатлантического договора, а также в ООН. При этом Нидерланды и Люксембург  в</w:t>
      </w:r>
      <w:r w:rsidRPr="0040011A">
        <w:rPr>
          <w:rFonts w:ascii="Times New Roman" w:eastAsia="Times New Roman" w:hAnsi="Times New Roman" w:cs="Times New Roman"/>
          <w:color w:val="0070C0"/>
          <w:sz w:val="28"/>
          <w:szCs w:val="28"/>
          <w:lang w:val="ru-RU" w:eastAsia="ru-RU"/>
        </w:rPr>
        <w:t xml:space="preserve">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большей степени поддерживали США,  чем Бельгия. Нидерланды принимали активное участие в миротворческих миссиях ООН. Люксембург основное внимание уделял внутри европейскому вектору внешней политики и контактам с СССР.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5. Внешняя политика Бельгии в 1981-1991 гг. не претерпела каких-либо значительных изменений. Бельгия все также играла активную роль в процессах европейской интеграции. Именно на примере Бельгии была на практике внедрена модель децентрализованного государства, которая в дальнейшем была заложена в основу ЕС.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Внешняя политика Бельгии в рамках ЕС не ограничивалась только общими вопросами. Продолжалось сотрудничество в рамках БЛЭС.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международных вопросах Бельгия всегда стремилась выступать посредником, арбитром. В тоже время в определенной степени усложнились отношения Бельгии с НАТО, что было связано с размещением ракетных комплексов на территории страны. В конце 80-х годов бельгийская внешняя политика соответствовала об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щей линии Евросоюза, стремившегося, с одной стороны, сохранить тесные партнерские отношения с США, с другой – найти собствен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ный европейский эквивалент НАТО.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протяжении всего послево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енного периода Нидерланды, были хоть и «малой державой» по определению, являлись значитель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ным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актором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европейской интеграции и транс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атлантическом партнерстве. Но только не всегда голландская «самостоятельность» и так называе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мая отстраненность в зависимости от других стран играли на руку самим Нидерландам.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Противоречивой было сотрудничество Нидерландов с НАТО.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Призна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вая, что НАТО гарантирует Нидерландам безопасность, Нидерланды развивали сотрудничество с ОБСЕ. 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нидерландскую доктрину национальной безопасности органиче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ским образом встраивается и необходимость реформирования ООН. Нидерланды полагают нужным оценивать и вклад малых стран, в том числе и свой собственный, в финансовое обеспечение ООН.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 1991 г. Люксембург приобрел вес и влияние в деле евро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пейской интеграции, несопоставимые с размером территории и чис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ленности населения своей страны как части объединенной Европы. Позитивность предложений и проработанность инициатив, выдви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гавшихся политиками Великого Герцогства, их стремление найти компромиссные решения, многие из которых были «на вырост», – все это доказывало правомерность оценки вклада Люксембурга в строительство Объединенной Европы как все более выходивших за рамки чисто лабораторного уровня, законно претендующих на видное место в ряду других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трансевропейских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инициатив.</w:t>
      </w:r>
    </w:p>
    <w:p w:rsidR="0040011A" w:rsidRPr="0040011A" w:rsidRDefault="0040011A" w:rsidP="0040011A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0011A" w:rsidRPr="0040011A" w:rsidRDefault="0040011A" w:rsidP="0040011A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</w:p>
    <w:p w:rsidR="0040011A" w:rsidRPr="0040011A" w:rsidRDefault="0040011A" w:rsidP="0040011A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</w:pPr>
      <w:r w:rsidRPr="0040011A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  <w:br w:type="page"/>
      </w:r>
      <w:bookmarkStart w:id="2" w:name="_Toc478921756"/>
      <w:r w:rsidRPr="0040011A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  <w:lastRenderedPageBreak/>
        <w:t>СПИСОК ИЗУЧЕННОЙ ЛИТЕРАТУРЫ</w:t>
      </w:r>
      <w:bookmarkEnd w:id="2"/>
      <w:r w:rsidRPr="0040011A">
        <w:rPr>
          <w:rFonts w:ascii="Times New Roman" w:eastAsia="Times New Roman" w:hAnsi="Times New Roman" w:cs="Times New Roman"/>
          <w:b/>
          <w:bCs/>
          <w:iCs/>
          <w:noProof/>
          <w:sz w:val="28"/>
          <w:szCs w:val="28"/>
          <w:lang w:val="ru-RU"/>
        </w:rPr>
        <w:t xml:space="preserve"> </w:t>
      </w:r>
    </w:p>
    <w:p w:rsidR="0040011A" w:rsidRPr="0040011A" w:rsidRDefault="0040011A" w:rsidP="0040011A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" w:name="_Ref478920653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Акимов Ю.Г. Внешнеполитическая деятельность субъектов федераций и конституционный процесс в федеративных государствах (на примере Канады, Бельгии и Испании) // Труды кафедры истории Нового и новейшего времени. – 2014. – № 12. – С. 97-107.</w:t>
      </w:r>
      <w:bookmarkEnd w:id="3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/>
        </w:rPr>
      </w:pPr>
      <w:bookmarkStart w:id="4" w:name="_Ref478458729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Артёмов В. А. Европейская интеграция: история и современность. – Воронеж, 1999. – 48 с.</w:t>
      </w:r>
      <w:bookmarkEnd w:id="4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5" w:name="_Ref476556535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Барановский В.Г. Западная Европа: военно-политическая интеграция. – М.: Международные отношения, 1988. – 486 с.</w:t>
      </w:r>
      <w:bookmarkEnd w:id="5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6" w:name="_Ref478906753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Бирюков С. Бельгийский кризис европейского федерализма. Политика уступок поставила Бельгию на грань распада [Электронный ресурс]. – Режим доступа: http://www.perspektivy.info/print.php?ID=36160</w:t>
      </w:r>
      <w:bookmarkEnd w:id="6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7" w:name="_Ref473630768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Богословская О.В. Проблемы создания Политического союза Европы в политике Франции и Бельгии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Конец 1950-х - середина 1960-х гг. : автореферат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... кандидата исторических наук : 07.00.03 / Ин-т всеобщ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стории РАН. - Москва, 2002. - 19 с.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Борко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Ю.А. От европейской идеи – к единой Европе / Ю.А.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Борко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М.: Издательский Дом « Деловая литература», 2003. – 464 с.</w:t>
      </w:r>
      <w:bookmarkEnd w:id="7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8" w:name="_Ref474600609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Вальков В.А. Экономика и политика Голландии после второй мировой войны. – М.: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Изд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во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инст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-та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междунар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отнош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., 1961. – 233 с.</w:t>
      </w:r>
      <w:bookmarkEnd w:id="8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9" w:name="_Ref478908595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Ван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Брук Х. Новый порядок в Европе // Международная жизнь. – 1991. – № 1. – С. 38-54.</w:t>
      </w:r>
      <w:bookmarkEnd w:id="9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0" w:name="_Ref478920819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Вахитов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Р.Р. Возможности международного налогового структурирования на примере стран Бенилюкса. Люксембург //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Налоговед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2009. – № 3. – С. 30-32</w:t>
      </w:r>
      <w:bookmarkEnd w:id="10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1" w:name="_Ref478135508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Государства Альпийского региона и страны Бенилюкс в меняющейся Европе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 ред. В. Я.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Швейцера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М.: Издательство «Весь мир», 2009 - 544 с.</w:t>
      </w:r>
      <w:bookmarkEnd w:id="11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2" w:name="_Ref478917078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Дрыночкин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А.В., Сергеев Е.А. Бенилюкс и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Вишеградская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группа: опыт сопоставления // Современная Европа. – 2016. – № 6 (72). – С. 53-62.</w:t>
      </w:r>
      <w:bookmarkEnd w:id="12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3" w:name="_Ref476557144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Западноевропейская интеграция:  проекты  и  реальность  / [В. Б.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Княжинский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В. М. Потапов]. – М.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Междунар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отношения, 1986. –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205 с.</w:t>
      </w:r>
      <w:bookmarkEnd w:id="13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4" w:name="_Ref476557739"/>
      <w:r w:rsidRPr="0040011A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/>
        </w:rPr>
        <w:t>Капустин А.Я. Европейский Союз: интеграция и право. – М.: Юрист, 2000. – 348 с.</w:t>
      </w:r>
      <w:bookmarkEnd w:id="14"/>
      <w:r w:rsidRPr="0040011A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5" w:name="_Ref478142877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Кембаев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Ж. М. Политико-правовая история идеи единой Европы: с древнейших времен до современности. - Алматы-Астана: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Академпресс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2012. - 496 с.</w:t>
      </w:r>
      <w:bookmarkEnd w:id="15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6" w:name="_Ref478906707"/>
      <w:bookmarkStart w:id="17" w:name="_Ref478920450"/>
      <w:bookmarkStart w:id="18" w:name="_Ref478459213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Конституция Бельгии [Электронный ресурс]. – Режим доступа: </w:t>
      </w:r>
      <w:bookmarkEnd w:id="16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begin"/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instrText xml:space="preserve"> HYPERLINK "http://www.urzona.com/index.php?catid=65:2010-07-22-19-48-30&amp;id=454:---17--" </w:instrTex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separate"/>
      </w:r>
      <w:r w:rsidRPr="0040011A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 w:eastAsia="ru-RU"/>
        </w:rPr>
        <w:t>http://www.urzona.com/index.php?catid=65:2010-07-22-19-48-30&amp;id=454:---17--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end"/>
      </w:r>
      <w:bookmarkEnd w:id="17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9" w:name="_Ref478920452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Конституция Нидерландов  [Электронный ресурс]. – Режим доступа: http://www.concourt.am/armenian/legal_resources/world_constitutions/constit/nethrlnd/holand-r.htm</w:t>
      </w:r>
      <w:bookmarkEnd w:id="19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0" w:name="_Ref478920453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Конституция Люксембурга [Электронный ресурс]. – Режим доступа: http://worldconstitutions.ru/?p=146</w:t>
      </w:r>
      <w:bookmarkEnd w:id="20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Копійка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В., Шинкаренко Т. І.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Європейський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союз: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заснування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етапи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становлення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К.: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 2001. – 445 с.</w:t>
      </w:r>
      <w:bookmarkEnd w:id="18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1" w:name="_Ref474600207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Костюченко А. С. География социально-экономического развития стран Бенилюкса: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канд. геогр. наук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25.00.24 / Костюченко Алина Сергеевна – Москва, 2007. – 300 с.</w:t>
      </w:r>
      <w:bookmarkEnd w:id="21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2" w:name="_Ref478920981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Костюченко А.С. Бенилюкс в путах миграции // Современная Европа. –2006. – № 4 (28). – С. 58-68.</w:t>
      </w:r>
      <w:bookmarkEnd w:id="22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3" w:name="_Ref474592239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Костюченко А.С. Социально-экономическое развитие стран Бенилюкс на разных этапах Западноевропейской интеграции // Вестник Московского университета. Серия 5: География. – 2007. – № 1. – С. 57-62.</w:t>
      </w:r>
      <w:bookmarkEnd w:id="23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Кучук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 Бельгия: от сепаратизма к федерализму (эволюция федерализма в Бельгии) // Белорусский журнал международного права и международных отношений. – 2004. – № 4. – С. 40-48.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4" w:name="_Ref474602157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Кямилев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Э.Х. Завоевание Индонезией независимости. – М.: Прогресс,  1972. – 342 с.</w:t>
      </w:r>
      <w:bookmarkEnd w:id="24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5" w:name="_Ref474598111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Лескова И.В. Экономическая система межгосударственных объединений (на примере Бенилюкса, СНГ и ЕС) // </w:t>
      </w:r>
      <w:proofErr w:type="spellStart"/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існик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Дніпропетровського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– 2013. – Т. 20. –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23 (3). – С. 114-119.</w:t>
      </w:r>
      <w:bookmarkEnd w:id="25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6" w:name="_Ref478921033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Ливанова И.В. Политико-правовые основы международных связей регионов России и Бельгии //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Сибирский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международный. – 2011. – № 12. – С. 46-49.</w:t>
      </w:r>
      <w:bookmarkEnd w:id="26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7" w:name="_Ref474592313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Малые страны Западной Европы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 ред. Ю.И. Юданова. – М.: Высшая школа, 1972. – 456 с.</w:t>
      </w:r>
      <w:bookmarkEnd w:id="27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8" w:name="_Ref478921150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Малышева Н.С. Поль-Анри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Спаак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«Проамериканский» политик Бельгии // Дневник АШПИ. – 2009. – № 25. – С. 058-062.</w:t>
      </w:r>
      <w:bookmarkEnd w:id="28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9" w:name="_Ref474592703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Мотылев В.В. Дж.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Мид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Х.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Лиснер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С. Уэллс. Детальное исследование Европейского экономического сообщества. Механика «интеграции» // Вопросы истории. – 1964. - №1. – С. 182-184.</w:t>
      </w:r>
      <w:bookmarkEnd w:id="29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Мустафина Д.Н. Современный европейский опыт поддержки регионов (на примере Бельгии) // Вестник Московского государственного областного университета. Серия: Лингвистика. – 2010. – № 6. – С. 19-23.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0" w:name="_Ref474598908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Новейшая история стран Европы и Америки. XX век. В 3 ч. Часть 3. 1945–2000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 ред. А.М. Родригеса, М.В.  Пономарева. – М.: Диалектика, 2004 – 256 c.</w:t>
      </w:r>
      <w:bookmarkEnd w:id="30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1" w:name="_Ref478921199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Осминин Б.И.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Особенности заключения и имплементации международных договоров Нидерландами // Журнал зарубежного законодательства и сравнительного правоведения. – 2014. – № 4. – С. 714-721.</w:t>
      </w:r>
      <w:bookmarkEnd w:id="31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2" w:name="_Ref478921218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Поторочина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Г.Е. Швейцария, Австрия, Люксембург, Лихтенштейн: практическое пособие по страноведению // Вестник педагогического опыта. – 2005. – № 25. – С. 70-90.</w:t>
      </w:r>
      <w:bookmarkEnd w:id="32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3" w:name="_Ref474601930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Североатлантический договор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[Электронный ресурс]. – Режим доступа: </w:t>
      </w:r>
      <w:hyperlink r:id="rId6" w:history="1">
        <w:r w:rsidRPr="0040011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http://www.nato.int/cps/ru/natolive/official_texts_17120.htm</w:t>
        </w:r>
      </w:hyperlink>
      <w:bookmarkEnd w:id="33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4" w:name="_Ref474603522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Системная история международных отношений 1918-2003. Т.3. – М: ГУГН, 2003. – 843 с.</w:t>
      </w:r>
      <w:bookmarkEnd w:id="34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5" w:name="_Ref478138496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Смоленчук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О.Ю. Участие Королевства Нидерландов в миротворческих операциях ООН (1945-1992 гг.) // Вестник Томского государственного университета. – 2015. – № 395. – С. 123-131.</w:t>
      </w:r>
      <w:bookmarkEnd w:id="35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6" w:name="_Ref478137940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Смоленчук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О.Ю. Эволюция внешней политики королевства Нидерланды в рамках европеизма и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атлантизма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Вестник Томского государственного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университета. История. – 2012. – № 1. – С. 122-125.</w:t>
      </w:r>
      <w:bookmarkEnd w:id="36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7" w:name="_Ref474598989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Сухий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Історія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Бельгії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іраміда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2005. – 260 с.</w:t>
      </w:r>
      <w:bookmarkEnd w:id="37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8" w:name="_Ref478921294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Тамарович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А.Ю. К вопросу о региональных противоречиях в Бельгии // Дневник АШПИ. – 2013. – № 29. – С. 254-259.</w:t>
      </w:r>
      <w:bookmarkEnd w:id="38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39" w:name="_Ref474601772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Теория Н.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Спайкмена</w:t>
      </w:r>
      <w:proofErr w:type="spellEnd"/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[Электронный ресурс]. – Режим доступа: http://www.politictime.ru/potis-918-1.html</w:t>
      </w:r>
      <w:bookmarkEnd w:id="39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0" w:name="_Ref478906108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Тиндеманс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 Бельгийский сегмент европейской политики // Международная жизнь. – 1989. – № 8. – С. 75-86.</w:t>
      </w:r>
      <w:bookmarkEnd w:id="40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1" w:name="_Ref478921370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Трусов М. Проблемы федерализма в Бельгии // Общество и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этнополитика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материалы Пятой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Междунар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науч.-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Интернет-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СибАГС</w:t>
      </w:r>
      <w:proofErr w:type="spellEnd"/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;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под науч. ред. Л. В. Савинова. – 2012. – С. 304-309.</w:t>
      </w:r>
      <w:bookmarkEnd w:id="41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2" w:name="_Ref478139590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Фридман А. Документы посольства Великого Герцогства Люксембу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рг в СССР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как исторический источник [Электронный ресурс]. – Режим доступа: http://lib.vsu.by/xmlui/bitstream/handle/123456789/6762/</w:t>
      </w:r>
      <w:bookmarkEnd w:id="42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3" w:name="_Ref478459777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Ченчик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Д.В.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Ідея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об'єднаної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Європи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пошук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шляхів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її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реалізації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1945 - 1952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рр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... канд.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наук: 07.00.02 / Д.В.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Ченчик</w:t>
      </w:r>
      <w:proofErr w:type="spellEnd"/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;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Харк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нац. ун-т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В.Н.Каразіна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Х., 2007. – 19 с.</w:t>
      </w:r>
      <w:bookmarkEnd w:id="43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4" w:name="_Ref478459821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Чубарьян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О. Европейская идея в истории: проблемы войны и мира. – М.: Высшая школа, 1987. – 352 с.</w:t>
      </w:r>
      <w:bookmarkEnd w:id="44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5" w:name="_Ref474597585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Шатохина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-Мордвинцева Г.А. История Нидерландов. Учеб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особие для вузов. – М.: Дрофа, 2007. – 510 с.</w:t>
      </w:r>
      <w:bookmarkEnd w:id="45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6" w:name="_Ref478921432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Шатохина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-Мордвинцева Г.А. Нидерланды в новое и новейшее время. - М.: ИВИ РАН, 2002. - 278 с.</w:t>
      </w:r>
      <w:bookmarkEnd w:id="46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7" w:name="_Ref474592226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Шенаев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В.Н. Послевоенное экономическое развитие // Европа: вчера, сегодня, завтра. - М.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Экономика, 2002. - 824 с. – С. 153-168.</w:t>
      </w:r>
      <w:bookmarkEnd w:id="47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Шиманский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М.Л. К вопросу о мировой тенденции создания таможенных союзов: практике и проблематике // Правозащитник. – 2014. – №1. – С. 27-34.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8" w:name="_Ref474592110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Экономическая география мирового развития. ХХ в. / Под ред. Ю.Г. 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Липеца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В.А.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Пуляркина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С.Б.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Шлихтера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СПб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Питер, 2003. – 346 с.</w:t>
      </w:r>
      <w:bookmarkEnd w:id="48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9" w:name="_Ref474592276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Юданов Ю.И. Капиталы под псевдонимом. Финан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совые группы малых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стран. – М.: Прогресс, 1967. – 347 с.</w:t>
      </w:r>
      <w:bookmarkEnd w:id="49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Юданов Ю.И.,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Тимепиева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O.K., Воронков Л.Н. Малые страны Западной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  <w:t>Европы в современном мире // МЭИМО. – 1981. – № 5. – С. 50-67.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50" w:name="_Ref478909793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Andeweg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R.B., Irwin G.A. Governance and Politics of the Netherlands (Comparative Government and Politics). – New York, 2002. – 368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bookmarkEnd w:id="50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51" w:name="_Ref478906844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Glotz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Der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Irrweg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des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Nationalstaats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europaische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Reden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ein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deutsches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Publicum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Stuttgart, 1990. – S. 89-125</w:t>
      </w:r>
      <w:bookmarkEnd w:id="51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52" w:name="_Ref478138568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Klep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C., van Gils R. Van Korea tot Kosovo: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fr-FR"/>
        </w:rPr>
        <w:t xml:space="preserve">De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Nederlandse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fr-FR"/>
        </w:rPr>
        <w:t>militaire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fr-FR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deelname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aan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vredesoperaties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sinds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1945. – Den Haag: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Sduuitgevers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1999. – 279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bookmarkEnd w:id="52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53" w:name="_Ref474592620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Meade J.E.,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Liesner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H.H., Wells S.J. Case Studies in European Economic Unity. The Mechanics of Integration. – London-New York-Toronto: «Oxford University Press», 1962. – 350 p.</w:t>
      </w:r>
      <w:bookmarkEnd w:id="53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54" w:name="_Ref478134425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Spaak P.-H. La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pensée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européenne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proofErr w:type="gram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atlantique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1942-1972. – Bruges, 1973.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Vol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1. – P. 202-203.</w:t>
      </w:r>
      <w:bookmarkEnd w:id="54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55" w:name="_Ref478909750"/>
      <w:r w:rsidRPr="0040011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Van </w:t>
      </w:r>
      <w:proofErr w:type="spellStart"/>
      <w:r w:rsidRPr="0040011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Keulen</w:t>
      </w:r>
      <w:proofErr w:type="spellEnd"/>
      <w:r w:rsidRPr="0040011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M.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Going Europe or Going Dutch. How the Dutch Government shapes European Union Policy. – Amsterdam, 2006. – 322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bookmarkEnd w:id="55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56" w:name="_Ref478138179"/>
      <w:r w:rsidRPr="0040011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Van </w:t>
      </w:r>
      <w:proofErr w:type="spellStart"/>
      <w:r w:rsidRPr="0040011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Staden</w:t>
      </w:r>
      <w:proofErr w:type="spellEnd"/>
      <w:r w:rsidRPr="0040011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A.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changing role of the Netherlands in the Atlantic Alliance </w:t>
      </w:r>
      <w:r w:rsidRPr="0040011A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11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West European Politics.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1989,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Vol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12, </w:t>
      </w:r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Issue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1. [Электронный ресурс]. – Режим доступа: </w:t>
      </w:r>
      <w:hyperlink r:id="rId7" w:history="1">
        <w:r w:rsidRPr="0040011A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http://dx.doi.org/10.1080/01402388908424725</w:t>
        </w:r>
      </w:hyperlink>
      <w:bookmarkEnd w:id="56"/>
    </w:p>
    <w:p w:rsidR="0040011A" w:rsidRPr="0040011A" w:rsidRDefault="0040011A" w:rsidP="0040011A">
      <w:pPr>
        <w:widowControl w:val="0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57" w:name="_Ref478137893"/>
      <w:proofErr w:type="spellStart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Voorhoeve</w:t>
      </w:r>
      <w:proofErr w:type="spellEnd"/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J.J.C. Peace, profits and principles: a study of Dutch foreign policy. – The Hague, 1979. – 325 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4001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bookmarkEnd w:id="57"/>
    </w:p>
    <w:p w:rsidR="0040011A" w:rsidRPr="0040011A" w:rsidRDefault="0040011A">
      <w:pPr>
        <w:rPr>
          <w:lang w:val="en-US"/>
        </w:rPr>
      </w:pPr>
      <w:bookmarkStart w:id="58" w:name="_GoBack"/>
      <w:bookmarkEnd w:id="58"/>
    </w:p>
    <w:sectPr w:rsidR="0040011A" w:rsidRPr="0040011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9336DE"/>
    <w:multiLevelType w:val="hybridMultilevel"/>
    <w:tmpl w:val="33465E1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B78"/>
    <w:rsid w:val="0040011A"/>
    <w:rsid w:val="00852042"/>
    <w:rsid w:val="00BD4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x.doi.org/10.1080/0140238890842472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ato.int/cps/ru/natolive/official_texts_17120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14155</Words>
  <Characters>8069</Characters>
  <Application>Microsoft Office Word</Application>
  <DocSecurity>0</DocSecurity>
  <Lines>67</Lines>
  <Paragraphs>44</Paragraphs>
  <ScaleCrop>false</ScaleCrop>
  <Company/>
  <LinksUpToDate>false</LinksUpToDate>
  <CharactersWithSpaces>22180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2018-04-23T10:27:00Z</dcterms:created>
  <dcterms:modified xsi:type="dcterms:W3CDTF">2018-04-23T10:28:00Z</dcterms:modified>
</cp:coreProperties>
</file>