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32ED" w:rsidRPr="00F8585E" w:rsidRDefault="003B32ED" w:rsidP="00836606">
      <w:pPr>
        <w:spacing w:after="0" w:line="240" w:lineRule="auto"/>
        <w:jc w:val="center"/>
        <w:rPr>
          <w:rFonts w:ascii="Times New Roman" w:eastAsia="Calibri" w:hAnsi="Times New Roman" w:cs="Times New Roman"/>
          <w:b/>
          <w:bCs/>
          <w:i/>
          <w:iCs/>
          <w:sz w:val="28"/>
          <w:szCs w:val="28"/>
          <w:lang w:val="uk-UA" w:eastAsia="ru-RU"/>
        </w:rPr>
      </w:pPr>
      <w:r w:rsidRPr="00F8585E">
        <w:rPr>
          <w:rFonts w:ascii="Times New Roman" w:eastAsia="Calibri" w:hAnsi="Times New Roman" w:cs="Times New Roman"/>
          <w:sz w:val="28"/>
          <w:szCs w:val="28"/>
          <w:lang w:val="uk-UA" w:eastAsia="ru-RU"/>
        </w:rPr>
        <w:t>Одеський національний університет імені І. І. Мечникова</w:t>
      </w:r>
    </w:p>
    <w:p w:rsidR="003B32ED" w:rsidRPr="00F8585E" w:rsidRDefault="003B32ED" w:rsidP="00836606">
      <w:pPr>
        <w:spacing w:after="0" w:line="240" w:lineRule="auto"/>
        <w:jc w:val="center"/>
        <w:rPr>
          <w:rFonts w:ascii="Times New Roman" w:eastAsia="Calibri" w:hAnsi="Times New Roman" w:cs="Times New Roman"/>
          <w:sz w:val="28"/>
          <w:szCs w:val="28"/>
          <w:lang w:val="uk-UA" w:eastAsia="ru-RU"/>
        </w:rPr>
      </w:pPr>
      <w:r w:rsidRPr="00F8585E">
        <w:rPr>
          <w:rFonts w:ascii="Times New Roman" w:eastAsia="Calibri" w:hAnsi="Times New Roman" w:cs="Times New Roman"/>
          <w:sz w:val="28"/>
          <w:szCs w:val="28"/>
          <w:lang w:val="uk-UA" w:eastAsia="ru-RU"/>
        </w:rPr>
        <w:t>Факультет міжнародних відносин, політології та соціології</w:t>
      </w:r>
    </w:p>
    <w:p w:rsidR="003B32ED" w:rsidRPr="00F8585E" w:rsidRDefault="003B32ED" w:rsidP="00836606">
      <w:pPr>
        <w:spacing w:after="0" w:line="240" w:lineRule="auto"/>
        <w:jc w:val="center"/>
        <w:rPr>
          <w:rFonts w:ascii="Times New Roman" w:eastAsia="Calibri" w:hAnsi="Times New Roman" w:cs="Times New Roman"/>
          <w:sz w:val="28"/>
          <w:szCs w:val="28"/>
          <w:lang w:val="uk-UA" w:eastAsia="ru-RU"/>
        </w:rPr>
      </w:pPr>
      <w:r w:rsidRPr="00F8585E">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rsidR="003B32ED" w:rsidRPr="00F8585E" w:rsidRDefault="003B32ED" w:rsidP="00836606">
      <w:pPr>
        <w:spacing w:after="0" w:line="240" w:lineRule="auto"/>
        <w:ind w:firstLine="709"/>
        <w:jc w:val="center"/>
        <w:rPr>
          <w:rFonts w:ascii="Times New Roman" w:eastAsia="Calibri" w:hAnsi="Times New Roman" w:cs="Times New Roman"/>
          <w:sz w:val="28"/>
          <w:szCs w:val="28"/>
          <w:u w:val="single"/>
          <w:lang w:val="uk-UA" w:eastAsia="ru-RU"/>
        </w:rPr>
      </w:pPr>
    </w:p>
    <w:p w:rsidR="003B32ED" w:rsidRPr="00F8585E" w:rsidRDefault="003B32ED" w:rsidP="00836606">
      <w:pPr>
        <w:spacing w:after="0" w:line="240" w:lineRule="auto"/>
        <w:ind w:firstLine="709"/>
        <w:jc w:val="center"/>
        <w:rPr>
          <w:rFonts w:ascii="Times New Roman" w:eastAsia="Calibri" w:hAnsi="Times New Roman" w:cs="Times New Roman"/>
          <w:sz w:val="28"/>
          <w:szCs w:val="28"/>
          <w:u w:val="single"/>
          <w:lang w:val="uk-UA" w:eastAsia="ru-RU"/>
        </w:rPr>
      </w:pPr>
    </w:p>
    <w:p w:rsidR="003B32ED" w:rsidRPr="00F8585E" w:rsidRDefault="003B32ED" w:rsidP="00836606">
      <w:pPr>
        <w:spacing w:after="0" w:line="240" w:lineRule="auto"/>
        <w:ind w:firstLine="709"/>
        <w:jc w:val="center"/>
        <w:rPr>
          <w:rFonts w:ascii="Times New Roman" w:eastAsia="Calibri" w:hAnsi="Times New Roman" w:cs="Times New Roman"/>
          <w:sz w:val="28"/>
          <w:szCs w:val="28"/>
          <w:u w:val="single"/>
          <w:lang w:val="uk-UA" w:eastAsia="ru-RU"/>
        </w:rPr>
      </w:pPr>
    </w:p>
    <w:p w:rsidR="003B32ED" w:rsidRPr="00F8585E" w:rsidRDefault="003B32ED" w:rsidP="00836606">
      <w:pPr>
        <w:spacing w:after="0" w:line="240" w:lineRule="auto"/>
        <w:ind w:firstLine="709"/>
        <w:jc w:val="center"/>
        <w:rPr>
          <w:rFonts w:ascii="Times New Roman" w:eastAsia="Calibri" w:hAnsi="Times New Roman" w:cs="Times New Roman"/>
          <w:sz w:val="28"/>
          <w:szCs w:val="28"/>
          <w:u w:val="single"/>
          <w:lang w:val="uk-UA" w:eastAsia="ru-RU"/>
        </w:rPr>
      </w:pPr>
    </w:p>
    <w:p w:rsidR="003B32ED" w:rsidRPr="00F8585E" w:rsidRDefault="003B32ED" w:rsidP="00836606">
      <w:pPr>
        <w:spacing w:after="0" w:line="360" w:lineRule="auto"/>
        <w:jc w:val="center"/>
        <w:rPr>
          <w:rFonts w:ascii="Times New Roman" w:eastAsia="Calibri" w:hAnsi="Times New Roman" w:cs="Times New Roman"/>
          <w:b/>
          <w:bCs/>
          <w:sz w:val="28"/>
          <w:szCs w:val="28"/>
          <w:lang w:val="uk-UA" w:eastAsia="ru-RU"/>
        </w:rPr>
      </w:pPr>
      <w:r w:rsidRPr="00F8585E">
        <w:rPr>
          <w:rFonts w:ascii="Times New Roman" w:eastAsia="Calibri" w:hAnsi="Times New Roman" w:cs="Times New Roman"/>
          <w:b/>
          <w:bCs/>
          <w:sz w:val="28"/>
          <w:szCs w:val="28"/>
          <w:lang w:val="uk-UA" w:eastAsia="ru-RU"/>
        </w:rPr>
        <w:t>ДИПЛОМНА РОБОТА</w:t>
      </w:r>
    </w:p>
    <w:p w:rsidR="003B32ED" w:rsidRPr="00F8585E" w:rsidRDefault="003B32ED" w:rsidP="00836606">
      <w:pPr>
        <w:spacing w:after="0" w:line="360" w:lineRule="auto"/>
        <w:jc w:val="center"/>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eastAsia="ru-RU"/>
        </w:rPr>
        <w:t xml:space="preserve">на здобуття ступеня вищої освіти </w:t>
      </w:r>
      <w:r w:rsidRPr="00F8585E">
        <w:rPr>
          <w:rFonts w:ascii="Times New Roman" w:eastAsia="Calibri" w:hAnsi="Times New Roman" w:cs="Times New Roman"/>
          <w:sz w:val="28"/>
          <w:szCs w:val="28"/>
          <w:lang w:val="uk-UA" w:eastAsia="uk-UA"/>
        </w:rPr>
        <w:t>«</w:t>
      </w:r>
      <w:r w:rsidRPr="00F8585E">
        <w:rPr>
          <w:rFonts w:ascii="Times New Roman" w:eastAsia="Calibri" w:hAnsi="Times New Roman" w:cs="Times New Roman"/>
          <w:sz w:val="28"/>
          <w:szCs w:val="28"/>
          <w:lang w:val="uk-UA" w:eastAsia="ru-RU"/>
        </w:rPr>
        <w:t>бакалавр</w:t>
      </w:r>
      <w:r w:rsidRPr="00F8585E">
        <w:rPr>
          <w:rFonts w:ascii="Times New Roman" w:eastAsia="Calibri" w:hAnsi="Times New Roman" w:cs="Times New Roman"/>
          <w:sz w:val="28"/>
          <w:szCs w:val="28"/>
          <w:lang w:val="uk-UA"/>
        </w:rPr>
        <w:t>»</w:t>
      </w:r>
    </w:p>
    <w:p w:rsidR="003B32ED" w:rsidRPr="00F8585E" w:rsidRDefault="003B32ED" w:rsidP="00836606">
      <w:pPr>
        <w:spacing w:after="0" w:line="360" w:lineRule="auto"/>
        <w:jc w:val="center"/>
        <w:rPr>
          <w:rFonts w:ascii="Times New Roman" w:eastAsia="Calibri" w:hAnsi="Times New Roman" w:cs="Times New Roman"/>
          <w:b/>
          <w:bCs/>
          <w:sz w:val="28"/>
          <w:szCs w:val="28"/>
          <w:lang w:val="uk-UA"/>
        </w:rPr>
      </w:pPr>
      <w:r w:rsidRPr="00F8585E">
        <w:rPr>
          <w:rFonts w:ascii="Times New Roman" w:eastAsia="Calibri" w:hAnsi="Times New Roman" w:cs="Times New Roman"/>
          <w:b/>
          <w:bCs/>
          <w:sz w:val="28"/>
          <w:szCs w:val="28"/>
          <w:lang w:val="uk-UA" w:eastAsia="uk-UA"/>
        </w:rPr>
        <w:t>на тему: «</w:t>
      </w:r>
      <w:r w:rsidR="004A62EA" w:rsidRPr="00F8585E">
        <w:rPr>
          <w:rFonts w:ascii="Times New Roman" w:eastAsia="Calibri" w:hAnsi="Times New Roman" w:cs="Times New Roman"/>
          <w:b/>
          <w:color w:val="000000"/>
          <w:sz w:val="28"/>
          <w:szCs w:val="28"/>
          <w:lang w:val="uk-UA"/>
        </w:rPr>
        <w:t>ІНВЕСТИЦІЙНИЙ КЛІМАТ ТА ТРАНСНАЦІОНАЛЬНА ДІЯЛЬНІСТЬ: АНАЛІЗ РЕГІОНАЛЬНИХ ОСОБЛИВОСТЕЙ</w:t>
      </w:r>
      <w:r w:rsidRPr="00F8585E">
        <w:rPr>
          <w:rFonts w:ascii="Times New Roman" w:eastAsia="Calibri" w:hAnsi="Times New Roman" w:cs="Times New Roman"/>
          <w:b/>
          <w:bCs/>
          <w:sz w:val="28"/>
          <w:szCs w:val="28"/>
          <w:lang w:val="uk-UA"/>
        </w:rPr>
        <w:t>»</w:t>
      </w:r>
    </w:p>
    <w:p w:rsidR="003B32ED" w:rsidRPr="00F8585E" w:rsidRDefault="003B32ED" w:rsidP="00836606">
      <w:pPr>
        <w:spacing w:after="0" w:line="240" w:lineRule="auto"/>
        <w:jc w:val="center"/>
        <w:rPr>
          <w:rFonts w:ascii="Times New Roman" w:eastAsia="Calibri" w:hAnsi="Times New Roman" w:cs="Times New Roman"/>
          <w:sz w:val="28"/>
          <w:szCs w:val="28"/>
          <w:lang w:val="uk-UA" w:eastAsia="ru-RU"/>
        </w:rPr>
      </w:pPr>
      <w:r w:rsidRPr="00F8585E">
        <w:rPr>
          <w:rFonts w:ascii="Times New Roman" w:eastAsia="Calibri" w:hAnsi="Times New Roman" w:cs="Times New Roman"/>
          <w:sz w:val="24"/>
          <w:szCs w:val="24"/>
          <w:lang w:val="uk-UA"/>
        </w:rPr>
        <w:t>«</w:t>
      </w:r>
      <w:r w:rsidR="004A62EA" w:rsidRPr="00F8585E">
        <w:rPr>
          <w:rFonts w:ascii="Times New Roman" w:eastAsia="Calibri" w:hAnsi="Times New Roman" w:cs="Times New Roman"/>
          <w:sz w:val="24"/>
          <w:szCs w:val="24"/>
          <w:lang w:val="uk-UA"/>
        </w:rPr>
        <w:t>Investment Climate and Transnational Activity: Analysis of Regional Specifics</w:t>
      </w:r>
      <w:r w:rsidRPr="00F8585E">
        <w:rPr>
          <w:rFonts w:ascii="Times New Roman" w:eastAsia="Calibri" w:hAnsi="Times New Roman" w:cs="Times New Roman"/>
          <w:sz w:val="24"/>
          <w:szCs w:val="24"/>
          <w:lang w:val="uk-UA"/>
        </w:rPr>
        <w:t>»</w:t>
      </w:r>
    </w:p>
    <w:p w:rsidR="003B32ED" w:rsidRPr="00F8585E" w:rsidRDefault="003B32ED" w:rsidP="00836606">
      <w:pPr>
        <w:spacing w:after="0" w:line="240" w:lineRule="auto"/>
        <w:rPr>
          <w:rFonts w:ascii="Times New Roman" w:eastAsia="Calibri" w:hAnsi="Times New Roman" w:cs="Times New Roman"/>
          <w:sz w:val="28"/>
          <w:szCs w:val="28"/>
          <w:lang w:val="uk-UA" w:eastAsia="ru-RU"/>
        </w:rPr>
      </w:pPr>
    </w:p>
    <w:p w:rsidR="003B32ED" w:rsidRPr="00F8585E" w:rsidRDefault="003B32ED" w:rsidP="00836606">
      <w:pPr>
        <w:spacing w:after="0" w:line="240" w:lineRule="auto"/>
        <w:rPr>
          <w:rFonts w:ascii="Times New Roman" w:eastAsia="Calibri" w:hAnsi="Times New Roman" w:cs="Times New Roman"/>
          <w:sz w:val="28"/>
          <w:szCs w:val="28"/>
          <w:lang w:val="uk-UA" w:eastAsia="ru-RU"/>
        </w:rPr>
      </w:pPr>
    </w:p>
    <w:p w:rsidR="003B32ED" w:rsidRPr="00F8585E" w:rsidRDefault="003B32ED" w:rsidP="00836606">
      <w:pPr>
        <w:spacing w:after="0" w:line="240" w:lineRule="auto"/>
        <w:ind w:firstLine="709"/>
        <w:jc w:val="both"/>
        <w:rPr>
          <w:rFonts w:ascii="Times New Roman" w:eastAsia="Calibri" w:hAnsi="Times New Roman" w:cs="Times New Roman"/>
          <w:sz w:val="28"/>
          <w:szCs w:val="28"/>
          <w:lang w:val="uk-UA" w:eastAsia="ru-RU"/>
        </w:rPr>
      </w:pPr>
    </w:p>
    <w:p w:rsidR="003B32ED" w:rsidRPr="00F8585E" w:rsidRDefault="004A62EA" w:rsidP="00836606">
      <w:pPr>
        <w:spacing w:after="0" w:line="240" w:lineRule="auto"/>
        <w:ind w:left="3402" w:hanging="120"/>
        <w:jc w:val="right"/>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rPr>
        <w:t xml:space="preserve">         Виконав студент</w:t>
      </w:r>
      <w:r w:rsidR="003B32ED" w:rsidRPr="00F8585E">
        <w:rPr>
          <w:rFonts w:ascii="Times New Roman" w:eastAsia="Calibri" w:hAnsi="Times New Roman" w:cs="Times New Roman"/>
          <w:sz w:val="28"/>
          <w:szCs w:val="28"/>
          <w:lang w:val="uk-UA"/>
        </w:rPr>
        <w:t xml:space="preserve"> денної форми навчання</w:t>
      </w:r>
    </w:p>
    <w:p w:rsidR="003B32ED" w:rsidRPr="00F8585E" w:rsidRDefault="003B32ED" w:rsidP="00836606">
      <w:pPr>
        <w:spacing w:after="0" w:line="240" w:lineRule="auto"/>
        <w:ind w:hanging="120"/>
        <w:jc w:val="right"/>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rPr>
        <w:t xml:space="preserve">                                                      Спеціальності 292</w:t>
      </w:r>
    </w:p>
    <w:p w:rsidR="003B32ED" w:rsidRPr="00F8585E" w:rsidRDefault="003B32ED" w:rsidP="00836606">
      <w:pPr>
        <w:spacing w:after="0" w:line="240" w:lineRule="auto"/>
        <w:ind w:hanging="120"/>
        <w:jc w:val="right"/>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rPr>
        <w:t xml:space="preserve">                                  </w:t>
      </w:r>
      <w:r w:rsidR="004A62EA" w:rsidRPr="00F8585E">
        <w:rPr>
          <w:rFonts w:ascii="Times New Roman" w:eastAsia="Calibri" w:hAnsi="Times New Roman" w:cs="Times New Roman"/>
          <w:sz w:val="28"/>
          <w:szCs w:val="28"/>
          <w:lang w:val="uk-UA"/>
        </w:rPr>
        <w:t xml:space="preserve">                    «Міжнародні </w:t>
      </w:r>
      <w:r w:rsidRPr="00F8585E">
        <w:rPr>
          <w:rFonts w:ascii="Times New Roman" w:eastAsia="Calibri" w:hAnsi="Times New Roman" w:cs="Times New Roman"/>
          <w:sz w:val="28"/>
          <w:szCs w:val="28"/>
          <w:lang w:val="uk-UA"/>
        </w:rPr>
        <w:t>економічні відносини»</w:t>
      </w:r>
    </w:p>
    <w:p w:rsidR="003B32ED" w:rsidRPr="00F8585E" w:rsidRDefault="008F7B6A" w:rsidP="00836606">
      <w:pPr>
        <w:spacing w:after="0" w:line="240" w:lineRule="auto"/>
        <w:ind w:hanging="120"/>
        <w:jc w:val="right"/>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rPr>
        <w:t>Л</w:t>
      </w:r>
      <w:r w:rsidR="00CA332D">
        <w:rPr>
          <w:rFonts w:ascii="Times New Roman" w:eastAsia="Calibri" w:hAnsi="Times New Roman" w:cs="Times New Roman"/>
          <w:sz w:val="28"/>
          <w:szCs w:val="28"/>
          <w:lang w:val="uk-UA"/>
        </w:rPr>
        <w:t>і</w:t>
      </w:r>
      <w:r w:rsidRPr="00F8585E">
        <w:rPr>
          <w:rFonts w:ascii="Times New Roman" w:eastAsia="Calibri" w:hAnsi="Times New Roman" w:cs="Times New Roman"/>
          <w:sz w:val="28"/>
          <w:szCs w:val="28"/>
          <w:lang w:val="uk-UA"/>
        </w:rPr>
        <w:t>твак Кирил</w:t>
      </w:r>
      <w:r w:rsidR="00CA332D">
        <w:rPr>
          <w:rFonts w:ascii="Times New Roman" w:eastAsia="Calibri" w:hAnsi="Times New Roman" w:cs="Times New Roman"/>
          <w:sz w:val="28"/>
          <w:szCs w:val="28"/>
          <w:lang w:val="uk-UA"/>
        </w:rPr>
        <w:t>о</w:t>
      </w:r>
      <w:r w:rsidR="003B32ED" w:rsidRPr="00F8585E">
        <w:rPr>
          <w:rFonts w:ascii="Times New Roman" w:eastAsia="Calibri" w:hAnsi="Times New Roman" w:cs="Times New Roman"/>
          <w:sz w:val="28"/>
          <w:szCs w:val="28"/>
          <w:lang w:val="uk-UA"/>
        </w:rPr>
        <w:t xml:space="preserve">                                                    </w:t>
      </w:r>
    </w:p>
    <w:p w:rsidR="003B32ED" w:rsidRPr="00F8585E" w:rsidRDefault="003B32ED" w:rsidP="00836606">
      <w:pPr>
        <w:spacing w:after="0" w:line="240" w:lineRule="auto"/>
        <w:ind w:firstLine="240"/>
        <w:jc w:val="right"/>
        <w:rPr>
          <w:rFonts w:ascii="Times New Roman" w:eastAsia="Calibri" w:hAnsi="Times New Roman" w:cs="Times New Roman"/>
          <w:sz w:val="28"/>
          <w:szCs w:val="28"/>
          <w:u w:val="single"/>
          <w:lang w:val="uk-UA"/>
        </w:rPr>
      </w:pPr>
      <w:r w:rsidRPr="00F8585E">
        <w:rPr>
          <w:rFonts w:ascii="Times New Roman" w:eastAsia="Calibri" w:hAnsi="Times New Roman" w:cs="Times New Roman"/>
          <w:sz w:val="28"/>
          <w:szCs w:val="28"/>
          <w:lang w:val="uk-UA"/>
        </w:rPr>
        <w:t xml:space="preserve">                                                    </w:t>
      </w:r>
    </w:p>
    <w:p w:rsidR="003B32ED" w:rsidRPr="00F8585E" w:rsidRDefault="003B32ED" w:rsidP="00836606">
      <w:pPr>
        <w:spacing w:after="0" w:line="240" w:lineRule="auto"/>
        <w:ind w:hanging="120"/>
        <w:jc w:val="right"/>
        <w:rPr>
          <w:rFonts w:ascii="Times New Roman" w:eastAsia="Calibri" w:hAnsi="Times New Roman" w:cs="Times New Roman"/>
          <w:sz w:val="28"/>
          <w:szCs w:val="28"/>
          <w:lang w:val="uk-UA" w:eastAsia="ru-RU"/>
        </w:rPr>
      </w:pPr>
    </w:p>
    <w:p w:rsidR="003B32ED" w:rsidRPr="00F8585E" w:rsidRDefault="003B32ED" w:rsidP="00836606">
      <w:pPr>
        <w:spacing w:after="0" w:line="240" w:lineRule="auto"/>
        <w:ind w:left="-142" w:firstLine="3119"/>
        <w:jc w:val="right"/>
        <w:rPr>
          <w:rFonts w:ascii="Times New Roman" w:eastAsia="Calibri" w:hAnsi="Times New Roman" w:cs="Times New Roman"/>
          <w:sz w:val="28"/>
          <w:szCs w:val="28"/>
          <w:lang w:val="uk-UA" w:eastAsia="ru-RU"/>
        </w:rPr>
      </w:pPr>
      <w:r w:rsidRPr="00F8585E">
        <w:rPr>
          <w:rFonts w:ascii="Times New Roman" w:eastAsia="Calibri" w:hAnsi="Times New Roman" w:cs="Times New Roman"/>
          <w:sz w:val="28"/>
          <w:szCs w:val="28"/>
          <w:lang w:val="uk-UA" w:eastAsia="ru-RU"/>
        </w:rPr>
        <w:t>Науковий керівник:</w:t>
      </w:r>
    </w:p>
    <w:p w:rsidR="003B32ED" w:rsidRPr="00F8585E" w:rsidRDefault="003B32ED" w:rsidP="00836606">
      <w:pPr>
        <w:spacing w:after="0" w:line="240" w:lineRule="auto"/>
        <w:ind w:firstLine="240"/>
        <w:jc w:val="right"/>
        <w:rPr>
          <w:rFonts w:ascii="Times New Roman" w:eastAsia="Calibri" w:hAnsi="Times New Roman" w:cs="Times New Roman"/>
          <w:sz w:val="28"/>
          <w:szCs w:val="28"/>
          <w:lang w:val="uk-UA" w:eastAsia="ru-RU"/>
        </w:rPr>
      </w:pPr>
      <w:r w:rsidRPr="00F8585E">
        <w:rPr>
          <w:rFonts w:ascii="Times New Roman" w:eastAsia="Calibri" w:hAnsi="Times New Roman" w:cs="Times New Roman"/>
          <w:sz w:val="28"/>
          <w:szCs w:val="28"/>
          <w:lang w:val="uk-UA" w:eastAsia="ru-RU"/>
        </w:rPr>
        <w:t xml:space="preserve">к.е.н., доц. </w:t>
      </w:r>
      <w:r w:rsidR="004A62EA" w:rsidRPr="00F8585E">
        <w:rPr>
          <w:rFonts w:ascii="Times New Roman" w:eastAsia="Calibri" w:hAnsi="Times New Roman" w:cs="Times New Roman"/>
          <w:sz w:val="28"/>
          <w:szCs w:val="28"/>
          <w:lang w:val="uk-UA" w:eastAsia="ru-RU"/>
        </w:rPr>
        <w:t>Бичкова Н. В.</w:t>
      </w:r>
    </w:p>
    <w:p w:rsidR="003B32ED" w:rsidRPr="00F8585E" w:rsidRDefault="003B32ED" w:rsidP="00836606">
      <w:pPr>
        <w:spacing w:after="0" w:line="240" w:lineRule="auto"/>
        <w:ind w:firstLine="240"/>
        <w:jc w:val="right"/>
        <w:rPr>
          <w:rFonts w:ascii="Times New Roman" w:eastAsia="Calibri" w:hAnsi="Times New Roman" w:cs="Times New Roman"/>
          <w:sz w:val="28"/>
          <w:szCs w:val="28"/>
          <w:lang w:val="uk-UA" w:eastAsia="ru-RU"/>
        </w:rPr>
      </w:pPr>
    </w:p>
    <w:p w:rsidR="003B32ED" w:rsidRPr="00F8585E" w:rsidRDefault="003B32ED" w:rsidP="00836606">
      <w:pPr>
        <w:spacing w:after="0" w:line="240" w:lineRule="auto"/>
        <w:ind w:firstLine="240"/>
        <w:jc w:val="right"/>
        <w:rPr>
          <w:rFonts w:ascii="Times New Roman" w:eastAsia="Calibri" w:hAnsi="Times New Roman" w:cs="Times New Roman"/>
          <w:sz w:val="28"/>
          <w:szCs w:val="28"/>
          <w:lang w:val="uk-UA" w:eastAsia="ru-RU"/>
        </w:rPr>
      </w:pPr>
      <w:r w:rsidRPr="00F8585E">
        <w:rPr>
          <w:rFonts w:ascii="Times New Roman" w:eastAsia="Calibri" w:hAnsi="Times New Roman" w:cs="Times New Roman"/>
          <w:sz w:val="28"/>
          <w:szCs w:val="28"/>
          <w:lang w:val="uk-UA" w:eastAsia="ru-RU"/>
        </w:rPr>
        <w:t xml:space="preserve">                                     </w:t>
      </w:r>
    </w:p>
    <w:p w:rsidR="003B32ED" w:rsidRPr="00F8585E" w:rsidRDefault="003B32ED" w:rsidP="00836606">
      <w:pPr>
        <w:spacing w:after="0" w:line="240" w:lineRule="auto"/>
        <w:ind w:firstLine="709"/>
        <w:jc w:val="both"/>
        <w:rPr>
          <w:rFonts w:ascii="Times New Roman" w:eastAsia="Calibri" w:hAnsi="Times New Roman" w:cs="Times New Roman"/>
          <w:sz w:val="20"/>
          <w:szCs w:val="20"/>
          <w:lang w:val="uk-UA" w:eastAsia="ru-RU"/>
        </w:rPr>
      </w:pPr>
      <w:r w:rsidRPr="00F8585E">
        <w:rPr>
          <w:rFonts w:ascii="Times New Roman" w:eastAsia="Calibri" w:hAnsi="Times New Roman" w:cs="Times New Roman"/>
          <w:sz w:val="20"/>
          <w:szCs w:val="20"/>
          <w:lang w:val="uk-UA" w:eastAsia="ru-RU"/>
        </w:rPr>
        <w:t xml:space="preserve">                                                                                                 </w:t>
      </w:r>
      <w:r w:rsidRPr="00F8585E">
        <w:rPr>
          <w:rFonts w:ascii="Times New Roman" w:eastAsia="Calibri" w:hAnsi="Times New Roman" w:cs="Times New Roman"/>
          <w:sz w:val="28"/>
          <w:szCs w:val="28"/>
          <w:lang w:val="uk-UA" w:eastAsia="ru-RU"/>
        </w:rPr>
        <w:t xml:space="preserve">                                      </w:t>
      </w:r>
    </w:p>
    <w:p w:rsidR="003B32ED" w:rsidRPr="00F8585E" w:rsidRDefault="003B32ED" w:rsidP="00836606">
      <w:pPr>
        <w:spacing w:after="0" w:line="240" w:lineRule="auto"/>
        <w:ind w:firstLine="709"/>
        <w:jc w:val="both"/>
        <w:rPr>
          <w:rFonts w:ascii="Times New Roman" w:eastAsia="Calibri" w:hAnsi="Times New Roman" w:cs="Times New Roman"/>
          <w:sz w:val="28"/>
          <w:szCs w:val="28"/>
          <w:lang w:val="uk-UA" w:eastAsia="ru-RU"/>
        </w:rPr>
      </w:pP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r w:rsidRPr="00F8585E">
        <w:rPr>
          <w:rFonts w:ascii="Times New Roman" w:eastAsia="Calibri" w:hAnsi="Times New Roman" w:cs="Times New Roman"/>
          <w:color w:val="000000"/>
          <w:sz w:val="28"/>
          <w:szCs w:val="28"/>
          <w:lang w:val="uk-UA"/>
        </w:rPr>
        <w:t>Рекомендовано до захисту:                 Захищено на засіданні ЕК №</w:t>
      </w:r>
      <w:r w:rsidRPr="00F8585E">
        <w:rPr>
          <w:rFonts w:ascii="Times New Roman" w:eastAsia="Calibri" w:hAnsi="Times New Roman" w:cs="Times New Roman"/>
          <w:color w:val="000000"/>
          <w:sz w:val="28"/>
          <w:szCs w:val="28"/>
          <w:highlight w:val="yellow"/>
          <w:lang w:val="uk-UA"/>
        </w:rPr>
        <w:t xml:space="preserve"> </w:t>
      </w: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r w:rsidRPr="00F8585E">
        <w:rPr>
          <w:rFonts w:ascii="Times New Roman" w:eastAsia="Calibri" w:hAnsi="Times New Roman" w:cs="Times New Roman"/>
          <w:color w:val="000000"/>
          <w:sz w:val="28"/>
          <w:szCs w:val="28"/>
          <w:lang w:val="uk-UA"/>
        </w:rPr>
        <w:t xml:space="preserve">Протокол засідання кафедри               протокол №___від </w:t>
      </w:r>
      <w:r w:rsidR="004A62EA" w:rsidRPr="00F8585E">
        <w:rPr>
          <w:rFonts w:ascii="Times New Roman" w:eastAsia="Calibri" w:hAnsi="Times New Roman" w:cs="Times New Roman"/>
          <w:color w:val="000000"/>
          <w:sz w:val="28"/>
          <w:szCs w:val="28"/>
          <w:lang w:val="uk-UA"/>
        </w:rPr>
        <w:t xml:space="preserve">___. 2024 </w:t>
      </w:r>
      <w:r w:rsidRPr="00F8585E">
        <w:rPr>
          <w:rFonts w:ascii="Times New Roman" w:eastAsia="Calibri" w:hAnsi="Times New Roman" w:cs="Times New Roman"/>
          <w:color w:val="000000"/>
          <w:sz w:val="28"/>
          <w:szCs w:val="28"/>
          <w:lang w:val="uk-UA"/>
        </w:rPr>
        <w:t>р.</w:t>
      </w:r>
    </w:p>
    <w:p w:rsidR="003B32ED" w:rsidRPr="00F8585E" w:rsidRDefault="003B32ED" w:rsidP="00836606">
      <w:pPr>
        <w:widowControl w:val="0"/>
        <w:spacing w:after="0" w:line="360" w:lineRule="auto"/>
        <w:jc w:val="both"/>
        <w:rPr>
          <w:rFonts w:ascii="Times New Roman" w:eastAsia="Calibri" w:hAnsi="Times New Roman" w:cs="Times New Roman"/>
          <w:color w:val="000000"/>
          <w:sz w:val="28"/>
          <w:szCs w:val="28"/>
          <w:lang w:val="uk-UA"/>
        </w:rPr>
      </w:pPr>
      <w:r w:rsidRPr="00F8585E">
        <w:rPr>
          <w:rFonts w:ascii="Times New Roman" w:eastAsia="Calibri" w:hAnsi="Times New Roman" w:cs="Times New Roman"/>
          <w:color w:val="000000"/>
          <w:sz w:val="28"/>
          <w:szCs w:val="28"/>
          <w:lang w:val="uk-UA"/>
        </w:rPr>
        <w:t xml:space="preserve">                                                .                         Оцінка____________/______/______                         </w:t>
      </w: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r w:rsidRPr="00F8585E">
        <w:rPr>
          <w:rFonts w:ascii="Times New Roman" w:eastAsia="Calibri" w:hAnsi="Times New Roman" w:cs="Times New Roman"/>
          <w:color w:val="000000"/>
          <w:sz w:val="28"/>
          <w:szCs w:val="28"/>
          <w:lang w:val="uk-UA"/>
        </w:rPr>
        <w:t>Завідувач кафедри                                 Голова ЕК</w:t>
      </w: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p>
    <w:p w:rsidR="003B32ED" w:rsidRPr="00F8585E" w:rsidRDefault="003B32ED" w:rsidP="00836606">
      <w:pPr>
        <w:widowControl w:val="0"/>
        <w:spacing w:after="0" w:line="360" w:lineRule="auto"/>
        <w:ind w:firstLine="709"/>
        <w:jc w:val="both"/>
        <w:rPr>
          <w:rFonts w:ascii="Times New Roman" w:eastAsia="Calibri" w:hAnsi="Times New Roman" w:cs="Times New Roman"/>
          <w:color w:val="000000"/>
          <w:sz w:val="28"/>
          <w:szCs w:val="28"/>
          <w:lang w:val="uk-UA"/>
        </w:rPr>
      </w:pPr>
      <w:r w:rsidRPr="00F8585E">
        <w:rPr>
          <w:rFonts w:ascii="Times New Roman" w:eastAsia="Calibri" w:hAnsi="Times New Roman" w:cs="Times New Roman"/>
          <w:color w:val="000000"/>
          <w:sz w:val="28"/>
          <w:szCs w:val="28"/>
          <w:lang w:val="uk-UA"/>
        </w:rPr>
        <w:t>_________  Якубовський С.О.              __________ Якубовський С.О.</w:t>
      </w:r>
    </w:p>
    <w:p w:rsidR="003B32ED" w:rsidRPr="00F8585E" w:rsidRDefault="003B32ED" w:rsidP="00836606">
      <w:pPr>
        <w:spacing w:after="0" w:line="240" w:lineRule="auto"/>
        <w:ind w:firstLine="709"/>
        <w:jc w:val="center"/>
        <w:rPr>
          <w:rFonts w:ascii="Times New Roman" w:eastAsia="Calibri" w:hAnsi="Times New Roman" w:cs="Times New Roman"/>
          <w:sz w:val="28"/>
          <w:szCs w:val="28"/>
          <w:lang w:val="uk-UA" w:eastAsia="ru-RU"/>
        </w:rPr>
      </w:pPr>
    </w:p>
    <w:p w:rsidR="003B32ED" w:rsidRPr="00F8585E" w:rsidRDefault="003B32ED" w:rsidP="00836606">
      <w:pPr>
        <w:spacing w:after="0" w:line="240" w:lineRule="auto"/>
        <w:ind w:firstLine="709"/>
        <w:jc w:val="center"/>
        <w:rPr>
          <w:rFonts w:ascii="Times New Roman" w:eastAsia="Calibri" w:hAnsi="Times New Roman" w:cs="Times New Roman"/>
          <w:sz w:val="28"/>
          <w:szCs w:val="28"/>
          <w:lang w:val="uk-UA" w:eastAsia="ru-RU"/>
        </w:rPr>
      </w:pPr>
    </w:p>
    <w:p w:rsidR="003B32ED" w:rsidRPr="00F8585E" w:rsidRDefault="003B32ED" w:rsidP="00836606">
      <w:pPr>
        <w:spacing w:after="0" w:line="240" w:lineRule="auto"/>
        <w:ind w:firstLine="709"/>
        <w:jc w:val="center"/>
        <w:rPr>
          <w:rFonts w:ascii="Times New Roman" w:eastAsia="Calibri" w:hAnsi="Times New Roman" w:cs="Times New Roman"/>
          <w:sz w:val="28"/>
          <w:szCs w:val="28"/>
          <w:lang w:val="uk-UA" w:eastAsia="ru-RU"/>
        </w:rPr>
      </w:pPr>
    </w:p>
    <w:p w:rsidR="004A62EA" w:rsidRPr="00F8585E" w:rsidRDefault="004A62EA" w:rsidP="00836606">
      <w:pPr>
        <w:spacing w:after="0" w:line="240" w:lineRule="auto"/>
        <w:ind w:firstLine="709"/>
        <w:jc w:val="center"/>
        <w:rPr>
          <w:rFonts w:ascii="Times New Roman" w:eastAsia="Calibri" w:hAnsi="Times New Roman" w:cs="Times New Roman"/>
          <w:sz w:val="28"/>
          <w:szCs w:val="28"/>
          <w:lang w:val="uk-UA" w:eastAsia="ru-RU"/>
        </w:rPr>
      </w:pPr>
    </w:p>
    <w:p w:rsidR="003B32ED" w:rsidRPr="00F8585E" w:rsidRDefault="003B32ED" w:rsidP="00836606">
      <w:pPr>
        <w:spacing w:after="0" w:line="240" w:lineRule="auto"/>
        <w:rPr>
          <w:rFonts w:ascii="Times New Roman" w:eastAsia="Calibri" w:hAnsi="Times New Roman" w:cs="Times New Roman"/>
          <w:sz w:val="28"/>
          <w:szCs w:val="28"/>
          <w:lang w:val="uk-UA"/>
        </w:rPr>
      </w:pPr>
      <w:r w:rsidRPr="00F8585E">
        <w:rPr>
          <w:rFonts w:ascii="Times New Roman" w:eastAsia="Calibri" w:hAnsi="Times New Roman" w:cs="Times New Roman"/>
          <w:sz w:val="28"/>
          <w:szCs w:val="28"/>
          <w:lang w:val="uk-UA" w:eastAsia="ru-RU"/>
        </w:rPr>
        <w:t xml:space="preserve">                                      </w:t>
      </w:r>
      <w:r w:rsidR="004A62EA" w:rsidRPr="00F8585E">
        <w:rPr>
          <w:rFonts w:ascii="Times New Roman" w:eastAsia="Calibri" w:hAnsi="Times New Roman" w:cs="Times New Roman"/>
          <w:sz w:val="28"/>
          <w:szCs w:val="28"/>
          <w:lang w:val="uk-UA" w:eastAsia="ru-RU"/>
        </w:rPr>
        <w:t xml:space="preserve">                    Одеса – 2024</w:t>
      </w:r>
    </w:p>
    <w:p w:rsidR="003B32ED" w:rsidRPr="00F8585E" w:rsidRDefault="003B32ED" w:rsidP="00836606">
      <w:pPr>
        <w:spacing w:after="0" w:line="360" w:lineRule="auto"/>
        <w:jc w:val="center"/>
        <w:rPr>
          <w:rFonts w:ascii="Times New Roman" w:hAnsi="Times New Roman" w:cs="Times New Roman"/>
          <w:sz w:val="28"/>
          <w:szCs w:val="28"/>
          <w:lang w:val="uk-UA"/>
        </w:rPr>
      </w:pPr>
      <w:r w:rsidRPr="00F8585E">
        <w:rPr>
          <w:rFonts w:ascii="Times New Roman" w:eastAsia="Times New Roman" w:hAnsi="Times New Roman" w:cs="Times New Roman"/>
          <w:b/>
          <w:sz w:val="28"/>
          <w:szCs w:val="28"/>
          <w:lang w:val="uk-UA" w:eastAsia="ru-RU"/>
        </w:rPr>
        <w:lastRenderedPageBreak/>
        <w:t>ЗМІСТ</w:t>
      </w:r>
    </w:p>
    <w:p w:rsidR="003B32ED" w:rsidRPr="00F8585E" w:rsidRDefault="003B32ED" w:rsidP="00836606">
      <w:pPr>
        <w:spacing w:after="0" w:line="360" w:lineRule="auto"/>
        <w:ind w:firstLine="709"/>
        <w:jc w:val="both"/>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22"/>
        <w:gridCol w:w="532"/>
      </w:tblGrid>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ВСТУП……………………………………………………………………..……..</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3</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sz w:val="28"/>
                <w:szCs w:val="28"/>
                <w:lang w:val="uk-UA"/>
              </w:rPr>
              <w:t>РОЗДІЛ 1. ТЕОРЕТИЧНІ ОСНОВИ АНАЛІЗУ ІНВЕСТИЦІЙНОГО КЛІМАТУ ТА ТРАНСНАЦІОНАЛЬНОЇ ДІЯЛЬНОСТІ……..........................</w:t>
            </w:r>
          </w:p>
        </w:tc>
        <w:tc>
          <w:tcPr>
            <w:tcW w:w="53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5</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1.1. Сутність та взаємозв’язок інвестиційного клімату і транснаціональної діяльності.……………………………………………….…………..</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5</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 xml:space="preserve">1.2. </w:t>
            </w:r>
            <w:r w:rsidRPr="00F70853">
              <w:rPr>
                <w:rFonts w:ascii="Times New Roman" w:hAnsi="Times New Roman" w:cs="Times New Roman"/>
                <w:color w:val="000000" w:themeColor="text1"/>
                <w:sz w:val="28"/>
                <w:szCs w:val="28"/>
                <w:lang w:val="uk-UA"/>
              </w:rPr>
              <w:t>Чинники впливу інвестиційного клімату на транснаціональну діяльність</w:t>
            </w:r>
            <w:r w:rsidRPr="00F70853">
              <w:rPr>
                <w:rFonts w:ascii="Times New Roman" w:hAnsi="Times New Roman" w:cs="Times New Roman"/>
                <w:sz w:val="28"/>
                <w:szCs w:val="28"/>
                <w:lang w:val="uk-UA"/>
              </w:rPr>
              <w:t>...............................................................................................................</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11</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РОЗДІЛ 2. АНАЛІЗ РЕГІОНАЛЬНИХ ОСОБЛИВОСТЕЙ ІНВЕСТИЦІЙНОГО КЛІМАТУ ТА ВПЛИВУ НА ТРАНСНАЦІОНАЛЬНУ ДІЯЛЬНІСТЬ…………………………………………………………………….</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19</w:t>
            </w:r>
          </w:p>
        </w:tc>
      </w:tr>
      <w:tr w:rsidR="00F70853" w:rsidRPr="00F70853" w:rsidTr="00F70853">
        <w:tc>
          <w:tcPr>
            <w:tcW w:w="9322" w:type="dxa"/>
            <w:vAlign w:val="bottom"/>
            <w:hideMark/>
          </w:tcPr>
          <w:p w:rsidR="00F70853" w:rsidRPr="00F70853" w:rsidRDefault="00F70853" w:rsidP="00F70853">
            <w:pPr>
              <w:spacing w:after="0" w:line="360" w:lineRule="auto"/>
              <w:ind w:right="-1"/>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2.1.</w:t>
            </w:r>
            <w:r w:rsidRPr="00F70853">
              <w:rPr>
                <w:rFonts w:ascii="Times New Roman" w:hAnsi="Times New Roman" w:cs="Times New Roman"/>
                <w:bCs/>
                <w:sz w:val="28"/>
                <w:szCs w:val="28"/>
                <w:lang w:val="uk-UA"/>
              </w:rPr>
              <w:t xml:space="preserve"> </w:t>
            </w:r>
            <w:r w:rsidRPr="00F70853">
              <w:rPr>
                <w:rFonts w:ascii="Times New Roman" w:hAnsi="Times New Roman" w:cs="Times New Roman"/>
                <w:sz w:val="28"/>
                <w:szCs w:val="28"/>
                <w:lang w:val="uk-UA"/>
              </w:rPr>
              <w:t>Аналіз особливостей інвестиційного клімату в різних регіонах світу….</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19</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2.2.</w:t>
            </w:r>
            <w:r w:rsidRPr="00F70853">
              <w:rPr>
                <w:rFonts w:ascii="Times New Roman" w:hAnsi="Times New Roman" w:cs="Times New Roman"/>
                <w:bCs/>
                <w:sz w:val="28"/>
                <w:szCs w:val="28"/>
                <w:lang w:val="uk-UA"/>
              </w:rPr>
              <w:t xml:space="preserve"> </w:t>
            </w:r>
            <w:r w:rsidRPr="00F70853">
              <w:rPr>
                <w:rFonts w:ascii="Times New Roman" w:hAnsi="Times New Roman" w:cs="Times New Roman"/>
                <w:sz w:val="28"/>
                <w:szCs w:val="28"/>
                <w:lang w:val="uk-UA"/>
              </w:rPr>
              <w:t>Моделювання факторів впливу на транснаціональну діяльність………</w:t>
            </w:r>
          </w:p>
        </w:tc>
        <w:tc>
          <w:tcPr>
            <w:tcW w:w="532" w:type="dxa"/>
            <w:vAlign w:val="bottom"/>
            <w:hideMark/>
          </w:tcPr>
          <w:p w:rsidR="00F70853" w:rsidRPr="00F70853" w:rsidRDefault="00F70853" w:rsidP="00F70853">
            <w:pPr>
              <w:spacing w:after="0" w:line="360" w:lineRule="auto"/>
              <w:rPr>
                <w:rFonts w:ascii="Times New Roman" w:hAnsi="Times New Roman" w:cs="Times New Roman"/>
                <w:sz w:val="28"/>
                <w:szCs w:val="28"/>
                <w:lang w:val="uk-UA"/>
              </w:rPr>
            </w:pPr>
            <w:r w:rsidRPr="00F70853">
              <w:rPr>
                <w:rFonts w:ascii="Times New Roman" w:hAnsi="Times New Roman" w:cs="Times New Roman"/>
                <w:sz w:val="28"/>
                <w:szCs w:val="28"/>
                <w:lang w:val="uk-UA"/>
              </w:rPr>
              <w:t>36</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 xml:space="preserve">РОЗДІЛ 3. </w:t>
            </w:r>
            <w:r w:rsidRPr="00F70853">
              <w:rPr>
                <w:rFonts w:ascii="Times New Roman" w:hAnsi="Times New Roman" w:cs="Times New Roman"/>
                <w:color w:val="000000" w:themeColor="text1"/>
                <w:sz w:val="28"/>
                <w:szCs w:val="28"/>
                <w:lang w:val="uk-UA"/>
              </w:rPr>
              <w:t>ІНВЕСТИЦІЙНИЙ КЛІМАТ ТА ТРАНСНАЦІОНАЛЬНА ДІЯЛЬНІСТЬ В УКРАЇНІ</w:t>
            </w:r>
            <w:r w:rsidRPr="00F70853">
              <w:rPr>
                <w:rFonts w:ascii="Times New Roman" w:hAnsi="Times New Roman" w:cs="Times New Roman"/>
                <w:sz w:val="28"/>
                <w:szCs w:val="28"/>
                <w:lang w:val="uk-UA"/>
              </w:rPr>
              <w:t>…….…………………………………………………</w:t>
            </w:r>
          </w:p>
        </w:tc>
        <w:tc>
          <w:tcPr>
            <w:tcW w:w="532" w:type="dxa"/>
            <w:vAlign w:val="bottom"/>
            <w:hideMark/>
          </w:tcPr>
          <w:p w:rsidR="00F70853" w:rsidRPr="00F70853" w:rsidRDefault="00B515BC"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3.1. Стан інвестиційного клімату в Україні………………………………</w:t>
            </w:r>
          </w:p>
        </w:tc>
        <w:tc>
          <w:tcPr>
            <w:tcW w:w="532" w:type="dxa"/>
            <w:vAlign w:val="bottom"/>
            <w:hideMark/>
          </w:tcPr>
          <w:p w:rsidR="00F70853" w:rsidRPr="00F70853" w:rsidRDefault="00B515BC"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3.2. Перспективи поліпшення інвестиційного клімату та механізми залучення інвестицій в період післявоєнного відновлення………………....</w:t>
            </w:r>
          </w:p>
        </w:tc>
        <w:tc>
          <w:tcPr>
            <w:tcW w:w="532" w:type="dxa"/>
            <w:vAlign w:val="bottom"/>
            <w:hideMark/>
          </w:tcPr>
          <w:p w:rsidR="00F70853" w:rsidRPr="00F70853" w:rsidRDefault="00B515BC"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51</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ВИСНОВКИ……………………………………………………………………...</w:t>
            </w:r>
          </w:p>
        </w:tc>
        <w:tc>
          <w:tcPr>
            <w:tcW w:w="532" w:type="dxa"/>
            <w:vAlign w:val="bottom"/>
          </w:tcPr>
          <w:p w:rsidR="00F70853" w:rsidRPr="00F70853" w:rsidRDefault="00B515BC"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56</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СПИСОК ВИКОРИСТАНИХ ДЖЕРЕЛ………………………………………..</w:t>
            </w:r>
          </w:p>
        </w:tc>
        <w:tc>
          <w:tcPr>
            <w:tcW w:w="532" w:type="dxa"/>
            <w:vAlign w:val="bottom"/>
            <w:hideMark/>
          </w:tcPr>
          <w:p w:rsidR="00F70853" w:rsidRPr="00B515BC" w:rsidRDefault="00841733"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en-US"/>
              </w:rPr>
              <w:t>9</w:t>
            </w:r>
          </w:p>
        </w:tc>
      </w:tr>
      <w:tr w:rsidR="00F70853" w:rsidRPr="00F70853" w:rsidTr="00F70853">
        <w:tc>
          <w:tcPr>
            <w:tcW w:w="9322" w:type="dxa"/>
            <w:vAlign w:val="bottom"/>
            <w:hideMark/>
          </w:tcPr>
          <w:p w:rsidR="00F70853" w:rsidRPr="00F70853" w:rsidRDefault="00F70853" w:rsidP="00F70853">
            <w:pPr>
              <w:spacing w:after="0" w:line="360" w:lineRule="auto"/>
              <w:jc w:val="both"/>
              <w:rPr>
                <w:rFonts w:ascii="Times New Roman" w:hAnsi="Times New Roman" w:cs="Times New Roman"/>
                <w:sz w:val="28"/>
                <w:szCs w:val="28"/>
                <w:lang w:val="uk-UA"/>
              </w:rPr>
            </w:pPr>
            <w:r w:rsidRPr="00F70853">
              <w:rPr>
                <w:rFonts w:ascii="Times New Roman" w:hAnsi="Times New Roman" w:cs="Times New Roman"/>
                <w:sz w:val="28"/>
                <w:szCs w:val="28"/>
                <w:lang w:val="uk-UA"/>
              </w:rPr>
              <w:t>ДОДАТКИ………………………………………………………………………..</w:t>
            </w:r>
          </w:p>
        </w:tc>
        <w:tc>
          <w:tcPr>
            <w:tcW w:w="532" w:type="dxa"/>
            <w:vAlign w:val="bottom"/>
            <w:hideMark/>
          </w:tcPr>
          <w:p w:rsidR="00F70853" w:rsidRPr="00B515BC" w:rsidRDefault="00841733" w:rsidP="00F7085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en-US"/>
              </w:rPr>
              <w:t>6</w:t>
            </w:r>
          </w:p>
        </w:tc>
      </w:tr>
    </w:tbl>
    <w:p w:rsidR="003B32ED" w:rsidRPr="00F8585E" w:rsidRDefault="003B32ED" w:rsidP="00836606">
      <w:pPr>
        <w:spacing w:after="0" w:line="360" w:lineRule="auto"/>
        <w:rPr>
          <w:rFonts w:ascii="Times New Roman" w:hAnsi="Times New Roman" w:cs="Times New Roman"/>
          <w:sz w:val="28"/>
          <w:szCs w:val="28"/>
          <w:lang w:val="uk-UA"/>
        </w:rPr>
      </w:pPr>
    </w:p>
    <w:p w:rsidR="003B32ED" w:rsidRPr="00F8585E" w:rsidRDefault="003B32ED" w:rsidP="00836606">
      <w:pPr>
        <w:spacing w:after="0" w:line="360" w:lineRule="auto"/>
        <w:ind w:right="-1"/>
        <w:jc w:val="center"/>
        <w:rPr>
          <w:rFonts w:ascii="Times New Roman" w:hAnsi="Times New Roman" w:cs="Times New Roman"/>
          <w:sz w:val="28"/>
          <w:szCs w:val="28"/>
          <w:lang w:val="uk-UA"/>
        </w:rPr>
      </w:pPr>
    </w:p>
    <w:p w:rsidR="004A62EA" w:rsidRPr="00F8585E" w:rsidRDefault="004A62EA" w:rsidP="00836606">
      <w:pPr>
        <w:spacing w:after="0"/>
        <w:rPr>
          <w:rFonts w:ascii="Times New Roman" w:hAnsi="Times New Roman" w:cs="Times New Roman"/>
          <w:lang w:val="uk-UA"/>
        </w:rPr>
      </w:pPr>
    </w:p>
    <w:p w:rsidR="005948D7" w:rsidRPr="00F8585E" w:rsidRDefault="005948D7" w:rsidP="00836606">
      <w:pPr>
        <w:spacing w:after="0"/>
        <w:rPr>
          <w:rFonts w:ascii="Times New Roman" w:hAnsi="Times New Roman" w:cs="Times New Roman"/>
          <w:lang w:val="uk-UA"/>
        </w:rPr>
      </w:pPr>
    </w:p>
    <w:p w:rsidR="005948D7" w:rsidRPr="00F8585E" w:rsidRDefault="005948D7" w:rsidP="00836606">
      <w:pPr>
        <w:spacing w:after="0"/>
        <w:rPr>
          <w:rFonts w:ascii="Times New Roman" w:hAnsi="Times New Roman" w:cs="Times New Roman"/>
          <w:lang w:val="uk-UA"/>
        </w:rPr>
      </w:pPr>
    </w:p>
    <w:p w:rsidR="00EC1AE4" w:rsidRPr="00F8585E" w:rsidRDefault="00EC1AE4" w:rsidP="00836606">
      <w:pPr>
        <w:spacing w:after="0"/>
        <w:rPr>
          <w:rFonts w:ascii="Times New Roman" w:hAnsi="Times New Roman" w:cs="Times New Roman"/>
          <w:lang w:val="uk-UA"/>
        </w:rPr>
      </w:pPr>
    </w:p>
    <w:p w:rsidR="00EC1AE4" w:rsidRPr="00F8585E" w:rsidRDefault="00EC1AE4" w:rsidP="00836606">
      <w:pPr>
        <w:spacing w:after="0"/>
        <w:rPr>
          <w:rFonts w:ascii="Times New Roman" w:hAnsi="Times New Roman" w:cs="Times New Roman"/>
          <w:lang w:val="uk-UA"/>
        </w:rPr>
      </w:pPr>
    </w:p>
    <w:p w:rsidR="00E860BA" w:rsidRPr="00F8585E" w:rsidRDefault="00E860BA" w:rsidP="00836606">
      <w:pPr>
        <w:spacing w:after="0"/>
        <w:rPr>
          <w:rFonts w:ascii="Times New Roman" w:hAnsi="Times New Roman" w:cs="Times New Roman"/>
          <w:lang w:val="uk-UA"/>
        </w:rPr>
      </w:pPr>
    </w:p>
    <w:p w:rsidR="00E860BA" w:rsidRPr="00F8585E" w:rsidRDefault="00E860BA" w:rsidP="00836606">
      <w:pPr>
        <w:spacing w:after="0"/>
        <w:rPr>
          <w:rFonts w:ascii="Times New Roman" w:hAnsi="Times New Roman" w:cs="Times New Roman"/>
          <w:lang w:val="uk-UA"/>
        </w:rPr>
      </w:pPr>
    </w:p>
    <w:p w:rsidR="005948D7" w:rsidRPr="00F8585E" w:rsidRDefault="005948D7" w:rsidP="00836606">
      <w:pPr>
        <w:spacing w:after="0"/>
        <w:rPr>
          <w:rFonts w:ascii="Times New Roman" w:hAnsi="Times New Roman" w:cs="Times New Roman"/>
          <w:lang w:val="uk-UA"/>
        </w:rPr>
      </w:pPr>
    </w:p>
    <w:p w:rsidR="009C1484" w:rsidRPr="00F8585E" w:rsidRDefault="009C1484" w:rsidP="00836606">
      <w:pPr>
        <w:spacing w:after="0"/>
        <w:rPr>
          <w:rFonts w:ascii="Times New Roman" w:hAnsi="Times New Roman" w:cs="Times New Roman"/>
          <w:lang w:val="uk-UA"/>
        </w:rPr>
      </w:pPr>
    </w:p>
    <w:p w:rsidR="003B438F" w:rsidRPr="00F8585E" w:rsidRDefault="003B438F" w:rsidP="00836606">
      <w:pPr>
        <w:spacing w:after="0"/>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lastRenderedPageBreak/>
        <w:t>ВСТУП</w:t>
      </w:r>
    </w:p>
    <w:p w:rsidR="00B43A84" w:rsidRPr="00F8585E" w:rsidRDefault="00B43A84" w:rsidP="00836606">
      <w:pPr>
        <w:spacing w:after="0"/>
        <w:jc w:val="center"/>
        <w:rPr>
          <w:rFonts w:ascii="Times New Roman" w:hAnsi="Times New Roman" w:cs="Times New Roman"/>
          <w:b/>
          <w:sz w:val="28"/>
          <w:szCs w:val="28"/>
          <w:lang w:val="uk-UA"/>
        </w:rPr>
      </w:pPr>
    </w:p>
    <w:p w:rsidR="00EC1AE4" w:rsidRPr="00F70853" w:rsidRDefault="005948D7"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3B438F" w:rsidRPr="00F8585E">
        <w:rPr>
          <w:rFonts w:ascii="Times New Roman" w:hAnsi="Times New Roman" w:cs="Times New Roman"/>
          <w:sz w:val="28"/>
          <w:szCs w:val="28"/>
          <w:lang w:val="uk-UA"/>
        </w:rPr>
        <w:t>В епоху глобалізації та жорсткої конкуренції важко уявити сталий розвиток економіки країни без її активної участі у світогосподарських зв'язках. Поряд з міжнародною торгівлею велике значення сьогодні мають міжнародні інвестиційні потоки, засновані на взаємовигідному співробітництві між двома країнами. Іноземні інвестиції віді</w:t>
      </w:r>
      <w:r w:rsidR="00EC1AE4" w:rsidRPr="00F8585E">
        <w:rPr>
          <w:rFonts w:ascii="Times New Roman" w:hAnsi="Times New Roman" w:cs="Times New Roman"/>
          <w:sz w:val="28"/>
          <w:szCs w:val="28"/>
          <w:lang w:val="uk-UA"/>
        </w:rPr>
        <w:t>грають важливу роль як на макрорівні</w:t>
      </w:r>
      <w:r w:rsidR="003B438F" w:rsidRPr="00F8585E">
        <w:rPr>
          <w:rFonts w:ascii="Times New Roman" w:hAnsi="Times New Roman" w:cs="Times New Roman"/>
          <w:sz w:val="28"/>
          <w:szCs w:val="28"/>
          <w:lang w:val="uk-UA"/>
        </w:rPr>
        <w:t>, так і на мікрорівні, вони визначають майбутнє окре</w:t>
      </w:r>
      <w:r w:rsidR="00EC1AE4" w:rsidRPr="00F8585E">
        <w:rPr>
          <w:rFonts w:ascii="Times New Roman" w:hAnsi="Times New Roman" w:cs="Times New Roman"/>
          <w:sz w:val="28"/>
          <w:szCs w:val="28"/>
          <w:lang w:val="uk-UA"/>
        </w:rPr>
        <w:t xml:space="preserve">мого суб'єкта господарювання, </w:t>
      </w:r>
      <w:r w:rsidR="003B438F" w:rsidRPr="00F70853">
        <w:rPr>
          <w:rFonts w:ascii="Times New Roman" w:hAnsi="Times New Roman" w:cs="Times New Roman"/>
          <w:sz w:val="28"/>
          <w:szCs w:val="28"/>
          <w:lang w:val="uk-UA"/>
        </w:rPr>
        <w:t xml:space="preserve">країни </w:t>
      </w:r>
      <w:r w:rsidR="00EC1AE4" w:rsidRPr="00F70853">
        <w:rPr>
          <w:rFonts w:ascii="Times New Roman" w:hAnsi="Times New Roman" w:cs="Times New Roman"/>
          <w:sz w:val="28"/>
          <w:szCs w:val="28"/>
          <w:lang w:val="uk-UA"/>
        </w:rPr>
        <w:t xml:space="preserve">та регіону </w:t>
      </w:r>
      <w:r w:rsidR="003B438F" w:rsidRPr="00F70853">
        <w:rPr>
          <w:rFonts w:ascii="Times New Roman" w:hAnsi="Times New Roman" w:cs="Times New Roman"/>
          <w:sz w:val="28"/>
          <w:szCs w:val="28"/>
          <w:lang w:val="uk-UA"/>
        </w:rPr>
        <w:t>в цілому,</w:t>
      </w:r>
      <w:r w:rsidR="00EC1AE4" w:rsidRPr="00F70853">
        <w:rPr>
          <w:rFonts w:ascii="Times New Roman" w:hAnsi="Times New Roman" w:cs="Times New Roman"/>
          <w:sz w:val="28"/>
          <w:szCs w:val="28"/>
          <w:lang w:val="uk-UA"/>
        </w:rPr>
        <w:t xml:space="preserve"> та залишаються</w:t>
      </w:r>
      <w:r w:rsidR="003B438F" w:rsidRPr="00F70853">
        <w:rPr>
          <w:rFonts w:ascii="Times New Roman" w:hAnsi="Times New Roman" w:cs="Times New Roman"/>
          <w:sz w:val="28"/>
          <w:szCs w:val="28"/>
          <w:lang w:val="uk-UA"/>
        </w:rPr>
        <w:t xml:space="preserve"> рушійною силою економіки.</w:t>
      </w:r>
      <w:r w:rsidR="00B43A84" w:rsidRPr="00F70853">
        <w:rPr>
          <w:rFonts w:ascii="Times New Roman" w:hAnsi="Times New Roman" w:cs="Times New Roman"/>
          <w:sz w:val="28"/>
          <w:szCs w:val="28"/>
          <w:lang w:val="uk-UA"/>
        </w:rPr>
        <w:t xml:space="preserve"> </w:t>
      </w:r>
      <w:r w:rsidR="00B43A84" w:rsidRPr="00F70853">
        <w:rPr>
          <w:rFonts w:ascii="Times New Roman" w:hAnsi="Times New Roman" w:cs="Times New Roman"/>
          <w:sz w:val="28"/>
          <w:szCs w:val="28"/>
          <w:lang w:val="uk-UA"/>
        </w:rPr>
        <w:tab/>
        <w:t xml:space="preserve">Залучення іноземних інвестицій як найважливішого напрямку транснаціональної діяльності багато в чому залежить від політичних і соціально-економічних реформ, що проводяться в країнах або регіонах. </w:t>
      </w:r>
      <w:r w:rsidR="00EC1AE4" w:rsidRPr="00F70853">
        <w:rPr>
          <w:rFonts w:ascii="Times New Roman" w:hAnsi="Times New Roman" w:cs="Times New Roman"/>
          <w:sz w:val="28"/>
          <w:szCs w:val="28"/>
          <w:lang w:val="uk-UA"/>
        </w:rPr>
        <w:t xml:space="preserve">Аналіз цих </w:t>
      </w:r>
      <w:r w:rsidR="00B43A84" w:rsidRPr="00F70853">
        <w:rPr>
          <w:rFonts w:ascii="Times New Roman" w:hAnsi="Times New Roman" w:cs="Times New Roman"/>
          <w:sz w:val="28"/>
          <w:szCs w:val="28"/>
          <w:lang w:val="uk-UA"/>
        </w:rPr>
        <w:t>факторів</w:t>
      </w:r>
      <w:r w:rsidR="00EC1AE4" w:rsidRPr="00F70853">
        <w:rPr>
          <w:rFonts w:ascii="Times New Roman" w:hAnsi="Times New Roman" w:cs="Times New Roman"/>
          <w:sz w:val="28"/>
          <w:szCs w:val="28"/>
          <w:lang w:val="uk-UA"/>
        </w:rPr>
        <w:t xml:space="preserve"> на рівні регіонів дозволяє краще розуміти динаміку економічного розвитку, виявляти переваги та обмеження, що впливають на рівень інвестиційної активності та </w:t>
      </w:r>
      <w:r w:rsidR="00667AD1" w:rsidRPr="00F70853">
        <w:rPr>
          <w:rFonts w:ascii="Times New Roman" w:hAnsi="Times New Roman" w:cs="Times New Roman"/>
          <w:sz w:val="28"/>
          <w:szCs w:val="28"/>
          <w:lang w:val="uk-UA"/>
        </w:rPr>
        <w:t>руху</w:t>
      </w:r>
      <w:r w:rsidR="00EC1AE4" w:rsidRPr="00F70853">
        <w:rPr>
          <w:rFonts w:ascii="Times New Roman" w:hAnsi="Times New Roman" w:cs="Times New Roman"/>
          <w:sz w:val="28"/>
          <w:szCs w:val="28"/>
          <w:lang w:val="uk-UA"/>
        </w:rPr>
        <w:t xml:space="preserve"> капіталу між країнами. Розуміння регіональних особливостей може допомогти в подальшому розробити ефективні стратегії для привертання інвестицій та сприяння сталому економічному розвитку в різних регіонах світу.</w:t>
      </w:r>
    </w:p>
    <w:p w:rsidR="00EC1AE4" w:rsidRPr="00F70853"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70853">
        <w:rPr>
          <w:rFonts w:ascii="Times New Roman" w:hAnsi="Times New Roman" w:cs="Times New Roman"/>
          <w:b/>
          <w:color w:val="000000" w:themeColor="text1"/>
          <w:sz w:val="28"/>
          <w:szCs w:val="28"/>
          <w:lang w:val="uk-UA"/>
        </w:rPr>
        <w:t>Мета роботи:</w:t>
      </w:r>
      <w:r w:rsidRPr="00F70853">
        <w:rPr>
          <w:rFonts w:ascii="Times New Roman" w:hAnsi="Times New Roman" w:cs="Times New Roman"/>
          <w:color w:val="000000" w:themeColor="text1"/>
          <w:sz w:val="28"/>
          <w:szCs w:val="28"/>
          <w:lang w:val="uk-UA"/>
        </w:rPr>
        <w:t xml:space="preserve"> аналіз регіональних особливостей інвестиційного клімату та його впливу на транснаціональну діяльність.</w:t>
      </w:r>
    </w:p>
    <w:p w:rsidR="00EC1AE4" w:rsidRPr="00F70853"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 xml:space="preserve">Для досягнення поставленої мети в роботі вирішені наступні </w:t>
      </w:r>
      <w:r w:rsidRPr="00F70853">
        <w:rPr>
          <w:rFonts w:ascii="Times New Roman" w:hAnsi="Times New Roman" w:cs="Times New Roman"/>
          <w:b/>
          <w:color w:val="000000" w:themeColor="text1"/>
          <w:sz w:val="28"/>
          <w:szCs w:val="28"/>
          <w:lang w:val="uk-UA"/>
        </w:rPr>
        <w:t>завдання</w:t>
      </w:r>
      <w:r w:rsidRPr="00F70853">
        <w:rPr>
          <w:rFonts w:ascii="Times New Roman" w:hAnsi="Times New Roman" w:cs="Times New Roman"/>
          <w:color w:val="000000" w:themeColor="text1"/>
          <w:sz w:val="28"/>
          <w:szCs w:val="28"/>
          <w:lang w:val="uk-UA"/>
        </w:rPr>
        <w:t>:</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Розглянути теоретичні основи аналізу інвестиційного клімату та транснаціональної діяльності;</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Визначити поняття інвестиційного клімату, транснаціональної діяльності та їхнього взаємозв’язку;</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 xml:space="preserve">Проаналізувати </w:t>
      </w:r>
      <w:r w:rsidR="00E56FA4" w:rsidRPr="00F70853">
        <w:rPr>
          <w:rFonts w:ascii="Times New Roman" w:hAnsi="Times New Roman" w:cs="Times New Roman"/>
          <w:color w:val="000000" w:themeColor="text1"/>
          <w:sz w:val="28"/>
          <w:szCs w:val="28"/>
          <w:lang w:val="uk-UA"/>
        </w:rPr>
        <w:t>чинники впливу інвестиційного клімату на транснаціональну діяльність</w:t>
      </w:r>
      <w:r w:rsidRPr="00F70853">
        <w:rPr>
          <w:rFonts w:ascii="Times New Roman" w:hAnsi="Times New Roman" w:cs="Times New Roman"/>
          <w:color w:val="000000" w:themeColor="text1"/>
          <w:sz w:val="28"/>
          <w:szCs w:val="28"/>
          <w:lang w:val="uk-UA"/>
        </w:rPr>
        <w:t>;</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Зробити аналіз регіональних особливостей інвестиційного клімату та впливу на транснаціональну діяльність;</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lastRenderedPageBreak/>
        <w:t>Провести аналіз особливостей інвестиційного клімату в різних регіонах світу;</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Зробити моделювання факторів впливу на транснаціональну діяльність;</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Дослідити інвестиційний клімат та транснаціональну діяльність в Україні;</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Охарактеризувати стан інвестиційного клімату в Україні;</w:t>
      </w:r>
    </w:p>
    <w:p w:rsidR="00EC1AE4" w:rsidRPr="00F70853" w:rsidRDefault="00EC1AE4" w:rsidP="00836606">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Виявити перспективи поліпшення інвестиційного клімату та привертання транснаціональних інвестицій до України.</w:t>
      </w:r>
    </w:p>
    <w:p w:rsidR="00EC1AE4" w:rsidRPr="00F70853"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70853">
        <w:rPr>
          <w:rFonts w:ascii="Times New Roman" w:hAnsi="Times New Roman" w:cs="Times New Roman"/>
          <w:b/>
          <w:color w:val="000000" w:themeColor="text1"/>
          <w:sz w:val="28"/>
          <w:szCs w:val="28"/>
          <w:lang w:val="uk-UA"/>
        </w:rPr>
        <w:t>Об'єкт дослідження</w:t>
      </w:r>
      <w:r w:rsidRPr="00F70853">
        <w:rPr>
          <w:rFonts w:ascii="Times New Roman" w:hAnsi="Times New Roman" w:cs="Times New Roman"/>
          <w:color w:val="000000" w:themeColor="text1"/>
          <w:sz w:val="28"/>
          <w:szCs w:val="28"/>
          <w:lang w:val="uk-UA"/>
        </w:rPr>
        <w:t xml:space="preserve">: </w:t>
      </w:r>
      <w:r w:rsidR="00667AD1" w:rsidRPr="00F70853">
        <w:rPr>
          <w:rFonts w:ascii="Times New Roman" w:hAnsi="Times New Roman" w:cs="Times New Roman"/>
          <w:color w:val="000000" w:themeColor="text1"/>
          <w:sz w:val="28"/>
          <w:szCs w:val="28"/>
          <w:lang w:val="uk-UA"/>
        </w:rPr>
        <w:t>взаємозв’язок інвестиційного</w:t>
      </w:r>
      <w:r w:rsidRPr="00F70853">
        <w:rPr>
          <w:rFonts w:ascii="Times New Roman" w:hAnsi="Times New Roman" w:cs="Times New Roman"/>
          <w:color w:val="000000" w:themeColor="text1"/>
          <w:sz w:val="28"/>
          <w:szCs w:val="28"/>
          <w:lang w:val="uk-UA"/>
        </w:rPr>
        <w:t xml:space="preserve"> клімат</w:t>
      </w:r>
      <w:r w:rsidR="00667AD1" w:rsidRPr="00F70853">
        <w:rPr>
          <w:rFonts w:ascii="Times New Roman" w:hAnsi="Times New Roman" w:cs="Times New Roman"/>
          <w:color w:val="000000" w:themeColor="text1"/>
          <w:sz w:val="28"/>
          <w:szCs w:val="28"/>
          <w:lang w:val="uk-UA"/>
        </w:rPr>
        <w:t>у та транснаціональної діяльності</w:t>
      </w:r>
      <w:r w:rsidR="00B43A84" w:rsidRPr="00F70853">
        <w:rPr>
          <w:rFonts w:ascii="Times New Roman" w:hAnsi="Times New Roman" w:cs="Times New Roman"/>
          <w:color w:val="000000" w:themeColor="text1"/>
          <w:sz w:val="28"/>
          <w:szCs w:val="28"/>
          <w:lang w:val="uk-UA"/>
        </w:rPr>
        <w:t xml:space="preserve"> в різних регіонах світу</w:t>
      </w:r>
      <w:r w:rsidRPr="00F70853">
        <w:rPr>
          <w:rFonts w:ascii="Times New Roman" w:hAnsi="Times New Roman" w:cs="Times New Roman"/>
          <w:color w:val="000000" w:themeColor="text1"/>
          <w:sz w:val="28"/>
          <w:szCs w:val="28"/>
          <w:lang w:val="uk-UA"/>
        </w:rPr>
        <w:t>.</w:t>
      </w:r>
    </w:p>
    <w:p w:rsidR="00EC1AE4" w:rsidRPr="00F70853"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70853">
        <w:rPr>
          <w:rFonts w:ascii="Times New Roman" w:hAnsi="Times New Roman" w:cs="Times New Roman"/>
          <w:b/>
          <w:color w:val="000000" w:themeColor="text1"/>
          <w:sz w:val="28"/>
          <w:szCs w:val="28"/>
          <w:lang w:val="uk-UA"/>
        </w:rPr>
        <w:t>Предмет дослідження</w:t>
      </w:r>
      <w:r w:rsidRPr="00F70853">
        <w:rPr>
          <w:rFonts w:ascii="Times New Roman" w:hAnsi="Times New Roman" w:cs="Times New Roman"/>
          <w:color w:val="000000" w:themeColor="text1"/>
          <w:sz w:val="28"/>
          <w:szCs w:val="28"/>
          <w:lang w:val="uk-UA"/>
        </w:rPr>
        <w:t xml:space="preserve">: </w:t>
      </w:r>
      <w:r w:rsidR="00B43A84" w:rsidRPr="00F70853">
        <w:rPr>
          <w:rFonts w:ascii="Times New Roman" w:hAnsi="Times New Roman" w:cs="Times New Roman"/>
          <w:color w:val="000000" w:themeColor="text1"/>
          <w:sz w:val="28"/>
          <w:szCs w:val="28"/>
          <w:lang w:val="uk-UA"/>
        </w:rPr>
        <w:t>регіональні особливості інвестиційного клімату та</w:t>
      </w:r>
      <w:r w:rsidR="00667AD1" w:rsidRPr="00F70853">
        <w:rPr>
          <w:rFonts w:ascii="Times New Roman" w:hAnsi="Times New Roman" w:cs="Times New Roman"/>
          <w:color w:val="000000" w:themeColor="text1"/>
          <w:sz w:val="28"/>
          <w:szCs w:val="28"/>
          <w:lang w:val="uk-UA"/>
        </w:rPr>
        <w:t xml:space="preserve"> їх</w:t>
      </w:r>
      <w:r w:rsidR="00744AAE" w:rsidRPr="00F70853">
        <w:rPr>
          <w:rFonts w:ascii="Times New Roman" w:hAnsi="Times New Roman" w:cs="Times New Roman"/>
          <w:color w:val="000000" w:themeColor="text1"/>
          <w:sz w:val="28"/>
          <w:szCs w:val="28"/>
          <w:lang w:val="uk-UA"/>
        </w:rPr>
        <w:t xml:space="preserve"> вплив </w:t>
      </w:r>
      <w:r w:rsidR="00B43A84" w:rsidRPr="00F70853">
        <w:rPr>
          <w:rFonts w:ascii="Times New Roman" w:hAnsi="Times New Roman" w:cs="Times New Roman"/>
          <w:color w:val="000000" w:themeColor="text1"/>
          <w:sz w:val="28"/>
          <w:szCs w:val="28"/>
          <w:lang w:val="uk-UA"/>
        </w:rPr>
        <w:t>на транснаціональну діяльність в різних регіонах світу</w:t>
      </w:r>
      <w:r w:rsidRPr="00F70853">
        <w:rPr>
          <w:rFonts w:ascii="Times New Roman" w:hAnsi="Times New Roman" w:cs="Times New Roman"/>
          <w:color w:val="000000" w:themeColor="text1"/>
          <w:sz w:val="28"/>
          <w:szCs w:val="28"/>
          <w:lang w:val="uk-UA"/>
        </w:rPr>
        <w:t>.</w:t>
      </w:r>
    </w:p>
    <w:p w:rsidR="00EC1AE4" w:rsidRPr="00F8585E"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70853">
        <w:rPr>
          <w:rFonts w:ascii="Times New Roman" w:hAnsi="Times New Roman" w:cs="Times New Roman"/>
          <w:color w:val="000000" w:themeColor="text1"/>
          <w:sz w:val="28"/>
          <w:szCs w:val="28"/>
          <w:lang w:val="uk-UA"/>
        </w:rPr>
        <w:t>Бакалаврська</w:t>
      </w:r>
      <w:r w:rsidRPr="00F8585E">
        <w:rPr>
          <w:rFonts w:ascii="Times New Roman" w:hAnsi="Times New Roman" w:cs="Times New Roman"/>
          <w:color w:val="000000" w:themeColor="text1"/>
          <w:sz w:val="28"/>
          <w:szCs w:val="28"/>
          <w:lang w:val="uk-UA"/>
        </w:rPr>
        <w:t xml:space="preserve"> робота складається зі вступу, трьох розділів, висновків, списку використаних джерел та додатків.</w:t>
      </w:r>
    </w:p>
    <w:p w:rsidR="00EC1AE4" w:rsidRPr="00F8585E"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t xml:space="preserve">У першому розділі розглянуті </w:t>
      </w:r>
      <w:r w:rsidR="00B43A84" w:rsidRPr="00F8585E">
        <w:rPr>
          <w:rFonts w:ascii="Times New Roman" w:hAnsi="Times New Roman" w:cs="Times New Roman"/>
          <w:color w:val="000000" w:themeColor="text1"/>
          <w:sz w:val="28"/>
          <w:szCs w:val="28"/>
          <w:lang w:val="uk-UA"/>
        </w:rPr>
        <w:t>теоретичні основи аналізу інвестиційного клімату та транснаціональної діяльності</w:t>
      </w:r>
      <w:r w:rsidRPr="00F8585E">
        <w:rPr>
          <w:rFonts w:ascii="Times New Roman" w:hAnsi="Times New Roman" w:cs="Times New Roman"/>
          <w:sz w:val="28"/>
          <w:szCs w:val="28"/>
          <w:lang w:val="uk-UA"/>
        </w:rPr>
        <w:t xml:space="preserve">. </w:t>
      </w:r>
      <w:r w:rsidRPr="00F8585E">
        <w:rPr>
          <w:rFonts w:ascii="Times New Roman" w:hAnsi="Times New Roman" w:cs="Times New Roman"/>
          <w:color w:val="000000" w:themeColor="text1"/>
          <w:sz w:val="28"/>
          <w:szCs w:val="28"/>
          <w:lang w:val="uk-UA"/>
        </w:rPr>
        <w:t xml:space="preserve">Другий розділ присвячений </w:t>
      </w:r>
      <w:r w:rsidRPr="00F8585E">
        <w:rPr>
          <w:rFonts w:ascii="Times New Roman" w:hAnsi="Times New Roman" w:cs="Times New Roman"/>
          <w:sz w:val="28"/>
          <w:szCs w:val="28"/>
          <w:lang w:val="uk-UA"/>
        </w:rPr>
        <w:t xml:space="preserve">аналізу </w:t>
      </w:r>
      <w:r w:rsidR="00B43A84" w:rsidRPr="00F8585E">
        <w:rPr>
          <w:rFonts w:ascii="Times New Roman" w:hAnsi="Times New Roman" w:cs="Times New Roman"/>
          <w:color w:val="000000" w:themeColor="text1"/>
          <w:sz w:val="28"/>
          <w:szCs w:val="28"/>
          <w:lang w:val="uk-UA"/>
        </w:rPr>
        <w:t>регіональних особливостей інвестиційного клімату та впливу на транснаціональну діяльність</w:t>
      </w:r>
      <w:r w:rsidRPr="00F8585E">
        <w:rPr>
          <w:rFonts w:ascii="Times New Roman" w:hAnsi="Times New Roman" w:cs="Times New Roman"/>
          <w:sz w:val="28"/>
          <w:szCs w:val="28"/>
          <w:lang w:val="uk-UA"/>
        </w:rPr>
        <w:t xml:space="preserve">. </w:t>
      </w:r>
      <w:r w:rsidRPr="00F8585E">
        <w:rPr>
          <w:rFonts w:ascii="Times New Roman" w:hAnsi="Times New Roman" w:cs="Times New Roman"/>
          <w:color w:val="000000" w:themeColor="text1"/>
          <w:sz w:val="28"/>
          <w:szCs w:val="28"/>
          <w:lang w:val="uk-UA"/>
        </w:rPr>
        <w:t xml:space="preserve">У третьому розділі </w:t>
      </w:r>
      <w:r w:rsidR="00B43A84" w:rsidRPr="00F8585E">
        <w:rPr>
          <w:rFonts w:ascii="Times New Roman" w:hAnsi="Times New Roman" w:cs="Times New Roman"/>
          <w:color w:val="000000" w:themeColor="text1"/>
          <w:sz w:val="28"/>
          <w:szCs w:val="28"/>
          <w:lang w:val="uk-UA"/>
        </w:rPr>
        <w:t>охарактеризовані</w:t>
      </w:r>
      <w:r w:rsidRPr="00F8585E">
        <w:rPr>
          <w:rFonts w:ascii="Times New Roman" w:hAnsi="Times New Roman" w:cs="Times New Roman"/>
          <w:color w:val="000000" w:themeColor="text1"/>
          <w:sz w:val="28"/>
          <w:szCs w:val="28"/>
          <w:lang w:val="uk-UA"/>
        </w:rPr>
        <w:t xml:space="preserve"> </w:t>
      </w:r>
      <w:r w:rsidR="00B43A84" w:rsidRPr="00F8585E">
        <w:rPr>
          <w:rFonts w:ascii="Times New Roman" w:hAnsi="Times New Roman" w:cs="Times New Roman"/>
          <w:color w:val="000000" w:themeColor="text1"/>
          <w:sz w:val="28"/>
          <w:szCs w:val="28"/>
          <w:lang w:val="uk-UA"/>
        </w:rPr>
        <w:t>інвестиційний клімат та транснаціональну діяльність в Україні</w:t>
      </w:r>
      <w:r w:rsidRPr="00F8585E">
        <w:rPr>
          <w:rFonts w:ascii="Times New Roman" w:hAnsi="Times New Roman" w:cs="Times New Roman"/>
          <w:color w:val="000000" w:themeColor="text1"/>
          <w:sz w:val="28"/>
          <w:szCs w:val="28"/>
          <w:lang w:val="uk-UA"/>
        </w:rPr>
        <w:t>.</w:t>
      </w:r>
    </w:p>
    <w:p w:rsidR="00EC1AE4" w:rsidRPr="00F8585E" w:rsidRDefault="00EC1AE4" w:rsidP="00836606">
      <w:pPr>
        <w:spacing w:after="0" w:line="360" w:lineRule="auto"/>
        <w:ind w:firstLine="709"/>
        <w:contextualSpacing/>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t>Теоретичною і методологічною основою дослідження є</w:t>
      </w:r>
      <w:r w:rsidRPr="00F8585E">
        <w:rPr>
          <w:rFonts w:ascii="Times New Roman" w:hAnsi="Times New Roman" w:cs="Times New Roman"/>
          <w:sz w:val="28"/>
          <w:szCs w:val="28"/>
          <w:lang w:val="uk-UA"/>
        </w:rPr>
        <w:t xml:space="preserve"> положення, сформульовані у працях зарубіжних та українських вчених, присвячених дослідженню </w:t>
      </w:r>
      <w:r w:rsidR="00B43A84" w:rsidRPr="00F8585E">
        <w:rPr>
          <w:rFonts w:ascii="Times New Roman" w:hAnsi="Times New Roman" w:cs="Times New Roman"/>
          <w:color w:val="000000" w:themeColor="text1"/>
          <w:sz w:val="28"/>
          <w:szCs w:val="28"/>
          <w:lang w:val="uk-UA"/>
        </w:rPr>
        <w:t>інвестиційного клімату та транснаціональної діяльності в різних регіонах світу</w:t>
      </w:r>
      <w:r w:rsidRPr="00F8585E">
        <w:rPr>
          <w:rFonts w:ascii="Times New Roman" w:hAnsi="Times New Roman" w:cs="Times New Roman"/>
          <w:sz w:val="28"/>
          <w:szCs w:val="28"/>
          <w:lang w:val="uk-UA"/>
        </w:rPr>
        <w:t xml:space="preserve">, періодичні видання, </w:t>
      </w:r>
      <w:r w:rsidR="00B43A84" w:rsidRPr="00F8585E">
        <w:rPr>
          <w:rFonts w:ascii="Times New Roman" w:hAnsi="Times New Roman" w:cs="Times New Roman"/>
          <w:sz w:val="28"/>
          <w:szCs w:val="28"/>
          <w:lang w:val="uk-UA"/>
        </w:rPr>
        <w:t xml:space="preserve">статті </w:t>
      </w:r>
      <w:r w:rsidRPr="00F8585E">
        <w:rPr>
          <w:rFonts w:ascii="Times New Roman" w:hAnsi="Times New Roman" w:cs="Times New Roman"/>
          <w:sz w:val="28"/>
          <w:szCs w:val="28"/>
          <w:lang w:val="uk-UA"/>
        </w:rPr>
        <w:t xml:space="preserve">міжнародних експертних організацій, дані міжнародних статистичних служб, а також </w:t>
      </w:r>
      <w:r w:rsidRPr="00F8585E">
        <w:rPr>
          <w:rFonts w:ascii="Times New Roman" w:hAnsi="Times New Roman" w:cs="Times New Roman"/>
          <w:color w:val="000000" w:themeColor="text1"/>
          <w:sz w:val="28"/>
          <w:szCs w:val="28"/>
          <w:lang w:val="uk-UA"/>
        </w:rPr>
        <w:t xml:space="preserve">державних служб України. </w:t>
      </w:r>
    </w:p>
    <w:p w:rsidR="00EC1AE4" w:rsidRPr="00F8585E" w:rsidRDefault="00EC1AE4" w:rsidP="00836606">
      <w:pPr>
        <w:spacing w:after="0" w:line="360" w:lineRule="auto"/>
        <w:ind w:right="-1" w:firstLine="709"/>
        <w:jc w:val="both"/>
        <w:rPr>
          <w:rFonts w:ascii="Times New Roman" w:hAnsi="Times New Roman" w:cs="Times New Roman"/>
          <w:color w:val="000000" w:themeColor="text1"/>
          <w:sz w:val="28"/>
          <w:szCs w:val="28"/>
          <w:lang w:val="uk-UA"/>
        </w:rPr>
      </w:pPr>
      <w:r w:rsidRPr="00F8585E">
        <w:rPr>
          <w:rFonts w:ascii="Times New Roman" w:eastAsia="inherit" w:hAnsi="Times New Roman" w:cs="Times New Roman"/>
          <w:color w:val="000000" w:themeColor="text1"/>
          <w:sz w:val="28"/>
          <w:szCs w:val="28"/>
          <w:lang w:val="uk-UA"/>
        </w:rPr>
        <w:t xml:space="preserve">У роботі застосовано широкий інструментарій загальних методів наукового дослідження: </w:t>
      </w:r>
      <w:r w:rsidRPr="00F8585E">
        <w:rPr>
          <w:rFonts w:ascii="Times New Roman" w:hAnsi="Times New Roman" w:cs="Times New Roman"/>
          <w:color w:val="000000" w:themeColor="text1"/>
          <w:sz w:val="28"/>
          <w:szCs w:val="28"/>
          <w:lang w:val="uk-UA"/>
        </w:rPr>
        <w:t>порівняльні, статистичні та графічні методи, а також математико-статистичний метод вивчення взаємозв’яз</w:t>
      </w:r>
      <w:r w:rsidR="00AC38AB">
        <w:rPr>
          <w:rFonts w:ascii="Times New Roman" w:hAnsi="Times New Roman" w:cs="Times New Roman"/>
          <w:color w:val="000000" w:themeColor="text1"/>
          <w:sz w:val="28"/>
          <w:szCs w:val="28"/>
          <w:lang w:val="uk-UA"/>
        </w:rPr>
        <w:t>ку, а саме регресійний аналіз.</w:t>
      </w:r>
      <w:bookmarkStart w:id="0" w:name="_GoBack"/>
      <w:bookmarkEnd w:id="0"/>
    </w:p>
    <w:p w:rsidR="003B438F" w:rsidRPr="00F8585E" w:rsidRDefault="003B438F" w:rsidP="00836606">
      <w:pPr>
        <w:spacing w:after="0"/>
        <w:rPr>
          <w:rFonts w:ascii="Times New Roman" w:hAnsi="Times New Roman" w:cs="Times New Roman"/>
          <w:lang w:val="uk-UA"/>
        </w:rPr>
      </w:pPr>
    </w:p>
    <w:p w:rsidR="00744AAE" w:rsidRPr="00F8585E" w:rsidRDefault="00744AAE"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lastRenderedPageBreak/>
        <w:t>РОЗДІЛ 1</w:t>
      </w:r>
    </w:p>
    <w:p w:rsidR="00744AAE" w:rsidRPr="00F8585E" w:rsidRDefault="00744AAE"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ТЕОРЕТИЧНІ ОСНОВИ АНАЛІЗУ ІНВЕСТИЦІЙНОГО КЛІМАТУ ТА ТРАНСНАЦІОНАЛЬНОЇ ДІЯЛЬНОСТІ</w:t>
      </w:r>
    </w:p>
    <w:p w:rsidR="00744AAE" w:rsidRPr="00F8585E" w:rsidRDefault="00744AAE" w:rsidP="00836606">
      <w:pPr>
        <w:spacing w:after="0" w:line="360" w:lineRule="auto"/>
        <w:jc w:val="both"/>
        <w:rPr>
          <w:rFonts w:ascii="Times New Roman" w:hAnsi="Times New Roman" w:cs="Times New Roman"/>
          <w:b/>
          <w:sz w:val="28"/>
          <w:szCs w:val="28"/>
          <w:lang w:val="uk-UA"/>
        </w:rPr>
      </w:pPr>
    </w:p>
    <w:p w:rsidR="009C1484" w:rsidRPr="00F8585E" w:rsidRDefault="009C1484" w:rsidP="00836606">
      <w:pPr>
        <w:spacing w:after="0" w:line="360" w:lineRule="auto"/>
        <w:jc w:val="both"/>
        <w:rPr>
          <w:rFonts w:ascii="Times New Roman" w:hAnsi="Times New Roman" w:cs="Times New Roman"/>
          <w:b/>
          <w:sz w:val="28"/>
          <w:szCs w:val="28"/>
          <w:lang w:val="uk-UA"/>
        </w:rPr>
      </w:pPr>
      <w:r w:rsidRPr="00F8585E">
        <w:rPr>
          <w:rFonts w:ascii="Times New Roman" w:hAnsi="Times New Roman" w:cs="Times New Roman"/>
          <w:b/>
          <w:sz w:val="28"/>
          <w:szCs w:val="28"/>
          <w:lang w:val="uk-UA"/>
        </w:rPr>
        <w:t xml:space="preserve">1.1. </w:t>
      </w:r>
      <w:r w:rsidR="00F70853" w:rsidRPr="00F70853">
        <w:rPr>
          <w:rFonts w:ascii="Times New Roman" w:hAnsi="Times New Roman" w:cs="Times New Roman"/>
          <w:b/>
          <w:sz w:val="28"/>
          <w:szCs w:val="28"/>
          <w:lang w:val="uk-UA"/>
        </w:rPr>
        <w:t>Сутність та взаємозв’язок інвестиційного клімату і транснаціональної діяльності</w:t>
      </w:r>
    </w:p>
    <w:p w:rsidR="00B2062C" w:rsidRPr="00F8585E" w:rsidRDefault="00B2062C" w:rsidP="00836606">
      <w:pPr>
        <w:spacing w:after="0" w:line="360" w:lineRule="auto"/>
        <w:jc w:val="both"/>
        <w:rPr>
          <w:rFonts w:ascii="Times New Roman" w:hAnsi="Times New Roman" w:cs="Times New Roman"/>
          <w:b/>
          <w:sz w:val="28"/>
          <w:szCs w:val="28"/>
          <w:lang w:val="uk-UA"/>
        </w:rPr>
      </w:pPr>
    </w:p>
    <w:p w:rsidR="00E55203" w:rsidRPr="00F8585E" w:rsidRDefault="00B2062C"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D0D0D"/>
          <w:sz w:val="28"/>
          <w:szCs w:val="28"/>
          <w:shd w:val="clear" w:color="auto" w:fill="FFFFFF"/>
          <w:lang w:val="uk-UA"/>
        </w:rPr>
        <w:tab/>
      </w:r>
      <w:r w:rsidR="00F70853">
        <w:rPr>
          <w:rFonts w:ascii="Times New Roman" w:hAnsi="Times New Roman" w:cs="Times New Roman"/>
          <w:color w:val="0D0D0D"/>
          <w:sz w:val="28"/>
          <w:szCs w:val="28"/>
          <w:shd w:val="clear" w:color="auto" w:fill="FFFFFF"/>
          <w:lang w:val="uk-UA"/>
        </w:rPr>
        <w:t>Транснаціональна діяльність ‒</w:t>
      </w:r>
      <w:r w:rsidR="00E55203" w:rsidRPr="00F8585E">
        <w:rPr>
          <w:rFonts w:ascii="Times New Roman" w:hAnsi="Times New Roman" w:cs="Times New Roman"/>
          <w:color w:val="0D0D0D"/>
          <w:sz w:val="28"/>
          <w:szCs w:val="28"/>
          <w:shd w:val="clear" w:color="auto" w:fill="FFFFFF"/>
          <w:lang w:val="uk-UA"/>
        </w:rPr>
        <w:t xml:space="preserve"> це діяльність, яка відбувається на міжнародному рівні, коли компанії або організації здійснюють свою діяльність в кількох країнах або мають зв'язки з кількома країнами. </w:t>
      </w:r>
      <w:r w:rsidR="001C1F30" w:rsidRPr="00F8585E">
        <w:rPr>
          <w:rFonts w:ascii="Times New Roman" w:hAnsi="Times New Roman" w:cs="Times New Roman"/>
          <w:color w:val="0D0D0D"/>
          <w:sz w:val="28"/>
          <w:szCs w:val="28"/>
          <w:shd w:val="clear" w:color="auto" w:fill="FFFFFF"/>
          <w:lang w:val="uk-UA"/>
        </w:rPr>
        <w:t xml:space="preserve">Сюди входять </w:t>
      </w:r>
      <w:r w:rsidR="00E55203" w:rsidRPr="00F8585E">
        <w:rPr>
          <w:rFonts w:ascii="Times New Roman" w:hAnsi="Times New Roman" w:cs="Times New Roman"/>
          <w:color w:val="0D0D0D"/>
          <w:sz w:val="28"/>
          <w:szCs w:val="28"/>
          <w:shd w:val="clear" w:color="auto" w:fill="FFFFFF"/>
          <w:lang w:val="uk-UA"/>
        </w:rPr>
        <w:t>здійснення бізнесу, виробницт</w:t>
      </w:r>
      <w:r w:rsidR="001C1F30" w:rsidRPr="00F8585E">
        <w:rPr>
          <w:rFonts w:ascii="Times New Roman" w:hAnsi="Times New Roman" w:cs="Times New Roman"/>
          <w:color w:val="0D0D0D"/>
          <w:sz w:val="28"/>
          <w:szCs w:val="28"/>
          <w:shd w:val="clear" w:color="auto" w:fill="FFFFFF"/>
          <w:lang w:val="uk-UA"/>
        </w:rPr>
        <w:t>во товарів чи послуг, міжнародна торгівля</w:t>
      </w:r>
      <w:r w:rsidR="00E55203" w:rsidRPr="00F8585E">
        <w:rPr>
          <w:rFonts w:ascii="Times New Roman" w:hAnsi="Times New Roman" w:cs="Times New Roman"/>
          <w:color w:val="0D0D0D"/>
          <w:sz w:val="28"/>
          <w:szCs w:val="28"/>
          <w:shd w:val="clear" w:color="auto" w:fill="FFFFFF"/>
          <w:lang w:val="uk-UA"/>
        </w:rPr>
        <w:t>, управління ланцюжком постачання, фінан</w:t>
      </w:r>
      <w:r w:rsidR="001C1F30" w:rsidRPr="00F8585E">
        <w:rPr>
          <w:rFonts w:ascii="Times New Roman" w:hAnsi="Times New Roman" w:cs="Times New Roman"/>
          <w:color w:val="0D0D0D"/>
          <w:sz w:val="28"/>
          <w:szCs w:val="28"/>
          <w:shd w:val="clear" w:color="auto" w:fill="FFFFFF"/>
          <w:lang w:val="uk-UA"/>
        </w:rPr>
        <w:t xml:space="preserve">сові операції, інвестиції тощо. </w:t>
      </w:r>
      <w:r w:rsidR="00E55203" w:rsidRPr="00F8585E">
        <w:rPr>
          <w:rFonts w:ascii="Times New Roman" w:hAnsi="Times New Roman" w:cs="Times New Roman"/>
          <w:color w:val="0D0D0D"/>
          <w:sz w:val="28"/>
          <w:szCs w:val="28"/>
          <w:shd w:val="clear" w:color="auto" w:fill="FFFFFF"/>
          <w:lang w:val="uk-UA"/>
        </w:rPr>
        <w:t>Транснаціона</w:t>
      </w:r>
      <w:r w:rsidR="001C1F30" w:rsidRPr="00F8585E">
        <w:rPr>
          <w:rFonts w:ascii="Times New Roman" w:hAnsi="Times New Roman" w:cs="Times New Roman"/>
          <w:color w:val="0D0D0D"/>
          <w:sz w:val="28"/>
          <w:szCs w:val="28"/>
          <w:shd w:val="clear" w:color="auto" w:fill="FFFFFF"/>
          <w:lang w:val="uk-UA"/>
        </w:rPr>
        <w:t>льна діяльність може бути різного масштабу</w:t>
      </w:r>
      <w:r w:rsidR="00E55203" w:rsidRPr="00F8585E">
        <w:rPr>
          <w:rFonts w:ascii="Times New Roman" w:hAnsi="Times New Roman" w:cs="Times New Roman"/>
          <w:color w:val="0D0D0D"/>
          <w:sz w:val="28"/>
          <w:szCs w:val="28"/>
          <w:shd w:val="clear" w:color="auto" w:fill="FFFFFF"/>
          <w:lang w:val="uk-UA"/>
        </w:rPr>
        <w:t>, від великих корпорацій, що мають філії та підрозділи в багатьох країнах, до малих і середніх підприємств, що експортують свою пр</w:t>
      </w:r>
      <w:r w:rsidR="001C1F30" w:rsidRPr="00F8585E">
        <w:rPr>
          <w:rFonts w:ascii="Times New Roman" w:hAnsi="Times New Roman" w:cs="Times New Roman"/>
          <w:color w:val="0D0D0D"/>
          <w:sz w:val="28"/>
          <w:szCs w:val="28"/>
          <w:shd w:val="clear" w:color="auto" w:fill="FFFFFF"/>
          <w:lang w:val="uk-UA"/>
        </w:rPr>
        <w:t xml:space="preserve">одукцію за межі власної країни. </w:t>
      </w:r>
      <w:r w:rsidR="00E55203" w:rsidRPr="00F8585E">
        <w:rPr>
          <w:rFonts w:ascii="Times New Roman" w:hAnsi="Times New Roman" w:cs="Times New Roman"/>
          <w:color w:val="0D0D0D"/>
          <w:sz w:val="28"/>
          <w:szCs w:val="28"/>
          <w:shd w:val="clear" w:color="auto" w:fill="FFFFFF"/>
          <w:lang w:val="uk-UA"/>
        </w:rPr>
        <w:t>Основні мотивації для транснаціональної діяльності включають розширення ринків збуту, доступ до нових ресурсів, зменшення виробничих витрат, отримання податкових переваг, а також стратегічні цілі, такі як підвищення конкурентоспроможності або диверсифікація ризиків.</w:t>
      </w:r>
    </w:p>
    <w:p w:rsidR="001C1F30" w:rsidRPr="00F8585E" w:rsidRDefault="001C1F30"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EF75C0" w:rsidRPr="00F8585E">
        <w:rPr>
          <w:rFonts w:ascii="Times New Roman" w:hAnsi="Times New Roman" w:cs="Times New Roman"/>
          <w:sz w:val="28"/>
          <w:szCs w:val="28"/>
          <w:lang w:val="uk-UA"/>
        </w:rPr>
        <w:t>Мішталь П. та Кулаков В. у своєму дослідженні «Аналіз практичної застосовності окремих методик оцінки інвестиційного клімату країн» 2023 року зазначають, що п</w:t>
      </w:r>
      <w:r w:rsidRPr="00F8585E">
        <w:rPr>
          <w:rFonts w:ascii="Times New Roman" w:hAnsi="Times New Roman" w:cs="Times New Roman"/>
          <w:sz w:val="28"/>
          <w:szCs w:val="28"/>
          <w:lang w:val="uk-UA"/>
        </w:rPr>
        <w:t xml:space="preserve">риймаючи рішення про вкладення капіталу, інвестору критично важливо мати якомога повнішу та достовірну інформацію як про переваги (зростаючі ринки, дешеву робочу силу, розвиток інфраструктури тощо), так і про потенційні ризики (економічні, політичні, юридичні тощо), що чекають на нього в приймаючій країні. Тільки за наявності повної інформаційної картини можна прийняти зважене обґрунтоване рішення, яке мінімізує ймовірність неефективного розміщення інвестицій. Саме тому при прийнятті остаточного рішення про здійснення капітальних вкладень, як для </w:t>
      </w:r>
      <w:r w:rsidRPr="00F8585E">
        <w:rPr>
          <w:rFonts w:ascii="Times New Roman" w:hAnsi="Times New Roman" w:cs="Times New Roman"/>
          <w:sz w:val="28"/>
          <w:szCs w:val="28"/>
          <w:lang w:val="uk-UA"/>
        </w:rPr>
        <w:lastRenderedPageBreak/>
        <w:t>внутрішніх, так і для зовнішніх інвесторів, дуже важливим є комплексний аналіз інвестиційного клімату</w:t>
      </w:r>
      <w:r w:rsidR="00EF75C0" w:rsidRPr="00F8585E">
        <w:rPr>
          <w:rFonts w:ascii="Times New Roman" w:hAnsi="Times New Roman" w:cs="Times New Roman"/>
          <w:sz w:val="28"/>
          <w:szCs w:val="28"/>
          <w:lang w:val="uk-UA"/>
        </w:rPr>
        <w:t xml:space="preserve">  [1]</w:t>
      </w:r>
      <w:r w:rsidRPr="00F8585E">
        <w:rPr>
          <w:rFonts w:ascii="Times New Roman" w:hAnsi="Times New Roman" w:cs="Times New Roman"/>
          <w:sz w:val="28"/>
          <w:szCs w:val="28"/>
          <w:lang w:val="uk-UA"/>
        </w:rPr>
        <w:t>.</w:t>
      </w:r>
    </w:p>
    <w:p w:rsidR="00B45E27" w:rsidRPr="00F8585E" w:rsidRDefault="00EF75C0"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45E27" w:rsidRPr="00F8585E">
        <w:rPr>
          <w:rFonts w:ascii="Times New Roman" w:hAnsi="Times New Roman" w:cs="Times New Roman"/>
          <w:sz w:val="28"/>
          <w:szCs w:val="28"/>
          <w:lang w:val="uk-UA"/>
        </w:rPr>
        <w:t>Поняття «інвестиційний клімат» вперше було запропоновано в 1968 році, що ознаменувало підйом досліджень інвестиційного клімату на теоретичний рівень, як зазначають Ру Г., Сяодун К. та Йії Х. у своєму дослідженні «Оцінка інвестиційного клімату в сільському господарстві в країнах Центральної та Східної Європи: Застосування нейронної мережі зі зворотним поширенням» 2020 року [2]</w:t>
      </w:r>
    </w:p>
    <w:p w:rsidR="004B7B54" w:rsidRPr="00F8585E" w:rsidRDefault="00B45E27"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2062C" w:rsidRPr="00F8585E">
        <w:rPr>
          <w:rFonts w:ascii="Times New Roman" w:hAnsi="Times New Roman" w:cs="Times New Roman"/>
          <w:sz w:val="28"/>
          <w:szCs w:val="28"/>
          <w:lang w:val="uk-UA"/>
        </w:rPr>
        <w:t xml:space="preserve">Згідно </w:t>
      </w:r>
      <w:r w:rsidR="00EF75C0" w:rsidRPr="00F8585E">
        <w:rPr>
          <w:rFonts w:ascii="Times New Roman" w:hAnsi="Times New Roman" w:cs="Times New Roman"/>
          <w:sz w:val="28"/>
          <w:szCs w:val="28"/>
          <w:lang w:val="uk-UA"/>
        </w:rPr>
        <w:t xml:space="preserve">аналітичній записці «Інвестиційний клімат» від Міжнародної фінансової корпорації (Група Світового банку) </w:t>
      </w:r>
      <w:r w:rsidR="00B2062C" w:rsidRPr="00F8585E">
        <w:rPr>
          <w:rFonts w:ascii="Times New Roman" w:hAnsi="Times New Roman" w:cs="Times New Roman"/>
          <w:sz w:val="28"/>
          <w:szCs w:val="28"/>
          <w:lang w:val="uk-UA"/>
        </w:rPr>
        <w:t xml:space="preserve">під назвою «інвестиційний клімат» часто об’єднують багато факторів, </w:t>
      </w:r>
      <w:r w:rsidR="009C1484" w:rsidRPr="00F8585E">
        <w:rPr>
          <w:rFonts w:ascii="Times New Roman" w:hAnsi="Times New Roman" w:cs="Times New Roman"/>
          <w:sz w:val="28"/>
          <w:szCs w:val="28"/>
          <w:lang w:val="uk-UA"/>
        </w:rPr>
        <w:t xml:space="preserve">включаючи макроекономічну та політичну стабільність, традиції та культуру, фізичну інфраструктуру, наявність </w:t>
      </w:r>
      <w:r w:rsidR="00B2062C" w:rsidRPr="00F8585E">
        <w:rPr>
          <w:rFonts w:ascii="Times New Roman" w:hAnsi="Times New Roman" w:cs="Times New Roman"/>
          <w:sz w:val="28"/>
          <w:szCs w:val="28"/>
          <w:lang w:val="uk-UA"/>
        </w:rPr>
        <w:t>капіталу та людських ресурсів, і</w:t>
      </w:r>
      <w:r w:rsidR="009C1484" w:rsidRPr="00F8585E">
        <w:rPr>
          <w:rFonts w:ascii="Times New Roman" w:hAnsi="Times New Roman" w:cs="Times New Roman"/>
          <w:sz w:val="28"/>
          <w:szCs w:val="28"/>
          <w:lang w:val="uk-UA"/>
        </w:rPr>
        <w:t>нституційні, політичні та регуляторні фактори також відіграють важливу роль</w:t>
      </w:r>
      <w:r w:rsidR="00816FAD"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3</w:t>
      </w:r>
      <w:r w:rsidR="00816FAD" w:rsidRPr="00F8585E">
        <w:rPr>
          <w:rFonts w:ascii="Times New Roman" w:hAnsi="Times New Roman" w:cs="Times New Roman"/>
          <w:sz w:val="28"/>
          <w:szCs w:val="28"/>
          <w:lang w:val="uk-UA"/>
        </w:rPr>
        <w:t>]</w:t>
      </w:r>
      <w:r w:rsidR="009C1484" w:rsidRPr="00F8585E">
        <w:rPr>
          <w:rFonts w:ascii="Times New Roman" w:hAnsi="Times New Roman" w:cs="Times New Roman"/>
          <w:sz w:val="28"/>
          <w:szCs w:val="28"/>
          <w:lang w:val="uk-UA"/>
        </w:rPr>
        <w:t xml:space="preserve">. </w:t>
      </w:r>
    </w:p>
    <w:p w:rsidR="00B2062C" w:rsidRPr="00F8585E" w:rsidRDefault="001C1F30"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816FAD" w:rsidRPr="00F8585E">
        <w:rPr>
          <w:rFonts w:ascii="Times New Roman" w:hAnsi="Times New Roman" w:cs="Times New Roman"/>
          <w:sz w:val="28"/>
          <w:szCs w:val="28"/>
          <w:lang w:val="uk-UA"/>
        </w:rPr>
        <w:t>Згідно з посібником з покращення інвестиційного клімату за допомогою дій ЄС «Імплементація Компоненту 3 в інтегрованому підході Плану зовнішніх інвестицій» від Європейської Комісії с</w:t>
      </w:r>
      <w:r w:rsidR="004B7B54" w:rsidRPr="00F8585E">
        <w:rPr>
          <w:rFonts w:ascii="Times New Roman" w:hAnsi="Times New Roman" w:cs="Times New Roman"/>
          <w:sz w:val="28"/>
          <w:szCs w:val="28"/>
          <w:lang w:val="uk-UA"/>
        </w:rPr>
        <w:t xml:space="preserve">приятливий інвестиційний клімат має важливе значення на шляху країни до інклюзивного та сталого зростання. Він відіграє ключову роль у залученні та утриманні внутрішніх та зовнішніх інвестицій. </w:t>
      </w:r>
      <w:r w:rsidR="00333899" w:rsidRPr="00F8585E">
        <w:rPr>
          <w:rFonts w:ascii="Times New Roman" w:hAnsi="Times New Roman" w:cs="Times New Roman"/>
          <w:sz w:val="28"/>
          <w:szCs w:val="28"/>
          <w:lang w:val="uk-UA"/>
        </w:rPr>
        <w:t>Ключові фактори інвестиційного клімату включають фактори на макрорівні, включаюч</w:t>
      </w:r>
      <w:r w:rsidRPr="00F8585E">
        <w:rPr>
          <w:rFonts w:ascii="Times New Roman" w:hAnsi="Times New Roman" w:cs="Times New Roman"/>
          <w:sz w:val="28"/>
          <w:szCs w:val="28"/>
          <w:lang w:val="uk-UA"/>
        </w:rPr>
        <w:t xml:space="preserve">и стабільність та управління, фактори бізнес-середовища, </w:t>
      </w:r>
      <w:r w:rsidR="00333899" w:rsidRPr="00F8585E">
        <w:rPr>
          <w:rFonts w:ascii="Times New Roman" w:hAnsi="Times New Roman" w:cs="Times New Roman"/>
          <w:sz w:val="28"/>
          <w:szCs w:val="28"/>
          <w:lang w:val="uk-UA"/>
        </w:rPr>
        <w:t>а також фактори, орієнтовані на людину, такі як розвиток людського потенціалу та інновації. Вирішення екологічних, кліматичних та міграційних проблем є надзвичайно важливим. Рішення інвесторів, як міжнародних, так і місцевих, інвестувати в ту чи іншу країну часто залежить від їхнього сприйняття того, наскільки поєднання цих факторів і комплекс заходів, спрямованих на покращення інвестиц</w:t>
      </w:r>
      <w:r w:rsidRPr="00F8585E">
        <w:rPr>
          <w:rFonts w:ascii="Times New Roman" w:hAnsi="Times New Roman" w:cs="Times New Roman"/>
          <w:sz w:val="28"/>
          <w:szCs w:val="28"/>
          <w:lang w:val="uk-UA"/>
        </w:rPr>
        <w:t>ійного клімату, підтримують їхні рішення</w:t>
      </w:r>
      <w:r w:rsidR="00816FAD" w:rsidRPr="00F8585E">
        <w:rPr>
          <w:rFonts w:ascii="Times New Roman" w:hAnsi="Times New Roman" w:cs="Times New Roman"/>
          <w:sz w:val="28"/>
          <w:szCs w:val="28"/>
          <w:lang w:val="uk-UA"/>
        </w:rPr>
        <w:t xml:space="preserve"> [</w:t>
      </w:r>
      <w:r w:rsidR="00B45E27" w:rsidRPr="00F8585E">
        <w:rPr>
          <w:rFonts w:ascii="Times New Roman" w:hAnsi="Times New Roman" w:cs="Times New Roman"/>
          <w:sz w:val="28"/>
          <w:szCs w:val="28"/>
          <w:lang w:val="uk-UA"/>
        </w:rPr>
        <w:t>4</w:t>
      </w:r>
      <w:r w:rsidR="00816FAD" w:rsidRPr="00F8585E">
        <w:rPr>
          <w:rFonts w:ascii="Times New Roman" w:hAnsi="Times New Roman" w:cs="Times New Roman"/>
          <w:sz w:val="28"/>
          <w:szCs w:val="28"/>
          <w:lang w:val="uk-UA"/>
        </w:rPr>
        <w:t>]</w:t>
      </w:r>
      <w:r w:rsidRPr="00F8585E">
        <w:rPr>
          <w:rFonts w:ascii="Times New Roman" w:hAnsi="Times New Roman" w:cs="Times New Roman"/>
          <w:sz w:val="28"/>
          <w:szCs w:val="28"/>
          <w:lang w:val="uk-UA"/>
        </w:rPr>
        <w:t>.</w:t>
      </w:r>
      <w:r w:rsidR="004B7B54" w:rsidRPr="00F8585E">
        <w:rPr>
          <w:rFonts w:ascii="Times New Roman" w:hAnsi="Times New Roman" w:cs="Times New Roman"/>
          <w:sz w:val="28"/>
          <w:szCs w:val="28"/>
          <w:lang w:val="uk-UA"/>
        </w:rPr>
        <w:t xml:space="preserve"> </w:t>
      </w:r>
    </w:p>
    <w:p w:rsidR="007D3574" w:rsidRPr="00F8585E" w:rsidRDefault="007D357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Зростає кількість досліджень, присвячених ролі інвестиційного клімату у сприянні притоку прямих іноземних інвестицій</w:t>
      </w:r>
      <w:r w:rsidR="00816FAD" w:rsidRPr="00F8585E">
        <w:rPr>
          <w:rFonts w:ascii="Times New Roman" w:hAnsi="Times New Roman" w:cs="Times New Roman"/>
          <w:sz w:val="28"/>
          <w:szCs w:val="28"/>
          <w:lang w:val="uk-UA"/>
        </w:rPr>
        <w:t xml:space="preserve"> в країни</w:t>
      </w:r>
      <w:r w:rsidRPr="00F8585E">
        <w:rPr>
          <w:rFonts w:ascii="Times New Roman" w:hAnsi="Times New Roman" w:cs="Times New Roman"/>
          <w:sz w:val="28"/>
          <w:szCs w:val="28"/>
          <w:lang w:val="uk-UA"/>
        </w:rPr>
        <w:t xml:space="preserve">. </w:t>
      </w:r>
      <w:r w:rsidR="00816FAD" w:rsidRPr="00F8585E">
        <w:rPr>
          <w:rFonts w:ascii="Times New Roman" w:hAnsi="Times New Roman" w:cs="Times New Roman"/>
          <w:sz w:val="28"/>
          <w:szCs w:val="28"/>
          <w:lang w:val="uk-UA"/>
        </w:rPr>
        <w:t>Нджугуна А.Е. та Ннадозі Е. у своїй статті «Інвестиційний клімат та прямі іноземні інвестиції в Африці: Роль легкості ведення бізнесу» 2022 року зазначає, що з</w:t>
      </w:r>
      <w:r w:rsidRPr="00F8585E">
        <w:rPr>
          <w:rFonts w:ascii="Times New Roman" w:hAnsi="Times New Roman" w:cs="Times New Roman"/>
          <w:sz w:val="28"/>
          <w:szCs w:val="28"/>
          <w:lang w:val="uk-UA"/>
        </w:rPr>
        <w:t xml:space="preserve">гідно з попередніми дослідженнями, «інвестиційний клімат» у широкому розумінні включає як режим іноземних інвестицій, так і загальне інвестиційне середовище. Перший стосується правил, що регулюють іноземні інвестиції та конкретних стимулів для інвесторів, а другий охоплює кілька факторів інвестиційних рішень, таких як політична стабільність, макроекономічне середовище та ставлення приймаючих країн до участі іноземних підприємств. Багато хто стверджує, що пов'язані з прибутком стимули для інвесторів (наприклад, податкові пільги), як правило, не працюють, якщо вони не поєднуються з іншими стимулами, спрямованими на поліпшення загального інвестиційного клімату. Іншими словами, конкретні стимули мають значення для прийняття інвестиційного рішення лише тоді, коли загальне бізнес-середовище є сприятливим. Конкуруючи за прямі іноземні інвестиції, уряди зазвичай пропонують хороший пакет стимулів, щоб заохотити багатонаціональні підприємства розміщувати свої філії у відповідних країнах. Однак такі пакети зазвичай врівноважуються аналогічними пакетами, які пропонують інші країни-конкуренти. Тому в попередніх дослідженнях зроблено висновок, що інвестиційні стимули мають значення лише тоді, коли інші умови в альтернативних приймаючих країнах є приблизно однаковими. Сприятливе бізнес-середовище збільшує шанси країн, що розвиваються, на отримання прямих іноземних інвестицій. Однак у цих дослідженнях використовувалися різні індикатори як проксі-індикатори інвестиційного клімату. Одні дослідники розглядали наявність інфраструктури та здорові економічні і політичні умови, тоді як інші доповнили їх якісними фінансовими послугами та низькими витратами на митне оформлення. Надалі були включені показники, такі як фінансовий розвиток та ефективні інституції, цей набір був </w:t>
      </w:r>
      <w:r w:rsidRPr="00F8585E">
        <w:rPr>
          <w:rFonts w:ascii="Times New Roman" w:hAnsi="Times New Roman" w:cs="Times New Roman"/>
          <w:sz w:val="28"/>
          <w:szCs w:val="28"/>
          <w:lang w:val="uk-UA"/>
        </w:rPr>
        <w:lastRenderedPageBreak/>
        <w:t xml:space="preserve">доповнений легкістю входження в бізнес та ведення операцій. Однак інші дослідники зосередилися на правилах і нормах, що стосуються інвестицій і бізнесу, а також на макроекономічній стабільності. Хоча в цих дослідженнях використовувалися різні показники, загальний консенсус полягав у тому, що обмеження інвестиційного клімату негативно впливають на приплив прямих іноземних інвестицій. </w:t>
      </w:r>
      <w:r w:rsidR="00C90595" w:rsidRPr="00F8585E">
        <w:rPr>
          <w:rFonts w:ascii="Times New Roman" w:hAnsi="Times New Roman" w:cs="Times New Roman"/>
          <w:sz w:val="28"/>
          <w:szCs w:val="28"/>
          <w:lang w:val="uk-UA"/>
        </w:rPr>
        <w:t xml:space="preserve">  </w:t>
      </w:r>
    </w:p>
    <w:p w:rsidR="00C90595" w:rsidRPr="00F8585E" w:rsidRDefault="007D357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Дослідження показали, що обмеження інвестиційного клімату, такі як нерозвиненість фізичної інфраструктури та фінансових ринків, обмежують </w:t>
      </w:r>
      <w:r w:rsidR="00C90595" w:rsidRPr="00F8585E">
        <w:rPr>
          <w:rFonts w:ascii="Times New Roman" w:hAnsi="Times New Roman" w:cs="Times New Roman"/>
          <w:sz w:val="28"/>
          <w:szCs w:val="28"/>
          <w:lang w:val="uk-UA"/>
        </w:rPr>
        <w:t xml:space="preserve">прямі іноземні інвестиції </w:t>
      </w:r>
      <w:r w:rsidRPr="00F8585E">
        <w:rPr>
          <w:rFonts w:ascii="Times New Roman" w:hAnsi="Times New Roman" w:cs="Times New Roman"/>
          <w:sz w:val="28"/>
          <w:szCs w:val="28"/>
          <w:lang w:val="uk-UA"/>
        </w:rPr>
        <w:t>в країнах, що розвиваються. Ці результати ґрунтуються на економетричному аналізі даних на рівні компаній у 77 країнах, що розвиваються. Згідно з дослідженням</w:t>
      </w:r>
      <w:r w:rsidR="00C90595" w:rsidRPr="00F8585E">
        <w:rPr>
          <w:rFonts w:ascii="Times New Roman" w:hAnsi="Times New Roman" w:cs="Times New Roman"/>
          <w:sz w:val="28"/>
          <w:szCs w:val="28"/>
          <w:lang w:val="uk-UA"/>
        </w:rPr>
        <w:t>и</w:t>
      </w:r>
      <w:r w:rsidRPr="00F8585E">
        <w:rPr>
          <w:rFonts w:ascii="Times New Roman" w:hAnsi="Times New Roman" w:cs="Times New Roman"/>
          <w:sz w:val="28"/>
          <w:szCs w:val="28"/>
          <w:lang w:val="uk-UA"/>
        </w:rPr>
        <w:t xml:space="preserve">, добре розвинена інфраструктура має важливе значення для залучення іноземного капіталу. Зокрема, якщо </w:t>
      </w:r>
      <w:r w:rsidR="00C90595" w:rsidRPr="00F8585E">
        <w:rPr>
          <w:rFonts w:ascii="Times New Roman" w:hAnsi="Times New Roman" w:cs="Times New Roman"/>
          <w:sz w:val="28"/>
          <w:szCs w:val="28"/>
          <w:lang w:val="uk-UA"/>
        </w:rPr>
        <w:t xml:space="preserve">прямі іноземні інвестиції </w:t>
      </w:r>
      <w:r w:rsidRPr="00F8585E">
        <w:rPr>
          <w:rFonts w:ascii="Times New Roman" w:hAnsi="Times New Roman" w:cs="Times New Roman"/>
          <w:sz w:val="28"/>
          <w:szCs w:val="28"/>
          <w:lang w:val="uk-UA"/>
        </w:rPr>
        <w:t>надходять у виробничий сектор, хороший рівень інфраструктури знижує трансакційні витрати, дозволяючи підприємцям легко зв'язуватися зі своїми постачальниками та клієнтами. Це також стосується добре розвинених фінансових послуг, які можуть полегшити фінансові операції між іноземними фірмами та їхніми клієнтами і працівниками в приймаючій к</w:t>
      </w:r>
      <w:r w:rsidR="00C90595" w:rsidRPr="00F8585E">
        <w:rPr>
          <w:rFonts w:ascii="Times New Roman" w:hAnsi="Times New Roman" w:cs="Times New Roman"/>
          <w:sz w:val="28"/>
          <w:szCs w:val="28"/>
          <w:lang w:val="uk-UA"/>
        </w:rPr>
        <w:t>раїні. Дослідження також виявили</w:t>
      </w:r>
      <w:r w:rsidRPr="00F8585E">
        <w:rPr>
          <w:rFonts w:ascii="Times New Roman" w:hAnsi="Times New Roman" w:cs="Times New Roman"/>
          <w:sz w:val="28"/>
          <w:szCs w:val="28"/>
          <w:lang w:val="uk-UA"/>
        </w:rPr>
        <w:t xml:space="preserve">, що фінансові обмеження є найважливішим типом обмежень інвестиційного клімату для фірм (як місцевих, так і іноземних), і що іноземні фірми прагнуть розміщуватися там, де фінансові обмеження є низькими. </w:t>
      </w:r>
      <w:r w:rsidR="00C90595" w:rsidRPr="00F8585E">
        <w:rPr>
          <w:rFonts w:ascii="Times New Roman" w:hAnsi="Times New Roman" w:cs="Times New Roman"/>
          <w:sz w:val="28"/>
          <w:szCs w:val="28"/>
          <w:lang w:val="uk-UA"/>
        </w:rPr>
        <w:t xml:space="preserve">  </w:t>
      </w:r>
    </w:p>
    <w:p w:rsidR="007D3574" w:rsidRPr="00F8585E" w:rsidRDefault="00C90595"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Також було досліджено</w:t>
      </w:r>
      <w:r w:rsidR="007D3574" w:rsidRPr="00F8585E">
        <w:rPr>
          <w:rFonts w:ascii="Times New Roman" w:hAnsi="Times New Roman" w:cs="Times New Roman"/>
          <w:sz w:val="28"/>
          <w:szCs w:val="28"/>
          <w:lang w:val="uk-UA"/>
        </w:rPr>
        <w:t xml:space="preserve"> важливість для притоку </w:t>
      </w:r>
      <w:r w:rsidRPr="00F8585E">
        <w:rPr>
          <w:rFonts w:ascii="Times New Roman" w:hAnsi="Times New Roman" w:cs="Times New Roman"/>
          <w:sz w:val="28"/>
          <w:szCs w:val="28"/>
          <w:lang w:val="uk-UA"/>
        </w:rPr>
        <w:t>прямих іноземних інвестицій</w:t>
      </w:r>
      <w:r w:rsidR="007D3574"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 xml:space="preserve">наступних </w:t>
      </w:r>
      <w:r w:rsidR="007D3574" w:rsidRPr="00F8585E">
        <w:rPr>
          <w:rFonts w:ascii="Times New Roman" w:hAnsi="Times New Roman" w:cs="Times New Roman"/>
          <w:sz w:val="28"/>
          <w:szCs w:val="28"/>
          <w:lang w:val="uk-UA"/>
        </w:rPr>
        <w:t xml:space="preserve">показників інвестиційного клімату, а саме: наявність інфраструктури та здорові економічні і політичні умови. Ці показники оцінювалися разом з іншими коваріантами, такими як відкритість торгівлі. Використовуючи рейтинги економічного ризику та політичного ризику як мірило економічних та політичних умов, відповідно, для групи з 72 країн, що розвиваються, дослідження виявило докази того, що показники відкритості торгівлі та інвестиційного клімату суттєво сприяють притоку </w:t>
      </w:r>
      <w:r w:rsidRPr="00F8585E">
        <w:rPr>
          <w:rFonts w:ascii="Times New Roman" w:hAnsi="Times New Roman" w:cs="Times New Roman"/>
          <w:sz w:val="28"/>
          <w:szCs w:val="28"/>
          <w:lang w:val="uk-UA"/>
        </w:rPr>
        <w:t xml:space="preserve">прямих іноземних </w:t>
      </w:r>
      <w:r w:rsidRPr="00F8585E">
        <w:rPr>
          <w:rFonts w:ascii="Times New Roman" w:hAnsi="Times New Roman" w:cs="Times New Roman"/>
          <w:sz w:val="28"/>
          <w:szCs w:val="28"/>
          <w:lang w:val="uk-UA"/>
        </w:rPr>
        <w:lastRenderedPageBreak/>
        <w:t>інвестицій</w:t>
      </w:r>
      <w:r w:rsidR="007D3574" w:rsidRPr="00F8585E">
        <w:rPr>
          <w:rFonts w:ascii="Times New Roman" w:hAnsi="Times New Roman" w:cs="Times New Roman"/>
          <w:sz w:val="28"/>
          <w:szCs w:val="28"/>
          <w:lang w:val="uk-UA"/>
        </w:rPr>
        <w:t xml:space="preserve">. Згідно з дослідженням, приріст </w:t>
      </w:r>
      <w:r w:rsidRPr="00F8585E">
        <w:rPr>
          <w:rFonts w:ascii="Times New Roman" w:hAnsi="Times New Roman" w:cs="Times New Roman"/>
          <w:sz w:val="28"/>
          <w:szCs w:val="28"/>
          <w:lang w:val="uk-UA"/>
        </w:rPr>
        <w:t>прямих іноземних інвестицій</w:t>
      </w:r>
      <w:r w:rsidR="007D3574" w:rsidRPr="00F8585E">
        <w:rPr>
          <w:rFonts w:ascii="Times New Roman" w:hAnsi="Times New Roman" w:cs="Times New Roman"/>
          <w:sz w:val="28"/>
          <w:szCs w:val="28"/>
          <w:lang w:val="uk-UA"/>
        </w:rPr>
        <w:t xml:space="preserve"> внаслідок покращення бізнес-середовища виявився набагато вищим, ніж приріст від більшої відкритості торгівлі. </w:t>
      </w:r>
    </w:p>
    <w:p w:rsidR="00B2062C" w:rsidRPr="00F8585E" w:rsidRDefault="00C90595"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Крім цього дослідження </w:t>
      </w:r>
      <w:r w:rsidR="007D3574" w:rsidRPr="00F8585E">
        <w:rPr>
          <w:rFonts w:ascii="Times New Roman" w:hAnsi="Times New Roman" w:cs="Times New Roman"/>
          <w:sz w:val="28"/>
          <w:szCs w:val="28"/>
          <w:lang w:val="uk-UA"/>
        </w:rPr>
        <w:t xml:space="preserve">виявили, що сприятливе бізнес-середовище з відповідними правилами і нормами може значно знизити операційні витрати і приховані витрати, забезпечуючи добре функціонуючий ринок. </w:t>
      </w:r>
      <w:r w:rsidRPr="00F8585E">
        <w:rPr>
          <w:rFonts w:ascii="Times New Roman" w:hAnsi="Times New Roman" w:cs="Times New Roman"/>
          <w:sz w:val="28"/>
          <w:szCs w:val="28"/>
          <w:lang w:val="uk-UA"/>
        </w:rPr>
        <w:t>С</w:t>
      </w:r>
      <w:r w:rsidR="007D3574" w:rsidRPr="00F8585E">
        <w:rPr>
          <w:rFonts w:ascii="Times New Roman" w:hAnsi="Times New Roman" w:cs="Times New Roman"/>
          <w:sz w:val="28"/>
          <w:szCs w:val="28"/>
          <w:lang w:val="uk-UA"/>
        </w:rPr>
        <w:t xml:space="preserve">оціально-економічні та політичні змінні, такі як нормативно-правова база, бюрократичні перепони на кшталт бюрократичної тяганини, правила створення нових підприємств, прозорість судової системи та рівень корупції в приймаючій країні, можуть зменшити приплив </w:t>
      </w:r>
      <w:r w:rsidRPr="00F8585E">
        <w:rPr>
          <w:rFonts w:ascii="Times New Roman" w:hAnsi="Times New Roman" w:cs="Times New Roman"/>
          <w:sz w:val="28"/>
          <w:szCs w:val="28"/>
          <w:lang w:val="uk-UA"/>
        </w:rPr>
        <w:t>прямих іноземних інвестицій</w:t>
      </w:r>
      <w:r w:rsidR="007D3574"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С</w:t>
      </w:r>
      <w:r w:rsidR="007D3574" w:rsidRPr="00F8585E">
        <w:rPr>
          <w:rFonts w:ascii="Times New Roman" w:hAnsi="Times New Roman" w:cs="Times New Roman"/>
          <w:sz w:val="28"/>
          <w:szCs w:val="28"/>
          <w:lang w:val="uk-UA"/>
        </w:rPr>
        <w:t xml:space="preserve">приятливе бізнес-середовище, яке вимірюється кількістю днів, необхідних для започаткування бізнесу, є одним з найважливіших і найвагоміших чинників, що визначають приплив </w:t>
      </w:r>
      <w:r w:rsidRPr="00F8585E">
        <w:rPr>
          <w:rFonts w:ascii="Times New Roman" w:hAnsi="Times New Roman" w:cs="Times New Roman"/>
          <w:sz w:val="28"/>
          <w:szCs w:val="28"/>
          <w:lang w:val="uk-UA"/>
        </w:rPr>
        <w:t>прямих іноземних інвестицій</w:t>
      </w:r>
      <w:r w:rsidR="007D3574" w:rsidRPr="00F8585E">
        <w:rPr>
          <w:rFonts w:ascii="Times New Roman" w:hAnsi="Times New Roman" w:cs="Times New Roman"/>
          <w:sz w:val="28"/>
          <w:szCs w:val="28"/>
          <w:lang w:val="uk-UA"/>
        </w:rPr>
        <w:t xml:space="preserve"> до країн, що розвиваються</w:t>
      </w:r>
      <w:r w:rsidR="00816FAD" w:rsidRPr="00F8585E">
        <w:rPr>
          <w:rFonts w:ascii="Times New Roman" w:hAnsi="Times New Roman" w:cs="Times New Roman"/>
          <w:sz w:val="28"/>
          <w:szCs w:val="28"/>
          <w:lang w:val="uk-UA"/>
        </w:rPr>
        <w:t xml:space="preserve"> [</w:t>
      </w:r>
      <w:r w:rsidR="00B45E27" w:rsidRPr="00F8585E">
        <w:rPr>
          <w:rFonts w:ascii="Times New Roman" w:hAnsi="Times New Roman" w:cs="Times New Roman"/>
          <w:sz w:val="28"/>
          <w:szCs w:val="28"/>
          <w:lang w:val="uk-UA"/>
        </w:rPr>
        <w:t>5</w:t>
      </w:r>
      <w:r w:rsidR="00816FAD" w:rsidRPr="00F8585E">
        <w:rPr>
          <w:rFonts w:ascii="Times New Roman" w:hAnsi="Times New Roman" w:cs="Times New Roman"/>
          <w:sz w:val="28"/>
          <w:szCs w:val="28"/>
          <w:lang w:val="uk-UA"/>
        </w:rPr>
        <w:t>]</w:t>
      </w:r>
      <w:r w:rsidR="007D3574" w:rsidRPr="00F8585E">
        <w:rPr>
          <w:rFonts w:ascii="Times New Roman" w:hAnsi="Times New Roman" w:cs="Times New Roman"/>
          <w:sz w:val="28"/>
          <w:szCs w:val="28"/>
          <w:lang w:val="uk-UA"/>
        </w:rPr>
        <w:t>.</w:t>
      </w:r>
    </w:p>
    <w:p w:rsidR="003B438F" w:rsidRPr="00F8585E" w:rsidRDefault="003B438F"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21C89" w:rsidRPr="00F8585E">
        <w:rPr>
          <w:rFonts w:ascii="Times New Roman" w:hAnsi="Times New Roman" w:cs="Times New Roman"/>
          <w:sz w:val="28"/>
          <w:szCs w:val="28"/>
          <w:lang w:val="uk-UA"/>
        </w:rPr>
        <w:t xml:space="preserve">Наврузов  І. </w:t>
      </w:r>
      <w:r w:rsidR="008D09F0">
        <w:rPr>
          <w:rFonts w:ascii="Times New Roman" w:hAnsi="Times New Roman" w:cs="Times New Roman"/>
          <w:sz w:val="28"/>
          <w:szCs w:val="28"/>
          <w:lang w:val="uk-UA"/>
        </w:rPr>
        <w:t xml:space="preserve">А. </w:t>
      </w:r>
      <w:r w:rsidR="00B21C89" w:rsidRPr="00F8585E">
        <w:rPr>
          <w:rFonts w:ascii="Times New Roman" w:hAnsi="Times New Roman" w:cs="Times New Roman"/>
          <w:sz w:val="28"/>
          <w:szCs w:val="28"/>
          <w:lang w:val="uk-UA"/>
        </w:rPr>
        <w:t>у своєму дослідженні «Вплив інвестиційного клімату на приток зарубіжних прямих інвестицій в країну» 2023 року наголошує на тому, що а</w:t>
      </w:r>
      <w:r w:rsidRPr="00F8585E">
        <w:rPr>
          <w:rFonts w:ascii="Times New Roman" w:hAnsi="Times New Roman" w:cs="Times New Roman"/>
          <w:sz w:val="28"/>
          <w:szCs w:val="28"/>
          <w:lang w:val="uk-UA"/>
        </w:rPr>
        <w:t>наліз соціально-економічних змін, що відбуваються в країні, свідчить про те, що модернізація економіки та роль активної інвестиційної політики є дуже важливими у досягненнях та успіхах</w:t>
      </w:r>
      <w:r w:rsidR="00B21C89" w:rsidRPr="00F8585E">
        <w:rPr>
          <w:rFonts w:ascii="Times New Roman" w:hAnsi="Times New Roman" w:cs="Times New Roman"/>
          <w:sz w:val="28"/>
          <w:szCs w:val="28"/>
          <w:lang w:val="uk-UA"/>
        </w:rPr>
        <w:t xml:space="preserve"> цієї країни</w:t>
      </w:r>
      <w:r w:rsidRPr="00F8585E">
        <w:rPr>
          <w:rFonts w:ascii="Times New Roman" w:hAnsi="Times New Roman" w:cs="Times New Roman"/>
          <w:sz w:val="28"/>
          <w:szCs w:val="28"/>
          <w:lang w:val="uk-UA"/>
        </w:rPr>
        <w:t>.  Відповідно, важливим є створення ефективної системи підприємств, дослідження теоретико-методологічних засад оцінки привабливості їх інвестиційного клімату та потенціалу.</w:t>
      </w:r>
    </w:p>
    <w:p w:rsidR="00B21C89" w:rsidRPr="00F8585E" w:rsidRDefault="00B21C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Автор зазначає, що і</w:t>
      </w:r>
      <w:r w:rsidR="003B438F" w:rsidRPr="00F8585E">
        <w:rPr>
          <w:rFonts w:ascii="Times New Roman" w:hAnsi="Times New Roman" w:cs="Times New Roman"/>
          <w:sz w:val="28"/>
          <w:szCs w:val="28"/>
          <w:lang w:val="uk-UA"/>
        </w:rPr>
        <w:t>нвестиційна привабливість підприємств залежить від інвестиційної політики країни та створеного інвестиційного клімату. Зокрема, інвестиційний клімат розглядається як система трьох елементів: інвестиційний потенціал, інвести</w:t>
      </w:r>
      <w:r w:rsidRPr="00F8585E">
        <w:rPr>
          <w:rFonts w:ascii="Times New Roman" w:hAnsi="Times New Roman" w:cs="Times New Roman"/>
          <w:sz w:val="28"/>
          <w:szCs w:val="28"/>
          <w:lang w:val="uk-UA"/>
        </w:rPr>
        <w:t>ційний ризик та правові умови</w:t>
      </w:r>
      <w:r w:rsidR="003B438F" w:rsidRPr="00F8585E">
        <w:rPr>
          <w:rFonts w:ascii="Times New Roman" w:hAnsi="Times New Roman" w:cs="Times New Roman"/>
          <w:sz w:val="28"/>
          <w:szCs w:val="28"/>
          <w:lang w:val="uk-UA"/>
        </w:rPr>
        <w:t xml:space="preserve">. Розглядаючи фактори, що впливають на формування сприятливого </w:t>
      </w:r>
      <w:r w:rsidRPr="00F8585E">
        <w:rPr>
          <w:rFonts w:ascii="Times New Roman" w:hAnsi="Times New Roman" w:cs="Times New Roman"/>
          <w:sz w:val="28"/>
          <w:szCs w:val="28"/>
          <w:lang w:val="uk-UA"/>
        </w:rPr>
        <w:t xml:space="preserve">інвестиційного клімату в країні або </w:t>
      </w:r>
      <w:r w:rsidR="003B438F" w:rsidRPr="00F8585E">
        <w:rPr>
          <w:rFonts w:ascii="Times New Roman" w:hAnsi="Times New Roman" w:cs="Times New Roman"/>
          <w:sz w:val="28"/>
          <w:szCs w:val="28"/>
          <w:lang w:val="uk-UA"/>
        </w:rPr>
        <w:t xml:space="preserve">регіоні, слід зазначити, що для країни важливо інтегруватися у світове співтовариство з точки зору інвестиційної привабливості. Важливе значення </w:t>
      </w:r>
      <w:r w:rsidR="003B438F" w:rsidRPr="00F8585E">
        <w:rPr>
          <w:rFonts w:ascii="Times New Roman" w:hAnsi="Times New Roman" w:cs="Times New Roman"/>
          <w:sz w:val="28"/>
          <w:szCs w:val="28"/>
          <w:lang w:val="uk-UA"/>
        </w:rPr>
        <w:lastRenderedPageBreak/>
        <w:t>для залучення прямих іноземних інвестицій має стратегія підвищення і</w:t>
      </w:r>
      <w:r w:rsidRPr="00F8585E">
        <w:rPr>
          <w:rFonts w:ascii="Times New Roman" w:hAnsi="Times New Roman" w:cs="Times New Roman"/>
          <w:sz w:val="28"/>
          <w:szCs w:val="28"/>
          <w:lang w:val="uk-UA"/>
        </w:rPr>
        <w:t>нвестиційного престижу країни</w:t>
      </w:r>
      <w:r w:rsidR="003B438F" w:rsidRPr="00F8585E">
        <w:rPr>
          <w:rFonts w:ascii="Times New Roman" w:hAnsi="Times New Roman" w:cs="Times New Roman"/>
          <w:sz w:val="28"/>
          <w:szCs w:val="28"/>
          <w:lang w:val="uk-UA"/>
        </w:rPr>
        <w:t>. Трактування «інвестиційного потенціалу» як сукупності інвестиційних ресурсів, що складається з частини нагромадженого капіталу, вираженої у формі інвестиційного попиту на інвестиційному ринку, яка має потенційну можливість перетворитися на реальний інвестиційний попит, що задовольняє матеріальні, фінансові та інтелектуальні</w:t>
      </w:r>
      <w:r w:rsidRPr="00F8585E">
        <w:rPr>
          <w:rFonts w:ascii="Times New Roman" w:hAnsi="Times New Roman" w:cs="Times New Roman"/>
          <w:sz w:val="28"/>
          <w:szCs w:val="28"/>
          <w:lang w:val="uk-UA"/>
        </w:rPr>
        <w:t xml:space="preserve"> потреби відтворення капіталу</w:t>
      </w:r>
      <w:r w:rsidR="003B438F" w:rsidRPr="00F8585E">
        <w:rPr>
          <w:rFonts w:ascii="Times New Roman" w:hAnsi="Times New Roman" w:cs="Times New Roman"/>
          <w:sz w:val="28"/>
          <w:szCs w:val="28"/>
          <w:lang w:val="uk-UA"/>
        </w:rPr>
        <w:t xml:space="preserve">. </w:t>
      </w:r>
    </w:p>
    <w:p w:rsidR="003B438F" w:rsidRPr="00F8585E" w:rsidRDefault="00B21C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Автор також зазначає, що п</w:t>
      </w:r>
      <w:r w:rsidR="003B438F" w:rsidRPr="00F8585E">
        <w:rPr>
          <w:rFonts w:ascii="Times New Roman" w:hAnsi="Times New Roman" w:cs="Times New Roman"/>
          <w:sz w:val="28"/>
          <w:szCs w:val="28"/>
          <w:lang w:val="uk-UA"/>
        </w:rPr>
        <w:t xml:space="preserve">ривабливість інвестиційного клімату, економічний розвиток кожного регіону залежить від потенціалу капітальних і трудових ресурсів, рівня їх використання. </w:t>
      </w:r>
      <w:r w:rsidRPr="00F8585E">
        <w:rPr>
          <w:rFonts w:ascii="Times New Roman" w:hAnsi="Times New Roman" w:cs="Times New Roman"/>
          <w:sz w:val="28"/>
          <w:szCs w:val="28"/>
          <w:lang w:val="uk-UA"/>
        </w:rPr>
        <w:t>На думку автора з</w:t>
      </w:r>
      <w:r w:rsidR="003B438F" w:rsidRPr="00F8585E">
        <w:rPr>
          <w:rFonts w:ascii="Times New Roman" w:hAnsi="Times New Roman" w:cs="Times New Roman"/>
          <w:sz w:val="28"/>
          <w:szCs w:val="28"/>
          <w:lang w:val="uk-UA"/>
        </w:rPr>
        <w:t>агальноприйнято вважати, що економічний потенціал регіону та його можливості визначаються виробництвом життєво важливих благ за рахунок ефективного використання всього ко</w:t>
      </w:r>
      <w:r w:rsidRPr="00F8585E">
        <w:rPr>
          <w:rFonts w:ascii="Times New Roman" w:hAnsi="Times New Roman" w:cs="Times New Roman"/>
          <w:sz w:val="28"/>
          <w:szCs w:val="28"/>
          <w:lang w:val="uk-UA"/>
        </w:rPr>
        <w:t>мплексу наявних там ресурсів</w:t>
      </w:r>
      <w:r w:rsidR="003B438F" w:rsidRPr="00F8585E">
        <w:rPr>
          <w:rFonts w:ascii="Times New Roman" w:hAnsi="Times New Roman" w:cs="Times New Roman"/>
          <w:sz w:val="28"/>
          <w:szCs w:val="28"/>
          <w:lang w:val="uk-UA"/>
        </w:rPr>
        <w:t>. Визначення співвідношення між дивідендами та реінвестиціями в дивідендній політиці країни, захист прав міноритарних акціонерів, підвищення курсу акцій, розширення ділової активності може підвищити інвестиційну привабливість компанії, що позитивно впливає на інвестиц</w:t>
      </w:r>
      <w:r w:rsidRPr="00F8585E">
        <w:rPr>
          <w:rFonts w:ascii="Times New Roman" w:hAnsi="Times New Roman" w:cs="Times New Roman"/>
          <w:sz w:val="28"/>
          <w:szCs w:val="28"/>
          <w:lang w:val="uk-UA"/>
        </w:rPr>
        <w:t>ійну привабливість країни [6]</w:t>
      </w:r>
      <w:r w:rsidR="003B438F"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 xml:space="preserve">В свою чергу </w:t>
      </w:r>
      <w:r w:rsidR="008D09F0">
        <w:rPr>
          <w:rFonts w:ascii="Times New Roman" w:hAnsi="Times New Roman" w:cs="Times New Roman"/>
          <w:sz w:val="28"/>
          <w:szCs w:val="28"/>
          <w:lang w:val="uk-UA"/>
        </w:rPr>
        <w:t xml:space="preserve">Наврузов І. А. </w:t>
      </w:r>
      <w:r w:rsidRPr="00F8585E">
        <w:rPr>
          <w:rFonts w:ascii="Times New Roman" w:hAnsi="Times New Roman" w:cs="Times New Roman"/>
          <w:sz w:val="28"/>
          <w:szCs w:val="28"/>
          <w:lang w:val="uk-UA"/>
        </w:rPr>
        <w:t xml:space="preserve">у своєму дослідженні </w:t>
      </w:r>
      <w:r w:rsidR="00861D35" w:rsidRPr="00F8585E">
        <w:rPr>
          <w:rFonts w:ascii="Times New Roman" w:hAnsi="Times New Roman" w:cs="Times New Roman"/>
          <w:sz w:val="28"/>
          <w:szCs w:val="28"/>
          <w:lang w:val="uk-UA"/>
        </w:rPr>
        <w:t xml:space="preserve">«Залучення зарубіжних прямих інвестицій - гарантія прогресу» 2022 року </w:t>
      </w:r>
      <w:r w:rsidRPr="00F8585E">
        <w:rPr>
          <w:rFonts w:ascii="Times New Roman" w:hAnsi="Times New Roman" w:cs="Times New Roman"/>
          <w:sz w:val="28"/>
          <w:szCs w:val="28"/>
          <w:lang w:val="uk-UA"/>
        </w:rPr>
        <w:t>наголошує та тому, що н</w:t>
      </w:r>
      <w:r w:rsidR="003B438F" w:rsidRPr="00F8585E">
        <w:rPr>
          <w:rFonts w:ascii="Times New Roman" w:hAnsi="Times New Roman" w:cs="Times New Roman"/>
          <w:sz w:val="28"/>
          <w:szCs w:val="28"/>
          <w:lang w:val="uk-UA"/>
        </w:rPr>
        <w:t>езалежно від сфери, в якій функціонують акціонерні товариства в країні, одним з важливих завдань є розміщення додаткових фінансових ресурсів, в тому числі з</w:t>
      </w:r>
      <w:r w:rsidR="00861D35" w:rsidRPr="00F8585E">
        <w:rPr>
          <w:rFonts w:ascii="Times New Roman" w:hAnsi="Times New Roman" w:cs="Times New Roman"/>
          <w:sz w:val="28"/>
          <w:szCs w:val="28"/>
          <w:lang w:val="uk-UA"/>
        </w:rPr>
        <w:t>алучення іноземних інвестицій [7].</w:t>
      </w:r>
    </w:p>
    <w:p w:rsidR="00816FAD" w:rsidRPr="00F8585E" w:rsidRDefault="00816FAD"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sz w:val="28"/>
          <w:szCs w:val="28"/>
          <w:lang w:val="uk-UA"/>
        </w:rPr>
        <w:tab/>
      </w:r>
      <w:r w:rsidR="00861D35" w:rsidRPr="00F8585E">
        <w:rPr>
          <w:rFonts w:ascii="Times New Roman" w:hAnsi="Times New Roman" w:cs="Times New Roman"/>
          <w:color w:val="0D0D0D"/>
          <w:sz w:val="28"/>
          <w:szCs w:val="28"/>
          <w:shd w:val="clear" w:color="auto" w:fill="FFFFFF"/>
          <w:lang w:val="uk-UA"/>
        </w:rPr>
        <w:t>Отже, а</w:t>
      </w:r>
      <w:r w:rsidRPr="00F8585E">
        <w:rPr>
          <w:rFonts w:ascii="Times New Roman" w:hAnsi="Times New Roman" w:cs="Times New Roman"/>
          <w:color w:val="0D0D0D"/>
          <w:sz w:val="28"/>
          <w:szCs w:val="28"/>
          <w:shd w:val="clear" w:color="auto" w:fill="FFFFFF"/>
          <w:lang w:val="uk-UA"/>
        </w:rPr>
        <w:t xml:space="preserve">наліз таких концепцій як інвестиційний клімат, транснаціональна діяльність та їхнього взаємозв’язку є важливим аспектом в аналізі економічного розвитку та привабливості інвестицій у конкретних регіонах. Враховуючи унікальні характеристики кожної території, необхідно розглядати та визначати фактори, які впливають на створення сприятливого інвестиційного середовища та транснаціональної діяльності в межах цих регіонів. Відповідне розуміння концепцій та механізмів, що керують цими процесами, дозволяє ефективно </w:t>
      </w:r>
      <w:r w:rsidRPr="00F8585E">
        <w:rPr>
          <w:rFonts w:ascii="Times New Roman" w:hAnsi="Times New Roman" w:cs="Times New Roman"/>
          <w:color w:val="0D0D0D"/>
          <w:sz w:val="28"/>
          <w:szCs w:val="28"/>
          <w:shd w:val="clear" w:color="auto" w:fill="FFFFFF"/>
          <w:lang w:val="uk-UA"/>
        </w:rPr>
        <w:lastRenderedPageBreak/>
        <w:t>аналізувати й прогнозувати динаміку економічного зростання та інвестиційного потенціалу на рівні регіонів.</w:t>
      </w:r>
    </w:p>
    <w:p w:rsidR="00744AAE" w:rsidRPr="00F8585E" w:rsidRDefault="00744AAE" w:rsidP="00836606">
      <w:pPr>
        <w:spacing w:after="0" w:line="360" w:lineRule="auto"/>
        <w:jc w:val="both"/>
        <w:rPr>
          <w:rFonts w:ascii="Times New Roman" w:hAnsi="Times New Roman" w:cs="Times New Roman"/>
          <w:color w:val="0D0D0D"/>
          <w:sz w:val="28"/>
          <w:szCs w:val="28"/>
          <w:shd w:val="clear" w:color="auto" w:fill="FFFFFF"/>
          <w:lang w:val="uk-UA"/>
        </w:rPr>
      </w:pPr>
    </w:p>
    <w:p w:rsidR="00110A4D" w:rsidRPr="00F8585E" w:rsidRDefault="00110A4D" w:rsidP="00836606">
      <w:pPr>
        <w:spacing w:after="0" w:line="360" w:lineRule="auto"/>
        <w:jc w:val="both"/>
        <w:rPr>
          <w:rFonts w:ascii="Times New Roman" w:hAnsi="Times New Roman" w:cs="Times New Roman"/>
          <w:b/>
          <w:color w:val="000000" w:themeColor="text1"/>
          <w:sz w:val="28"/>
          <w:szCs w:val="28"/>
          <w:lang w:val="uk-UA"/>
        </w:rPr>
      </w:pPr>
      <w:r w:rsidRPr="00F8585E">
        <w:rPr>
          <w:rFonts w:ascii="Times New Roman" w:hAnsi="Times New Roman" w:cs="Times New Roman"/>
          <w:color w:val="000000" w:themeColor="text1"/>
          <w:sz w:val="28"/>
          <w:szCs w:val="28"/>
          <w:lang w:val="uk-UA"/>
        </w:rPr>
        <w:tab/>
      </w:r>
      <w:r w:rsidRPr="00F8585E">
        <w:rPr>
          <w:rFonts w:ascii="Times New Roman" w:hAnsi="Times New Roman" w:cs="Times New Roman"/>
          <w:b/>
          <w:color w:val="000000" w:themeColor="text1"/>
          <w:sz w:val="28"/>
          <w:szCs w:val="28"/>
          <w:lang w:val="uk-UA"/>
        </w:rPr>
        <w:t xml:space="preserve">1.2. </w:t>
      </w:r>
      <w:r w:rsidR="006F32B1" w:rsidRPr="00F8585E">
        <w:rPr>
          <w:rFonts w:ascii="Times New Roman" w:hAnsi="Times New Roman" w:cs="Times New Roman"/>
          <w:b/>
          <w:color w:val="000000" w:themeColor="text1"/>
          <w:sz w:val="28"/>
          <w:szCs w:val="28"/>
          <w:lang w:val="uk-UA"/>
        </w:rPr>
        <w:t>Чинники впливу</w:t>
      </w:r>
      <w:r w:rsidRPr="00F8585E">
        <w:rPr>
          <w:rFonts w:ascii="Times New Roman" w:hAnsi="Times New Roman" w:cs="Times New Roman"/>
          <w:b/>
          <w:color w:val="000000" w:themeColor="text1"/>
          <w:sz w:val="28"/>
          <w:szCs w:val="28"/>
          <w:lang w:val="uk-UA"/>
        </w:rPr>
        <w:t xml:space="preserve"> інвестиційного клімату на транснаціональну діяльність </w:t>
      </w:r>
    </w:p>
    <w:p w:rsidR="006F32B1" w:rsidRPr="00F8585E" w:rsidRDefault="006F32B1" w:rsidP="00836606">
      <w:pPr>
        <w:spacing w:after="0" w:line="360" w:lineRule="auto"/>
        <w:jc w:val="both"/>
        <w:rPr>
          <w:rFonts w:ascii="Times New Roman" w:hAnsi="Times New Roman" w:cs="Times New Roman"/>
          <w:color w:val="0D0D0D"/>
          <w:sz w:val="28"/>
          <w:szCs w:val="28"/>
          <w:shd w:val="clear" w:color="auto" w:fill="FFFFFF"/>
          <w:lang w:val="uk-UA"/>
        </w:rPr>
      </w:pPr>
    </w:p>
    <w:p w:rsidR="00110A4D" w:rsidRPr="00F8585E" w:rsidRDefault="00110A4D"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D0D0D"/>
          <w:sz w:val="28"/>
          <w:szCs w:val="28"/>
          <w:shd w:val="clear" w:color="auto" w:fill="FFFFFF"/>
          <w:lang w:val="uk-UA"/>
        </w:rPr>
        <w:tab/>
        <w:t xml:space="preserve">Аналіз результатів </w:t>
      </w:r>
      <w:r w:rsidR="00B45E27" w:rsidRPr="00F8585E">
        <w:rPr>
          <w:rFonts w:ascii="Times New Roman" w:hAnsi="Times New Roman" w:cs="Times New Roman"/>
          <w:color w:val="0D0D0D"/>
          <w:sz w:val="28"/>
          <w:szCs w:val="28"/>
          <w:shd w:val="clear" w:color="auto" w:fill="FFFFFF"/>
          <w:lang w:val="uk-UA"/>
        </w:rPr>
        <w:t xml:space="preserve">сучасних </w:t>
      </w:r>
      <w:r w:rsidRPr="00F8585E">
        <w:rPr>
          <w:rFonts w:ascii="Times New Roman" w:hAnsi="Times New Roman" w:cs="Times New Roman"/>
          <w:color w:val="0D0D0D"/>
          <w:sz w:val="28"/>
          <w:szCs w:val="28"/>
          <w:shd w:val="clear" w:color="auto" w:fill="FFFFFF"/>
          <w:lang w:val="uk-UA"/>
        </w:rPr>
        <w:t>досліджень інвестиційного клімату та його впливу на транснаціональну діяльність у різних регіонах світу є важливим кроком у розумінні глобальних тенденцій економічного розвитку та інвестиційної активност</w:t>
      </w:r>
      <w:r w:rsidR="00B45E27" w:rsidRPr="00F8585E">
        <w:rPr>
          <w:rFonts w:ascii="Times New Roman" w:hAnsi="Times New Roman" w:cs="Times New Roman"/>
          <w:color w:val="0D0D0D"/>
          <w:sz w:val="28"/>
          <w:szCs w:val="28"/>
          <w:shd w:val="clear" w:color="auto" w:fill="FFFFFF"/>
          <w:lang w:val="uk-UA"/>
        </w:rPr>
        <w:t xml:space="preserve">і. </w:t>
      </w:r>
    </w:p>
    <w:p w:rsidR="00110A4D" w:rsidRPr="00F8585E" w:rsidRDefault="00110A4D"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D0D0D"/>
          <w:sz w:val="28"/>
          <w:szCs w:val="28"/>
          <w:shd w:val="clear" w:color="auto" w:fill="FFFFFF"/>
          <w:lang w:val="uk-UA"/>
        </w:rPr>
        <w:tab/>
      </w:r>
      <w:r w:rsidR="00B45E27" w:rsidRPr="00F8585E">
        <w:rPr>
          <w:rFonts w:ascii="Times New Roman" w:hAnsi="Times New Roman" w:cs="Times New Roman"/>
          <w:color w:val="0D0D0D"/>
          <w:sz w:val="28"/>
          <w:szCs w:val="28"/>
          <w:shd w:val="clear" w:color="auto" w:fill="FFFFFF"/>
          <w:lang w:val="uk-UA"/>
        </w:rPr>
        <w:t xml:space="preserve">Наприклад, </w:t>
      </w:r>
      <w:r w:rsidR="00F70853" w:rsidRPr="00F70853">
        <w:rPr>
          <w:rFonts w:ascii="Times New Roman" w:hAnsi="Times New Roman" w:cs="Times New Roman"/>
          <w:sz w:val="28"/>
          <w:szCs w:val="28"/>
          <w:lang w:val="uk-UA"/>
        </w:rPr>
        <w:t xml:space="preserve">Шварценберг </w:t>
      </w:r>
      <w:r w:rsidRPr="00F70853">
        <w:rPr>
          <w:rFonts w:ascii="Times New Roman" w:hAnsi="Times New Roman" w:cs="Times New Roman"/>
          <w:sz w:val="28"/>
          <w:szCs w:val="28"/>
          <w:lang w:val="uk-UA"/>
        </w:rPr>
        <w:t>Зільберштейн</w:t>
      </w:r>
      <w:r w:rsidR="00F70853" w:rsidRPr="00F70853">
        <w:rPr>
          <w:rFonts w:ascii="Times New Roman" w:hAnsi="Times New Roman" w:cs="Times New Roman"/>
          <w:sz w:val="28"/>
          <w:szCs w:val="28"/>
          <w:lang w:val="uk-UA"/>
        </w:rPr>
        <w:t xml:space="preserve"> А. Б.</w:t>
      </w:r>
      <w:r w:rsidRPr="00F70853">
        <w:rPr>
          <w:rFonts w:ascii="Times New Roman" w:hAnsi="Times New Roman" w:cs="Times New Roman"/>
          <w:sz w:val="28"/>
          <w:szCs w:val="28"/>
          <w:lang w:val="uk-UA"/>
        </w:rPr>
        <w:t xml:space="preserve"> </w:t>
      </w:r>
      <w:r w:rsidRPr="00F8585E">
        <w:rPr>
          <w:rFonts w:ascii="Times New Roman" w:hAnsi="Times New Roman" w:cs="Times New Roman"/>
          <w:color w:val="0D0D0D"/>
          <w:sz w:val="28"/>
          <w:szCs w:val="28"/>
          <w:shd w:val="clear" w:color="auto" w:fill="FFFFFF"/>
          <w:lang w:val="uk-UA"/>
        </w:rPr>
        <w:t>у своєму дослідженні «Інвестиції та економічні показники в Європі: Роль інвестиційного клімату» 2020 року досліджує, як інвестиції, інвестиційний клімат та економічна інтеграція впливають на економічні показники 31 європейської країни. Основним внеском є розробка двох нових комплексних показників - Індексу європейської і</w:t>
      </w:r>
      <w:r w:rsidR="00B21C89" w:rsidRPr="00F8585E">
        <w:rPr>
          <w:rFonts w:ascii="Times New Roman" w:hAnsi="Times New Roman" w:cs="Times New Roman"/>
          <w:color w:val="0D0D0D"/>
          <w:sz w:val="28"/>
          <w:szCs w:val="28"/>
          <w:shd w:val="clear" w:color="auto" w:fill="FFFFFF"/>
          <w:lang w:val="uk-UA"/>
        </w:rPr>
        <w:t>нвестиційної привабливості</w:t>
      </w:r>
      <w:r w:rsidRPr="00F8585E">
        <w:rPr>
          <w:rFonts w:ascii="Times New Roman" w:hAnsi="Times New Roman" w:cs="Times New Roman"/>
          <w:color w:val="0D0D0D"/>
          <w:sz w:val="28"/>
          <w:szCs w:val="28"/>
          <w:shd w:val="clear" w:color="auto" w:fill="FFFFFF"/>
          <w:lang w:val="uk-UA"/>
        </w:rPr>
        <w:t xml:space="preserve"> та Індексу економічної інтеграції Європейського Сою</w:t>
      </w:r>
      <w:r w:rsidR="00627444" w:rsidRPr="00F8585E">
        <w:rPr>
          <w:rFonts w:ascii="Times New Roman" w:hAnsi="Times New Roman" w:cs="Times New Roman"/>
          <w:color w:val="0D0D0D"/>
          <w:sz w:val="28"/>
          <w:szCs w:val="28"/>
          <w:shd w:val="clear" w:color="auto" w:fill="FFFFFF"/>
          <w:lang w:val="uk-UA"/>
        </w:rPr>
        <w:t>зу</w:t>
      </w:r>
      <w:r w:rsidRPr="00F8585E">
        <w:rPr>
          <w:rFonts w:ascii="Times New Roman" w:hAnsi="Times New Roman" w:cs="Times New Roman"/>
          <w:color w:val="0D0D0D"/>
          <w:sz w:val="28"/>
          <w:szCs w:val="28"/>
          <w:shd w:val="clear" w:color="auto" w:fill="FFFFFF"/>
          <w:lang w:val="uk-UA"/>
        </w:rPr>
        <w:t>. Дослідження концептуалізує інвестиційний клімат як багатовимірну конструкцію і як основу для розуміння того, як політичні, економічні та соціальні фактори взаємодіють і впливають на привабливість країни для іноземних та внутрішніх інвестицій. Крім того, в дослідженні розглядається, як торговельні, фінансові, монетарні відносини та відносини у ланцюжку створення вартості сформували процес економічної інтеграції на рівні ЄС.</w:t>
      </w:r>
    </w:p>
    <w:p w:rsidR="00110A4D" w:rsidRPr="00F8585E" w:rsidRDefault="00110A4D"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D0D0D"/>
          <w:sz w:val="28"/>
          <w:szCs w:val="28"/>
          <w:shd w:val="clear" w:color="auto" w:fill="FFFFFF"/>
          <w:lang w:val="uk-UA"/>
        </w:rPr>
        <w:tab/>
        <w:t xml:space="preserve">Автор використовує індекси для вивчення впливу іноземних та внутрішніх інвестицій на валовий внутрішній продукт. Результати аналізу міжкраїнної регресії та динамічних панельних даних показують, що обидва типи інвестицій мають позитивний і значний вплив на економічне зростання в Європі (хоча, що прикметно, експорт має більший вплив, ніж іноземні чи внутрішні інвестиції). Крім того, це дослідження показує, що інвестиційний </w:t>
      </w:r>
      <w:r w:rsidRPr="00F8585E">
        <w:rPr>
          <w:rFonts w:ascii="Times New Roman" w:hAnsi="Times New Roman" w:cs="Times New Roman"/>
          <w:color w:val="0D0D0D"/>
          <w:sz w:val="28"/>
          <w:szCs w:val="28"/>
          <w:shd w:val="clear" w:color="auto" w:fill="FFFFFF"/>
          <w:lang w:val="uk-UA"/>
        </w:rPr>
        <w:lastRenderedPageBreak/>
        <w:t>клімат має важливе значення для економічних показників. Привабливий інвестиційний клімат і вищий рівень економічної інтеграції - особливо серед країн Центральної та Східної Європи - асоціюються з вищими рівнями ВВП на душу населення і темпами зростання.</w:t>
      </w:r>
    </w:p>
    <w:p w:rsidR="00110A4D" w:rsidRPr="00F8585E" w:rsidRDefault="00110A4D" w:rsidP="00836606">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D0D0D"/>
          <w:sz w:val="28"/>
          <w:szCs w:val="28"/>
          <w:shd w:val="clear" w:color="auto" w:fill="FFFFFF"/>
          <w:lang w:val="uk-UA"/>
        </w:rPr>
        <w:tab/>
        <w:t>Також автор аналізує зв'язок між прямими іноземними інвестиціями, експортом та ВВП в 11 країнах Центральної та Східної Європ</w:t>
      </w:r>
      <w:r w:rsidR="00627444" w:rsidRPr="00F8585E">
        <w:rPr>
          <w:rFonts w:ascii="Times New Roman" w:hAnsi="Times New Roman" w:cs="Times New Roman"/>
          <w:color w:val="0D0D0D"/>
          <w:sz w:val="28"/>
          <w:szCs w:val="28"/>
          <w:shd w:val="clear" w:color="auto" w:fill="FFFFFF"/>
          <w:lang w:val="uk-UA"/>
        </w:rPr>
        <w:t>и</w:t>
      </w:r>
      <w:r w:rsidRPr="00F8585E">
        <w:rPr>
          <w:rFonts w:ascii="Times New Roman" w:hAnsi="Times New Roman" w:cs="Times New Roman"/>
          <w:color w:val="0D0D0D"/>
          <w:sz w:val="28"/>
          <w:szCs w:val="28"/>
          <w:shd w:val="clear" w:color="auto" w:fill="FFFFFF"/>
          <w:lang w:val="uk-UA"/>
        </w:rPr>
        <w:t>. Хоча метою дослідження не є встановлення «справжнього» причинно-наслідкового зв'язку, результати показують, що зв'язки між іноземними інвестиціями, експортом та ВВП суттєво відрізняються між цими країнами. Автор наголошує, що хоча для багатьох з них існує посилюючий зв'язок між іноземними інвестиціями та ВВП, не схоже, що існує «причинно-наслідковий» зв'язок між їхнім експортом та ВВП. Ці висновки ставлять під сумнів обґрунтованість політичних рекомендацій, які наголошують - часто майже виключно - на залученні іноземних інвестицій та стимулюванні експорту для розвитку, виходячи з припущення, що прямі іноземні інвестиції або експорт «спричиняють» зростання. Таким чином, автор доходить висновку, що політика, спрямована на поліпшення фундаментальних основ цих економік (тобто інвестиційного клімату), може стати ключовим фактором у створенні та підтримці економічного зростання</w:t>
      </w:r>
      <w:r w:rsidR="00B45E27" w:rsidRPr="00F8585E">
        <w:rPr>
          <w:rFonts w:ascii="Times New Roman" w:hAnsi="Times New Roman" w:cs="Times New Roman"/>
          <w:color w:val="0D0D0D"/>
          <w:sz w:val="28"/>
          <w:szCs w:val="28"/>
          <w:shd w:val="clear" w:color="auto" w:fill="FFFFFF"/>
          <w:lang w:val="uk-UA"/>
        </w:rPr>
        <w:t xml:space="preserve"> </w:t>
      </w:r>
      <w:r w:rsidR="00B21C89" w:rsidRPr="00F8585E">
        <w:rPr>
          <w:rFonts w:ascii="Times New Roman" w:hAnsi="Times New Roman" w:cs="Times New Roman"/>
          <w:color w:val="0D0D0D"/>
          <w:sz w:val="28"/>
          <w:szCs w:val="28"/>
          <w:shd w:val="clear" w:color="auto" w:fill="FFFFFF"/>
          <w:lang w:val="uk-UA"/>
        </w:rPr>
        <w:t>[8</w:t>
      </w:r>
      <w:r w:rsidR="00B45E27" w:rsidRPr="00F8585E">
        <w:rPr>
          <w:rFonts w:ascii="Times New Roman" w:hAnsi="Times New Roman" w:cs="Times New Roman"/>
          <w:color w:val="0D0D0D"/>
          <w:sz w:val="28"/>
          <w:szCs w:val="28"/>
          <w:shd w:val="clear" w:color="auto" w:fill="FFFFFF"/>
          <w:lang w:val="uk-UA"/>
        </w:rPr>
        <w:t>]</w:t>
      </w:r>
      <w:r w:rsidRPr="00F8585E">
        <w:rPr>
          <w:rFonts w:ascii="Times New Roman" w:hAnsi="Times New Roman" w:cs="Times New Roman"/>
          <w:color w:val="0D0D0D"/>
          <w:sz w:val="28"/>
          <w:szCs w:val="28"/>
          <w:shd w:val="clear" w:color="auto" w:fill="FFFFFF"/>
          <w:lang w:val="uk-UA"/>
        </w:rPr>
        <w:t>.</w:t>
      </w:r>
      <w:r w:rsidR="00627444" w:rsidRPr="00F8585E">
        <w:rPr>
          <w:rFonts w:ascii="Times New Roman" w:hAnsi="Times New Roman" w:cs="Times New Roman"/>
          <w:color w:val="0D0D0D"/>
          <w:sz w:val="28"/>
          <w:szCs w:val="28"/>
          <w:shd w:val="clear" w:color="auto" w:fill="FFFFFF"/>
          <w:lang w:val="uk-UA"/>
        </w:rPr>
        <w:t xml:space="preserve">  </w:t>
      </w:r>
    </w:p>
    <w:p w:rsidR="00627444" w:rsidRPr="00F8585E" w:rsidRDefault="00B45E27"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Ру Г., Сяодун К. та Йії Х. у своїй статті «Оцінка інвестиційного клімату в сільському господарстві в країнах Центральної та Східної Європи: Застосування нейронної мережі зі зворотним поширенням» 2020 року </w:t>
      </w:r>
      <w:r w:rsidR="00627444" w:rsidRPr="00F8585E">
        <w:rPr>
          <w:rFonts w:ascii="Times New Roman" w:hAnsi="Times New Roman" w:cs="Times New Roman"/>
          <w:sz w:val="28"/>
          <w:szCs w:val="28"/>
          <w:lang w:val="uk-UA"/>
        </w:rPr>
        <w:t>досліджують оцінку</w:t>
      </w:r>
      <w:r w:rsidRPr="00F8585E">
        <w:rPr>
          <w:rFonts w:ascii="Times New Roman" w:hAnsi="Times New Roman" w:cs="Times New Roman"/>
          <w:sz w:val="28"/>
          <w:szCs w:val="28"/>
          <w:lang w:val="uk-UA"/>
        </w:rPr>
        <w:t xml:space="preserve"> інвестиційного клімату в сільс</w:t>
      </w:r>
      <w:r w:rsidR="00627444" w:rsidRPr="00F8585E">
        <w:rPr>
          <w:rFonts w:ascii="Times New Roman" w:hAnsi="Times New Roman" w:cs="Times New Roman"/>
          <w:sz w:val="28"/>
          <w:szCs w:val="28"/>
          <w:lang w:val="uk-UA"/>
        </w:rPr>
        <w:t xml:space="preserve">ькому господарстві в країнах </w:t>
      </w:r>
      <w:r w:rsidR="00627444" w:rsidRPr="00F8585E">
        <w:rPr>
          <w:rFonts w:ascii="Times New Roman" w:hAnsi="Times New Roman" w:cs="Times New Roman"/>
          <w:color w:val="0D0D0D"/>
          <w:sz w:val="28"/>
          <w:szCs w:val="28"/>
          <w:shd w:val="clear" w:color="auto" w:fill="FFFFFF"/>
          <w:lang w:val="uk-UA"/>
        </w:rPr>
        <w:t>Центральної та Східної Європи</w:t>
      </w:r>
      <w:r w:rsidRPr="00F8585E">
        <w:rPr>
          <w:rFonts w:ascii="Times New Roman" w:hAnsi="Times New Roman" w:cs="Times New Roman"/>
          <w:sz w:val="28"/>
          <w:szCs w:val="28"/>
          <w:lang w:val="uk-UA"/>
        </w:rPr>
        <w:t xml:space="preserve">. </w:t>
      </w:r>
      <w:r w:rsidR="00627444" w:rsidRPr="00F8585E">
        <w:rPr>
          <w:rFonts w:ascii="Times New Roman" w:hAnsi="Times New Roman" w:cs="Times New Roman"/>
          <w:sz w:val="28"/>
          <w:szCs w:val="28"/>
          <w:lang w:val="uk-UA"/>
        </w:rPr>
        <w:t>З</w:t>
      </w:r>
      <w:r w:rsidRPr="00F8585E">
        <w:rPr>
          <w:rFonts w:ascii="Times New Roman" w:hAnsi="Times New Roman" w:cs="Times New Roman"/>
          <w:sz w:val="28"/>
          <w:szCs w:val="28"/>
          <w:lang w:val="uk-UA"/>
        </w:rPr>
        <w:t xml:space="preserve">гідно з результатами оцінки, загальні показники трьох країн Балтії, як за загальними індикаторами сприяння інвестиціям, так і за індикаторами підсистем, в тій чи іншій мірі перевершують показники інших регіонів, особливо у випадку Естонії, що має специфічну кореляцію з її соціально-економічним розвитком. Вищий рівень економічного розвитку зазвичай означає більш міцну ринкову систему і більш відкриту </w:t>
      </w:r>
      <w:r w:rsidRPr="00F8585E">
        <w:rPr>
          <w:rFonts w:ascii="Times New Roman" w:hAnsi="Times New Roman" w:cs="Times New Roman"/>
          <w:sz w:val="28"/>
          <w:szCs w:val="28"/>
          <w:lang w:val="uk-UA"/>
        </w:rPr>
        <w:lastRenderedPageBreak/>
        <w:t>ринкову систему, що безпосередньо відображає сприятливий інвестиційний клімат</w:t>
      </w:r>
      <w:r w:rsidR="00627444" w:rsidRPr="00F8585E">
        <w:rPr>
          <w:rFonts w:ascii="Times New Roman" w:hAnsi="Times New Roman" w:cs="Times New Roman"/>
          <w:sz w:val="28"/>
          <w:szCs w:val="28"/>
          <w:lang w:val="uk-UA"/>
        </w:rPr>
        <w:t xml:space="preserve">. </w:t>
      </w:r>
    </w:p>
    <w:p w:rsidR="00627444" w:rsidRPr="00F8585E" w:rsidRDefault="0062744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Автори доходять висновку, що В</w:t>
      </w:r>
      <w:r w:rsidR="00B45E27" w:rsidRPr="00F8585E">
        <w:rPr>
          <w:rFonts w:ascii="Times New Roman" w:hAnsi="Times New Roman" w:cs="Times New Roman"/>
          <w:sz w:val="28"/>
          <w:szCs w:val="28"/>
          <w:lang w:val="uk-UA"/>
        </w:rPr>
        <w:t xml:space="preserve">ишеградська група та Словенія є одними з найкращих у країнах </w:t>
      </w:r>
      <w:r w:rsidRPr="00F8585E">
        <w:rPr>
          <w:rFonts w:ascii="Times New Roman" w:hAnsi="Times New Roman" w:cs="Times New Roman"/>
          <w:color w:val="0D0D0D"/>
          <w:sz w:val="28"/>
          <w:szCs w:val="28"/>
          <w:shd w:val="clear" w:color="auto" w:fill="FFFFFF"/>
          <w:lang w:val="uk-UA"/>
        </w:rPr>
        <w:t>Центральної та Східної Європи</w:t>
      </w:r>
      <w:r w:rsidR="00B45E27" w:rsidRPr="00F8585E">
        <w:rPr>
          <w:rFonts w:ascii="Times New Roman" w:hAnsi="Times New Roman" w:cs="Times New Roman"/>
          <w:sz w:val="28"/>
          <w:szCs w:val="28"/>
          <w:lang w:val="uk-UA"/>
        </w:rPr>
        <w:t xml:space="preserve"> з точки зору інвестиційного клімату, а Чеська Республіка має найвищі показники в регіоні, посідаючи друге місце в країнах </w:t>
      </w:r>
      <w:r w:rsidRPr="00F8585E">
        <w:rPr>
          <w:rFonts w:ascii="Times New Roman" w:hAnsi="Times New Roman" w:cs="Times New Roman"/>
          <w:color w:val="0D0D0D"/>
          <w:sz w:val="28"/>
          <w:szCs w:val="28"/>
          <w:shd w:val="clear" w:color="auto" w:fill="FFFFFF"/>
          <w:lang w:val="uk-UA"/>
        </w:rPr>
        <w:t>Центральної та Східної Європи</w:t>
      </w:r>
      <w:r w:rsidR="00B45E27" w:rsidRPr="00F8585E">
        <w:rPr>
          <w:rFonts w:ascii="Times New Roman" w:hAnsi="Times New Roman" w:cs="Times New Roman"/>
          <w:sz w:val="28"/>
          <w:szCs w:val="28"/>
          <w:lang w:val="uk-UA"/>
        </w:rPr>
        <w:t xml:space="preserve"> протягом багатьох років за загальними показниками та першу трійку за показниками підсистем, що свідчить про відмінний ринковий клімат. Балкани, які складаються з країн з перехідною економікою та країн, що розвиваються, відстають за загальним рівнем сприяння інвестиціям, причому всі вісім країн знаходяться в середньому або нижчому діапазоні, що пояснюється фактичним розривом у соціальному розвитку. Однак недостатня база сприяння також дає балканським країнам більше можливостей для оптимізації. </w:t>
      </w:r>
    </w:p>
    <w:p w:rsidR="00816FAD" w:rsidRPr="00F8585E" w:rsidRDefault="0062744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45E27" w:rsidRPr="00F8585E">
        <w:rPr>
          <w:rFonts w:ascii="Times New Roman" w:hAnsi="Times New Roman" w:cs="Times New Roman"/>
          <w:sz w:val="28"/>
          <w:szCs w:val="28"/>
          <w:lang w:val="uk-UA"/>
        </w:rPr>
        <w:t xml:space="preserve">Крім того, </w:t>
      </w:r>
      <w:r w:rsidRPr="00F8585E">
        <w:rPr>
          <w:rFonts w:ascii="Times New Roman" w:hAnsi="Times New Roman" w:cs="Times New Roman"/>
          <w:sz w:val="28"/>
          <w:szCs w:val="28"/>
          <w:lang w:val="uk-UA"/>
        </w:rPr>
        <w:t xml:space="preserve">автори наголошують, що </w:t>
      </w:r>
      <w:r w:rsidR="00B45E27" w:rsidRPr="00F8585E">
        <w:rPr>
          <w:rFonts w:ascii="Times New Roman" w:hAnsi="Times New Roman" w:cs="Times New Roman"/>
          <w:sz w:val="28"/>
          <w:szCs w:val="28"/>
          <w:lang w:val="uk-UA"/>
        </w:rPr>
        <w:t xml:space="preserve">помітним є покращення інвестиційного клімату в сільському господарстві в країнах </w:t>
      </w:r>
      <w:r w:rsidRPr="00F8585E">
        <w:rPr>
          <w:rFonts w:ascii="Times New Roman" w:hAnsi="Times New Roman" w:cs="Times New Roman"/>
          <w:color w:val="0D0D0D"/>
          <w:sz w:val="28"/>
          <w:szCs w:val="28"/>
          <w:shd w:val="clear" w:color="auto" w:fill="FFFFFF"/>
          <w:lang w:val="uk-UA"/>
        </w:rPr>
        <w:t>Центральної та Східної Європи</w:t>
      </w:r>
      <w:r w:rsidR="00B45E27" w:rsidRPr="00F8585E">
        <w:rPr>
          <w:rFonts w:ascii="Times New Roman" w:hAnsi="Times New Roman" w:cs="Times New Roman"/>
          <w:sz w:val="28"/>
          <w:szCs w:val="28"/>
          <w:lang w:val="uk-UA"/>
        </w:rPr>
        <w:t xml:space="preserve">. Відмінності у спрощенні процедур між країнами свідчать про поступове </w:t>
      </w:r>
      <w:r w:rsidR="003B438F" w:rsidRPr="00F8585E">
        <w:rPr>
          <w:rFonts w:ascii="Times New Roman" w:hAnsi="Times New Roman" w:cs="Times New Roman"/>
          <w:sz w:val="28"/>
          <w:szCs w:val="28"/>
          <w:lang w:val="uk-UA"/>
        </w:rPr>
        <w:t>звуження</w:t>
      </w:r>
      <w:r w:rsidR="00B45E27" w:rsidRPr="00F8585E">
        <w:rPr>
          <w:rFonts w:ascii="Times New Roman" w:hAnsi="Times New Roman" w:cs="Times New Roman"/>
          <w:sz w:val="28"/>
          <w:szCs w:val="28"/>
          <w:lang w:val="uk-UA"/>
        </w:rPr>
        <w:t xml:space="preserve"> ситуації. Водночас, за переважною більшістю індикаторів інвестиційного клімату та підсистемних індикаторів оцінки країн </w:t>
      </w:r>
      <w:r w:rsidRPr="00F8585E">
        <w:rPr>
          <w:rFonts w:ascii="Times New Roman" w:hAnsi="Times New Roman" w:cs="Times New Roman"/>
          <w:color w:val="0D0D0D"/>
          <w:sz w:val="28"/>
          <w:szCs w:val="28"/>
          <w:shd w:val="clear" w:color="auto" w:fill="FFFFFF"/>
          <w:lang w:val="uk-UA"/>
        </w:rPr>
        <w:t>Центральної та Східної Європи</w:t>
      </w:r>
      <w:r w:rsidR="00B45E27" w:rsidRPr="00F8585E">
        <w:rPr>
          <w:rFonts w:ascii="Times New Roman" w:hAnsi="Times New Roman" w:cs="Times New Roman"/>
          <w:sz w:val="28"/>
          <w:szCs w:val="28"/>
          <w:lang w:val="uk-UA"/>
        </w:rPr>
        <w:t xml:space="preserve"> значно покращилися. Це сприяє регіональній синергії для подальшого збільшення переваг, що позитивно вплине на розкриття інвестиційного потенц</w:t>
      </w:r>
      <w:r w:rsidRPr="00F8585E">
        <w:rPr>
          <w:rFonts w:ascii="Times New Roman" w:hAnsi="Times New Roman" w:cs="Times New Roman"/>
          <w:sz w:val="28"/>
          <w:szCs w:val="28"/>
          <w:lang w:val="uk-UA"/>
        </w:rPr>
        <w:t xml:space="preserve">іалу аграрного ринку в країнах </w:t>
      </w:r>
      <w:r w:rsidRPr="00F8585E">
        <w:rPr>
          <w:rFonts w:ascii="Times New Roman" w:hAnsi="Times New Roman" w:cs="Times New Roman"/>
          <w:color w:val="0D0D0D"/>
          <w:sz w:val="28"/>
          <w:szCs w:val="28"/>
          <w:shd w:val="clear" w:color="auto" w:fill="FFFFFF"/>
          <w:lang w:val="uk-UA"/>
        </w:rPr>
        <w:t>Центральної та Східної Європи</w:t>
      </w:r>
      <w:r w:rsidR="003B438F" w:rsidRPr="00F8585E">
        <w:rPr>
          <w:rFonts w:ascii="Times New Roman" w:hAnsi="Times New Roman" w:cs="Times New Roman"/>
          <w:sz w:val="28"/>
          <w:szCs w:val="28"/>
          <w:lang w:val="uk-UA"/>
        </w:rPr>
        <w:t>, за думкою авторів [2].</w:t>
      </w:r>
    </w:p>
    <w:p w:rsidR="00861D35" w:rsidRPr="00F8585E" w:rsidRDefault="00861D35"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Джованні Е. та Оздамар З. у своєму дослідженні «Зв'язок між бізнес-інвестиційним кліматом та результатами діяльності компаній у регіоні Близького Сходу та Північної Африки (MENA)» 2022 року аналізують вплив перешкод у діловому та інвестиційному кліматі та пов'язаних з ними викликів на діяльність компаній у Туреччині та вибірці країн Близького Сходу та Північної Африки (MENA). На думку авторів, вкрай важливо проводити подальші дослідження, оцінювати ефективність бізнес-клімату та </w:t>
      </w:r>
      <w:r w:rsidRPr="00F8585E">
        <w:rPr>
          <w:rFonts w:ascii="Times New Roman" w:hAnsi="Times New Roman" w:cs="Times New Roman"/>
          <w:sz w:val="28"/>
          <w:szCs w:val="28"/>
          <w:lang w:val="uk-UA"/>
        </w:rPr>
        <w:lastRenderedPageBreak/>
        <w:t>впроваджувати відповідну політику і реформи. Отримані результати мають різні політичні наслідки для розробки програм, спрямованих на зменшення перешкод у відносинах між державою та бізнесом та покращення інвестиційного клімату, а також сприяння підвищенню ефективності діяльності підприємств, продуктивності праці та створенню нових робочих місць. Результати дослідження показують, що на ефективність діяльності підприємств впливають не лише їхні характеристики та бар'єри для входу на ринок, які за нашими оцінками визначаються віком та розміром підприємства, але й витрати, проблеми та перешкоди в інвестиційному кліматі, включаючи корупцію, політичну нестабільність, постачання електроенергії та податкові ставки. Тому політика може включати програми, спрямовані на зниження рівня корупції, а також кроки, необхідні для реєстрації та ведення бізнесу. Крім того, основні висновки можуть бути корисними, оскільки держава і політики в цих країнах повинні забезпечити безпеку і політичну стабільність, а також боротися з корупцією, особливо в регіонах, які найбільше постраждали, зменшуючи нерівність у рівнях безробіття і багатства.</w:t>
      </w:r>
    </w:p>
    <w:p w:rsidR="00861D35" w:rsidRPr="00F8585E" w:rsidRDefault="001F2AF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На думку авторів п</w:t>
      </w:r>
      <w:r w:rsidR="00861D35" w:rsidRPr="00F8585E">
        <w:rPr>
          <w:rFonts w:ascii="Times New Roman" w:hAnsi="Times New Roman" w:cs="Times New Roman"/>
          <w:sz w:val="28"/>
          <w:szCs w:val="28"/>
          <w:lang w:val="uk-UA"/>
        </w:rPr>
        <w:t xml:space="preserve">олітика повинна забезпечувати надійну електроенергію та транспортну інфраструктуру, доступ до фінансування, особливо для молодих і малих фірм, а також стимули у вигляді сприятливих схем податкових пільг для високопродуктивних фірм, таких як ті, що використовують висококваліфікованих працівників і технологічні досягнення, а також фірм, які використовують енергоефективні ресурси. Диверсифікація вимагає розширення доступу до капіталу, отже, уряди країн </w:t>
      </w:r>
      <w:r w:rsidRPr="00F8585E">
        <w:rPr>
          <w:rFonts w:ascii="Times New Roman" w:hAnsi="Times New Roman" w:cs="Times New Roman"/>
          <w:sz w:val="28"/>
          <w:szCs w:val="28"/>
          <w:lang w:val="uk-UA"/>
        </w:rPr>
        <w:t>Близького Сходу та Північної Африки</w:t>
      </w:r>
      <w:r w:rsidR="00861D35" w:rsidRPr="00F8585E">
        <w:rPr>
          <w:rFonts w:ascii="Times New Roman" w:hAnsi="Times New Roman" w:cs="Times New Roman"/>
          <w:sz w:val="28"/>
          <w:szCs w:val="28"/>
          <w:lang w:val="uk-UA"/>
        </w:rPr>
        <w:t xml:space="preserve"> повинні вжити заходів для поліпшення доступу до фінансів і кредитів, дозволяючи малим і середнім підприємствам отримувати кредити під заставу замість традиційних основних фондів.</w:t>
      </w:r>
      <w:r w:rsidRPr="00F8585E">
        <w:rPr>
          <w:rFonts w:ascii="Times New Roman" w:hAnsi="Times New Roman" w:cs="Times New Roman"/>
          <w:sz w:val="28"/>
          <w:szCs w:val="28"/>
          <w:lang w:val="uk-UA"/>
        </w:rPr>
        <w:t xml:space="preserve"> </w:t>
      </w:r>
    </w:p>
    <w:p w:rsidR="00861D35" w:rsidRPr="00F8585E" w:rsidRDefault="001F2AF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Отже, р</w:t>
      </w:r>
      <w:r w:rsidR="00861D35" w:rsidRPr="00F8585E">
        <w:rPr>
          <w:rFonts w:ascii="Times New Roman" w:hAnsi="Times New Roman" w:cs="Times New Roman"/>
          <w:sz w:val="28"/>
          <w:szCs w:val="28"/>
          <w:lang w:val="uk-UA"/>
        </w:rPr>
        <w:t xml:space="preserve">езультати </w:t>
      </w:r>
      <w:r w:rsidRPr="00F8585E">
        <w:rPr>
          <w:rFonts w:ascii="Times New Roman" w:hAnsi="Times New Roman" w:cs="Times New Roman"/>
          <w:sz w:val="28"/>
          <w:szCs w:val="28"/>
          <w:lang w:val="uk-UA"/>
        </w:rPr>
        <w:t xml:space="preserve">дослідження </w:t>
      </w:r>
      <w:r w:rsidR="00861D35" w:rsidRPr="00F8585E">
        <w:rPr>
          <w:rFonts w:ascii="Times New Roman" w:hAnsi="Times New Roman" w:cs="Times New Roman"/>
          <w:sz w:val="28"/>
          <w:szCs w:val="28"/>
          <w:lang w:val="uk-UA"/>
        </w:rPr>
        <w:t xml:space="preserve">показують, що перешкоди в діловому та інвестиційному кліматі пов'язані зі значним перерозподілом ресурсів від більш продуктивних до менш продуктивних підприємств, що в подальшому може </w:t>
      </w:r>
      <w:r w:rsidR="00861D35" w:rsidRPr="00F8585E">
        <w:rPr>
          <w:rFonts w:ascii="Times New Roman" w:hAnsi="Times New Roman" w:cs="Times New Roman"/>
          <w:sz w:val="28"/>
          <w:szCs w:val="28"/>
          <w:lang w:val="uk-UA"/>
        </w:rPr>
        <w:lastRenderedPageBreak/>
        <w:t>призвести до значних втрат у продуктивності та доданій вартості. Такі перешкоди, як корупція, податкові ставки, політична нестабільність, погане електропостачання та транспортна мережа,</w:t>
      </w:r>
      <w:r w:rsidRPr="00F8585E">
        <w:rPr>
          <w:rFonts w:ascii="Times New Roman" w:hAnsi="Times New Roman" w:cs="Times New Roman"/>
          <w:sz w:val="28"/>
          <w:szCs w:val="28"/>
          <w:lang w:val="uk-UA"/>
        </w:rPr>
        <w:t xml:space="preserve"> можуть призвести до того, що бі</w:t>
      </w:r>
      <w:r w:rsidR="00861D35" w:rsidRPr="00F8585E">
        <w:rPr>
          <w:rFonts w:ascii="Times New Roman" w:hAnsi="Times New Roman" w:cs="Times New Roman"/>
          <w:sz w:val="28"/>
          <w:szCs w:val="28"/>
          <w:lang w:val="uk-UA"/>
        </w:rPr>
        <w:t>льша частка підприємст</w:t>
      </w:r>
      <w:r w:rsidR="00F70853">
        <w:rPr>
          <w:rFonts w:ascii="Times New Roman" w:hAnsi="Times New Roman" w:cs="Times New Roman"/>
          <w:sz w:val="28"/>
          <w:szCs w:val="28"/>
          <w:lang w:val="uk-UA"/>
        </w:rPr>
        <w:t xml:space="preserve">в перейде в неформальний сектор, </w:t>
      </w:r>
      <w:r w:rsidR="00861D35" w:rsidRPr="00F8585E">
        <w:rPr>
          <w:rFonts w:ascii="Times New Roman" w:hAnsi="Times New Roman" w:cs="Times New Roman"/>
          <w:sz w:val="28"/>
          <w:szCs w:val="28"/>
          <w:lang w:val="uk-UA"/>
        </w:rPr>
        <w:t>а це означає, що держава не зможе збирати податки, які в подальшому можуть бути використані для інвестування в інфраструктуру та базові, але важливі фактори розвитку, такі як система охорони здоров'я та освіти. Давні структурні проблеми, які стримують розвиток і перешкоджають економічній диверсифікації, потребують термінового вирішення. Політика має бути спрямована на подолання структурних обмежень, підвищення ефективності державних інвестицій, активізацію зусиль для покращення результатів у сфері освіти та охорони здоров'я, а також посилення врядування, прозорості та боротьби з корупцією</w:t>
      </w:r>
      <w:r w:rsidRPr="00F8585E">
        <w:rPr>
          <w:rFonts w:ascii="Times New Roman" w:hAnsi="Times New Roman" w:cs="Times New Roman"/>
          <w:sz w:val="28"/>
          <w:szCs w:val="28"/>
          <w:lang w:val="uk-UA"/>
        </w:rPr>
        <w:t xml:space="preserve"> [9]</w:t>
      </w:r>
      <w:r w:rsidR="00861D35" w:rsidRPr="00F8585E">
        <w:rPr>
          <w:rFonts w:ascii="Times New Roman" w:hAnsi="Times New Roman" w:cs="Times New Roman"/>
          <w:sz w:val="28"/>
          <w:szCs w:val="28"/>
          <w:lang w:val="uk-UA"/>
        </w:rPr>
        <w:t>.</w:t>
      </w:r>
    </w:p>
    <w:p w:rsidR="00D71D08" w:rsidRPr="00F8585E" w:rsidRDefault="001F2AF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Михайлова В. та</w:t>
      </w:r>
      <w:r w:rsidR="00D71D08" w:rsidRPr="00F8585E">
        <w:rPr>
          <w:rFonts w:ascii="Times New Roman" w:hAnsi="Times New Roman" w:cs="Times New Roman"/>
          <w:sz w:val="28"/>
          <w:szCs w:val="28"/>
          <w:lang w:val="uk-UA"/>
        </w:rPr>
        <w:t xml:space="preserve"> Доду-Гугеа</w:t>
      </w:r>
      <w:r w:rsidRPr="00F8585E">
        <w:rPr>
          <w:rFonts w:ascii="Times New Roman" w:hAnsi="Times New Roman" w:cs="Times New Roman"/>
          <w:sz w:val="28"/>
          <w:szCs w:val="28"/>
          <w:lang w:val="uk-UA"/>
        </w:rPr>
        <w:t xml:space="preserve"> Л. у своєму дослідженні 2016 року «Шляхи покращення інвестиційног</w:t>
      </w:r>
      <w:r w:rsidR="00D71D08" w:rsidRPr="00F8585E">
        <w:rPr>
          <w:rFonts w:ascii="Times New Roman" w:hAnsi="Times New Roman" w:cs="Times New Roman"/>
          <w:sz w:val="28"/>
          <w:szCs w:val="28"/>
          <w:lang w:val="uk-UA"/>
        </w:rPr>
        <w:t xml:space="preserve">о клімату в Республіці Молдова. </w:t>
      </w:r>
      <w:r w:rsidRPr="00F8585E">
        <w:rPr>
          <w:rFonts w:ascii="Times New Roman" w:hAnsi="Times New Roman" w:cs="Times New Roman"/>
          <w:sz w:val="28"/>
          <w:szCs w:val="28"/>
          <w:lang w:val="uk-UA"/>
        </w:rPr>
        <w:t>Тематичне дослід</w:t>
      </w:r>
      <w:r w:rsidR="00D71D08" w:rsidRPr="00F8585E">
        <w:rPr>
          <w:rFonts w:ascii="Times New Roman" w:hAnsi="Times New Roman" w:cs="Times New Roman"/>
          <w:sz w:val="28"/>
          <w:szCs w:val="28"/>
          <w:lang w:val="uk-UA"/>
        </w:rPr>
        <w:t>ження: Країни Балтії» 2016 року, як і інші дослідники, наголошують, що з</w:t>
      </w:r>
      <w:r w:rsidRPr="00F8585E">
        <w:rPr>
          <w:rFonts w:ascii="Times New Roman" w:hAnsi="Times New Roman" w:cs="Times New Roman"/>
          <w:sz w:val="28"/>
          <w:szCs w:val="28"/>
          <w:lang w:val="uk-UA"/>
        </w:rPr>
        <w:t>ростає кількість досліджень, які показують, як політика інвестиційного клімату сприяє економічному зростанню і як можна адаптувати політичні підходи, щоб кра</w:t>
      </w:r>
      <w:r w:rsidR="00D71D08" w:rsidRPr="00F8585E">
        <w:rPr>
          <w:rFonts w:ascii="Times New Roman" w:hAnsi="Times New Roman" w:cs="Times New Roman"/>
          <w:sz w:val="28"/>
          <w:szCs w:val="28"/>
          <w:lang w:val="uk-UA"/>
        </w:rPr>
        <w:t>ще задовольняти потреби людей. На думку Михайлової В. та Доду-Гугеа Л., х</w:t>
      </w:r>
      <w:r w:rsidRPr="00F8585E">
        <w:rPr>
          <w:rFonts w:ascii="Times New Roman" w:hAnsi="Times New Roman" w:cs="Times New Roman"/>
          <w:sz w:val="28"/>
          <w:szCs w:val="28"/>
          <w:lang w:val="uk-UA"/>
        </w:rPr>
        <w:t xml:space="preserve">оча це завдання може здатися складним, все більше країн досягають значних успіхів - і отримують винагороду у вигляді швидшого зростання та глибшого скорочення бідності. Їхній досвід дає уявлення про можливі стратегії для розширення та прискорення прогресу. </w:t>
      </w:r>
    </w:p>
    <w:p w:rsidR="00D71D08" w:rsidRPr="00F8585E" w:rsidRDefault="00D71D08"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Як приклад Михайлова В. та Доду-Гугеа Л. наводять  такі країни, як </w:t>
      </w:r>
      <w:r w:rsidR="001F2AF4" w:rsidRPr="00F8585E">
        <w:rPr>
          <w:rFonts w:ascii="Times New Roman" w:hAnsi="Times New Roman" w:cs="Times New Roman"/>
          <w:sz w:val="28"/>
          <w:szCs w:val="28"/>
          <w:lang w:val="uk-UA"/>
        </w:rPr>
        <w:t>Естонія, Латвія та Литва</w:t>
      </w:r>
      <w:r w:rsidRPr="00F8585E">
        <w:rPr>
          <w:rFonts w:ascii="Times New Roman" w:hAnsi="Times New Roman" w:cs="Times New Roman"/>
          <w:sz w:val="28"/>
          <w:szCs w:val="28"/>
          <w:lang w:val="uk-UA"/>
        </w:rPr>
        <w:t>, які</w:t>
      </w:r>
      <w:r w:rsidR="001F2AF4" w:rsidRPr="00F8585E">
        <w:rPr>
          <w:rFonts w:ascii="Times New Roman" w:hAnsi="Times New Roman" w:cs="Times New Roman"/>
          <w:sz w:val="28"/>
          <w:szCs w:val="28"/>
          <w:lang w:val="uk-UA"/>
        </w:rPr>
        <w:t xml:space="preserve"> активно працювали над покращенням інвестиційного клімату з моменту здобуття незалежності на початку 1990-х років. Країни Балтії відомі своєю привабливістю для іноземних інвесторів завдяки вигідному географічному розташуванню, стабільній економіці та освіченій робочій силі. Це країни, які мали централізовану планову економічну </w:t>
      </w:r>
      <w:r w:rsidR="001F2AF4" w:rsidRPr="00F8585E">
        <w:rPr>
          <w:rFonts w:ascii="Times New Roman" w:hAnsi="Times New Roman" w:cs="Times New Roman"/>
          <w:sz w:val="28"/>
          <w:szCs w:val="28"/>
          <w:lang w:val="uk-UA"/>
        </w:rPr>
        <w:lastRenderedPageBreak/>
        <w:t>систему, не мають спільних кордонів із Західною Європою, не володіють багатими природними ресурсами і мають невелике населення, але зуміли перетворитися на одні з найбільш швидкозростаючих економік в Європі. Усі три країни сьогодні є одними з світових лідерів у міжнародних індексах легкості ведення бізнесу завдяки їхній помітній здатності пристосовуватися та змінювати умови ведення бізнесу. Ці країни також забезпечують відносно високий рівень розвитку при конкурентних витратах.</w:t>
      </w:r>
    </w:p>
    <w:p w:rsidR="00D71D08" w:rsidRPr="00F8585E" w:rsidRDefault="00D71D08"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На думку Михайлової В. та Доду-Гугеа Л., к</w:t>
      </w:r>
      <w:r w:rsidR="001F2AF4" w:rsidRPr="00F8585E">
        <w:rPr>
          <w:rFonts w:ascii="Times New Roman" w:hAnsi="Times New Roman" w:cs="Times New Roman"/>
          <w:sz w:val="28"/>
          <w:szCs w:val="28"/>
          <w:lang w:val="uk-UA"/>
        </w:rPr>
        <w:t xml:space="preserve">лючами до розвитку в країнах Балтії є </w:t>
      </w:r>
      <w:r w:rsidRPr="00F8585E">
        <w:rPr>
          <w:rFonts w:ascii="Times New Roman" w:hAnsi="Times New Roman" w:cs="Times New Roman"/>
          <w:sz w:val="28"/>
          <w:szCs w:val="28"/>
          <w:lang w:val="uk-UA"/>
        </w:rPr>
        <w:t>наступні фактори. Р</w:t>
      </w:r>
      <w:r w:rsidR="001F2AF4" w:rsidRPr="00F8585E">
        <w:rPr>
          <w:rFonts w:ascii="Times New Roman" w:hAnsi="Times New Roman" w:cs="Times New Roman"/>
          <w:sz w:val="28"/>
          <w:szCs w:val="28"/>
          <w:lang w:val="uk-UA"/>
        </w:rPr>
        <w:t>о</w:t>
      </w:r>
      <w:r w:rsidRPr="00F8585E">
        <w:rPr>
          <w:rFonts w:ascii="Times New Roman" w:hAnsi="Times New Roman" w:cs="Times New Roman"/>
          <w:sz w:val="28"/>
          <w:szCs w:val="28"/>
          <w:lang w:val="uk-UA"/>
        </w:rPr>
        <w:t xml:space="preserve">зумне використання вільних зон: </w:t>
      </w:r>
      <w:r w:rsidR="001F2AF4" w:rsidRPr="00F8585E">
        <w:rPr>
          <w:rFonts w:ascii="Times New Roman" w:hAnsi="Times New Roman" w:cs="Times New Roman"/>
          <w:sz w:val="28"/>
          <w:szCs w:val="28"/>
          <w:lang w:val="uk-UA"/>
        </w:rPr>
        <w:t xml:space="preserve">Литва прокоментувала успіх своїх вільних зон, пропонуючи послуги за принципом «єдиного вікна» та податкові пільги. Низькі </w:t>
      </w:r>
      <w:r w:rsidRPr="00F8585E">
        <w:rPr>
          <w:rFonts w:ascii="Times New Roman" w:hAnsi="Times New Roman" w:cs="Times New Roman"/>
          <w:sz w:val="28"/>
          <w:szCs w:val="28"/>
          <w:lang w:val="uk-UA"/>
        </w:rPr>
        <w:t>ставки корпоративного податку: у</w:t>
      </w:r>
      <w:r w:rsidR="001F2AF4" w:rsidRPr="00F8585E">
        <w:rPr>
          <w:rFonts w:ascii="Times New Roman" w:hAnsi="Times New Roman" w:cs="Times New Roman"/>
          <w:sz w:val="28"/>
          <w:szCs w:val="28"/>
          <w:lang w:val="uk-UA"/>
        </w:rPr>
        <w:t>сі три країни мають низькі та фіксовані ставки под</w:t>
      </w:r>
      <w:r w:rsidRPr="00F8585E">
        <w:rPr>
          <w:rFonts w:ascii="Times New Roman" w:hAnsi="Times New Roman" w:cs="Times New Roman"/>
          <w:sz w:val="28"/>
          <w:szCs w:val="28"/>
          <w:lang w:val="uk-UA"/>
        </w:rPr>
        <w:t xml:space="preserve">атку на прибуток підприємств. </w:t>
      </w:r>
      <w:r w:rsidR="001F2AF4" w:rsidRPr="00F8585E">
        <w:rPr>
          <w:rFonts w:ascii="Times New Roman" w:hAnsi="Times New Roman" w:cs="Times New Roman"/>
          <w:sz w:val="28"/>
          <w:szCs w:val="28"/>
          <w:lang w:val="uk-UA"/>
        </w:rPr>
        <w:t>Розв</w:t>
      </w:r>
      <w:r w:rsidRPr="00F8585E">
        <w:rPr>
          <w:rFonts w:ascii="Times New Roman" w:hAnsi="Times New Roman" w:cs="Times New Roman"/>
          <w:sz w:val="28"/>
          <w:szCs w:val="28"/>
          <w:lang w:val="uk-UA"/>
        </w:rPr>
        <w:t>иток технологій та ІТ-сектору: у</w:t>
      </w:r>
      <w:r w:rsidR="001F2AF4" w:rsidRPr="00F8585E">
        <w:rPr>
          <w:rFonts w:ascii="Times New Roman" w:hAnsi="Times New Roman" w:cs="Times New Roman"/>
          <w:sz w:val="28"/>
          <w:szCs w:val="28"/>
          <w:lang w:val="uk-UA"/>
        </w:rPr>
        <w:t>сі три країни мають високий рівень проникнення комп'ютерів та Інтернету, і їм вдалося залучити ІТ-аутсорсинг з Північної Європи та США. Естонію, зокрема, вважають «Південною Фінляндією» для ІТ-проектів через</w:t>
      </w:r>
      <w:r w:rsidRPr="00F8585E">
        <w:rPr>
          <w:rFonts w:ascii="Times New Roman" w:hAnsi="Times New Roman" w:cs="Times New Roman"/>
          <w:sz w:val="28"/>
          <w:szCs w:val="28"/>
          <w:lang w:val="uk-UA"/>
        </w:rPr>
        <w:t xml:space="preserve"> конкурентоспроможні витрати. Зосередженість</w:t>
      </w:r>
      <w:r w:rsidR="001F2AF4" w:rsidRPr="00F8585E">
        <w:rPr>
          <w:rFonts w:ascii="Times New Roman" w:hAnsi="Times New Roman" w:cs="Times New Roman"/>
          <w:sz w:val="28"/>
          <w:szCs w:val="28"/>
          <w:lang w:val="uk-UA"/>
        </w:rPr>
        <w:t xml:space="preserve"> на конкурентоспроможност</w:t>
      </w:r>
      <w:r w:rsidRPr="00F8585E">
        <w:rPr>
          <w:rFonts w:ascii="Times New Roman" w:hAnsi="Times New Roman" w:cs="Times New Roman"/>
          <w:sz w:val="28"/>
          <w:szCs w:val="28"/>
          <w:lang w:val="uk-UA"/>
        </w:rPr>
        <w:t>і: б</w:t>
      </w:r>
      <w:r w:rsidR="001F2AF4" w:rsidRPr="00F8585E">
        <w:rPr>
          <w:rFonts w:ascii="Times New Roman" w:hAnsi="Times New Roman" w:cs="Times New Roman"/>
          <w:sz w:val="28"/>
          <w:szCs w:val="28"/>
          <w:lang w:val="uk-UA"/>
        </w:rPr>
        <w:t>ільшість субсидій конкр</w:t>
      </w:r>
      <w:r w:rsidRPr="00F8585E">
        <w:rPr>
          <w:rFonts w:ascii="Times New Roman" w:hAnsi="Times New Roman" w:cs="Times New Roman"/>
          <w:sz w:val="28"/>
          <w:szCs w:val="28"/>
          <w:lang w:val="uk-UA"/>
        </w:rPr>
        <w:t>етним галузям було скасовано. Також цим країнам притаманна в</w:t>
      </w:r>
      <w:r w:rsidR="001F2AF4" w:rsidRPr="00F8585E">
        <w:rPr>
          <w:rFonts w:ascii="Times New Roman" w:hAnsi="Times New Roman" w:cs="Times New Roman"/>
          <w:sz w:val="28"/>
          <w:szCs w:val="28"/>
          <w:lang w:val="uk-UA"/>
        </w:rPr>
        <w:t xml:space="preserve">иважена фіскальна та монетарна політика. </w:t>
      </w:r>
      <w:r w:rsidRPr="00F8585E">
        <w:rPr>
          <w:rFonts w:ascii="Times New Roman" w:hAnsi="Times New Roman" w:cs="Times New Roman"/>
          <w:sz w:val="28"/>
          <w:szCs w:val="28"/>
          <w:lang w:val="uk-UA"/>
        </w:rPr>
        <w:t>К</w:t>
      </w:r>
      <w:r w:rsidR="001F2AF4" w:rsidRPr="00F8585E">
        <w:rPr>
          <w:rFonts w:ascii="Times New Roman" w:hAnsi="Times New Roman" w:cs="Times New Roman"/>
          <w:sz w:val="28"/>
          <w:szCs w:val="28"/>
          <w:lang w:val="uk-UA"/>
        </w:rPr>
        <w:t xml:space="preserve">раїни Балтії досягли значного збільшення </w:t>
      </w:r>
      <w:r w:rsidRPr="00F8585E">
        <w:rPr>
          <w:rFonts w:ascii="Times New Roman" w:hAnsi="Times New Roman" w:cs="Times New Roman"/>
          <w:sz w:val="28"/>
          <w:szCs w:val="28"/>
          <w:lang w:val="uk-UA"/>
        </w:rPr>
        <w:t>прямих іноземних інвестицій</w:t>
      </w:r>
      <w:r w:rsidR="001F2AF4" w:rsidRPr="00F8585E">
        <w:rPr>
          <w:rFonts w:ascii="Times New Roman" w:hAnsi="Times New Roman" w:cs="Times New Roman"/>
          <w:sz w:val="28"/>
          <w:szCs w:val="28"/>
          <w:lang w:val="uk-UA"/>
        </w:rPr>
        <w:t xml:space="preserve"> та зростання ВВП за останні кілька років, що є прикладом для наслідування з точки зору їхньої політики. </w:t>
      </w:r>
    </w:p>
    <w:p w:rsidR="00D71D08" w:rsidRPr="007E50A0" w:rsidRDefault="00D71D08"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Після аналізу інвестиційного клімату країн Балтії </w:t>
      </w:r>
      <w:r w:rsidR="00885821" w:rsidRPr="00F8585E">
        <w:rPr>
          <w:rFonts w:ascii="Times New Roman" w:hAnsi="Times New Roman" w:cs="Times New Roman"/>
          <w:sz w:val="28"/>
          <w:szCs w:val="28"/>
          <w:lang w:val="uk-UA"/>
        </w:rPr>
        <w:t xml:space="preserve">Михайлова В. та Доду-Гугеа Л. роблять висновок, що </w:t>
      </w:r>
      <w:r w:rsidRPr="00F8585E">
        <w:rPr>
          <w:rFonts w:ascii="Times New Roman" w:hAnsi="Times New Roman" w:cs="Times New Roman"/>
          <w:sz w:val="28"/>
          <w:szCs w:val="28"/>
          <w:lang w:val="uk-UA"/>
        </w:rPr>
        <w:t xml:space="preserve">поліпшення інвестиційного клімату передбачає більш ніж одноразові реформи. Однак це не означає, що для значних результатів необхідна одночасна і комплексна реформа. Дійсно, зусилля, спрямовані на одночасне вирішення повного набору політики інвестиційного клімату, навіть якщо це технічно можливо, можуть створити стільки невизначеності для фірм, що це може стримувати, а не заохочувати інвестиції, принаймні тимчасово. Глибокі та швидкі інституційні зміни також можуть бути </w:t>
      </w:r>
      <w:r w:rsidRPr="00F8585E">
        <w:rPr>
          <w:rFonts w:ascii="Times New Roman" w:hAnsi="Times New Roman" w:cs="Times New Roman"/>
          <w:sz w:val="28"/>
          <w:szCs w:val="28"/>
          <w:lang w:val="uk-UA"/>
        </w:rPr>
        <w:lastRenderedPageBreak/>
        <w:t>руйнівними для суспільства, що може підірвати громадську підтримку і, отже, стійкість реформ. Тому певна послідовність реформ неминуча в такій широкій сфері, як інвестиційний клімат. На щастя, досвід показує, що країни можуть отримати значні переваги, вирішуючи важливі обмеження таким чином, щоб надати фірмам впевненість у інвестуванні та підтримувати процес вирішення інших обмежень, оскільки вони стають більш обов'язковими</w:t>
      </w:r>
      <w:r w:rsidR="00885821" w:rsidRPr="00F8585E">
        <w:rPr>
          <w:rFonts w:ascii="Times New Roman" w:hAnsi="Times New Roman" w:cs="Times New Roman"/>
          <w:sz w:val="28"/>
          <w:szCs w:val="28"/>
          <w:lang w:val="uk-UA"/>
        </w:rPr>
        <w:t xml:space="preserve"> [10]</w:t>
      </w:r>
      <w:r w:rsidRPr="00F8585E">
        <w:rPr>
          <w:rFonts w:ascii="Times New Roman" w:hAnsi="Times New Roman" w:cs="Times New Roman"/>
          <w:sz w:val="28"/>
          <w:szCs w:val="28"/>
          <w:lang w:val="uk-UA"/>
        </w:rPr>
        <w:t>.</w:t>
      </w:r>
    </w:p>
    <w:p w:rsidR="007E50A0" w:rsidRPr="00872460" w:rsidRDefault="007E50A0" w:rsidP="007E50A0">
      <w:pPr>
        <w:spacing w:after="0" w:line="360" w:lineRule="auto"/>
        <w:jc w:val="both"/>
        <w:rPr>
          <w:rFonts w:ascii="Times New Roman" w:hAnsi="Times New Roman" w:cs="Times New Roman"/>
          <w:sz w:val="28"/>
          <w:szCs w:val="28"/>
          <w:lang w:val="uk-UA"/>
        </w:rPr>
      </w:pPr>
      <w:r w:rsidRPr="00872460">
        <w:rPr>
          <w:rFonts w:ascii="Times New Roman" w:hAnsi="Times New Roman" w:cs="Times New Roman"/>
          <w:sz w:val="28"/>
          <w:szCs w:val="28"/>
          <w:lang w:val="uk-UA"/>
        </w:rPr>
        <w:tab/>
      </w:r>
      <w:r w:rsidRPr="007E50A0">
        <w:rPr>
          <w:rFonts w:ascii="Times New Roman" w:hAnsi="Times New Roman" w:cs="Times New Roman"/>
          <w:sz w:val="28"/>
          <w:szCs w:val="28"/>
          <w:lang w:val="uk-UA"/>
        </w:rPr>
        <w:t>Сінгх</w:t>
      </w:r>
      <w:r>
        <w:rPr>
          <w:rFonts w:ascii="Times New Roman" w:hAnsi="Times New Roman" w:cs="Times New Roman"/>
          <w:sz w:val="28"/>
          <w:szCs w:val="28"/>
          <w:lang w:val="uk-UA"/>
        </w:rPr>
        <w:t xml:space="preserve"> Д. та Гал З. у своєму дослідженні «</w:t>
      </w:r>
      <w:r w:rsidRPr="007E50A0">
        <w:rPr>
          <w:rFonts w:ascii="Times New Roman" w:hAnsi="Times New Roman" w:cs="Times New Roman"/>
          <w:sz w:val="28"/>
          <w:szCs w:val="28"/>
          <w:lang w:val="uk-UA"/>
        </w:rPr>
        <w:t>Економічна свобода та її вплив на прямі іноземні інвестиції: Глобальний огляд</w:t>
      </w:r>
      <w:r>
        <w:rPr>
          <w:rFonts w:ascii="Times New Roman" w:hAnsi="Times New Roman" w:cs="Times New Roman"/>
          <w:sz w:val="28"/>
          <w:szCs w:val="28"/>
          <w:lang w:val="uk-UA"/>
        </w:rPr>
        <w:t>» 2020 року, досліджують, чи мають с</w:t>
      </w:r>
      <w:r w:rsidRPr="007E50A0">
        <w:rPr>
          <w:rFonts w:ascii="Times New Roman" w:hAnsi="Times New Roman" w:cs="Times New Roman"/>
          <w:sz w:val="28"/>
          <w:szCs w:val="28"/>
          <w:lang w:val="uk-UA"/>
        </w:rPr>
        <w:t xml:space="preserve">вобода інвестицій, свобода торгівлі, монетарна свобода, свобода бізнесу, державні видатки, податковий тягар, доброчесність уряду та права власності вплив на ПІІ. Дані зібрані з Індексу економічної свободи, який щорічно публікується фондом Heritage Foundation. У цьому дослідженні було проаналізовано вплив </w:t>
      </w:r>
      <w:r w:rsidR="001E611C">
        <w:rPr>
          <w:rFonts w:ascii="Times New Roman" w:hAnsi="Times New Roman" w:cs="Times New Roman"/>
          <w:sz w:val="28"/>
          <w:szCs w:val="28"/>
          <w:lang w:val="uk-UA"/>
        </w:rPr>
        <w:t xml:space="preserve">цих складових </w:t>
      </w:r>
      <w:r w:rsidRPr="007E50A0">
        <w:rPr>
          <w:rFonts w:ascii="Times New Roman" w:hAnsi="Times New Roman" w:cs="Times New Roman"/>
          <w:sz w:val="28"/>
          <w:szCs w:val="28"/>
          <w:lang w:val="uk-UA"/>
        </w:rPr>
        <w:t xml:space="preserve">на приплив ПІІ </w:t>
      </w:r>
      <w:r w:rsidR="001E611C">
        <w:rPr>
          <w:rFonts w:ascii="Times New Roman" w:hAnsi="Times New Roman" w:cs="Times New Roman"/>
          <w:sz w:val="28"/>
          <w:szCs w:val="28"/>
          <w:lang w:val="uk-UA"/>
        </w:rPr>
        <w:t>в різних регіонах світу</w:t>
      </w:r>
      <w:r w:rsidRPr="007E50A0">
        <w:rPr>
          <w:rFonts w:ascii="Times New Roman" w:hAnsi="Times New Roman" w:cs="Times New Roman"/>
          <w:sz w:val="28"/>
          <w:szCs w:val="28"/>
          <w:lang w:val="uk-UA"/>
        </w:rPr>
        <w:t xml:space="preserve">. Результати показують, що в окремі змінні, такі як державні видатки та інвестиційна свобода, є позитивно значущими і позитивно впливають на приплив ПІІ в Південну Європу. Результат вказує на те, що макроекономічні фактори, пов'язані з </w:t>
      </w:r>
      <w:r w:rsidR="0077070C">
        <w:rPr>
          <w:rFonts w:ascii="Times New Roman" w:hAnsi="Times New Roman" w:cs="Times New Roman"/>
          <w:sz w:val="28"/>
          <w:szCs w:val="28"/>
          <w:lang w:val="uk-UA"/>
        </w:rPr>
        <w:t>Індексом</w:t>
      </w:r>
      <w:r w:rsidR="0077070C" w:rsidRPr="007E50A0">
        <w:rPr>
          <w:rFonts w:ascii="Times New Roman" w:hAnsi="Times New Roman" w:cs="Times New Roman"/>
          <w:sz w:val="28"/>
          <w:szCs w:val="28"/>
          <w:lang w:val="uk-UA"/>
        </w:rPr>
        <w:t xml:space="preserve"> економічної свободи</w:t>
      </w:r>
      <w:r w:rsidRPr="007E50A0">
        <w:rPr>
          <w:rFonts w:ascii="Times New Roman" w:hAnsi="Times New Roman" w:cs="Times New Roman"/>
          <w:sz w:val="28"/>
          <w:szCs w:val="28"/>
          <w:lang w:val="uk-UA"/>
        </w:rPr>
        <w:t>, сприяють притоку ПІІ в Південну Азію, Латинську Америку, Східну Азію, Північну Європу та країни Західної Європи. Покращення економічної відкритості сприяє притоку ПІІ. У Південній Азії доброчесність уряду має позитивне значення</w:t>
      </w:r>
      <w:r w:rsidR="0077070C">
        <w:rPr>
          <w:rFonts w:ascii="Times New Roman" w:hAnsi="Times New Roman" w:cs="Times New Roman"/>
          <w:sz w:val="28"/>
          <w:szCs w:val="28"/>
          <w:lang w:val="uk-UA"/>
        </w:rPr>
        <w:t>, у</w:t>
      </w:r>
      <w:r w:rsidRPr="007E50A0">
        <w:rPr>
          <w:rFonts w:ascii="Times New Roman" w:hAnsi="Times New Roman" w:cs="Times New Roman"/>
          <w:sz w:val="28"/>
          <w:szCs w:val="28"/>
          <w:lang w:val="uk-UA"/>
        </w:rPr>
        <w:t xml:space="preserve"> той час як така практика має негативний вплив у країнах Латинської Америки, Північної Європи, Близького Сходу та Північної Африки. Державні витрати мають негативний вплив у Латинс</w:t>
      </w:r>
      <w:r w:rsidR="0077070C">
        <w:rPr>
          <w:rFonts w:ascii="Times New Roman" w:hAnsi="Times New Roman" w:cs="Times New Roman"/>
          <w:sz w:val="28"/>
          <w:szCs w:val="28"/>
          <w:lang w:val="uk-UA"/>
        </w:rPr>
        <w:t xml:space="preserve">ькій Америці та Південній Азії, </w:t>
      </w:r>
      <w:r w:rsidRPr="007E50A0">
        <w:rPr>
          <w:rFonts w:ascii="Times New Roman" w:hAnsi="Times New Roman" w:cs="Times New Roman"/>
          <w:sz w:val="28"/>
          <w:szCs w:val="28"/>
          <w:lang w:val="uk-UA"/>
        </w:rPr>
        <w:t xml:space="preserve">тоді як у Західній Європі державні видатки позитивно впливають на приплив ПІІ. </w:t>
      </w:r>
      <w:r w:rsidR="0077070C">
        <w:rPr>
          <w:rFonts w:ascii="Times New Roman" w:hAnsi="Times New Roman" w:cs="Times New Roman"/>
          <w:sz w:val="28"/>
          <w:szCs w:val="28"/>
          <w:lang w:val="uk-UA"/>
        </w:rPr>
        <w:t>С</w:t>
      </w:r>
      <w:r w:rsidRPr="007E50A0">
        <w:rPr>
          <w:rFonts w:ascii="Times New Roman" w:hAnsi="Times New Roman" w:cs="Times New Roman"/>
          <w:sz w:val="28"/>
          <w:szCs w:val="28"/>
          <w:lang w:val="uk-UA"/>
        </w:rPr>
        <w:t>вобода торгівлі є єдиною змінною, яка є позитивно значущою в країнах з максимальною економікою - Південній Азії, Африці на південь від Сахари, Східній Європі, Близькому Сході та Північній Африці</w:t>
      </w:r>
      <w:r w:rsidR="0077070C">
        <w:rPr>
          <w:rFonts w:ascii="Times New Roman" w:hAnsi="Times New Roman" w:cs="Times New Roman"/>
          <w:sz w:val="28"/>
          <w:szCs w:val="28"/>
          <w:lang w:val="uk-UA"/>
        </w:rPr>
        <w:t xml:space="preserve"> </w:t>
      </w:r>
      <w:r w:rsidR="0077070C" w:rsidRPr="0077070C">
        <w:rPr>
          <w:rFonts w:ascii="Times New Roman" w:hAnsi="Times New Roman" w:cs="Times New Roman"/>
          <w:sz w:val="28"/>
          <w:szCs w:val="28"/>
          <w:lang w:val="uk-UA"/>
        </w:rPr>
        <w:t>[11]</w:t>
      </w:r>
      <w:r w:rsidRPr="007E50A0">
        <w:rPr>
          <w:rFonts w:ascii="Times New Roman" w:hAnsi="Times New Roman" w:cs="Times New Roman"/>
          <w:sz w:val="28"/>
          <w:szCs w:val="28"/>
          <w:lang w:val="uk-UA"/>
        </w:rPr>
        <w:t xml:space="preserve">. </w:t>
      </w:r>
    </w:p>
    <w:p w:rsidR="0077070C" w:rsidRPr="00CF1152" w:rsidRDefault="00CF1152" w:rsidP="007E50A0">
      <w:pPr>
        <w:spacing w:after="0" w:line="360" w:lineRule="auto"/>
        <w:jc w:val="both"/>
        <w:rPr>
          <w:rFonts w:ascii="Times New Roman" w:hAnsi="Times New Roman" w:cs="Times New Roman"/>
          <w:sz w:val="28"/>
          <w:szCs w:val="28"/>
          <w:lang w:val="uk-UA"/>
        </w:rPr>
      </w:pPr>
      <w:r w:rsidRPr="00872460">
        <w:rPr>
          <w:rFonts w:ascii="Times New Roman" w:hAnsi="Times New Roman" w:cs="Times New Roman"/>
          <w:sz w:val="28"/>
          <w:szCs w:val="28"/>
          <w:lang w:val="uk-UA"/>
        </w:rPr>
        <w:tab/>
      </w:r>
      <w:r w:rsidRPr="006404FD">
        <w:rPr>
          <w:rFonts w:ascii="Times New Roman" w:hAnsi="Times New Roman" w:cs="Times New Roman"/>
          <w:sz w:val="28"/>
          <w:szCs w:val="28"/>
          <w:lang w:val="uk-UA"/>
        </w:rPr>
        <w:t>Суріа-Бхімул Б., Расул У. С.</w:t>
      </w:r>
      <w:r>
        <w:rPr>
          <w:rFonts w:ascii="Times New Roman" w:hAnsi="Times New Roman" w:cs="Times New Roman"/>
          <w:sz w:val="28"/>
          <w:szCs w:val="28"/>
          <w:lang w:val="uk-UA"/>
        </w:rPr>
        <w:t xml:space="preserve"> </w:t>
      </w:r>
      <w:r w:rsidRPr="006404FD">
        <w:rPr>
          <w:rFonts w:ascii="Times New Roman" w:hAnsi="Times New Roman" w:cs="Times New Roman"/>
          <w:sz w:val="28"/>
          <w:szCs w:val="28"/>
          <w:lang w:val="uk-UA"/>
        </w:rPr>
        <w:t>та Суріа</w:t>
      </w:r>
      <w:r>
        <w:rPr>
          <w:rFonts w:ascii="Times New Roman" w:hAnsi="Times New Roman" w:cs="Times New Roman"/>
          <w:sz w:val="28"/>
          <w:szCs w:val="28"/>
          <w:lang w:val="uk-UA"/>
        </w:rPr>
        <w:t xml:space="preserve"> </w:t>
      </w:r>
      <w:r w:rsidRPr="006404FD">
        <w:rPr>
          <w:rFonts w:ascii="Times New Roman" w:hAnsi="Times New Roman" w:cs="Times New Roman"/>
          <w:sz w:val="28"/>
          <w:szCs w:val="28"/>
          <w:lang w:val="uk-UA"/>
        </w:rPr>
        <w:t xml:space="preserve">Р. </w:t>
      </w:r>
      <w:r>
        <w:rPr>
          <w:rFonts w:ascii="Times New Roman" w:hAnsi="Times New Roman" w:cs="Times New Roman"/>
          <w:sz w:val="28"/>
          <w:szCs w:val="28"/>
          <w:lang w:val="uk-UA"/>
        </w:rPr>
        <w:t>У своєму дослідженні «</w:t>
      </w:r>
      <w:r w:rsidRPr="006404FD">
        <w:rPr>
          <w:rFonts w:ascii="Times New Roman" w:hAnsi="Times New Roman" w:cs="Times New Roman"/>
          <w:sz w:val="28"/>
          <w:szCs w:val="28"/>
          <w:lang w:val="uk-UA"/>
        </w:rPr>
        <w:t xml:space="preserve">Чи має значення економічна свобода для прямих іноземних інвестицій в </w:t>
      </w:r>
      <w:r w:rsidR="00F70853">
        <w:rPr>
          <w:rFonts w:ascii="Times New Roman" w:hAnsi="Times New Roman" w:cs="Times New Roman"/>
          <w:sz w:val="28"/>
          <w:szCs w:val="28"/>
          <w:lang w:val="uk-UA"/>
        </w:rPr>
        <w:t>Субс</w:t>
      </w:r>
      <w:r w:rsidRPr="00F70853">
        <w:rPr>
          <w:rFonts w:ascii="Times New Roman" w:hAnsi="Times New Roman" w:cs="Times New Roman"/>
          <w:sz w:val="28"/>
          <w:szCs w:val="28"/>
          <w:lang w:val="uk-UA"/>
        </w:rPr>
        <w:t xml:space="preserve">ахарній </w:t>
      </w:r>
      <w:r w:rsidRPr="006404FD">
        <w:rPr>
          <w:rFonts w:ascii="Times New Roman" w:hAnsi="Times New Roman" w:cs="Times New Roman"/>
          <w:sz w:val="28"/>
          <w:szCs w:val="28"/>
          <w:lang w:val="uk-UA"/>
        </w:rPr>
        <w:lastRenderedPageBreak/>
        <w:t>Африці</w:t>
      </w:r>
      <w:r>
        <w:rPr>
          <w:rFonts w:ascii="Times New Roman" w:hAnsi="Times New Roman" w:cs="Times New Roman"/>
          <w:sz w:val="28"/>
          <w:szCs w:val="28"/>
          <w:lang w:val="uk-UA"/>
        </w:rPr>
        <w:t xml:space="preserve">» 2020 року зазначають, що змінні </w:t>
      </w:r>
      <w:r w:rsidRPr="007E50A0">
        <w:rPr>
          <w:rFonts w:ascii="Times New Roman" w:hAnsi="Times New Roman" w:cs="Times New Roman"/>
          <w:sz w:val="28"/>
          <w:szCs w:val="28"/>
          <w:lang w:val="uk-UA"/>
        </w:rPr>
        <w:t>Індексу економічної свободи</w:t>
      </w:r>
      <w:r>
        <w:rPr>
          <w:rFonts w:ascii="Times New Roman" w:hAnsi="Times New Roman" w:cs="Times New Roman"/>
          <w:sz w:val="28"/>
          <w:szCs w:val="28"/>
          <w:lang w:val="uk-UA"/>
        </w:rPr>
        <w:t xml:space="preserve"> мають вплив на іноземні інвестиції, зокрема </w:t>
      </w:r>
      <w:r w:rsidRPr="006404FD">
        <w:rPr>
          <w:rFonts w:ascii="Times New Roman" w:hAnsi="Times New Roman" w:cs="Times New Roman"/>
          <w:sz w:val="28"/>
          <w:szCs w:val="28"/>
          <w:lang w:val="uk-UA"/>
        </w:rPr>
        <w:t xml:space="preserve">ефективність регулювання, включаючи свободу бізнесу, свободу праці та монетарну свободу, є ключовими факторами. </w:t>
      </w:r>
      <w:r>
        <w:rPr>
          <w:rFonts w:ascii="Times New Roman" w:hAnsi="Times New Roman" w:cs="Times New Roman"/>
          <w:sz w:val="28"/>
          <w:szCs w:val="28"/>
          <w:lang w:val="uk-UA"/>
        </w:rPr>
        <w:t>В</w:t>
      </w:r>
      <w:r w:rsidRPr="006404FD">
        <w:rPr>
          <w:rFonts w:ascii="Times New Roman" w:hAnsi="Times New Roman" w:cs="Times New Roman"/>
          <w:sz w:val="28"/>
          <w:szCs w:val="28"/>
          <w:lang w:val="uk-UA"/>
        </w:rPr>
        <w:t xml:space="preserve"> той час як монетарна свобода (тобто цінова стабільність) є важливим фактором, що визначає </w:t>
      </w:r>
      <w:r>
        <w:rPr>
          <w:rFonts w:ascii="Times New Roman" w:hAnsi="Times New Roman" w:cs="Times New Roman"/>
          <w:sz w:val="28"/>
          <w:szCs w:val="28"/>
          <w:lang w:val="uk-UA"/>
        </w:rPr>
        <w:t>ПІІ</w:t>
      </w:r>
      <w:r w:rsidRPr="006404FD">
        <w:rPr>
          <w:rFonts w:ascii="Times New Roman" w:hAnsi="Times New Roman" w:cs="Times New Roman"/>
          <w:sz w:val="28"/>
          <w:szCs w:val="28"/>
          <w:lang w:val="uk-UA"/>
        </w:rPr>
        <w:t xml:space="preserve">, фінансова свобода (тобто незалежність банків та втручання держави у фінансовий сектор) або інвестиційна свобода не є суттєвими факторами, що визначають ПІІ в </w:t>
      </w:r>
      <w:r w:rsidRPr="00F70853">
        <w:rPr>
          <w:rFonts w:ascii="Times New Roman" w:hAnsi="Times New Roman" w:cs="Times New Roman"/>
          <w:sz w:val="28"/>
          <w:szCs w:val="28"/>
          <w:lang w:val="uk-UA"/>
        </w:rPr>
        <w:t>Су</w:t>
      </w:r>
      <w:r w:rsidR="00F70853">
        <w:rPr>
          <w:rFonts w:ascii="Times New Roman" w:hAnsi="Times New Roman" w:cs="Times New Roman"/>
          <w:sz w:val="28"/>
          <w:szCs w:val="28"/>
          <w:lang w:val="uk-UA"/>
        </w:rPr>
        <w:t>бс</w:t>
      </w:r>
      <w:r w:rsidRPr="00F70853">
        <w:rPr>
          <w:rFonts w:ascii="Times New Roman" w:hAnsi="Times New Roman" w:cs="Times New Roman"/>
          <w:sz w:val="28"/>
          <w:szCs w:val="28"/>
          <w:lang w:val="uk-UA"/>
        </w:rPr>
        <w:t>ахарній</w:t>
      </w:r>
      <w:r>
        <w:rPr>
          <w:rFonts w:ascii="Times New Roman" w:hAnsi="Times New Roman" w:cs="Times New Roman"/>
          <w:sz w:val="28"/>
          <w:szCs w:val="28"/>
          <w:lang w:val="uk-UA"/>
        </w:rPr>
        <w:t xml:space="preserve"> </w:t>
      </w:r>
      <w:r w:rsidRPr="006404FD">
        <w:rPr>
          <w:rFonts w:ascii="Times New Roman" w:hAnsi="Times New Roman" w:cs="Times New Roman"/>
          <w:sz w:val="28"/>
          <w:szCs w:val="28"/>
          <w:lang w:val="uk-UA"/>
        </w:rPr>
        <w:t>Африці</w:t>
      </w:r>
      <w:r>
        <w:rPr>
          <w:rFonts w:ascii="Times New Roman" w:hAnsi="Times New Roman" w:cs="Times New Roman"/>
          <w:sz w:val="28"/>
          <w:szCs w:val="28"/>
          <w:lang w:val="uk-UA"/>
        </w:rPr>
        <w:t xml:space="preserve"> </w:t>
      </w:r>
      <w:r w:rsidRPr="006404FD">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p>
    <w:p w:rsidR="00885821" w:rsidRPr="00F8585E" w:rsidRDefault="0088582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Іртищева І. та ін. у своєму дослідженні «Створення сприятливого інвестиційного клімату для економічного розвитку» 2020 року аналізують теоретичні та практичні організаційні засади сприятливого інвестиційного клімату на основі створення ефективного механізму підвищення інвестиційного потенціалу в Україні. Основна мета дослідження полягає в обґрунтуванні механізму формування сприятливого інвестиційного клімату як основи підвищення інвестиційної спроможності України. У статті перевірено авторську гіпотезу щодо адекватності обґрунтування механізму формування сприятливого інвестиційного клімату як основи підвищення інвестиційної спроможності, що призводить до суттєвого покращення українських позицій у міжнародних рейтингах. За результатами дослідження Іртищевої І. та ін. було підтверджено залежність інвестиційного клімату України від сформованого механізму його розвитку. Доведено, що формування сприятливого інвестиційного клімату як головної передумови посиленого розвитку, відтворення та ефективного </w:t>
      </w:r>
      <w:r w:rsidR="00CF1152">
        <w:rPr>
          <w:rFonts w:ascii="Times New Roman" w:hAnsi="Times New Roman" w:cs="Times New Roman"/>
          <w:sz w:val="28"/>
          <w:szCs w:val="28"/>
          <w:lang w:val="uk-UA"/>
        </w:rPr>
        <w:t xml:space="preserve">його </w:t>
      </w:r>
      <w:r w:rsidRPr="00F8585E">
        <w:rPr>
          <w:rFonts w:ascii="Times New Roman" w:hAnsi="Times New Roman" w:cs="Times New Roman"/>
          <w:sz w:val="28"/>
          <w:szCs w:val="28"/>
          <w:lang w:val="uk-UA"/>
        </w:rPr>
        <w:t>використання, на думку Іртищевої І. та ін., є одним з найважливіших стратегічних завдан</w:t>
      </w:r>
      <w:r w:rsidR="00CF1152">
        <w:rPr>
          <w:rFonts w:ascii="Times New Roman" w:hAnsi="Times New Roman" w:cs="Times New Roman"/>
          <w:sz w:val="28"/>
          <w:szCs w:val="28"/>
          <w:lang w:val="uk-UA"/>
        </w:rPr>
        <w:t>ь, які стоять перед Україною [13</w:t>
      </w:r>
      <w:r w:rsidRPr="00F8585E">
        <w:rPr>
          <w:rFonts w:ascii="Times New Roman" w:hAnsi="Times New Roman" w:cs="Times New Roman"/>
          <w:sz w:val="28"/>
          <w:szCs w:val="28"/>
          <w:lang w:val="uk-UA"/>
        </w:rPr>
        <w:t>].</w:t>
      </w:r>
    </w:p>
    <w:p w:rsidR="00B2062C" w:rsidRPr="00F8585E" w:rsidRDefault="0088582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Pr="00F8585E">
        <w:rPr>
          <w:rFonts w:ascii="Times New Roman" w:hAnsi="Times New Roman" w:cs="Times New Roman"/>
          <w:color w:val="0D0D0D"/>
          <w:sz w:val="28"/>
          <w:szCs w:val="28"/>
          <w:shd w:val="clear" w:color="auto" w:fill="FFFFFF"/>
          <w:lang w:val="uk-UA"/>
        </w:rPr>
        <w:t>Отже, р</w:t>
      </w:r>
      <w:r w:rsidR="00B45E27" w:rsidRPr="00F8585E">
        <w:rPr>
          <w:rFonts w:ascii="Times New Roman" w:hAnsi="Times New Roman" w:cs="Times New Roman"/>
          <w:color w:val="0D0D0D"/>
          <w:sz w:val="28"/>
          <w:szCs w:val="28"/>
          <w:shd w:val="clear" w:color="auto" w:fill="FFFFFF"/>
          <w:lang w:val="uk-UA"/>
        </w:rPr>
        <w:t>ізна інвестиційна привабливість у різних країнах та регіонах зумовлюється комплексом факторів, таких як політична стабільність, правова система, економічні перспективи та культурні особливості. Аналіз цих результатів дозволяє виявити ключові тенденції та визначити стратегічні напрямки для покращення інвестиційного клімату та сприяння транснаціональній діяльності в різних частинах світу.</w:t>
      </w:r>
      <w:r w:rsidR="00B45E27" w:rsidRPr="00F8585E">
        <w:rPr>
          <w:rFonts w:ascii="Times New Roman" w:hAnsi="Times New Roman" w:cs="Times New Roman"/>
          <w:color w:val="0D0D0D"/>
          <w:sz w:val="28"/>
          <w:szCs w:val="28"/>
          <w:shd w:val="clear" w:color="auto" w:fill="FFFFFF"/>
          <w:lang w:val="uk-UA"/>
        </w:rPr>
        <w:tab/>
      </w:r>
    </w:p>
    <w:p w:rsidR="00E018A9" w:rsidRPr="00F8585E" w:rsidRDefault="00E018A9"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lastRenderedPageBreak/>
        <w:t>РОЗДІЛ 2</w:t>
      </w:r>
    </w:p>
    <w:p w:rsidR="00E018A9" w:rsidRPr="00F8585E" w:rsidRDefault="00B5750C"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АНАЛІЗ РЕГІОНАЛЬНИХ ОСОБЛИВОСТЕЙ ІНВЕСТИЦІЙНОГО КЛІМАТУ ТА ВПЛИВУ НА ТРАНСНАЦІОНАЛЬНУ ДІЯЛЬНІСТЬ</w:t>
      </w:r>
    </w:p>
    <w:p w:rsidR="00B5750C" w:rsidRPr="00F8585E" w:rsidRDefault="00B5750C" w:rsidP="00836606">
      <w:pPr>
        <w:spacing w:after="0" w:line="360" w:lineRule="auto"/>
        <w:jc w:val="both"/>
        <w:rPr>
          <w:rFonts w:ascii="Times New Roman" w:hAnsi="Times New Roman" w:cs="Times New Roman"/>
          <w:sz w:val="28"/>
          <w:szCs w:val="28"/>
          <w:lang w:val="uk-UA"/>
        </w:rPr>
      </w:pPr>
    </w:p>
    <w:p w:rsidR="00B2062C" w:rsidRPr="00F8585E" w:rsidRDefault="00E018A9" w:rsidP="00836606">
      <w:pPr>
        <w:spacing w:after="0" w:line="360" w:lineRule="auto"/>
        <w:jc w:val="both"/>
        <w:rPr>
          <w:rFonts w:ascii="Times New Roman" w:hAnsi="Times New Roman" w:cs="Times New Roman"/>
          <w:b/>
          <w:sz w:val="28"/>
          <w:szCs w:val="28"/>
          <w:lang w:val="uk-UA"/>
        </w:rPr>
      </w:pPr>
      <w:r w:rsidRPr="00F8585E">
        <w:rPr>
          <w:rFonts w:ascii="Times New Roman" w:hAnsi="Times New Roman" w:cs="Times New Roman"/>
          <w:b/>
          <w:sz w:val="28"/>
          <w:szCs w:val="28"/>
          <w:lang w:val="uk-UA"/>
        </w:rPr>
        <w:t>2.1. Ана</w:t>
      </w:r>
      <w:r w:rsidR="001C4CF2" w:rsidRPr="00F8585E">
        <w:rPr>
          <w:rFonts w:ascii="Times New Roman" w:hAnsi="Times New Roman" w:cs="Times New Roman"/>
          <w:b/>
          <w:sz w:val="28"/>
          <w:szCs w:val="28"/>
          <w:lang w:val="uk-UA"/>
        </w:rPr>
        <w:t xml:space="preserve">ліз особливостей інвестиційного </w:t>
      </w:r>
      <w:r w:rsidRPr="00F8585E">
        <w:rPr>
          <w:rFonts w:ascii="Times New Roman" w:hAnsi="Times New Roman" w:cs="Times New Roman"/>
          <w:b/>
          <w:sz w:val="28"/>
          <w:szCs w:val="28"/>
          <w:lang w:val="uk-UA"/>
        </w:rPr>
        <w:t>клімату в різних регіонах світу</w:t>
      </w:r>
    </w:p>
    <w:p w:rsidR="00B2062C" w:rsidRPr="00F8585E" w:rsidRDefault="00B2062C" w:rsidP="00836606">
      <w:pPr>
        <w:spacing w:after="0" w:line="360" w:lineRule="auto"/>
        <w:jc w:val="both"/>
        <w:rPr>
          <w:rFonts w:ascii="Times New Roman" w:hAnsi="Times New Roman" w:cs="Times New Roman"/>
          <w:sz w:val="28"/>
          <w:szCs w:val="28"/>
          <w:lang w:val="uk-UA"/>
        </w:rPr>
      </w:pPr>
    </w:p>
    <w:p w:rsidR="00966966"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Інвестиційний клімат складається з багатьох факторів, які в сукупності формують середовище, сприятливе або ні для ведення там транснаціональної діяльності. Для оцінки інвестиційного клімату в різних регіонах світу був обраний Індекс економічної свободи</w:t>
      </w:r>
      <w:r w:rsidR="004F127B" w:rsidRPr="00F8585E">
        <w:rPr>
          <w:rFonts w:ascii="Times New Roman" w:hAnsi="Times New Roman" w:cs="Times New Roman"/>
          <w:sz w:val="28"/>
          <w:szCs w:val="28"/>
          <w:lang w:val="uk-UA"/>
        </w:rPr>
        <w:t xml:space="preserve"> від The Heritage Foundation</w:t>
      </w:r>
      <w:r w:rsidR="00966966" w:rsidRPr="00F8585E">
        <w:rPr>
          <w:rFonts w:ascii="Times New Roman" w:hAnsi="Times New Roman" w:cs="Times New Roman"/>
          <w:sz w:val="28"/>
          <w:szCs w:val="28"/>
          <w:lang w:val="uk-UA"/>
        </w:rPr>
        <w:t xml:space="preserve">. </w:t>
      </w:r>
      <w:r w:rsidR="00B314F1" w:rsidRPr="00F8585E">
        <w:rPr>
          <w:rFonts w:ascii="Times New Roman" w:hAnsi="Times New Roman" w:cs="Times New Roman"/>
          <w:sz w:val="28"/>
          <w:szCs w:val="28"/>
          <w:lang w:val="uk-UA"/>
        </w:rPr>
        <w:t>Даний І</w:t>
      </w:r>
      <w:r w:rsidRPr="00F8585E">
        <w:rPr>
          <w:rFonts w:ascii="Times New Roman" w:hAnsi="Times New Roman" w:cs="Times New Roman"/>
          <w:sz w:val="28"/>
          <w:szCs w:val="28"/>
          <w:lang w:val="uk-UA"/>
        </w:rPr>
        <w:t>ндекс охоплює</w:t>
      </w:r>
      <w:r w:rsidR="00966966" w:rsidRPr="00F8585E">
        <w:rPr>
          <w:rFonts w:ascii="Times New Roman" w:hAnsi="Times New Roman" w:cs="Times New Roman"/>
          <w:sz w:val="28"/>
          <w:szCs w:val="28"/>
          <w:lang w:val="uk-UA"/>
        </w:rPr>
        <w:t xml:space="preserve"> різні кількісні та якісні фактори за чотирма широкими категоріями, а саме: верховенство права, розмір уряду, ефективність регулювання та відкриті ринки, </w:t>
      </w:r>
      <w:r w:rsidRPr="00F8585E">
        <w:rPr>
          <w:rFonts w:ascii="Times New Roman" w:hAnsi="Times New Roman" w:cs="Times New Roman"/>
          <w:sz w:val="28"/>
          <w:szCs w:val="28"/>
          <w:lang w:val="uk-UA"/>
        </w:rPr>
        <w:t xml:space="preserve">а отже </w:t>
      </w:r>
      <w:r w:rsidR="00966966" w:rsidRPr="00F8585E">
        <w:rPr>
          <w:rFonts w:ascii="Times New Roman" w:hAnsi="Times New Roman" w:cs="Times New Roman"/>
          <w:sz w:val="28"/>
          <w:szCs w:val="28"/>
          <w:lang w:val="uk-UA"/>
        </w:rPr>
        <w:t xml:space="preserve">цей індекс забезпечує всебічне уявлення про інституційне </w:t>
      </w:r>
      <w:r w:rsidRPr="00F8585E">
        <w:rPr>
          <w:rFonts w:ascii="Times New Roman" w:hAnsi="Times New Roman" w:cs="Times New Roman"/>
          <w:sz w:val="28"/>
          <w:szCs w:val="28"/>
          <w:lang w:val="uk-UA"/>
        </w:rPr>
        <w:t xml:space="preserve">та регуляторне середовище </w:t>
      </w:r>
      <w:r w:rsidR="00966966" w:rsidRPr="00F8585E">
        <w:rPr>
          <w:rFonts w:ascii="Times New Roman" w:hAnsi="Times New Roman" w:cs="Times New Roman"/>
          <w:sz w:val="28"/>
          <w:szCs w:val="28"/>
          <w:lang w:val="uk-UA"/>
        </w:rPr>
        <w:t>у регіоні</w:t>
      </w:r>
      <w:r w:rsidRPr="00F8585E">
        <w:rPr>
          <w:rFonts w:ascii="Times New Roman" w:hAnsi="Times New Roman" w:cs="Times New Roman"/>
          <w:sz w:val="28"/>
          <w:szCs w:val="28"/>
          <w:lang w:val="uk-UA"/>
        </w:rPr>
        <w:t>.</w:t>
      </w:r>
    </w:p>
    <w:p w:rsidR="00966966"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Складова «верховенство</w:t>
      </w:r>
      <w:r w:rsidR="00966966" w:rsidRPr="00F8585E">
        <w:rPr>
          <w:rFonts w:ascii="Times New Roman" w:hAnsi="Times New Roman" w:cs="Times New Roman"/>
          <w:sz w:val="28"/>
          <w:szCs w:val="28"/>
          <w:lang w:val="uk-UA"/>
        </w:rPr>
        <w:t xml:space="preserve"> права</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xml:space="preserve">, який включає такі аспекти, як права власності, </w:t>
      </w:r>
      <w:r w:rsidR="00FF4FFA" w:rsidRPr="00F8585E">
        <w:rPr>
          <w:rFonts w:ascii="Times New Roman" w:hAnsi="Times New Roman" w:cs="Times New Roman"/>
          <w:sz w:val="28"/>
          <w:szCs w:val="28"/>
          <w:lang w:val="uk-UA"/>
        </w:rPr>
        <w:t>доброчесність</w:t>
      </w:r>
      <w:r w:rsidR="00966966" w:rsidRPr="00F8585E">
        <w:rPr>
          <w:rFonts w:ascii="Times New Roman" w:hAnsi="Times New Roman" w:cs="Times New Roman"/>
          <w:sz w:val="28"/>
          <w:szCs w:val="28"/>
          <w:lang w:val="uk-UA"/>
        </w:rPr>
        <w:t xml:space="preserve"> та ефективність судової системи</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4</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пропонує розуміння рівня правових та інституційних рамок, що підтримують захист інвестицій та вико</w:t>
      </w:r>
      <w:r w:rsidRPr="00F8585E">
        <w:rPr>
          <w:rFonts w:ascii="Times New Roman" w:hAnsi="Times New Roman" w:cs="Times New Roman"/>
          <w:sz w:val="28"/>
          <w:szCs w:val="28"/>
          <w:lang w:val="uk-UA"/>
        </w:rPr>
        <w:t xml:space="preserve">нання контрактів. Високий бал цієї складової </w:t>
      </w:r>
      <w:r w:rsidR="00966966" w:rsidRPr="00F8585E">
        <w:rPr>
          <w:rFonts w:ascii="Times New Roman" w:hAnsi="Times New Roman" w:cs="Times New Roman"/>
          <w:sz w:val="28"/>
          <w:szCs w:val="28"/>
          <w:lang w:val="uk-UA"/>
        </w:rPr>
        <w:t>свідчить про сильне верховенство права, зміцнення довіри інвесторів та зменшення ризику довільного втручання уряду</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rPr>
        <w:t>5</w:t>
      </w:r>
      <w:r w:rsidR="00ED76EC"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w:t>
      </w:r>
    </w:p>
    <w:p w:rsidR="00966966"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Складова «</w:t>
      </w:r>
      <w:r w:rsidR="00966966" w:rsidRPr="00F8585E">
        <w:rPr>
          <w:rFonts w:ascii="Times New Roman" w:hAnsi="Times New Roman" w:cs="Times New Roman"/>
          <w:sz w:val="28"/>
          <w:szCs w:val="28"/>
          <w:lang w:val="uk-UA"/>
        </w:rPr>
        <w:t>ро</w:t>
      </w:r>
      <w:r w:rsidRPr="00F8585E">
        <w:rPr>
          <w:rFonts w:ascii="Times New Roman" w:hAnsi="Times New Roman" w:cs="Times New Roman"/>
          <w:sz w:val="28"/>
          <w:szCs w:val="28"/>
          <w:lang w:val="uk-UA"/>
        </w:rPr>
        <w:t>змір</w:t>
      </w:r>
      <w:r w:rsidR="00966966" w:rsidRPr="00F8585E">
        <w:rPr>
          <w:rFonts w:ascii="Times New Roman" w:hAnsi="Times New Roman" w:cs="Times New Roman"/>
          <w:sz w:val="28"/>
          <w:szCs w:val="28"/>
          <w:lang w:val="uk-UA"/>
        </w:rPr>
        <w:t xml:space="preserve"> уряду</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що включає державні витрати, податкове навантаження та фіскальне здоров'я</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rPr>
        <w:t>4</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проливає світло на масштаби державного втручання в економіку. Регіони з меншими державними витратами та податковим тягарем часто сприймаються як більш привабливі для інвестицій, оскільки вони зазвичай пропонують більш сприятливе середовище для зростання бізнесу та інновацій</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5</w:t>
      </w:r>
      <w:r w:rsidR="00ED76EC"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w:t>
      </w:r>
    </w:p>
    <w:p w:rsidR="00966966"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w:t>
      </w:r>
      <w:r w:rsidR="00966966" w:rsidRPr="00F8585E">
        <w:rPr>
          <w:rFonts w:ascii="Times New Roman" w:hAnsi="Times New Roman" w:cs="Times New Roman"/>
          <w:sz w:val="28"/>
          <w:szCs w:val="28"/>
          <w:lang w:val="uk-UA"/>
        </w:rPr>
        <w:t>Регуляторна ефективність</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xml:space="preserve">, ще одна критична </w:t>
      </w:r>
      <w:r w:rsidRPr="00F8585E">
        <w:rPr>
          <w:rFonts w:ascii="Times New Roman" w:hAnsi="Times New Roman" w:cs="Times New Roman"/>
          <w:sz w:val="28"/>
          <w:szCs w:val="28"/>
          <w:lang w:val="uk-UA"/>
        </w:rPr>
        <w:t>складова</w:t>
      </w:r>
      <w:r w:rsidR="00966966" w:rsidRPr="00F8585E">
        <w:rPr>
          <w:rFonts w:ascii="Times New Roman" w:hAnsi="Times New Roman" w:cs="Times New Roman"/>
          <w:sz w:val="28"/>
          <w:szCs w:val="28"/>
          <w:lang w:val="uk-UA"/>
        </w:rPr>
        <w:t>, оцінює такі фактори, як свобода бізнесу, свобода праці та грошова свобода</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rPr>
        <w:t>4</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xml:space="preserve">. Регіони з меншою кількістю регуляторних бар'єрів, гнучкими ринками праці та </w:t>
      </w:r>
      <w:r w:rsidR="00966966" w:rsidRPr="00F8585E">
        <w:rPr>
          <w:rFonts w:ascii="Times New Roman" w:hAnsi="Times New Roman" w:cs="Times New Roman"/>
          <w:sz w:val="28"/>
          <w:szCs w:val="28"/>
          <w:lang w:val="uk-UA"/>
        </w:rPr>
        <w:lastRenderedPageBreak/>
        <w:t>стабільною монетарною політикою, як правило, залучають більше інвестицій, оскільки вони сприяють більш плавним бізнес-операціям та розподілу ресурсів</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5</w:t>
      </w:r>
      <w:r w:rsidR="00ED76EC"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w:t>
      </w:r>
    </w:p>
    <w:p w:rsidR="00966966"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А складова «відкритість</w:t>
      </w:r>
      <w:r w:rsidR="00966966" w:rsidRPr="00F8585E">
        <w:rPr>
          <w:rFonts w:ascii="Times New Roman" w:hAnsi="Times New Roman" w:cs="Times New Roman"/>
          <w:sz w:val="28"/>
          <w:szCs w:val="28"/>
          <w:lang w:val="uk-UA"/>
        </w:rPr>
        <w:t xml:space="preserve"> ринків</w:t>
      </w:r>
      <w:r w:rsidRPr="00F8585E">
        <w:rPr>
          <w:rFonts w:ascii="Times New Roman" w:hAnsi="Times New Roman" w:cs="Times New Roman"/>
          <w:sz w:val="28"/>
          <w:szCs w:val="28"/>
          <w:lang w:val="uk-UA"/>
        </w:rPr>
        <w:t>», яка</w:t>
      </w:r>
      <w:r w:rsidR="00966966" w:rsidRPr="00F8585E">
        <w:rPr>
          <w:rFonts w:ascii="Times New Roman" w:hAnsi="Times New Roman" w:cs="Times New Roman"/>
          <w:sz w:val="28"/>
          <w:szCs w:val="28"/>
          <w:lang w:val="uk-UA"/>
        </w:rPr>
        <w:t xml:space="preserve"> включає свободу торгівлі, свободу інвестицій та фінансову свободу</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4</w:t>
      </w:r>
      <w:r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 вимірює рівень відкритості та доступності ринків. Регіони з високими балами в цьому стовпі часто користуються більшими потоками капіталу, прямими іноземними інвестиціями та торговими можливостями, підвищуючи їх загальну привабливість для інвесторів</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rPr>
        <w:t>5</w:t>
      </w:r>
      <w:r w:rsidR="00ED76EC" w:rsidRPr="00F8585E">
        <w:rPr>
          <w:rFonts w:ascii="Times New Roman" w:hAnsi="Times New Roman" w:cs="Times New Roman"/>
          <w:sz w:val="28"/>
          <w:szCs w:val="28"/>
          <w:lang w:val="uk-UA"/>
        </w:rPr>
        <w:t>]</w:t>
      </w:r>
      <w:r w:rsidR="00966966" w:rsidRPr="00F8585E">
        <w:rPr>
          <w:rFonts w:ascii="Times New Roman" w:hAnsi="Times New Roman" w:cs="Times New Roman"/>
          <w:sz w:val="28"/>
          <w:szCs w:val="28"/>
          <w:lang w:val="uk-UA"/>
        </w:rPr>
        <w:t>.</w:t>
      </w:r>
    </w:p>
    <w:p w:rsidR="00B314F1" w:rsidRPr="00F8585E" w:rsidRDefault="001C4CF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966966" w:rsidRPr="00F8585E">
        <w:rPr>
          <w:rFonts w:ascii="Times New Roman" w:hAnsi="Times New Roman" w:cs="Times New Roman"/>
          <w:sz w:val="28"/>
          <w:szCs w:val="28"/>
          <w:lang w:val="uk-UA"/>
        </w:rPr>
        <w:t xml:space="preserve">Індекс </w:t>
      </w:r>
      <w:r w:rsidRPr="00F8585E">
        <w:rPr>
          <w:rFonts w:ascii="Times New Roman" w:hAnsi="Times New Roman" w:cs="Times New Roman"/>
          <w:sz w:val="28"/>
          <w:szCs w:val="28"/>
          <w:lang w:val="uk-UA"/>
        </w:rPr>
        <w:t xml:space="preserve">економічної свободи </w:t>
      </w:r>
      <w:r w:rsidR="00966966" w:rsidRPr="00F8585E">
        <w:rPr>
          <w:rFonts w:ascii="Times New Roman" w:hAnsi="Times New Roman" w:cs="Times New Roman"/>
          <w:sz w:val="28"/>
          <w:szCs w:val="28"/>
          <w:lang w:val="uk-UA"/>
        </w:rPr>
        <w:t xml:space="preserve">можуть обґрунтувати </w:t>
      </w:r>
      <w:r w:rsidRPr="00F8585E">
        <w:rPr>
          <w:rFonts w:ascii="Times New Roman" w:hAnsi="Times New Roman" w:cs="Times New Roman"/>
          <w:sz w:val="28"/>
          <w:szCs w:val="28"/>
          <w:lang w:val="uk-UA"/>
        </w:rPr>
        <w:t>стан інвестиційного</w:t>
      </w:r>
      <w:r w:rsidR="00966966" w:rsidRPr="00F8585E">
        <w:rPr>
          <w:rFonts w:ascii="Times New Roman" w:hAnsi="Times New Roman" w:cs="Times New Roman"/>
          <w:sz w:val="28"/>
          <w:szCs w:val="28"/>
          <w:lang w:val="uk-UA"/>
        </w:rPr>
        <w:t xml:space="preserve"> клімату регіонів на основі комплексного аналізу </w:t>
      </w:r>
      <w:r w:rsidRPr="00F8585E">
        <w:rPr>
          <w:rFonts w:ascii="Times New Roman" w:hAnsi="Times New Roman" w:cs="Times New Roman"/>
          <w:sz w:val="28"/>
          <w:szCs w:val="28"/>
          <w:lang w:val="uk-UA"/>
        </w:rPr>
        <w:t xml:space="preserve">вищенаведених </w:t>
      </w:r>
      <w:r w:rsidR="00966966" w:rsidRPr="00F8585E">
        <w:rPr>
          <w:rFonts w:ascii="Times New Roman" w:hAnsi="Times New Roman" w:cs="Times New Roman"/>
          <w:sz w:val="28"/>
          <w:szCs w:val="28"/>
          <w:lang w:val="uk-UA"/>
        </w:rPr>
        <w:t xml:space="preserve">ключових показників. Цей підхід </w:t>
      </w:r>
      <w:r w:rsidRPr="00F8585E">
        <w:rPr>
          <w:rFonts w:ascii="Times New Roman" w:hAnsi="Times New Roman" w:cs="Times New Roman"/>
          <w:sz w:val="28"/>
          <w:szCs w:val="28"/>
          <w:lang w:val="uk-UA"/>
        </w:rPr>
        <w:t xml:space="preserve">може дозволити </w:t>
      </w:r>
      <w:r w:rsidR="00966966" w:rsidRPr="00F8585E">
        <w:rPr>
          <w:rFonts w:ascii="Times New Roman" w:hAnsi="Times New Roman" w:cs="Times New Roman"/>
          <w:sz w:val="28"/>
          <w:szCs w:val="28"/>
          <w:lang w:val="uk-UA"/>
        </w:rPr>
        <w:t xml:space="preserve">визначити сильні сторони, слабкі сторони та сфери для поліпшення регуляторного середовища, в кінцевому підсумку сприяючи обґрунтованому прийняттю рішень </w:t>
      </w:r>
      <w:r w:rsidRPr="00F8585E">
        <w:rPr>
          <w:rFonts w:ascii="Times New Roman" w:hAnsi="Times New Roman" w:cs="Times New Roman"/>
          <w:sz w:val="28"/>
          <w:szCs w:val="28"/>
          <w:lang w:val="uk-UA"/>
        </w:rPr>
        <w:t xml:space="preserve">про ведення транснаціональної діяльності. </w:t>
      </w:r>
    </w:p>
    <w:p w:rsidR="00B314F1" w:rsidRPr="00F8585E" w:rsidRDefault="00B314F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Індекс економічної свободи 2024 року, який розглядає економічну політику та умови в 184 суверенних країнах з 1 липня 2022 року по 30 червня 2023 року, показує світову економіку, яка, в цілому, є «переважно невільною». За останніми даними загальносвітовий показник Індексу економічної свободи складає 58,6 (зараз він найнижчий з 2001 року).</w:t>
      </w:r>
    </w:p>
    <w:p w:rsidR="00B2062C" w:rsidRPr="00F8585E" w:rsidRDefault="00B314F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Незважаючи на помітний спад глобальної економічної свободи, продовжує існувати чіткий зв'язок між поліпшенням економічної свободи та поліпшенням економічного динамізму, а також більшим загальним добробутом. Незалежно від того, яким може бути їх існуючий рівень розвитку, країни можуть істотно підвищити своє економічне зростання, впроваджуючи політику, яка знижує податки, раціоналізує регуляторне середовище, відкриває економіку для більшої конкуренції та боротьби з корупцією, що також допоможе підвищити загальну економічну свободу.</w:t>
      </w:r>
    </w:p>
    <w:p w:rsidR="00B314F1"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 xml:space="preserve">За оцінками The Heritage Foundation, рівень життя </w:t>
      </w:r>
      <w:r w:rsidR="00B314F1" w:rsidRPr="00F8585E">
        <w:rPr>
          <w:rFonts w:ascii="Times New Roman" w:hAnsi="Times New Roman" w:cs="Times New Roman"/>
          <w:sz w:val="28"/>
          <w:szCs w:val="28"/>
          <w:lang w:val="uk-UA"/>
        </w:rPr>
        <w:t>набагато вище в економічно більш вільних країнах. Країни з рейтингом «вільний», «переважно вільний» або «помірно вільний» в Індексі 2024 року генерують доходи, які більш ніж удвічі перевищують середній рівень в інших країнах і більш ніж втричі перевищують доходи людей, які живуть в економічно «репресованих» країнах.</w:t>
      </w:r>
    </w:p>
    <w:p w:rsidR="00B314F1"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314F1" w:rsidRPr="00F8585E">
        <w:rPr>
          <w:rFonts w:ascii="Times New Roman" w:hAnsi="Times New Roman" w:cs="Times New Roman"/>
          <w:sz w:val="28"/>
          <w:szCs w:val="28"/>
          <w:lang w:val="uk-UA"/>
        </w:rPr>
        <w:t>Як знову зафіксовано в Індексі 2024 року, економічна свобода також суттєво корелює із загальним добробутом, який включає такі фактори, як охорона здоров'я, освіта, навколишнє середовище, інновації, соціальний прогрес та демократичне управління</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6</w:t>
      </w:r>
      <w:r w:rsidRPr="00F8585E">
        <w:rPr>
          <w:rFonts w:ascii="Times New Roman" w:hAnsi="Times New Roman" w:cs="Times New Roman"/>
          <w:sz w:val="28"/>
          <w:szCs w:val="28"/>
          <w:lang w:val="uk-UA"/>
        </w:rPr>
        <w:t>]</w:t>
      </w:r>
      <w:r w:rsidR="00B314F1" w:rsidRPr="00F8585E">
        <w:rPr>
          <w:rFonts w:ascii="Times New Roman" w:hAnsi="Times New Roman" w:cs="Times New Roman"/>
          <w:sz w:val="28"/>
          <w:szCs w:val="28"/>
          <w:lang w:val="uk-UA"/>
        </w:rPr>
        <w:t>.</w:t>
      </w:r>
    </w:p>
    <w:p w:rsidR="004F127B"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Індексу економічної свободи за регіонами світу представлені нижче на рис. 2.1.</w:t>
      </w:r>
    </w:p>
    <w:p w:rsidR="004F127B"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7CBCFCBB" wp14:editId="793896B4">
            <wp:extent cx="6041571"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F127B"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Рис. 2.1. Індекс економічної свободи 2024 за регіонами світу</w:t>
      </w:r>
    </w:p>
    <w:p w:rsidR="004F127B"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4F127B" w:rsidRPr="00F8585E" w:rsidRDefault="004F127B" w:rsidP="00836606">
      <w:pPr>
        <w:spacing w:after="0" w:line="360" w:lineRule="auto"/>
        <w:jc w:val="both"/>
        <w:rPr>
          <w:rFonts w:ascii="Times New Roman" w:hAnsi="Times New Roman" w:cs="Times New Roman"/>
          <w:sz w:val="28"/>
          <w:szCs w:val="28"/>
          <w:lang w:val="uk-UA"/>
        </w:rPr>
      </w:pPr>
    </w:p>
    <w:p w:rsidR="004F127B"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Отже, за останніми даними найвищий Індекс економічної свободи має Північна Америка зі значенням 71,3, надалі слідує Європа з Індексом 67,2, далі Азіатсько-Тихоокеанський регіон та Близький Схід/Північна Африка з </w:t>
      </w:r>
      <w:r w:rsidRPr="00F8585E">
        <w:rPr>
          <w:rFonts w:ascii="Times New Roman" w:hAnsi="Times New Roman" w:cs="Times New Roman"/>
          <w:sz w:val="28"/>
          <w:szCs w:val="28"/>
          <w:lang w:val="uk-UA"/>
        </w:rPr>
        <w:lastRenderedPageBreak/>
        <w:t>однаковим Індексом 57,4, Латинська Америка має Індекс 57,1, а Субсахарна Африка ‒ 52,4 (див. рис. 2.1).</w:t>
      </w:r>
    </w:p>
    <w:p w:rsidR="00B314F1"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За останніми даними т</w:t>
      </w:r>
      <w:r w:rsidR="00B314F1" w:rsidRPr="00F8585E">
        <w:rPr>
          <w:rFonts w:ascii="Times New Roman" w:hAnsi="Times New Roman" w:cs="Times New Roman"/>
          <w:sz w:val="28"/>
          <w:szCs w:val="28"/>
          <w:lang w:val="uk-UA"/>
        </w:rPr>
        <w:t xml:space="preserve">ільки чотири країни (в порівнянні з сімома в Індексі 2022 року) зафіксували показники економічної свободи в 80 і більше балів, поставивши їх в ряди економічно «вільних»; 22 країни отримали позначення «переважно вільних», </w:t>
      </w:r>
      <w:r w:rsidRPr="00F8585E">
        <w:rPr>
          <w:rFonts w:ascii="Times New Roman" w:hAnsi="Times New Roman" w:cs="Times New Roman"/>
          <w:sz w:val="28"/>
          <w:szCs w:val="28"/>
          <w:lang w:val="uk-UA"/>
        </w:rPr>
        <w:t>отримавши</w:t>
      </w:r>
      <w:r w:rsidR="00B314F1" w:rsidRPr="00F8585E">
        <w:rPr>
          <w:rFonts w:ascii="Times New Roman" w:hAnsi="Times New Roman" w:cs="Times New Roman"/>
          <w:sz w:val="28"/>
          <w:szCs w:val="28"/>
          <w:lang w:val="uk-UA"/>
        </w:rPr>
        <w:t xml:space="preserve"> бали від 70,0 до 79,9; і ще 55 країн вважалися принаймні «помірно вільними» з балами від 60,0 до 69,9. Таким чином, в цілому 81 країна, або трохи менше половини з 176 країн, оцінених в Індексі 2024 року, мають інституційні середовища, в яких приватні особи і приватні підприємства виграють від принаймні помірного ступеня економічної свободи в прагненні до більшого еконо</w:t>
      </w:r>
      <w:r w:rsidRPr="00F8585E">
        <w:rPr>
          <w:rFonts w:ascii="Times New Roman" w:hAnsi="Times New Roman" w:cs="Times New Roman"/>
          <w:sz w:val="28"/>
          <w:szCs w:val="28"/>
          <w:lang w:val="uk-UA"/>
        </w:rPr>
        <w:t xml:space="preserve">мічного розвитку і процвітання. </w:t>
      </w:r>
      <w:r w:rsidR="00B314F1" w:rsidRPr="00F8585E">
        <w:rPr>
          <w:rFonts w:ascii="Times New Roman" w:hAnsi="Times New Roman" w:cs="Times New Roman"/>
          <w:sz w:val="28"/>
          <w:szCs w:val="28"/>
          <w:lang w:val="uk-UA"/>
        </w:rPr>
        <w:t>На протилежному боці спектру, більше 50 відсотків країн, оцінених в індексі 2024 року (95 економік), зареєстрували показники економічної свободи нижче 60. З них 62 вважаються «переважно невільними» (від 50,0 до 59,9), а 33, включаючи Китай та Іран, належать до економічно «репресованої» категорії.</w:t>
      </w:r>
    </w:p>
    <w:p w:rsidR="00B314F1"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314F1" w:rsidRPr="00F8585E">
        <w:rPr>
          <w:rFonts w:ascii="Times New Roman" w:hAnsi="Times New Roman" w:cs="Times New Roman"/>
          <w:sz w:val="28"/>
          <w:szCs w:val="28"/>
          <w:lang w:val="uk-UA"/>
        </w:rPr>
        <w:t xml:space="preserve">У топ-10 рейтингу відбулися помітні </w:t>
      </w:r>
      <w:r w:rsidRPr="00F8585E">
        <w:rPr>
          <w:rFonts w:ascii="Times New Roman" w:hAnsi="Times New Roman" w:cs="Times New Roman"/>
          <w:sz w:val="28"/>
          <w:szCs w:val="28"/>
          <w:lang w:val="uk-UA"/>
        </w:rPr>
        <w:t>зміни</w:t>
      </w:r>
      <w:r w:rsidR="00B314F1" w:rsidRPr="00F8585E">
        <w:rPr>
          <w:rFonts w:ascii="Times New Roman" w:hAnsi="Times New Roman" w:cs="Times New Roman"/>
          <w:sz w:val="28"/>
          <w:szCs w:val="28"/>
          <w:lang w:val="uk-UA"/>
        </w:rPr>
        <w:t xml:space="preserve">. Сінгапур зберіг свій статус </w:t>
      </w:r>
      <w:r w:rsidRPr="00F8585E">
        <w:rPr>
          <w:rFonts w:ascii="Times New Roman" w:hAnsi="Times New Roman" w:cs="Times New Roman"/>
          <w:sz w:val="28"/>
          <w:szCs w:val="28"/>
          <w:lang w:val="uk-UA"/>
        </w:rPr>
        <w:t xml:space="preserve">найбільш </w:t>
      </w:r>
      <w:r w:rsidR="00B314F1" w:rsidRPr="00F8585E">
        <w:rPr>
          <w:rFonts w:ascii="Times New Roman" w:hAnsi="Times New Roman" w:cs="Times New Roman"/>
          <w:sz w:val="28"/>
          <w:szCs w:val="28"/>
          <w:lang w:val="uk-UA"/>
        </w:rPr>
        <w:t>вільної економіки світу, демонструючи високий рівень економічної стійкості. Швейцарія є другою вільною економікою в світі, за нею йде Ірландія, а Тайвань піднявся на четвертий щабель, найвищий рейтинг, якого країна коли-небудь досягала в Індексі економічної свободи. І Нова Зеландія, і Австралія втратили статус економічної свободи найвищого рівня, а Австралія більше не входить до числа 10 найбільш вільних економік світу.</w:t>
      </w:r>
    </w:p>
    <w:p w:rsidR="00B2062C" w:rsidRPr="00F8585E" w:rsidRDefault="004F127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B314F1" w:rsidRPr="00F8585E">
        <w:rPr>
          <w:rFonts w:ascii="Times New Roman" w:hAnsi="Times New Roman" w:cs="Times New Roman"/>
          <w:sz w:val="28"/>
          <w:szCs w:val="28"/>
          <w:lang w:val="uk-UA"/>
        </w:rPr>
        <w:t>Загалом, постійне відновлення залишається нерівномірним і невизначеним з разюче різними результатами в різних країнах, секторах і демографічних групах. Прогалини у виробництві та зайнятості залишаються у багатьох країнах, особливо на ринках, що розвиваються, та економіках, що розвиваються, що свідчить про те, що країни стикаються з абсолютно різними проблемами політики під час відновлення та за його межами</w:t>
      </w:r>
      <w:r w:rsidR="0017608D">
        <w:rPr>
          <w:rFonts w:ascii="Times New Roman" w:hAnsi="Times New Roman" w:cs="Times New Roman"/>
          <w:sz w:val="28"/>
          <w:szCs w:val="28"/>
          <w:lang w:val="uk-UA"/>
        </w:rPr>
        <w:t xml:space="preserve"> [1</w:t>
      </w:r>
      <w:r w:rsidR="0017608D" w:rsidRPr="0017608D">
        <w:rPr>
          <w:rFonts w:ascii="Times New Roman" w:hAnsi="Times New Roman" w:cs="Times New Roman"/>
          <w:sz w:val="28"/>
          <w:szCs w:val="28"/>
          <w:lang w:val="uk-UA"/>
        </w:rPr>
        <w:t>6</w:t>
      </w:r>
      <w:r w:rsidRPr="00F8585E">
        <w:rPr>
          <w:rFonts w:ascii="Times New Roman" w:hAnsi="Times New Roman" w:cs="Times New Roman"/>
          <w:sz w:val="28"/>
          <w:szCs w:val="28"/>
          <w:lang w:val="uk-UA"/>
        </w:rPr>
        <w:t>]</w:t>
      </w:r>
      <w:r w:rsidR="00B314F1" w:rsidRPr="00F8585E">
        <w:rPr>
          <w:rFonts w:ascii="Times New Roman" w:hAnsi="Times New Roman" w:cs="Times New Roman"/>
          <w:sz w:val="28"/>
          <w:szCs w:val="28"/>
          <w:lang w:val="uk-UA"/>
        </w:rPr>
        <w:t>.</w:t>
      </w:r>
    </w:p>
    <w:p w:rsidR="00A43EA3" w:rsidRPr="00F8585E" w:rsidRDefault="00A43EA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Розглянувши окремо показники складових Індексу економічної свободи можна виявити сильні та слабкі сторони кожного з регіонів та дослідити, що може впливати на сприятливий інвестиційний клімат регіону та приплив іноземних інвестицій.</w:t>
      </w:r>
    </w:p>
    <w:p w:rsidR="00A43EA3" w:rsidRPr="00F8585E" w:rsidRDefault="00A43EA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Значення </w:t>
      </w:r>
      <w:r w:rsidR="00736451" w:rsidRPr="00F8585E">
        <w:rPr>
          <w:rFonts w:ascii="Times New Roman" w:hAnsi="Times New Roman" w:cs="Times New Roman"/>
          <w:sz w:val="28"/>
          <w:szCs w:val="28"/>
          <w:lang w:val="uk-UA"/>
        </w:rPr>
        <w:t xml:space="preserve">складової «Права власності» </w:t>
      </w:r>
      <w:r w:rsidR="00992231" w:rsidRPr="00F8585E">
        <w:rPr>
          <w:rFonts w:ascii="Times New Roman" w:hAnsi="Times New Roman" w:cs="Times New Roman"/>
          <w:sz w:val="28"/>
          <w:szCs w:val="28"/>
          <w:lang w:val="uk-UA"/>
        </w:rPr>
        <w:t xml:space="preserve">Індексу економічної свободи 2024 </w:t>
      </w:r>
      <w:r w:rsidRPr="00F8585E">
        <w:rPr>
          <w:rFonts w:ascii="Times New Roman" w:hAnsi="Times New Roman" w:cs="Times New Roman"/>
          <w:sz w:val="28"/>
          <w:szCs w:val="28"/>
          <w:lang w:val="uk-UA"/>
        </w:rPr>
        <w:t xml:space="preserve">за регіонами світу представлені нижче на рис. </w:t>
      </w:r>
      <w:r w:rsidR="00736451" w:rsidRPr="00F8585E">
        <w:rPr>
          <w:rFonts w:ascii="Times New Roman" w:hAnsi="Times New Roman" w:cs="Times New Roman"/>
          <w:sz w:val="28"/>
          <w:szCs w:val="28"/>
          <w:lang w:val="uk-UA"/>
        </w:rPr>
        <w:t>2.2</w:t>
      </w:r>
      <w:r w:rsidRPr="00F8585E">
        <w:rPr>
          <w:rFonts w:ascii="Times New Roman" w:hAnsi="Times New Roman" w:cs="Times New Roman"/>
          <w:sz w:val="28"/>
          <w:szCs w:val="28"/>
          <w:lang w:val="uk-UA"/>
        </w:rPr>
        <w:t>.</w:t>
      </w:r>
    </w:p>
    <w:p w:rsidR="00A43EA3" w:rsidRPr="00F8585E" w:rsidRDefault="00A43EA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0AFA7280" wp14:editId="45075CC2">
            <wp:extent cx="6041571" cy="2231571"/>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92231" w:rsidRPr="00F8585E" w:rsidRDefault="00A43EA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w:t>
      </w:r>
      <w:r w:rsidR="00132682" w:rsidRPr="00F8585E">
        <w:rPr>
          <w:rFonts w:ascii="Times New Roman" w:hAnsi="Times New Roman" w:cs="Times New Roman"/>
          <w:sz w:val="28"/>
          <w:szCs w:val="28"/>
          <w:lang w:val="uk-UA"/>
        </w:rPr>
        <w:t>2.2</w:t>
      </w:r>
      <w:r w:rsidRPr="00F8585E">
        <w:rPr>
          <w:rFonts w:ascii="Times New Roman" w:hAnsi="Times New Roman" w:cs="Times New Roman"/>
          <w:sz w:val="28"/>
          <w:szCs w:val="28"/>
          <w:lang w:val="uk-UA"/>
        </w:rPr>
        <w:t xml:space="preserve">. </w:t>
      </w:r>
      <w:r w:rsidR="00992231" w:rsidRPr="00F8585E">
        <w:rPr>
          <w:rFonts w:ascii="Times New Roman" w:hAnsi="Times New Roman" w:cs="Times New Roman"/>
          <w:sz w:val="28"/>
          <w:szCs w:val="28"/>
          <w:lang w:val="uk-UA"/>
        </w:rPr>
        <w:t xml:space="preserve">Значення складової «Права власності» Індексу економічної свободи 2024 за регіонами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7D1B6E" w:rsidRPr="00F8585E" w:rsidRDefault="007D1B6E" w:rsidP="00836606">
      <w:pPr>
        <w:spacing w:after="0" w:line="360" w:lineRule="auto"/>
        <w:jc w:val="both"/>
        <w:rPr>
          <w:rFonts w:ascii="Times New Roman" w:hAnsi="Times New Roman" w:cs="Times New Roman"/>
          <w:sz w:val="28"/>
          <w:szCs w:val="28"/>
          <w:lang w:val="uk-UA"/>
        </w:rPr>
      </w:pPr>
    </w:p>
    <w:p w:rsidR="00A876B3"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«Права власності» Індексу економічної свободи 2024 має Північна Америка зі значенням 91,9, надалі слідує Європа </w:t>
      </w:r>
      <w:r w:rsidR="006A3512" w:rsidRPr="00F8585E">
        <w:rPr>
          <w:rFonts w:ascii="Times New Roman" w:hAnsi="Times New Roman" w:cs="Times New Roman"/>
          <w:sz w:val="28"/>
          <w:szCs w:val="28"/>
          <w:lang w:val="uk-UA"/>
        </w:rPr>
        <w:t>зі значенням</w:t>
      </w:r>
      <w:r w:rsidRPr="00F8585E">
        <w:rPr>
          <w:rFonts w:ascii="Times New Roman" w:hAnsi="Times New Roman" w:cs="Times New Roman"/>
          <w:sz w:val="28"/>
          <w:szCs w:val="28"/>
          <w:lang w:val="uk-UA"/>
        </w:rPr>
        <w:t xml:space="preserve"> 75,7, далі Азіатсько-Тихоокеанський регіон </w:t>
      </w:r>
      <w:r w:rsidR="006A3512" w:rsidRPr="00F8585E">
        <w:rPr>
          <w:rFonts w:ascii="Times New Roman" w:hAnsi="Times New Roman" w:cs="Times New Roman"/>
          <w:sz w:val="28"/>
          <w:szCs w:val="28"/>
          <w:lang w:val="uk-UA"/>
        </w:rPr>
        <w:t xml:space="preserve">зі значенням 51,9, Латинська Америка </w:t>
      </w:r>
      <w:r w:rsidR="00ED76EC" w:rsidRPr="00F8585E">
        <w:rPr>
          <w:rFonts w:ascii="Times New Roman" w:hAnsi="Times New Roman" w:cs="Times New Roman"/>
          <w:sz w:val="28"/>
          <w:szCs w:val="28"/>
          <w:lang w:val="uk-UA"/>
        </w:rPr>
        <w:t xml:space="preserve">зі значенням </w:t>
      </w:r>
      <w:r w:rsidR="006A3512" w:rsidRPr="00F8585E">
        <w:rPr>
          <w:rFonts w:ascii="Times New Roman" w:hAnsi="Times New Roman" w:cs="Times New Roman"/>
          <w:sz w:val="28"/>
          <w:szCs w:val="28"/>
          <w:lang w:val="uk-UA"/>
        </w:rPr>
        <w:t>47,5</w:t>
      </w:r>
      <w:r w:rsidRPr="00F8585E">
        <w:rPr>
          <w:rFonts w:ascii="Times New Roman" w:hAnsi="Times New Roman" w:cs="Times New Roman"/>
          <w:sz w:val="28"/>
          <w:szCs w:val="28"/>
          <w:lang w:val="uk-UA"/>
        </w:rPr>
        <w:t xml:space="preserve">, </w:t>
      </w:r>
      <w:r w:rsidR="006A3512" w:rsidRPr="00F8585E">
        <w:rPr>
          <w:rFonts w:ascii="Times New Roman" w:hAnsi="Times New Roman" w:cs="Times New Roman"/>
          <w:sz w:val="28"/>
          <w:szCs w:val="28"/>
          <w:lang w:val="uk-UA"/>
        </w:rPr>
        <w:t xml:space="preserve">Близький Схід/Північна Африка ‒ 45,0, а </w:t>
      </w:r>
      <w:r w:rsidR="006A3512" w:rsidRPr="00667AD1">
        <w:rPr>
          <w:rFonts w:ascii="Times New Roman" w:hAnsi="Times New Roman" w:cs="Times New Roman"/>
          <w:sz w:val="28"/>
          <w:szCs w:val="28"/>
          <w:lang w:val="uk-UA"/>
        </w:rPr>
        <w:t xml:space="preserve">Субсахарна Африка </w:t>
      </w:r>
      <w:r w:rsidR="006A3512" w:rsidRPr="00F8585E">
        <w:rPr>
          <w:rFonts w:ascii="Times New Roman" w:hAnsi="Times New Roman" w:cs="Times New Roman"/>
          <w:sz w:val="28"/>
          <w:szCs w:val="28"/>
          <w:lang w:val="uk-UA"/>
        </w:rPr>
        <w:t>‒ 38,9</w:t>
      </w:r>
      <w:r w:rsidRPr="00F8585E">
        <w:rPr>
          <w:rFonts w:ascii="Times New Roman" w:hAnsi="Times New Roman" w:cs="Times New Roman"/>
          <w:sz w:val="28"/>
          <w:szCs w:val="28"/>
          <w:lang w:val="uk-UA"/>
        </w:rPr>
        <w:t xml:space="preserve"> (див. рис. 2</w:t>
      </w:r>
      <w:r w:rsidR="006A3512" w:rsidRPr="00F8585E">
        <w:rPr>
          <w:rFonts w:ascii="Times New Roman" w:hAnsi="Times New Roman" w:cs="Times New Roman"/>
          <w:sz w:val="28"/>
          <w:szCs w:val="28"/>
          <w:lang w:val="uk-UA"/>
        </w:rPr>
        <w:t>.2</w:t>
      </w:r>
      <w:r w:rsidRPr="00F8585E">
        <w:rPr>
          <w:rFonts w:ascii="Times New Roman" w:hAnsi="Times New Roman" w:cs="Times New Roman"/>
          <w:sz w:val="28"/>
          <w:szCs w:val="28"/>
          <w:lang w:val="uk-UA"/>
        </w:rPr>
        <w:t>).</w:t>
      </w:r>
    </w:p>
    <w:p w:rsidR="00FF4FFA" w:rsidRPr="00F8585E" w:rsidRDefault="0073645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FF4FFA" w:rsidRPr="00F8585E">
        <w:rPr>
          <w:rFonts w:ascii="Times New Roman" w:hAnsi="Times New Roman" w:cs="Times New Roman"/>
          <w:sz w:val="28"/>
          <w:szCs w:val="28"/>
          <w:lang w:val="uk-UA"/>
        </w:rPr>
        <w:t xml:space="preserve">Компонент прав власності оцінює, якою мірою законодавча база країни дозволяє громадянам набувати, утримувати та використовувати приватну власність, а також те, наскільки ці права захищені чинним законодавством, яке ефективно застосовується урядом. Спираючись на сукупність даних опитувань та незалежних оцінок, індекс надає кількісну оцінку того, наскільки закони країни захищають права приватної власності, а також того, наскільки ці закони дотримуються. Він також оцінює рівень державної експропріації приватної </w:t>
      </w:r>
      <w:r w:rsidR="00FF4FFA" w:rsidRPr="00F8585E">
        <w:rPr>
          <w:rFonts w:ascii="Times New Roman" w:hAnsi="Times New Roman" w:cs="Times New Roman"/>
          <w:sz w:val="28"/>
          <w:szCs w:val="28"/>
          <w:lang w:val="uk-UA"/>
        </w:rPr>
        <w:lastRenderedPageBreak/>
        <w:t xml:space="preserve">власності. Оцінка за цей компонент виводиться шляхом усереднення оцінок за трьома однаково </w:t>
      </w:r>
      <w:r w:rsidR="00FF4FFA" w:rsidRPr="00BA543B">
        <w:rPr>
          <w:rFonts w:ascii="Times New Roman" w:hAnsi="Times New Roman" w:cs="Times New Roman"/>
          <w:sz w:val="28"/>
          <w:szCs w:val="28"/>
          <w:lang w:val="uk-UA"/>
        </w:rPr>
        <w:t xml:space="preserve">зваженими </w:t>
      </w:r>
      <w:r w:rsidR="00667AD1" w:rsidRPr="00BA543B">
        <w:rPr>
          <w:rFonts w:ascii="Times New Roman" w:hAnsi="Times New Roman" w:cs="Times New Roman"/>
          <w:sz w:val="28"/>
          <w:szCs w:val="28"/>
          <w:lang w:val="uk-UA"/>
        </w:rPr>
        <w:t>суб</w:t>
      </w:r>
      <w:r w:rsidR="00FF4FFA" w:rsidRPr="00BA543B">
        <w:rPr>
          <w:rFonts w:ascii="Times New Roman" w:hAnsi="Times New Roman" w:cs="Times New Roman"/>
          <w:sz w:val="28"/>
          <w:szCs w:val="28"/>
          <w:lang w:val="uk-UA"/>
        </w:rPr>
        <w:t>факторами:</w:t>
      </w:r>
      <w:r w:rsidR="004A4768" w:rsidRPr="00BA543B">
        <w:rPr>
          <w:rFonts w:ascii="Times New Roman" w:hAnsi="Times New Roman" w:cs="Times New Roman"/>
          <w:sz w:val="28"/>
          <w:szCs w:val="28"/>
          <w:lang w:val="uk-UA"/>
        </w:rPr>
        <w:t xml:space="preserve"> р</w:t>
      </w:r>
      <w:r w:rsidR="00FF4FFA" w:rsidRPr="00BA543B">
        <w:rPr>
          <w:rFonts w:ascii="Times New Roman" w:hAnsi="Times New Roman" w:cs="Times New Roman"/>
          <w:sz w:val="28"/>
          <w:szCs w:val="28"/>
          <w:lang w:val="uk-UA"/>
        </w:rPr>
        <w:t>изик експропріації</w:t>
      </w:r>
      <w:r w:rsidR="00FF4FFA" w:rsidRPr="00F8585E">
        <w:rPr>
          <w:rFonts w:ascii="Times New Roman" w:hAnsi="Times New Roman" w:cs="Times New Roman"/>
          <w:sz w:val="28"/>
          <w:szCs w:val="28"/>
          <w:lang w:val="uk-UA"/>
        </w:rPr>
        <w:t>,</w:t>
      </w:r>
      <w:r w:rsidR="004A4768" w:rsidRPr="00F8585E">
        <w:rPr>
          <w:rFonts w:ascii="Times New Roman" w:hAnsi="Times New Roman" w:cs="Times New Roman"/>
          <w:sz w:val="28"/>
          <w:szCs w:val="28"/>
          <w:lang w:val="uk-UA"/>
        </w:rPr>
        <w:t xml:space="preserve">  п</w:t>
      </w:r>
      <w:r w:rsidR="00FF4FFA" w:rsidRPr="00F8585E">
        <w:rPr>
          <w:rFonts w:ascii="Times New Roman" w:hAnsi="Times New Roman" w:cs="Times New Roman"/>
          <w:sz w:val="28"/>
          <w:szCs w:val="28"/>
          <w:lang w:val="uk-UA"/>
        </w:rPr>
        <w:t>овага до п</w:t>
      </w:r>
      <w:r w:rsidR="004A4768" w:rsidRPr="00F8585E">
        <w:rPr>
          <w:rFonts w:ascii="Times New Roman" w:hAnsi="Times New Roman" w:cs="Times New Roman"/>
          <w:sz w:val="28"/>
          <w:szCs w:val="28"/>
          <w:lang w:val="uk-UA"/>
        </w:rPr>
        <w:t>рав інтелектуальної власності та я</w:t>
      </w:r>
      <w:r w:rsidR="00FF4FFA" w:rsidRPr="00F8585E">
        <w:rPr>
          <w:rFonts w:ascii="Times New Roman" w:hAnsi="Times New Roman" w:cs="Times New Roman"/>
          <w:sz w:val="28"/>
          <w:szCs w:val="28"/>
          <w:lang w:val="uk-UA"/>
        </w:rPr>
        <w:t xml:space="preserve">кість виконання контрактів, права власності та правозастосування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00FF4FFA" w:rsidRPr="00F8585E">
        <w:rPr>
          <w:rFonts w:ascii="Times New Roman" w:hAnsi="Times New Roman" w:cs="Times New Roman"/>
          <w:sz w:val="28"/>
          <w:szCs w:val="28"/>
          <w:lang w:val="uk-UA"/>
        </w:rPr>
        <w:t>]</w:t>
      </w:r>
      <w:r w:rsidR="004A4768" w:rsidRPr="00F8585E">
        <w:rPr>
          <w:rFonts w:ascii="Times New Roman" w:hAnsi="Times New Roman" w:cs="Times New Roman"/>
          <w:sz w:val="28"/>
          <w:szCs w:val="28"/>
          <w:lang w:val="uk-UA"/>
        </w:rPr>
        <w:t>.</w:t>
      </w:r>
    </w:p>
    <w:p w:rsidR="00B81FEA" w:rsidRPr="00F8585E" w:rsidRDefault="007D1B6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6A03BD" w:rsidRPr="00F8585E">
        <w:rPr>
          <w:rFonts w:ascii="Times New Roman" w:hAnsi="Times New Roman" w:cs="Times New Roman"/>
          <w:sz w:val="28"/>
          <w:szCs w:val="28"/>
          <w:lang w:val="uk-UA"/>
        </w:rPr>
        <w:t>Я</w:t>
      </w:r>
      <w:r w:rsidRPr="00F8585E">
        <w:rPr>
          <w:rFonts w:ascii="Times New Roman" w:hAnsi="Times New Roman" w:cs="Times New Roman"/>
          <w:sz w:val="28"/>
          <w:szCs w:val="28"/>
          <w:lang w:val="uk-UA"/>
        </w:rPr>
        <w:t>кщо країни будуть мати високий рівень захисту прав інтелектуальної власності</w:t>
      </w:r>
      <w:r w:rsidR="004A4768" w:rsidRPr="00F8585E">
        <w:rPr>
          <w:rFonts w:ascii="Times New Roman" w:hAnsi="Times New Roman" w:cs="Times New Roman"/>
          <w:sz w:val="28"/>
          <w:szCs w:val="28"/>
          <w:lang w:val="uk-UA"/>
        </w:rPr>
        <w:t xml:space="preserve">, підтримувані заходами, спрямованими на поліпшення інвестиційного клімату, інфраструктури зв'язку та потенціалу людських ресурсів, вони, ймовірно, виграють від збільшення потоку </w:t>
      </w:r>
      <w:r w:rsidRPr="00F8585E">
        <w:rPr>
          <w:rFonts w:ascii="Times New Roman" w:hAnsi="Times New Roman" w:cs="Times New Roman"/>
          <w:sz w:val="28"/>
          <w:szCs w:val="28"/>
          <w:lang w:val="uk-UA"/>
        </w:rPr>
        <w:t>прямих іноземних інвестицій, необхідного</w:t>
      </w:r>
      <w:r w:rsidR="004A4768" w:rsidRPr="00F8585E">
        <w:rPr>
          <w:rFonts w:ascii="Times New Roman" w:hAnsi="Times New Roman" w:cs="Times New Roman"/>
          <w:sz w:val="28"/>
          <w:szCs w:val="28"/>
          <w:lang w:val="uk-UA"/>
        </w:rPr>
        <w:t xml:space="preserve"> для стимулювання економічного зростання</w:t>
      </w:r>
      <w:r w:rsidRPr="00F8585E">
        <w:rPr>
          <w:rFonts w:ascii="Times New Roman" w:hAnsi="Times New Roman" w:cs="Times New Roman"/>
          <w:sz w:val="28"/>
          <w:szCs w:val="28"/>
          <w:lang w:val="uk-UA"/>
        </w:rPr>
        <w:t xml:space="preserve">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lang w:val="uk-UA"/>
        </w:rPr>
        <w:t>9</w:t>
      </w:r>
      <w:r w:rsidRPr="00F8585E">
        <w:rPr>
          <w:rFonts w:ascii="Times New Roman" w:hAnsi="Times New Roman" w:cs="Times New Roman"/>
          <w:sz w:val="28"/>
          <w:szCs w:val="28"/>
          <w:lang w:val="uk-UA"/>
        </w:rPr>
        <w:t>].</w:t>
      </w:r>
    </w:p>
    <w:p w:rsidR="00132682" w:rsidRPr="00F8585E" w:rsidRDefault="0013268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w:t>
      </w:r>
      <w:r w:rsidR="00FF4FFA" w:rsidRPr="00F8585E">
        <w:rPr>
          <w:rFonts w:ascii="Times New Roman" w:hAnsi="Times New Roman" w:cs="Times New Roman"/>
          <w:sz w:val="28"/>
          <w:szCs w:val="28"/>
          <w:lang w:val="uk-UA"/>
        </w:rPr>
        <w:t>Доброчесність уряду</w:t>
      </w:r>
      <w:r w:rsidRPr="00F8585E">
        <w:rPr>
          <w:rFonts w:ascii="Times New Roman" w:hAnsi="Times New Roman" w:cs="Times New Roman"/>
          <w:sz w:val="28"/>
          <w:szCs w:val="28"/>
          <w:lang w:val="uk-UA"/>
        </w:rPr>
        <w:t xml:space="preserve">» </w:t>
      </w:r>
      <w:r w:rsidR="00992231" w:rsidRPr="00F8585E">
        <w:rPr>
          <w:rFonts w:ascii="Times New Roman" w:hAnsi="Times New Roman" w:cs="Times New Roman"/>
          <w:sz w:val="28"/>
          <w:szCs w:val="28"/>
          <w:lang w:val="uk-UA"/>
        </w:rPr>
        <w:t xml:space="preserve">Індексу економічної свободи 2024 </w:t>
      </w:r>
      <w:r w:rsidRPr="00F8585E">
        <w:rPr>
          <w:rFonts w:ascii="Times New Roman" w:hAnsi="Times New Roman" w:cs="Times New Roman"/>
          <w:sz w:val="28"/>
          <w:szCs w:val="28"/>
          <w:lang w:val="uk-UA"/>
        </w:rPr>
        <w:t>за регіонами світу представлені нижче на рис. 2.3.</w:t>
      </w:r>
    </w:p>
    <w:p w:rsidR="00132682" w:rsidRPr="00F8585E" w:rsidRDefault="0013268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467E6A86" wp14:editId="7AC96DAB">
            <wp:extent cx="6041571" cy="2231571"/>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2231" w:rsidRPr="00F8585E" w:rsidRDefault="0013268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2.3. </w:t>
      </w:r>
      <w:r w:rsidR="00992231" w:rsidRPr="00F8585E">
        <w:rPr>
          <w:rFonts w:ascii="Times New Roman" w:hAnsi="Times New Roman" w:cs="Times New Roman"/>
          <w:sz w:val="28"/>
          <w:szCs w:val="28"/>
          <w:lang w:val="uk-UA"/>
        </w:rPr>
        <w:t>Значення складової «</w:t>
      </w:r>
      <w:r w:rsidR="00FF4FFA" w:rsidRPr="00F8585E">
        <w:rPr>
          <w:rFonts w:ascii="Times New Roman" w:hAnsi="Times New Roman" w:cs="Times New Roman"/>
          <w:sz w:val="28"/>
          <w:szCs w:val="28"/>
          <w:lang w:val="uk-UA"/>
        </w:rPr>
        <w:t>Доброчесність</w:t>
      </w:r>
      <w:r w:rsidR="00992231" w:rsidRPr="00F8585E">
        <w:rPr>
          <w:rFonts w:ascii="Times New Roman" w:hAnsi="Times New Roman" w:cs="Times New Roman"/>
          <w:sz w:val="28"/>
          <w:szCs w:val="28"/>
          <w:lang w:val="uk-UA"/>
        </w:rPr>
        <w:t xml:space="preserve"> уряду»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FF4FFA" w:rsidRPr="00F8585E" w:rsidRDefault="00FF4FFA" w:rsidP="00836606">
      <w:pPr>
        <w:spacing w:after="0" w:line="360" w:lineRule="auto"/>
        <w:jc w:val="both"/>
        <w:rPr>
          <w:rFonts w:ascii="Times New Roman" w:hAnsi="Times New Roman" w:cs="Times New Roman"/>
          <w:sz w:val="28"/>
          <w:szCs w:val="28"/>
          <w:lang w:val="uk-UA"/>
        </w:rPr>
      </w:pPr>
    </w:p>
    <w:p w:rsidR="006A3512" w:rsidRPr="00F8585E" w:rsidRDefault="006A351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«Доброчесність уряду» Індексу економічної свободи 2024 має Північна Америка зі значенням 74,0, надалі слідує Європа зі значенням 61,4, далі Азіатсько-Тихоокеанський регіон зі значенням 43,0, </w:t>
      </w:r>
      <w:r w:rsidR="0017608D">
        <w:rPr>
          <w:rFonts w:ascii="Times New Roman" w:hAnsi="Times New Roman" w:cs="Times New Roman"/>
          <w:sz w:val="28"/>
          <w:szCs w:val="28"/>
          <w:lang w:val="uk-UA"/>
        </w:rPr>
        <w:t>Латинська Америка зі значенням</w:t>
      </w:r>
      <w:r w:rsidR="0017608D" w:rsidRPr="0017608D">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40,8, Близький Схід/Північна Африка ‒ 35,4, а Субсахарна Африка ‒ 31,3 (див. рис. 2.3).</w:t>
      </w:r>
    </w:p>
    <w:p w:rsidR="007D1B6E" w:rsidRPr="00F8585E" w:rsidRDefault="007D1B6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Корупція підриває економічну свободу, вносячи в економічні відносини невпевненість. Найбільше занепокоєння викликає системна корумпованість </w:t>
      </w:r>
      <w:r w:rsidRPr="00F8585E">
        <w:rPr>
          <w:rFonts w:ascii="Times New Roman" w:hAnsi="Times New Roman" w:cs="Times New Roman"/>
          <w:sz w:val="28"/>
          <w:szCs w:val="28"/>
          <w:lang w:val="uk-UA"/>
        </w:rPr>
        <w:lastRenderedPageBreak/>
        <w:t xml:space="preserve">державних інституцій та процесу прийняття рішень через такі практики, як хабарництво, вимагання, непотизм, кумівство, протекціонізм та розкрадання. Брак доброчесності уряду, спричинений такими практиками, знижує суспільну довіру та економічну життєздатність, збільшуючи витрати на економічну діяльність. Оцінка за цей компонент виводиться шляхом усереднення оцінок </w:t>
      </w:r>
      <w:r w:rsidR="00BA543B">
        <w:rPr>
          <w:rFonts w:ascii="Times New Roman" w:hAnsi="Times New Roman" w:cs="Times New Roman"/>
          <w:sz w:val="28"/>
          <w:szCs w:val="28"/>
          <w:lang w:val="uk-UA"/>
        </w:rPr>
        <w:t>за трьома однаково зваженими суб</w:t>
      </w:r>
      <w:r w:rsidRPr="00F8585E">
        <w:rPr>
          <w:rFonts w:ascii="Times New Roman" w:hAnsi="Times New Roman" w:cs="Times New Roman"/>
          <w:sz w:val="28"/>
          <w:szCs w:val="28"/>
          <w:lang w:val="uk-UA"/>
        </w:rPr>
        <w:t>факторами: сприйняття корупції, ризик хабарництва та контроль над корупцією, включаючи «захоплення» держави елітами та п</w:t>
      </w:r>
      <w:r w:rsidR="0017608D">
        <w:rPr>
          <w:rFonts w:ascii="Times New Roman" w:hAnsi="Times New Roman" w:cs="Times New Roman"/>
          <w:sz w:val="28"/>
          <w:szCs w:val="28"/>
          <w:lang w:val="uk-UA"/>
        </w:rPr>
        <w:t>риватними інтересами [1</w:t>
      </w:r>
      <w:r w:rsidR="0017608D" w:rsidRPr="0017608D">
        <w:rPr>
          <w:rFonts w:ascii="Times New Roman" w:hAnsi="Times New Roman" w:cs="Times New Roman"/>
          <w:sz w:val="28"/>
          <w:szCs w:val="28"/>
        </w:rPr>
        <w:t>8</w:t>
      </w:r>
      <w:r w:rsidRPr="00F8585E">
        <w:rPr>
          <w:rFonts w:ascii="Times New Roman" w:hAnsi="Times New Roman" w:cs="Times New Roman"/>
          <w:sz w:val="28"/>
          <w:szCs w:val="28"/>
          <w:lang w:val="uk-UA"/>
        </w:rPr>
        <w:t>].</w:t>
      </w:r>
    </w:p>
    <w:p w:rsidR="00B2062C" w:rsidRPr="00F8585E" w:rsidRDefault="006A03BD"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Б</w:t>
      </w:r>
      <w:r w:rsidR="007D1B6E" w:rsidRPr="00F8585E">
        <w:rPr>
          <w:rFonts w:ascii="Times New Roman" w:hAnsi="Times New Roman" w:cs="Times New Roman"/>
          <w:sz w:val="28"/>
          <w:szCs w:val="28"/>
          <w:lang w:val="uk-UA"/>
        </w:rPr>
        <w:t xml:space="preserve">ільш висока ймовірність корумпованості уряду збільшує спокусу громадськості експропріювати </w:t>
      </w:r>
      <w:r w:rsidRPr="00F8585E">
        <w:rPr>
          <w:rFonts w:ascii="Times New Roman" w:hAnsi="Times New Roman" w:cs="Times New Roman"/>
          <w:sz w:val="28"/>
          <w:szCs w:val="28"/>
          <w:lang w:val="uk-UA"/>
        </w:rPr>
        <w:t>прямі іноземні інвестиції</w:t>
      </w:r>
      <w:r w:rsidR="007D1B6E" w:rsidRPr="00F8585E">
        <w:rPr>
          <w:rFonts w:ascii="Times New Roman" w:hAnsi="Times New Roman" w:cs="Times New Roman"/>
          <w:sz w:val="28"/>
          <w:szCs w:val="28"/>
          <w:lang w:val="uk-UA"/>
        </w:rPr>
        <w:t>, збільшуючи ризик інвесторів</w:t>
      </w:r>
      <w:r w:rsidR="0017608D">
        <w:rPr>
          <w:rFonts w:ascii="Times New Roman" w:hAnsi="Times New Roman" w:cs="Times New Roman"/>
          <w:sz w:val="28"/>
          <w:szCs w:val="28"/>
          <w:lang w:val="uk-UA"/>
        </w:rPr>
        <w:t xml:space="preserve"> [</w:t>
      </w:r>
      <w:r w:rsidR="0017608D" w:rsidRPr="0017608D">
        <w:rPr>
          <w:rFonts w:ascii="Times New Roman" w:hAnsi="Times New Roman" w:cs="Times New Roman"/>
          <w:sz w:val="28"/>
          <w:szCs w:val="28"/>
          <w:lang w:val="uk-UA"/>
        </w:rPr>
        <w:t>20</w:t>
      </w:r>
      <w:r w:rsidRPr="00F8585E">
        <w:rPr>
          <w:rFonts w:ascii="Times New Roman" w:hAnsi="Times New Roman" w:cs="Times New Roman"/>
          <w:sz w:val="28"/>
          <w:szCs w:val="28"/>
          <w:lang w:val="uk-UA"/>
        </w:rPr>
        <w:t>]</w:t>
      </w:r>
      <w:r w:rsidR="007D1B6E" w:rsidRPr="00F8585E">
        <w:rPr>
          <w:rFonts w:ascii="Times New Roman" w:hAnsi="Times New Roman" w:cs="Times New Roman"/>
          <w:sz w:val="28"/>
          <w:szCs w:val="28"/>
          <w:lang w:val="uk-UA"/>
        </w:rPr>
        <w:t xml:space="preserve">. </w:t>
      </w:r>
    </w:p>
    <w:p w:rsidR="00FF4FFA"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«Ефективність судової системи» Індексу економічної свободи 2024 за регіонами світу представлені нижче на рис. 2.4.</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1C8134E8" wp14:editId="23D75E75">
            <wp:extent cx="6041571" cy="2231571"/>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2.4. Значення складової «Ефективність судової системи»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B2062C" w:rsidRPr="00F8585E" w:rsidRDefault="006A351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 </w:t>
      </w:r>
    </w:p>
    <w:p w:rsidR="006A3512" w:rsidRPr="00F8585E" w:rsidRDefault="006A351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«Ефективність судової системи» Індексу економічної свободи 2024 має Північна Америка зі значенням 85,7, надалі слідує Європа зі значенням 68,9, далі Латинська Америка зі значенням 51,3, Азіатсько-Тихоокеанський регіон </w:t>
      </w:r>
      <w:r w:rsidR="005948D7"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47,1, Субсахарна Африка ‒ 34,5, а Близький Схід/Північна Африка ‒ 30,8 (див. рис. 2.4).</w:t>
      </w:r>
    </w:p>
    <w:p w:rsidR="006A03BD" w:rsidRPr="00F8585E" w:rsidRDefault="006A03BD"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 xml:space="preserve">Належне функціонування правової бази має важливе значення для захисту прав усіх громадян від незаконних дій з боку інших осіб, у тому числі урядів та впливових приватних осіб. Ефективність судової системи вимагає ефективної та справедливої судової системи для забезпечення повного дотримання законів та вжиття відповідних правових заходів у разі їх порушення. Оцінка за компонент ефективності судової системи виводиться шляхом усереднення оцінок </w:t>
      </w:r>
      <w:r w:rsidR="000E6719">
        <w:rPr>
          <w:rFonts w:ascii="Times New Roman" w:hAnsi="Times New Roman" w:cs="Times New Roman"/>
          <w:sz w:val="28"/>
          <w:szCs w:val="28"/>
          <w:lang w:val="uk-UA"/>
        </w:rPr>
        <w:t xml:space="preserve">за трьома однаково </w:t>
      </w:r>
      <w:r w:rsidR="000E6719" w:rsidRPr="00BA543B">
        <w:rPr>
          <w:rFonts w:ascii="Times New Roman" w:hAnsi="Times New Roman" w:cs="Times New Roman"/>
          <w:sz w:val="28"/>
          <w:szCs w:val="28"/>
          <w:lang w:val="uk-UA"/>
        </w:rPr>
        <w:t>зваженими суб</w:t>
      </w:r>
      <w:r w:rsidRPr="00BA543B">
        <w:rPr>
          <w:rFonts w:ascii="Times New Roman" w:hAnsi="Times New Roman" w:cs="Times New Roman"/>
          <w:sz w:val="28"/>
          <w:szCs w:val="28"/>
          <w:lang w:val="uk-UA"/>
        </w:rPr>
        <w:t>факторами:</w:t>
      </w:r>
      <w:r w:rsidRPr="00F8585E">
        <w:rPr>
          <w:rFonts w:ascii="Times New Roman" w:hAnsi="Times New Roman" w:cs="Times New Roman"/>
          <w:sz w:val="28"/>
          <w:szCs w:val="28"/>
          <w:lang w:val="uk-UA"/>
        </w:rPr>
        <w:t xml:space="preserve"> незалежність судової влади, якість судового процесу та сприйняття якості державних послуг та н</w:t>
      </w:r>
      <w:r w:rsidR="0017608D">
        <w:rPr>
          <w:rFonts w:ascii="Times New Roman" w:hAnsi="Times New Roman" w:cs="Times New Roman"/>
          <w:sz w:val="28"/>
          <w:szCs w:val="28"/>
          <w:lang w:val="uk-UA"/>
        </w:rPr>
        <w:t>езалежності державної служби [1</w:t>
      </w:r>
      <w:r w:rsidR="0017608D" w:rsidRPr="0017608D">
        <w:rPr>
          <w:rFonts w:ascii="Times New Roman" w:hAnsi="Times New Roman" w:cs="Times New Roman"/>
          <w:sz w:val="28"/>
          <w:szCs w:val="28"/>
        </w:rPr>
        <w:t>8</w:t>
      </w:r>
      <w:r w:rsidRPr="00F8585E">
        <w:rPr>
          <w:rFonts w:ascii="Times New Roman" w:hAnsi="Times New Roman" w:cs="Times New Roman"/>
          <w:sz w:val="28"/>
          <w:szCs w:val="28"/>
          <w:lang w:val="uk-UA"/>
        </w:rPr>
        <w:t>].</w:t>
      </w:r>
    </w:p>
    <w:p w:rsidR="00A876B3" w:rsidRPr="00F8585E" w:rsidRDefault="006A03BD"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Не</w:t>
      </w:r>
      <w:r w:rsidR="000E6719">
        <w:rPr>
          <w:rFonts w:ascii="Times New Roman" w:hAnsi="Times New Roman" w:cs="Times New Roman"/>
          <w:sz w:val="28"/>
          <w:szCs w:val="28"/>
          <w:lang w:val="uk-UA"/>
        </w:rPr>
        <w:t>е</w:t>
      </w:r>
      <w:r w:rsidRPr="00F8585E">
        <w:rPr>
          <w:rFonts w:ascii="Times New Roman" w:hAnsi="Times New Roman" w:cs="Times New Roman"/>
          <w:sz w:val="28"/>
          <w:szCs w:val="28"/>
          <w:lang w:val="uk-UA"/>
        </w:rPr>
        <w:t>фективність судової системи є однією з ключових перешкод для іноземних інвестицій</w:t>
      </w:r>
      <w:r w:rsidR="0017608D">
        <w:rPr>
          <w:rFonts w:ascii="Times New Roman" w:hAnsi="Times New Roman" w:cs="Times New Roman"/>
          <w:sz w:val="28"/>
          <w:szCs w:val="28"/>
          <w:lang w:val="uk-UA"/>
        </w:rPr>
        <w:t xml:space="preserve"> [</w:t>
      </w:r>
      <w:r w:rsidR="0017608D" w:rsidRPr="0017608D">
        <w:rPr>
          <w:rFonts w:ascii="Times New Roman" w:hAnsi="Times New Roman" w:cs="Times New Roman"/>
          <w:sz w:val="28"/>
          <w:szCs w:val="28"/>
          <w:lang w:val="uk-UA"/>
        </w:rPr>
        <w:t>21</w:t>
      </w:r>
      <w:r w:rsidRPr="00F8585E">
        <w:rPr>
          <w:rFonts w:ascii="Times New Roman" w:hAnsi="Times New Roman" w:cs="Times New Roman"/>
          <w:sz w:val="28"/>
          <w:szCs w:val="28"/>
          <w:lang w:val="uk-UA"/>
        </w:rPr>
        <w:t>].</w:t>
      </w:r>
    </w:p>
    <w:p w:rsidR="00992231" w:rsidRPr="00F8585E" w:rsidRDefault="006A03BD"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992231" w:rsidRPr="00F8585E">
        <w:rPr>
          <w:rFonts w:ascii="Times New Roman" w:hAnsi="Times New Roman" w:cs="Times New Roman"/>
          <w:sz w:val="28"/>
          <w:szCs w:val="28"/>
          <w:lang w:val="uk-UA"/>
        </w:rPr>
        <w:t>Значення складової «Податкове навантаження» Індексу економічної свободи 2024 за регіонами світу представлені нижче на рис. 2.5.</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184F6E7F" wp14:editId="3A4EB642">
            <wp:extent cx="6041571" cy="2231571"/>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2.5. Значення складової «Податкове навантаження»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6A03BD" w:rsidRPr="00F8585E" w:rsidRDefault="006A03BD" w:rsidP="00836606">
      <w:pPr>
        <w:spacing w:after="0" w:line="360" w:lineRule="auto"/>
        <w:jc w:val="both"/>
        <w:rPr>
          <w:rFonts w:ascii="Times New Roman" w:hAnsi="Times New Roman" w:cs="Times New Roman"/>
          <w:sz w:val="28"/>
          <w:szCs w:val="28"/>
          <w:lang w:val="uk-UA"/>
        </w:rPr>
      </w:pPr>
    </w:p>
    <w:p w:rsidR="006A3512" w:rsidRPr="00F8585E" w:rsidRDefault="006A3512"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«Податкове навантаження» Індексу економічної свободи 2024 має </w:t>
      </w:r>
      <w:r w:rsidR="00D26747" w:rsidRPr="00F8585E">
        <w:rPr>
          <w:rFonts w:ascii="Times New Roman" w:hAnsi="Times New Roman" w:cs="Times New Roman"/>
          <w:sz w:val="28"/>
          <w:szCs w:val="28"/>
          <w:lang w:val="uk-UA"/>
        </w:rPr>
        <w:t xml:space="preserve">Близький Схід/Північна Африка </w:t>
      </w:r>
      <w:r w:rsidRPr="00F8585E">
        <w:rPr>
          <w:rFonts w:ascii="Times New Roman" w:hAnsi="Times New Roman" w:cs="Times New Roman"/>
          <w:sz w:val="28"/>
          <w:szCs w:val="28"/>
          <w:lang w:val="uk-UA"/>
        </w:rPr>
        <w:t xml:space="preserve">зі значенням 87,3, надалі слідує Азіатсько-Тихоокеанський регіон зі значенням 80,2, далі </w:t>
      </w:r>
      <w:r w:rsidR="00D26747" w:rsidRPr="00F8585E">
        <w:rPr>
          <w:rFonts w:ascii="Times New Roman" w:hAnsi="Times New Roman" w:cs="Times New Roman"/>
          <w:sz w:val="28"/>
          <w:szCs w:val="28"/>
          <w:lang w:val="uk-UA"/>
        </w:rPr>
        <w:t xml:space="preserve">Субсахарна Африка зі значенням 78,0 та Латинська </w:t>
      </w:r>
      <w:r w:rsidR="00D26747" w:rsidRPr="00F8585E">
        <w:rPr>
          <w:rFonts w:ascii="Times New Roman" w:hAnsi="Times New Roman" w:cs="Times New Roman"/>
          <w:sz w:val="28"/>
          <w:szCs w:val="28"/>
          <w:lang w:val="uk-UA"/>
        </w:rPr>
        <w:lastRenderedPageBreak/>
        <w:t xml:space="preserve">Америка з однаковими </w:t>
      </w:r>
      <w:r w:rsidRPr="00F8585E">
        <w:rPr>
          <w:rFonts w:ascii="Times New Roman" w:hAnsi="Times New Roman" w:cs="Times New Roman"/>
          <w:sz w:val="28"/>
          <w:szCs w:val="28"/>
          <w:lang w:val="uk-UA"/>
        </w:rPr>
        <w:t>значенням</w:t>
      </w:r>
      <w:r w:rsidR="00D26747" w:rsidRPr="00F8585E">
        <w:rPr>
          <w:rFonts w:ascii="Times New Roman" w:hAnsi="Times New Roman" w:cs="Times New Roman"/>
          <w:sz w:val="28"/>
          <w:szCs w:val="28"/>
          <w:lang w:val="uk-UA"/>
        </w:rPr>
        <w:t>и</w:t>
      </w:r>
      <w:r w:rsidRPr="00F8585E">
        <w:rPr>
          <w:rFonts w:ascii="Times New Roman" w:hAnsi="Times New Roman" w:cs="Times New Roman"/>
          <w:sz w:val="28"/>
          <w:szCs w:val="28"/>
          <w:lang w:val="uk-UA"/>
        </w:rPr>
        <w:t xml:space="preserve">  </w:t>
      </w:r>
      <w:r w:rsidR="00D26747" w:rsidRPr="00F8585E">
        <w:rPr>
          <w:rFonts w:ascii="Times New Roman" w:hAnsi="Times New Roman" w:cs="Times New Roman"/>
          <w:sz w:val="28"/>
          <w:szCs w:val="28"/>
          <w:lang w:val="uk-UA"/>
        </w:rPr>
        <w:t>78,0</w:t>
      </w:r>
      <w:r w:rsidRPr="00F8585E">
        <w:rPr>
          <w:rFonts w:ascii="Times New Roman" w:hAnsi="Times New Roman" w:cs="Times New Roman"/>
          <w:sz w:val="28"/>
          <w:szCs w:val="28"/>
          <w:lang w:val="uk-UA"/>
        </w:rPr>
        <w:t xml:space="preserve">, </w:t>
      </w:r>
      <w:r w:rsidR="00D26747" w:rsidRPr="00F8585E">
        <w:rPr>
          <w:rFonts w:ascii="Times New Roman" w:hAnsi="Times New Roman" w:cs="Times New Roman"/>
          <w:sz w:val="28"/>
          <w:szCs w:val="28"/>
          <w:lang w:val="uk-UA"/>
        </w:rPr>
        <w:t xml:space="preserve"> Північна Америка</w:t>
      </w:r>
      <w:r w:rsidRPr="00F8585E">
        <w:rPr>
          <w:rFonts w:ascii="Times New Roman" w:hAnsi="Times New Roman" w:cs="Times New Roman"/>
          <w:sz w:val="28"/>
          <w:szCs w:val="28"/>
          <w:lang w:val="uk-UA"/>
        </w:rPr>
        <w:t xml:space="preserve"> ‒</w:t>
      </w:r>
      <w:r w:rsidR="00D26747" w:rsidRPr="00F8585E">
        <w:rPr>
          <w:rFonts w:ascii="Times New Roman" w:hAnsi="Times New Roman" w:cs="Times New Roman"/>
          <w:sz w:val="28"/>
          <w:szCs w:val="28"/>
          <w:lang w:val="uk-UA"/>
        </w:rPr>
        <w:t xml:space="preserve"> 75,3, а Європа  ‒  73,7 (див. рис. 2.5</w:t>
      </w:r>
      <w:r w:rsidRPr="00F8585E">
        <w:rPr>
          <w:rFonts w:ascii="Times New Roman" w:hAnsi="Times New Roman" w:cs="Times New Roman"/>
          <w:sz w:val="28"/>
          <w:szCs w:val="28"/>
          <w:lang w:val="uk-UA"/>
        </w:rPr>
        <w:t>).</w:t>
      </w:r>
      <w:r w:rsidR="00D26747" w:rsidRPr="00F8585E">
        <w:rPr>
          <w:rFonts w:ascii="Times New Roman" w:hAnsi="Times New Roman" w:cs="Times New Roman"/>
          <w:sz w:val="28"/>
          <w:szCs w:val="28"/>
          <w:lang w:val="uk-UA"/>
        </w:rPr>
        <w:t xml:space="preserve"> </w:t>
      </w:r>
    </w:p>
    <w:p w:rsidR="006A03BD" w:rsidRPr="00F8585E" w:rsidRDefault="006A03BD"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Податкове навантаження - це комплексний показник, який відображає граничні ставки податків на доходи фізичних та юридичних осіб, а також загальний рівень оподаткування (включаючи прямі та непрямі податки, що стягуються на всіх рівнях влади) у відсотках від валового внутрішнього продукту. Оцінка компонента</w:t>
      </w:r>
      <w:r w:rsidR="000E6719">
        <w:rPr>
          <w:rFonts w:ascii="Times New Roman" w:hAnsi="Times New Roman" w:cs="Times New Roman"/>
          <w:sz w:val="28"/>
          <w:szCs w:val="28"/>
          <w:lang w:val="uk-UA"/>
        </w:rPr>
        <w:t xml:space="preserve"> виводиться з трьох кількісних </w:t>
      </w:r>
      <w:r w:rsidR="000E6719" w:rsidRPr="00BA543B">
        <w:rPr>
          <w:rFonts w:ascii="Times New Roman" w:hAnsi="Times New Roman" w:cs="Times New Roman"/>
          <w:sz w:val="28"/>
          <w:szCs w:val="28"/>
          <w:lang w:val="uk-UA"/>
        </w:rPr>
        <w:t>суб</w:t>
      </w:r>
      <w:r w:rsidRPr="00BA543B">
        <w:rPr>
          <w:rFonts w:ascii="Times New Roman" w:hAnsi="Times New Roman" w:cs="Times New Roman"/>
          <w:sz w:val="28"/>
          <w:szCs w:val="28"/>
          <w:lang w:val="uk-UA"/>
        </w:rPr>
        <w:t>факторів:</w:t>
      </w:r>
      <w:r w:rsidRPr="00F8585E">
        <w:rPr>
          <w:rFonts w:ascii="Times New Roman" w:hAnsi="Times New Roman" w:cs="Times New Roman"/>
          <w:sz w:val="28"/>
          <w:szCs w:val="28"/>
          <w:lang w:val="uk-UA"/>
        </w:rPr>
        <w:t xml:space="preserve"> максимальна гранична ставка податку на доходи фізичних осіб, максимальна гранична ставка податку на прибуток підприємств та загальне податкове нава</w:t>
      </w:r>
      <w:r w:rsidR="0017608D">
        <w:rPr>
          <w:rFonts w:ascii="Times New Roman" w:hAnsi="Times New Roman" w:cs="Times New Roman"/>
          <w:sz w:val="28"/>
          <w:szCs w:val="28"/>
          <w:lang w:val="uk-UA"/>
        </w:rPr>
        <w:t>нтаження у відсотках від ВВП [1</w:t>
      </w:r>
      <w:r w:rsidR="0017608D" w:rsidRPr="0017608D">
        <w:rPr>
          <w:rFonts w:ascii="Times New Roman" w:hAnsi="Times New Roman" w:cs="Times New Roman"/>
          <w:sz w:val="28"/>
          <w:szCs w:val="28"/>
        </w:rPr>
        <w:t>8</w:t>
      </w:r>
      <w:r w:rsidRPr="00F8585E">
        <w:rPr>
          <w:rFonts w:ascii="Times New Roman" w:hAnsi="Times New Roman" w:cs="Times New Roman"/>
          <w:sz w:val="28"/>
          <w:szCs w:val="28"/>
          <w:lang w:val="uk-UA"/>
        </w:rPr>
        <w:t>].</w:t>
      </w:r>
    </w:p>
    <w:p w:rsidR="00992231"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Високе податкове навантаження та відсутність податкових пільг (</w:t>
      </w:r>
      <w:r w:rsidR="006A03BD" w:rsidRPr="00F8585E">
        <w:rPr>
          <w:rFonts w:ascii="Times New Roman" w:hAnsi="Times New Roman" w:cs="Times New Roman"/>
          <w:sz w:val="28"/>
          <w:szCs w:val="28"/>
          <w:lang w:val="uk-UA"/>
        </w:rPr>
        <w:t>що також призводить до неспроможності підприємств ефективно здійснювати інноваційну діяльність шляхом уповільнення процесу пр</w:t>
      </w:r>
      <w:r w:rsidRPr="00F8585E">
        <w:rPr>
          <w:rFonts w:ascii="Times New Roman" w:hAnsi="Times New Roman" w:cs="Times New Roman"/>
          <w:sz w:val="28"/>
          <w:szCs w:val="28"/>
          <w:lang w:val="uk-UA"/>
        </w:rPr>
        <w:t>идбання нових основних засобів) уповільнюють темпи реалі</w:t>
      </w:r>
      <w:r w:rsidR="0017608D">
        <w:rPr>
          <w:rFonts w:ascii="Times New Roman" w:hAnsi="Times New Roman" w:cs="Times New Roman"/>
          <w:sz w:val="28"/>
          <w:szCs w:val="28"/>
          <w:lang w:val="uk-UA"/>
        </w:rPr>
        <w:t>зації інвестиційних проектів [</w:t>
      </w:r>
      <w:r w:rsidR="0017608D" w:rsidRPr="0017608D">
        <w:rPr>
          <w:rFonts w:ascii="Times New Roman" w:hAnsi="Times New Roman" w:cs="Times New Roman"/>
          <w:sz w:val="28"/>
          <w:szCs w:val="28"/>
          <w:lang w:val="uk-UA"/>
        </w:rPr>
        <w:t>21</w:t>
      </w:r>
      <w:r w:rsidRPr="00F8585E">
        <w:rPr>
          <w:rFonts w:ascii="Times New Roman" w:hAnsi="Times New Roman" w:cs="Times New Roman"/>
          <w:sz w:val="28"/>
          <w:szCs w:val="28"/>
          <w:lang w:val="uk-UA"/>
        </w:rPr>
        <w:t>].</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«Державні витрати» Індексу економічної свободи 2024 за регіонами світу представлені нижче на рис. 2.6.</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78B2DDB0" wp14:editId="00EF8F5E">
            <wp:extent cx="6041390" cy="223139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2.6. Значення складової «Державні витрати»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B81FEA" w:rsidRPr="00F8585E" w:rsidRDefault="00B81FEA" w:rsidP="00836606">
      <w:pPr>
        <w:spacing w:after="0" w:line="360" w:lineRule="auto"/>
        <w:jc w:val="both"/>
        <w:rPr>
          <w:rFonts w:ascii="Times New Roman" w:hAnsi="Times New Roman" w:cs="Times New Roman"/>
          <w:sz w:val="28"/>
          <w:szCs w:val="28"/>
          <w:lang w:val="uk-UA"/>
        </w:rPr>
      </w:pPr>
    </w:p>
    <w:p w:rsidR="00D26747"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D26747" w:rsidRPr="00F8585E">
        <w:rPr>
          <w:rFonts w:ascii="Times New Roman" w:hAnsi="Times New Roman" w:cs="Times New Roman"/>
          <w:sz w:val="28"/>
          <w:szCs w:val="28"/>
          <w:lang w:val="uk-UA"/>
        </w:rPr>
        <w:t xml:space="preserve">За останніми даними найвище значення складової «Державні витрати» Індексу економічної свободи 2024 має Субсахарна Африка зі значенням 79,9, </w:t>
      </w:r>
      <w:r w:rsidR="00D26747" w:rsidRPr="00F8585E">
        <w:rPr>
          <w:rFonts w:ascii="Times New Roman" w:hAnsi="Times New Roman" w:cs="Times New Roman"/>
          <w:sz w:val="28"/>
          <w:szCs w:val="28"/>
          <w:lang w:val="uk-UA"/>
        </w:rPr>
        <w:lastRenderedPageBreak/>
        <w:t>надалі слідує Латинська Америка зі значенням 69,2, далі Близький Схід/Північна Африка зі значенням 66,9, Азіатсько-Тихоокеанський регіон зі значенням  66,5, Північна Америка ‒ 41,7, а Європа ‒ 41,4 (див. рис. 2.6).</w:t>
      </w:r>
    </w:p>
    <w:p w:rsidR="00A876B3" w:rsidRPr="00F8585E" w:rsidRDefault="00D26747"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A876B3" w:rsidRPr="00F8585E">
        <w:rPr>
          <w:rFonts w:ascii="Times New Roman" w:hAnsi="Times New Roman" w:cs="Times New Roman"/>
          <w:sz w:val="28"/>
          <w:szCs w:val="28"/>
          <w:lang w:val="uk-UA"/>
        </w:rPr>
        <w:t>Компонент державних видатків відображає тягар, який накладають державні видатки, що включає споживання держави та всі трансфертні платежі, пов'язані з різноманітними програмами виплат. Як показують численні дослідження, надмірні державні видатки, що спричиняють хронічний бюджетний дефіцит та накопичення державного боргу, є одним з найсерйозніших гальмівних факторів економічного динамізму.</w:t>
      </w:r>
    </w:p>
    <w:p w:rsidR="00992231"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Важливо зазначити, що методологія Індексу розглядає нульові державні витрати як еталон. Як наслідок, слаборозвинені країни - особливо ті, що мають слабку державну владу - можуть отримати штучно високі бали. Однак такі уряди можуть надавати мало суспільних благ, якщо взагалі надають їх, і, ймовірно, отримають низькі бали за деякими іншими компонентами економічної свободи (такими як права власності, фінансова свобода та інвестиційна свобода), які вимірюють різн</w:t>
      </w:r>
      <w:r w:rsidR="0017608D">
        <w:rPr>
          <w:rFonts w:ascii="Times New Roman" w:hAnsi="Times New Roman" w:cs="Times New Roman"/>
          <w:sz w:val="28"/>
          <w:szCs w:val="28"/>
          <w:lang w:val="uk-UA"/>
        </w:rPr>
        <w:t>і аспекти ефективності уряду [1</w:t>
      </w:r>
      <w:r w:rsidR="0017608D" w:rsidRPr="0017608D">
        <w:rPr>
          <w:rFonts w:ascii="Times New Roman" w:hAnsi="Times New Roman" w:cs="Times New Roman"/>
          <w:sz w:val="28"/>
          <w:szCs w:val="28"/>
          <w:lang w:val="uk-UA"/>
        </w:rPr>
        <w:t>8</w:t>
      </w:r>
      <w:r w:rsidRPr="00F8585E">
        <w:rPr>
          <w:rFonts w:ascii="Times New Roman" w:hAnsi="Times New Roman" w:cs="Times New Roman"/>
          <w:sz w:val="28"/>
          <w:szCs w:val="28"/>
          <w:lang w:val="uk-UA"/>
        </w:rPr>
        <w:t>].</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«Фіскальне здоров'я» Індексу економічної свободи 2024 за регіонами світу представлені нижче на рис. 2.7.</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015BC851" wp14:editId="392083A0">
            <wp:extent cx="6041390" cy="223139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2.7. Значення складової «Фіскальне здоров'я»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992231" w:rsidRPr="00F8585E" w:rsidRDefault="00992231" w:rsidP="00836606">
      <w:pPr>
        <w:spacing w:after="0" w:line="360" w:lineRule="auto"/>
        <w:jc w:val="both"/>
        <w:rPr>
          <w:rFonts w:ascii="Times New Roman" w:hAnsi="Times New Roman" w:cs="Times New Roman"/>
          <w:sz w:val="28"/>
          <w:szCs w:val="28"/>
          <w:lang w:val="uk-UA"/>
        </w:rPr>
      </w:pPr>
    </w:p>
    <w:p w:rsidR="00D26747" w:rsidRPr="00F8585E" w:rsidRDefault="00D26747"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За останніми даними найвище значення складової «Фіскальне здоров'я» Індексу економічної свободи 2024 має Європа зі значенням 60,0, надалі слідує Азіатсько-Тихоокеанський регіон зі значенням 52,7, далі Субсахарна Африка зі значенням 50,9, Близький Схід/Північна Африка зі значенням  50,2, Латинська Америка ‒ 45,3, а Північна Америка ‒ 17,0 (через 0 значення у США) (див. рис. 2.7).</w:t>
      </w:r>
    </w:p>
    <w:p w:rsidR="00A876B3"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Збільшення дефіциту та зростання боргового навантаження, які є наслідком неефективного управління державним бюджетом, призводять до погіршення загального фіскального здоров'я країни, а погіршення фіскального здоров'я пов'язане з макроекономічною нестабільністю та економічною невизначеністю.</w:t>
      </w:r>
    </w:p>
    <w:p w:rsidR="00A876B3"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Теоретично, боргове фінансування державних видатків може сприяти продуктивним інвестиціям і, зрештою, економічному зростанню. Однак зростання державного боргу, спричинене постійним бюджетним дефіцитом, а особливо видатками, які лише збільшують державне споживання або трансфертні платежі, часто підриває загальне зростання продуктивності і призводить до економічної стагнації, а не зростання.</w:t>
      </w:r>
    </w:p>
    <w:p w:rsidR="00A876B3"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Оцінка за фіскальний компонент охорон</w:t>
      </w:r>
      <w:r w:rsidR="00BA543B">
        <w:rPr>
          <w:rFonts w:ascii="Times New Roman" w:hAnsi="Times New Roman" w:cs="Times New Roman"/>
          <w:sz w:val="28"/>
          <w:szCs w:val="28"/>
          <w:lang w:val="uk-UA"/>
        </w:rPr>
        <w:t>и здоров'я базується на двох суб</w:t>
      </w:r>
      <w:r w:rsidRPr="00F8585E">
        <w:rPr>
          <w:rFonts w:ascii="Times New Roman" w:hAnsi="Times New Roman" w:cs="Times New Roman"/>
          <w:sz w:val="28"/>
          <w:szCs w:val="28"/>
          <w:lang w:val="uk-UA"/>
        </w:rPr>
        <w:t>факторах: cередній дефіцит у відсотках від ВВП за останні три роки та</w:t>
      </w:r>
      <w:r w:rsidR="00D26747"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 xml:space="preserve">борг у відсотках до ВВП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Pr="00F8585E">
        <w:rPr>
          <w:rFonts w:ascii="Times New Roman" w:hAnsi="Times New Roman" w:cs="Times New Roman"/>
          <w:sz w:val="28"/>
          <w:szCs w:val="28"/>
          <w:lang w:val="uk-UA"/>
        </w:rPr>
        <w:t>].</w:t>
      </w:r>
    </w:p>
    <w:p w:rsidR="004A4768"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Наразі у</w:t>
      </w:r>
      <w:r w:rsidR="004A4768" w:rsidRPr="00F8585E">
        <w:rPr>
          <w:rFonts w:ascii="Times New Roman" w:hAnsi="Times New Roman" w:cs="Times New Roman"/>
          <w:sz w:val="28"/>
          <w:szCs w:val="28"/>
          <w:lang w:val="uk-UA"/>
        </w:rPr>
        <w:t xml:space="preserve"> всьому світі фіскальна надійність значно погіршилася. Зростання дефіциту і зростання державного боргу в багатьох країнах підірвали і, ймовірно, ще більше підірве їх загальне зростання продуктивності і в кінцевому підсумку призведе до економічної млявості, а не динамічного зростання.</w:t>
      </w:r>
    </w:p>
    <w:p w:rsidR="00992231" w:rsidRPr="00F8585E" w:rsidRDefault="00A876B3"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4A4768" w:rsidRPr="00F8585E">
        <w:rPr>
          <w:rFonts w:ascii="Times New Roman" w:hAnsi="Times New Roman" w:cs="Times New Roman"/>
          <w:sz w:val="28"/>
          <w:szCs w:val="28"/>
          <w:lang w:val="uk-UA"/>
        </w:rPr>
        <w:t xml:space="preserve">Особливо помітним є продовження зниження в «переважно вільній» категорії Сполучених Штатів, чий показник впав до 70,1, найнижчого рівня за всю 30-річну історію Індексу. США зараз є 25-ю вільною економікою світу. Основним причинним фактором ерозії економічної свободи Америки є надмірні державні витрати, що призвело до зростання дефіциту і боргового тягаря </w:t>
      </w:r>
      <w:r w:rsidR="0017608D">
        <w:rPr>
          <w:rFonts w:ascii="Times New Roman" w:hAnsi="Times New Roman" w:cs="Times New Roman"/>
          <w:sz w:val="28"/>
          <w:szCs w:val="28"/>
          <w:lang w:val="uk-UA"/>
        </w:rPr>
        <w:t>[1</w:t>
      </w:r>
      <w:r w:rsidR="0017608D" w:rsidRPr="00872460">
        <w:rPr>
          <w:rFonts w:ascii="Times New Roman" w:hAnsi="Times New Roman" w:cs="Times New Roman"/>
          <w:sz w:val="28"/>
          <w:szCs w:val="28"/>
          <w:lang w:val="uk-UA"/>
        </w:rPr>
        <w:t>6</w:t>
      </w:r>
      <w:r w:rsidR="004A4768" w:rsidRPr="00F8585E">
        <w:rPr>
          <w:rFonts w:ascii="Times New Roman" w:hAnsi="Times New Roman" w:cs="Times New Roman"/>
          <w:sz w:val="28"/>
          <w:szCs w:val="28"/>
          <w:lang w:val="uk-UA"/>
        </w:rPr>
        <w:t>]</w:t>
      </w:r>
      <w:r w:rsidR="00D26747" w:rsidRPr="00F8585E">
        <w:rPr>
          <w:rFonts w:ascii="Times New Roman" w:hAnsi="Times New Roman" w:cs="Times New Roman"/>
          <w:sz w:val="28"/>
          <w:szCs w:val="28"/>
          <w:lang w:val="uk-UA"/>
        </w:rPr>
        <w:t>.</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Значення складової «</w:t>
      </w:r>
      <w:r w:rsidR="004C3989" w:rsidRPr="00F8585E">
        <w:rPr>
          <w:rFonts w:ascii="Times New Roman" w:hAnsi="Times New Roman" w:cs="Times New Roman"/>
          <w:sz w:val="28"/>
          <w:szCs w:val="28"/>
          <w:lang w:val="uk-UA"/>
        </w:rPr>
        <w:t>Свобода бізнесу</w:t>
      </w:r>
      <w:r w:rsidRPr="00F8585E">
        <w:rPr>
          <w:rFonts w:ascii="Times New Roman" w:hAnsi="Times New Roman" w:cs="Times New Roman"/>
          <w:sz w:val="28"/>
          <w:szCs w:val="28"/>
          <w:lang w:val="uk-UA"/>
        </w:rPr>
        <w:t>» Індексу економічної свободи 2024 за регіонами світу представлені нижче на рис. 2.8.</w:t>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2F6658F1" wp14:editId="046EEF8B">
            <wp:extent cx="6041390" cy="223139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92231" w:rsidRPr="00F8585E" w:rsidRDefault="00992231"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Рис. 2.8. Значення складової «</w:t>
      </w:r>
      <w:r w:rsidR="004C3989" w:rsidRPr="00F8585E">
        <w:rPr>
          <w:rFonts w:ascii="Times New Roman" w:hAnsi="Times New Roman" w:cs="Times New Roman"/>
          <w:sz w:val="28"/>
          <w:szCs w:val="28"/>
          <w:lang w:val="uk-UA"/>
        </w:rPr>
        <w:t>Свобода бізнесу</w:t>
      </w:r>
      <w:r w:rsidRPr="00F8585E">
        <w:rPr>
          <w:rFonts w:ascii="Times New Roman" w:hAnsi="Times New Roman" w:cs="Times New Roman"/>
          <w:sz w:val="28"/>
          <w:szCs w:val="28"/>
          <w:lang w:val="uk-UA"/>
        </w:rPr>
        <w:t xml:space="preserve">»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D26747" w:rsidRPr="00F8585E" w:rsidRDefault="00D26747" w:rsidP="00836606">
      <w:pPr>
        <w:shd w:val="clear" w:color="auto" w:fill="FFFFFF"/>
        <w:spacing w:after="0" w:line="240" w:lineRule="auto"/>
        <w:rPr>
          <w:rFonts w:ascii="Times New Roman" w:hAnsi="Times New Roman" w:cs="Times New Roman"/>
          <w:sz w:val="28"/>
          <w:szCs w:val="28"/>
          <w:lang w:val="uk-UA"/>
        </w:rPr>
      </w:pPr>
    </w:p>
    <w:p w:rsidR="00D26747" w:rsidRPr="00F8585E" w:rsidRDefault="00D26747"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«Свобода бізнесу» Індексу економічної свободи 2024 має Північна Америка зі значенням </w:t>
      </w:r>
      <w:r w:rsidR="00B30FAA" w:rsidRPr="00F8585E">
        <w:rPr>
          <w:rFonts w:ascii="Times New Roman" w:hAnsi="Times New Roman" w:cs="Times New Roman"/>
          <w:sz w:val="28"/>
          <w:szCs w:val="28"/>
          <w:lang w:val="uk-UA"/>
        </w:rPr>
        <w:t>84,5</w:t>
      </w:r>
      <w:r w:rsidRPr="00F8585E">
        <w:rPr>
          <w:rFonts w:ascii="Times New Roman" w:hAnsi="Times New Roman" w:cs="Times New Roman"/>
          <w:sz w:val="28"/>
          <w:szCs w:val="28"/>
          <w:lang w:val="uk-UA"/>
        </w:rPr>
        <w:t xml:space="preserve">, надалі слідує Європа зі значенням </w:t>
      </w:r>
      <w:r w:rsidR="00B30FAA" w:rsidRPr="00F8585E">
        <w:rPr>
          <w:rFonts w:ascii="Times New Roman" w:hAnsi="Times New Roman" w:cs="Times New Roman"/>
          <w:sz w:val="28"/>
          <w:szCs w:val="28"/>
          <w:lang w:val="uk-UA"/>
        </w:rPr>
        <w:t>77,4</w:t>
      </w:r>
      <w:r w:rsidRPr="00F8585E">
        <w:rPr>
          <w:rFonts w:ascii="Times New Roman" w:hAnsi="Times New Roman" w:cs="Times New Roman"/>
          <w:sz w:val="28"/>
          <w:szCs w:val="28"/>
          <w:lang w:val="uk-UA"/>
        </w:rPr>
        <w:t xml:space="preserve">, далі Латинська Америка зі значенням </w:t>
      </w:r>
      <w:r w:rsidR="00B30FAA" w:rsidRPr="00F8585E">
        <w:rPr>
          <w:rFonts w:ascii="Times New Roman" w:hAnsi="Times New Roman" w:cs="Times New Roman"/>
          <w:sz w:val="28"/>
          <w:szCs w:val="28"/>
          <w:lang w:val="uk-UA"/>
        </w:rPr>
        <w:t>64,6</w:t>
      </w:r>
      <w:r w:rsidRPr="00F8585E">
        <w:rPr>
          <w:rFonts w:ascii="Times New Roman" w:hAnsi="Times New Roman" w:cs="Times New Roman"/>
          <w:sz w:val="28"/>
          <w:szCs w:val="28"/>
          <w:lang w:val="uk-UA"/>
        </w:rPr>
        <w:t xml:space="preserve">, Азіатсько-Тихоокеанський регіон зі значенням  </w:t>
      </w:r>
      <w:r w:rsidR="00B30FAA" w:rsidRPr="00F8585E">
        <w:rPr>
          <w:rFonts w:ascii="Times New Roman" w:hAnsi="Times New Roman" w:cs="Times New Roman"/>
          <w:sz w:val="28"/>
          <w:szCs w:val="28"/>
          <w:lang w:val="uk-UA"/>
        </w:rPr>
        <w:t>62,0</w:t>
      </w:r>
      <w:r w:rsidRPr="00F8585E">
        <w:rPr>
          <w:rFonts w:ascii="Times New Roman" w:hAnsi="Times New Roman" w:cs="Times New Roman"/>
          <w:sz w:val="28"/>
          <w:szCs w:val="28"/>
          <w:lang w:val="uk-UA"/>
        </w:rPr>
        <w:t xml:space="preserve">, </w:t>
      </w:r>
      <w:r w:rsidR="00B30FAA" w:rsidRPr="00F8585E">
        <w:rPr>
          <w:rFonts w:ascii="Times New Roman" w:hAnsi="Times New Roman" w:cs="Times New Roman"/>
          <w:sz w:val="28"/>
          <w:szCs w:val="28"/>
          <w:lang w:val="uk-UA"/>
        </w:rPr>
        <w:t xml:space="preserve">Близький Схід/Північна Африка </w:t>
      </w:r>
      <w:r w:rsidRPr="00F8585E">
        <w:rPr>
          <w:rFonts w:ascii="Times New Roman" w:hAnsi="Times New Roman" w:cs="Times New Roman"/>
          <w:sz w:val="28"/>
          <w:szCs w:val="28"/>
          <w:lang w:val="uk-UA"/>
        </w:rPr>
        <w:t xml:space="preserve">‒ </w:t>
      </w:r>
      <w:r w:rsidR="00B30FAA" w:rsidRPr="00F8585E">
        <w:rPr>
          <w:rFonts w:ascii="Times New Roman" w:hAnsi="Times New Roman" w:cs="Times New Roman"/>
          <w:sz w:val="28"/>
          <w:szCs w:val="28"/>
          <w:lang w:val="uk-UA"/>
        </w:rPr>
        <w:t>61,8</w:t>
      </w:r>
      <w:r w:rsidRPr="00F8585E">
        <w:rPr>
          <w:rFonts w:ascii="Times New Roman" w:hAnsi="Times New Roman" w:cs="Times New Roman"/>
          <w:sz w:val="28"/>
          <w:szCs w:val="28"/>
          <w:lang w:val="uk-UA"/>
        </w:rPr>
        <w:t xml:space="preserve">, а </w:t>
      </w:r>
      <w:r w:rsidR="00B30FAA" w:rsidRPr="00F8585E">
        <w:rPr>
          <w:rFonts w:ascii="Times New Roman" w:hAnsi="Times New Roman" w:cs="Times New Roman"/>
          <w:sz w:val="28"/>
          <w:szCs w:val="28"/>
          <w:lang w:val="uk-UA"/>
        </w:rPr>
        <w:t xml:space="preserve">Субсахарна Африка </w:t>
      </w:r>
      <w:r w:rsidRPr="00F8585E">
        <w:rPr>
          <w:rFonts w:ascii="Times New Roman" w:hAnsi="Times New Roman" w:cs="Times New Roman"/>
          <w:sz w:val="28"/>
          <w:szCs w:val="28"/>
          <w:lang w:val="uk-UA"/>
        </w:rPr>
        <w:t>‒</w:t>
      </w:r>
      <w:r w:rsidR="00B30FAA" w:rsidRPr="00F8585E">
        <w:rPr>
          <w:rFonts w:ascii="Times New Roman" w:hAnsi="Times New Roman" w:cs="Times New Roman"/>
          <w:sz w:val="28"/>
          <w:szCs w:val="28"/>
          <w:lang w:val="uk-UA"/>
        </w:rPr>
        <w:t xml:space="preserve"> 45,8 (див. рис. 2.8</w:t>
      </w:r>
      <w:r w:rsidRPr="00F8585E">
        <w:rPr>
          <w:rFonts w:ascii="Times New Roman" w:hAnsi="Times New Roman" w:cs="Times New Roman"/>
          <w:sz w:val="28"/>
          <w:szCs w:val="28"/>
          <w:lang w:val="uk-UA"/>
        </w:rPr>
        <w:t xml:space="preserve">). </w:t>
      </w:r>
    </w:p>
    <w:p w:rsidR="00D26747" w:rsidRPr="00F8585E" w:rsidRDefault="00B30FAA"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ab/>
      </w:r>
      <w:r w:rsidR="00D26747" w:rsidRPr="00F8585E">
        <w:rPr>
          <w:rFonts w:ascii="Times New Roman" w:hAnsi="Times New Roman" w:cs="Times New Roman"/>
          <w:sz w:val="28"/>
          <w:szCs w:val="28"/>
          <w:lang w:val="uk-UA"/>
        </w:rPr>
        <w:t>Компонент свободи ведення бізнесу вимірює ступінь, до якого регуляторне та інфраструктурне середовище країни обмежує ефективну роботу бізнесу. Кількісний показник виводиться на основі низки факторів, які впливають на легкість відкриття, ведення та закриття бізнесу.</w:t>
      </w:r>
    </w:p>
    <w:p w:rsidR="004A4768" w:rsidRPr="00F8585E" w:rsidRDefault="00B30FAA"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D26747" w:rsidRPr="00F8585E">
        <w:rPr>
          <w:rFonts w:ascii="Times New Roman" w:hAnsi="Times New Roman" w:cs="Times New Roman"/>
          <w:sz w:val="28"/>
          <w:szCs w:val="28"/>
          <w:lang w:val="uk-UA"/>
        </w:rPr>
        <w:t xml:space="preserve">Індекс свободи бізнесу для кожної </w:t>
      </w:r>
      <w:r w:rsidR="00BA543B">
        <w:rPr>
          <w:rFonts w:ascii="Times New Roman" w:hAnsi="Times New Roman" w:cs="Times New Roman"/>
          <w:sz w:val="28"/>
          <w:szCs w:val="28"/>
          <w:lang w:val="uk-UA"/>
        </w:rPr>
        <w:t>країни базується на чотирьох суб</w:t>
      </w:r>
      <w:r w:rsidRPr="00F8585E">
        <w:rPr>
          <w:rFonts w:ascii="Times New Roman" w:hAnsi="Times New Roman" w:cs="Times New Roman"/>
          <w:sz w:val="28"/>
          <w:szCs w:val="28"/>
          <w:lang w:val="uk-UA"/>
        </w:rPr>
        <w:t>факторах: доступ до електрики, ризик бізнес-середовища, регуляторна якість та е</w:t>
      </w:r>
      <w:r w:rsidR="00ED76EC" w:rsidRPr="00F8585E">
        <w:rPr>
          <w:rFonts w:ascii="Times New Roman" w:hAnsi="Times New Roman" w:cs="Times New Roman"/>
          <w:sz w:val="28"/>
          <w:szCs w:val="28"/>
          <w:lang w:val="uk-UA"/>
        </w:rPr>
        <w:t>кономіч</w:t>
      </w:r>
      <w:r w:rsidR="0017608D">
        <w:rPr>
          <w:rFonts w:ascii="Times New Roman" w:hAnsi="Times New Roman" w:cs="Times New Roman"/>
          <w:sz w:val="28"/>
          <w:szCs w:val="28"/>
          <w:lang w:val="uk-UA"/>
        </w:rPr>
        <w:t>на інтеграція жінок [1</w:t>
      </w:r>
      <w:r w:rsidR="0017608D" w:rsidRPr="0017608D">
        <w:rPr>
          <w:rFonts w:ascii="Times New Roman" w:hAnsi="Times New Roman" w:cs="Times New Roman"/>
          <w:sz w:val="28"/>
          <w:szCs w:val="28"/>
          <w:lang w:val="uk-UA"/>
        </w:rPr>
        <w:t>8</w:t>
      </w:r>
      <w:r w:rsidR="00D26747" w:rsidRPr="00F8585E">
        <w:rPr>
          <w:rFonts w:ascii="Times New Roman" w:hAnsi="Times New Roman" w:cs="Times New Roman"/>
          <w:sz w:val="28"/>
          <w:szCs w:val="28"/>
          <w:lang w:val="uk-UA"/>
        </w:rPr>
        <w:t>].</w:t>
      </w:r>
      <w:r w:rsidRPr="00F8585E">
        <w:rPr>
          <w:rFonts w:ascii="Times New Roman" w:hAnsi="Times New Roman" w:cs="Times New Roman"/>
          <w:sz w:val="28"/>
          <w:szCs w:val="28"/>
          <w:lang w:val="uk-UA"/>
        </w:rPr>
        <w:t xml:space="preserve"> </w:t>
      </w:r>
    </w:p>
    <w:p w:rsidR="004C3989" w:rsidRPr="00F8585E" w:rsidRDefault="00B30FAA"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Чим вище </w:t>
      </w:r>
      <w:r w:rsidR="00036DA6" w:rsidRPr="00F8585E">
        <w:rPr>
          <w:rFonts w:ascii="Times New Roman" w:hAnsi="Times New Roman" w:cs="Times New Roman"/>
          <w:sz w:val="28"/>
          <w:szCs w:val="28"/>
          <w:lang w:val="uk-UA"/>
        </w:rPr>
        <w:t>рівень свободи</w:t>
      </w:r>
      <w:r w:rsidRPr="00F8585E">
        <w:rPr>
          <w:rFonts w:ascii="Times New Roman" w:hAnsi="Times New Roman" w:cs="Times New Roman"/>
          <w:sz w:val="28"/>
          <w:szCs w:val="28"/>
          <w:lang w:val="uk-UA"/>
        </w:rPr>
        <w:t xml:space="preserve"> бізнесу, тим більше інвестицій може залучити країна або регіон </w:t>
      </w:r>
      <w:r w:rsidR="0017608D">
        <w:rPr>
          <w:rFonts w:ascii="Times New Roman" w:hAnsi="Times New Roman" w:cs="Times New Roman"/>
          <w:sz w:val="28"/>
          <w:szCs w:val="28"/>
          <w:lang w:val="uk-UA"/>
        </w:rPr>
        <w:t>[2</w:t>
      </w:r>
      <w:r w:rsidR="0017608D" w:rsidRPr="0017608D">
        <w:rPr>
          <w:rFonts w:ascii="Times New Roman" w:hAnsi="Times New Roman" w:cs="Times New Roman"/>
          <w:sz w:val="28"/>
          <w:szCs w:val="28"/>
        </w:rPr>
        <w:t>3</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«Свобода праці» Індексу економічної свободи 2024 за регіонами світу представлені нижче на рис. 2.9.</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lastRenderedPageBreak/>
        <w:drawing>
          <wp:inline distT="0" distB="0" distL="0" distR="0" wp14:anchorId="2EE860BE" wp14:editId="23D42A2C">
            <wp:extent cx="6041390" cy="223139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2.9. Значення складової «Свобода праці»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036DA6" w:rsidRPr="00F8585E" w:rsidRDefault="00036DA6"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 </w:t>
      </w:r>
    </w:p>
    <w:p w:rsidR="00036DA6" w:rsidRPr="00F8585E" w:rsidRDefault="00036DA6"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«Свобода праці» Індексу економічної свободи 2024 має Північна Америка зі значенням 73,6, надалі слідує Європа зі значенням 61,5, далі Азіатсько-Тихоокеанський регіон зі значенням 56,2, Латинська Америка </w:t>
      </w:r>
      <w:r w:rsidR="00D67F54" w:rsidRPr="00F8585E">
        <w:rPr>
          <w:rFonts w:ascii="Times New Roman" w:hAnsi="Times New Roman" w:cs="Times New Roman"/>
          <w:sz w:val="28"/>
          <w:szCs w:val="28"/>
          <w:lang w:val="uk-UA"/>
        </w:rPr>
        <w:t xml:space="preserve">зі значенням </w:t>
      </w:r>
      <w:r w:rsidRPr="00F8585E">
        <w:rPr>
          <w:rFonts w:ascii="Times New Roman" w:hAnsi="Times New Roman" w:cs="Times New Roman"/>
          <w:sz w:val="28"/>
          <w:szCs w:val="28"/>
          <w:lang w:val="uk-UA"/>
        </w:rPr>
        <w:t>55,1, Близький Схід/Північна Африка ‒ 52,5, а Субсахарна Африка ‒ 51,9 (див. рис. 2.9).</w:t>
      </w:r>
      <w:r w:rsidR="00A43EA3" w:rsidRPr="00F8585E">
        <w:rPr>
          <w:rFonts w:ascii="Times New Roman" w:hAnsi="Times New Roman" w:cs="Times New Roman"/>
          <w:sz w:val="28"/>
          <w:szCs w:val="28"/>
          <w:lang w:val="uk-UA"/>
        </w:rPr>
        <w:tab/>
      </w:r>
    </w:p>
    <w:p w:rsidR="00B81FEA" w:rsidRPr="00F8585E" w:rsidRDefault="00036DA6"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Компонент свободи праці ‒ </w:t>
      </w:r>
      <w:r w:rsidR="004A4768" w:rsidRPr="00F8585E">
        <w:rPr>
          <w:rFonts w:ascii="Times New Roman" w:hAnsi="Times New Roman" w:cs="Times New Roman"/>
          <w:sz w:val="28"/>
          <w:szCs w:val="28"/>
          <w:lang w:val="uk-UA"/>
        </w:rPr>
        <w:t xml:space="preserve"> це кількісний показник, який враховує різні аспекти нормативно-правової бази ринку праці в країні, включаючи норми щодо мінімальної заробітної плати, права на об'єднання, закони, що перешкоджають звільненню, вимоги щодо вихідної допомоги, а також вимірювані нормативні обмеження щодо найму та відпрацьованого часу, на додаток до рівня участі в робочій силі та продуктивності праці як індикативного показника можливостей п</w:t>
      </w:r>
      <w:r w:rsidRPr="00F8585E">
        <w:rPr>
          <w:rFonts w:ascii="Times New Roman" w:hAnsi="Times New Roman" w:cs="Times New Roman"/>
          <w:sz w:val="28"/>
          <w:szCs w:val="28"/>
          <w:lang w:val="uk-UA"/>
        </w:rPr>
        <w:t xml:space="preserve">рацевлаштування на ринку праці. </w:t>
      </w:r>
      <w:r w:rsidR="004A4768" w:rsidRPr="00F8585E">
        <w:rPr>
          <w:rFonts w:ascii="Times New Roman" w:hAnsi="Times New Roman" w:cs="Times New Roman"/>
          <w:sz w:val="28"/>
          <w:szCs w:val="28"/>
          <w:lang w:val="uk-UA"/>
        </w:rPr>
        <w:t>Оцінка компоненту свободи праці базується на дев'ят</w:t>
      </w:r>
      <w:r w:rsidR="00BA543B">
        <w:rPr>
          <w:rFonts w:ascii="Times New Roman" w:hAnsi="Times New Roman" w:cs="Times New Roman"/>
          <w:sz w:val="28"/>
          <w:szCs w:val="28"/>
          <w:lang w:val="uk-UA"/>
        </w:rPr>
        <w:t>и суб</w:t>
      </w:r>
      <w:r w:rsidRPr="00F8585E">
        <w:rPr>
          <w:rFonts w:ascii="Times New Roman" w:hAnsi="Times New Roman" w:cs="Times New Roman"/>
          <w:sz w:val="28"/>
          <w:szCs w:val="28"/>
          <w:lang w:val="uk-UA"/>
        </w:rPr>
        <w:t xml:space="preserve">факторах: мінімальна зарплата, право на об'єднання, щорічна оплачувана відпустка, строк попередження про звільнення за скороченням штату, вихідна допомога при звільненні за скороченням штату, продуктивність праці, рівень участі в робочій силі, обмеження на понаднормову роботу та звільнення за скороченням штату, дозволене законом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004A4768" w:rsidRPr="00F8585E">
        <w:rPr>
          <w:rFonts w:ascii="Times New Roman" w:hAnsi="Times New Roman" w:cs="Times New Roman"/>
          <w:sz w:val="28"/>
          <w:szCs w:val="28"/>
          <w:lang w:val="uk-UA"/>
        </w:rPr>
        <w:t>].</w:t>
      </w:r>
    </w:p>
    <w:p w:rsidR="004C3989" w:rsidRPr="00F8585E" w:rsidRDefault="00D67F54"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Чим вище рівень свободи праці, тим більше інвестицій може залучити країна або регіон [2</w:t>
      </w:r>
      <w:r w:rsidR="0017608D" w:rsidRPr="0017608D">
        <w:rPr>
          <w:rFonts w:ascii="Times New Roman" w:hAnsi="Times New Roman" w:cs="Times New Roman"/>
          <w:sz w:val="28"/>
          <w:szCs w:val="28"/>
        </w:rPr>
        <w:t>4</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«Монетарна свобода» Індексу економічної свободи 2024 за регіонами світу представлені нижче на рис. 2.10.</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1D62A8F6" wp14:editId="6CF8AA13">
            <wp:extent cx="6041390" cy="223139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2.10. Значення складової «Монетарна свобода»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p>
    <w:p w:rsidR="00D67F54" w:rsidRPr="00F8585E" w:rsidRDefault="00D67F5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За останніми даними найвище значення складової «</w:t>
      </w:r>
      <w:r w:rsidR="0024035A" w:rsidRPr="00F8585E">
        <w:rPr>
          <w:rFonts w:ascii="Times New Roman" w:hAnsi="Times New Roman" w:cs="Times New Roman"/>
          <w:sz w:val="28"/>
          <w:szCs w:val="28"/>
          <w:lang w:val="uk-UA"/>
        </w:rPr>
        <w:t>Монетарна свобода</w:t>
      </w:r>
      <w:r w:rsidRPr="00F8585E">
        <w:rPr>
          <w:rFonts w:ascii="Times New Roman" w:hAnsi="Times New Roman" w:cs="Times New Roman"/>
          <w:sz w:val="28"/>
          <w:szCs w:val="28"/>
          <w:lang w:val="uk-UA"/>
        </w:rPr>
        <w:t xml:space="preserve">» Індексу економічної свободи 2024 має Північна Америка зі значенням </w:t>
      </w:r>
      <w:r w:rsidR="0024035A" w:rsidRPr="00F8585E">
        <w:rPr>
          <w:rFonts w:ascii="Times New Roman" w:hAnsi="Times New Roman" w:cs="Times New Roman"/>
          <w:sz w:val="28"/>
          <w:szCs w:val="28"/>
          <w:lang w:val="uk-UA"/>
        </w:rPr>
        <w:t>72,1</w:t>
      </w:r>
      <w:r w:rsidRPr="00F8585E">
        <w:rPr>
          <w:rFonts w:ascii="Times New Roman" w:hAnsi="Times New Roman" w:cs="Times New Roman"/>
          <w:sz w:val="28"/>
          <w:szCs w:val="28"/>
          <w:lang w:val="uk-UA"/>
        </w:rPr>
        <w:t xml:space="preserve">, надалі слідує Європа зі значенням </w:t>
      </w:r>
      <w:r w:rsidR="0024035A" w:rsidRPr="00F8585E">
        <w:rPr>
          <w:rFonts w:ascii="Times New Roman" w:hAnsi="Times New Roman" w:cs="Times New Roman"/>
          <w:sz w:val="28"/>
          <w:szCs w:val="28"/>
          <w:lang w:val="uk-UA"/>
        </w:rPr>
        <w:t>69,4</w:t>
      </w:r>
      <w:r w:rsidRPr="00F8585E">
        <w:rPr>
          <w:rFonts w:ascii="Times New Roman" w:hAnsi="Times New Roman" w:cs="Times New Roman"/>
          <w:sz w:val="28"/>
          <w:szCs w:val="28"/>
          <w:lang w:val="uk-UA"/>
        </w:rPr>
        <w:t xml:space="preserve">, далі Азіатсько-Тихоокеанський регіон зі значенням </w:t>
      </w:r>
      <w:r w:rsidR="0024035A" w:rsidRPr="00F8585E">
        <w:rPr>
          <w:rFonts w:ascii="Times New Roman" w:hAnsi="Times New Roman" w:cs="Times New Roman"/>
          <w:sz w:val="28"/>
          <w:szCs w:val="28"/>
          <w:lang w:val="uk-UA"/>
        </w:rPr>
        <w:t>68,6</w:t>
      </w:r>
      <w:r w:rsidRPr="00F8585E">
        <w:rPr>
          <w:rFonts w:ascii="Times New Roman" w:hAnsi="Times New Roman" w:cs="Times New Roman"/>
          <w:sz w:val="28"/>
          <w:szCs w:val="28"/>
          <w:lang w:val="uk-UA"/>
        </w:rPr>
        <w:t xml:space="preserve">, </w:t>
      </w:r>
      <w:r w:rsidR="0024035A" w:rsidRPr="00F8585E">
        <w:rPr>
          <w:rFonts w:ascii="Times New Roman" w:hAnsi="Times New Roman" w:cs="Times New Roman"/>
          <w:sz w:val="28"/>
          <w:szCs w:val="28"/>
          <w:lang w:val="uk-UA"/>
        </w:rPr>
        <w:t xml:space="preserve">Близький Схід/Північна Африка </w:t>
      </w:r>
      <w:r w:rsidRPr="00F8585E">
        <w:rPr>
          <w:rFonts w:ascii="Times New Roman" w:hAnsi="Times New Roman" w:cs="Times New Roman"/>
          <w:sz w:val="28"/>
          <w:szCs w:val="28"/>
          <w:lang w:val="uk-UA"/>
        </w:rPr>
        <w:t xml:space="preserve">зі значенням  </w:t>
      </w:r>
      <w:r w:rsidR="0024035A" w:rsidRPr="00F8585E">
        <w:rPr>
          <w:rFonts w:ascii="Times New Roman" w:hAnsi="Times New Roman" w:cs="Times New Roman"/>
          <w:sz w:val="28"/>
          <w:szCs w:val="28"/>
          <w:lang w:val="uk-UA"/>
        </w:rPr>
        <w:t>68,0</w:t>
      </w:r>
      <w:r w:rsidRPr="00F8585E">
        <w:rPr>
          <w:rFonts w:ascii="Times New Roman" w:hAnsi="Times New Roman" w:cs="Times New Roman"/>
          <w:sz w:val="28"/>
          <w:szCs w:val="28"/>
          <w:lang w:val="uk-UA"/>
        </w:rPr>
        <w:t xml:space="preserve">, </w:t>
      </w:r>
      <w:r w:rsidR="0024035A" w:rsidRPr="00F8585E">
        <w:rPr>
          <w:rFonts w:ascii="Times New Roman" w:hAnsi="Times New Roman" w:cs="Times New Roman"/>
          <w:sz w:val="28"/>
          <w:szCs w:val="28"/>
          <w:lang w:val="uk-UA"/>
        </w:rPr>
        <w:t xml:space="preserve">Субсахарна Африка </w:t>
      </w:r>
      <w:r w:rsidRPr="00F8585E">
        <w:rPr>
          <w:rFonts w:ascii="Times New Roman" w:hAnsi="Times New Roman" w:cs="Times New Roman"/>
          <w:sz w:val="28"/>
          <w:szCs w:val="28"/>
          <w:lang w:val="uk-UA"/>
        </w:rPr>
        <w:t xml:space="preserve">‒ </w:t>
      </w:r>
      <w:r w:rsidR="0024035A" w:rsidRPr="00F8585E">
        <w:rPr>
          <w:rFonts w:ascii="Times New Roman" w:hAnsi="Times New Roman" w:cs="Times New Roman"/>
          <w:sz w:val="28"/>
          <w:szCs w:val="28"/>
          <w:lang w:val="uk-UA"/>
        </w:rPr>
        <w:t>66,4</w:t>
      </w:r>
      <w:r w:rsidRPr="00F8585E">
        <w:rPr>
          <w:rFonts w:ascii="Times New Roman" w:hAnsi="Times New Roman" w:cs="Times New Roman"/>
          <w:sz w:val="28"/>
          <w:szCs w:val="28"/>
          <w:lang w:val="uk-UA"/>
        </w:rPr>
        <w:t xml:space="preserve">, а </w:t>
      </w:r>
      <w:r w:rsidR="0024035A" w:rsidRPr="00F8585E">
        <w:rPr>
          <w:rFonts w:ascii="Times New Roman" w:hAnsi="Times New Roman" w:cs="Times New Roman"/>
          <w:sz w:val="28"/>
          <w:szCs w:val="28"/>
          <w:lang w:val="uk-UA"/>
        </w:rPr>
        <w:t xml:space="preserve">Латинська Америка </w:t>
      </w:r>
      <w:r w:rsidRPr="00F8585E">
        <w:rPr>
          <w:rFonts w:ascii="Times New Roman" w:hAnsi="Times New Roman" w:cs="Times New Roman"/>
          <w:sz w:val="28"/>
          <w:szCs w:val="28"/>
          <w:lang w:val="uk-UA"/>
        </w:rPr>
        <w:t xml:space="preserve">‒ </w:t>
      </w:r>
      <w:r w:rsidR="0024035A" w:rsidRPr="00F8585E">
        <w:rPr>
          <w:rFonts w:ascii="Times New Roman" w:hAnsi="Times New Roman" w:cs="Times New Roman"/>
          <w:sz w:val="28"/>
          <w:szCs w:val="28"/>
          <w:lang w:val="uk-UA"/>
        </w:rPr>
        <w:t>65,0</w:t>
      </w:r>
      <w:r w:rsidRPr="00F8585E">
        <w:rPr>
          <w:rFonts w:ascii="Times New Roman" w:hAnsi="Times New Roman" w:cs="Times New Roman"/>
          <w:sz w:val="28"/>
          <w:szCs w:val="28"/>
          <w:lang w:val="uk-UA"/>
        </w:rPr>
        <w:t xml:space="preserve"> (див. рис. 2.10).</w:t>
      </w:r>
    </w:p>
    <w:p w:rsidR="004C3989" w:rsidRPr="00F8585E" w:rsidRDefault="00D67F5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004A4768" w:rsidRPr="00F8585E">
        <w:rPr>
          <w:rFonts w:ascii="Times New Roman" w:hAnsi="Times New Roman" w:cs="Times New Roman"/>
          <w:sz w:val="28"/>
          <w:szCs w:val="28"/>
          <w:lang w:val="uk-UA"/>
        </w:rPr>
        <w:t>Монетарна свобода поєднує показник інфляції з оцінкою різних видів діяльності уряду, які спотворюють ціни. Цінова стабільність без мікроекономічного втручання є ідеал</w:t>
      </w:r>
      <w:r w:rsidR="0024035A" w:rsidRPr="00F8585E">
        <w:rPr>
          <w:rFonts w:ascii="Times New Roman" w:hAnsi="Times New Roman" w:cs="Times New Roman"/>
          <w:sz w:val="28"/>
          <w:szCs w:val="28"/>
          <w:lang w:val="uk-UA"/>
        </w:rPr>
        <w:t xml:space="preserve">ьним станом для вільного ринку. </w:t>
      </w:r>
      <w:r w:rsidR="004A4768" w:rsidRPr="00F8585E">
        <w:rPr>
          <w:rFonts w:ascii="Times New Roman" w:hAnsi="Times New Roman" w:cs="Times New Roman"/>
          <w:sz w:val="28"/>
          <w:szCs w:val="28"/>
          <w:lang w:val="uk-UA"/>
        </w:rPr>
        <w:t>Оцінка компоненту монетарної свободи</w:t>
      </w:r>
      <w:r w:rsidR="00BA543B">
        <w:rPr>
          <w:rFonts w:ascii="Times New Roman" w:hAnsi="Times New Roman" w:cs="Times New Roman"/>
          <w:sz w:val="28"/>
          <w:szCs w:val="28"/>
          <w:lang w:val="uk-UA"/>
        </w:rPr>
        <w:t xml:space="preserve"> базується на двох суб</w:t>
      </w:r>
      <w:r w:rsidR="0024035A" w:rsidRPr="00F8585E">
        <w:rPr>
          <w:rFonts w:ascii="Times New Roman" w:hAnsi="Times New Roman" w:cs="Times New Roman"/>
          <w:sz w:val="28"/>
          <w:szCs w:val="28"/>
          <w:lang w:val="uk-UA"/>
        </w:rPr>
        <w:t>факторах: с</w:t>
      </w:r>
      <w:r w:rsidR="004A4768" w:rsidRPr="00F8585E">
        <w:rPr>
          <w:rFonts w:ascii="Times New Roman" w:hAnsi="Times New Roman" w:cs="Times New Roman"/>
          <w:sz w:val="28"/>
          <w:szCs w:val="28"/>
          <w:lang w:val="uk-UA"/>
        </w:rPr>
        <w:t xml:space="preserve">ередньозважений рівень </w:t>
      </w:r>
      <w:r w:rsidR="0024035A" w:rsidRPr="00F8585E">
        <w:rPr>
          <w:rFonts w:ascii="Times New Roman" w:hAnsi="Times New Roman" w:cs="Times New Roman"/>
          <w:sz w:val="28"/>
          <w:szCs w:val="28"/>
          <w:lang w:val="uk-UA"/>
        </w:rPr>
        <w:t>інфляції за останні три роки та я</w:t>
      </w:r>
      <w:r w:rsidR="004A4768" w:rsidRPr="00F8585E">
        <w:rPr>
          <w:rFonts w:ascii="Times New Roman" w:hAnsi="Times New Roman" w:cs="Times New Roman"/>
          <w:sz w:val="28"/>
          <w:szCs w:val="28"/>
          <w:lang w:val="uk-UA"/>
        </w:rPr>
        <w:t xml:space="preserve">кісне судження про ступінь державного маніпулювання цінами за допомогою прямого контролю або субсидій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004A4768" w:rsidRPr="00F8585E">
        <w:rPr>
          <w:rFonts w:ascii="Times New Roman" w:hAnsi="Times New Roman" w:cs="Times New Roman"/>
          <w:sz w:val="28"/>
          <w:szCs w:val="28"/>
          <w:lang w:val="uk-UA"/>
        </w:rPr>
        <w:t>].</w:t>
      </w:r>
    </w:p>
    <w:p w:rsidR="0024035A" w:rsidRPr="00F8585E" w:rsidRDefault="0024035A"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Чим вище рівень монетарної свободи, тим більше інвестицій може залучити країна або регіон [2</w:t>
      </w:r>
      <w:r w:rsidR="0017608D" w:rsidRPr="0017608D">
        <w:rPr>
          <w:rFonts w:ascii="Times New Roman" w:hAnsi="Times New Roman" w:cs="Times New Roman"/>
          <w:sz w:val="28"/>
          <w:szCs w:val="28"/>
        </w:rPr>
        <w:t>5</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Значення складової «Свобода торгівлі» Індексу економічної свободи 2024 за регіонами світу представлені нижче на рис. 2.11.</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1AA18A66" wp14:editId="42472952">
            <wp:extent cx="6041390" cy="223139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2.11. Значення складової «Свобода торгівлі»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24035A" w:rsidRPr="00F8585E" w:rsidRDefault="0024035A" w:rsidP="00836606">
      <w:pPr>
        <w:spacing w:after="0" w:line="360" w:lineRule="auto"/>
        <w:jc w:val="both"/>
        <w:rPr>
          <w:rFonts w:ascii="Times New Roman" w:hAnsi="Times New Roman" w:cs="Times New Roman"/>
          <w:sz w:val="28"/>
          <w:szCs w:val="28"/>
          <w:lang w:val="uk-UA"/>
        </w:rPr>
      </w:pPr>
    </w:p>
    <w:p w:rsidR="0024035A" w:rsidRPr="00F8585E" w:rsidRDefault="0024035A"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За останніми даними найвище значення складової «Свобода торгівлі» Індексу економічної свободи 2024 має Північна Америка зі значенням 79,6, надалі слідує Європа зі значенням 78,8, далі Азіатсько-Тихоокеанський регіон зі значенням 71,0, Близький Схід/Північна Африка зі значенням  70,8, Латинська Америка ‒ 66,2, а Субсахарна Афорика ‒ 62,1 (див. рис. 2.11).</w:t>
      </w:r>
    </w:p>
    <w:p w:rsidR="004C3989" w:rsidRPr="00F8585E" w:rsidRDefault="0024035A"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Свобода торгівлі ‒</w:t>
      </w:r>
      <w:r w:rsidR="004A4768" w:rsidRPr="00F8585E">
        <w:rPr>
          <w:rFonts w:ascii="Times New Roman" w:hAnsi="Times New Roman" w:cs="Times New Roman"/>
          <w:sz w:val="28"/>
          <w:szCs w:val="28"/>
          <w:lang w:val="uk-UA"/>
        </w:rPr>
        <w:t xml:space="preserve"> це комплексний показник рівня тарифних і нетарифних бар'єрів, що впливають на імпорт та експорт товарів і послуг. Оцінка свободи торгівлі б</w:t>
      </w:r>
      <w:r w:rsidRPr="00F8585E">
        <w:rPr>
          <w:rFonts w:ascii="Times New Roman" w:hAnsi="Times New Roman" w:cs="Times New Roman"/>
          <w:sz w:val="28"/>
          <w:szCs w:val="28"/>
          <w:lang w:val="uk-UA"/>
        </w:rPr>
        <w:t>азується на двох вхідних даних: с</w:t>
      </w:r>
      <w:r w:rsidR="004A4768" w:rsidRPr="00F8585E">
        <w:rPr>
          <w:rFonts w:ascii="Times New Roman" w:hAnsi="Times New Roman" w:cs="Times New Roman"/>
          <w:sz w:val="28"/>
          <w:szCs w:val="28"/>
          <w:lang w:val="uk-UA"/>
        </w:rPr>
        <w:t>ередньозважена тарифна с</w:t>
      </w:r>
      <w:r w:rsidRPr="00F8585E">
        <w:rPr>
          <w:rFonts w:ascii="Times New Roman" w:hAnsi="Times New Roman" w:cs="Times New Roman"/>
          <w:sz w:val="28"/>
          <w:szCs w:val="28"/>
          <w:lang w:val="uk-UA"/>
        </w:rPr>
        <w:t>тавка та я</w:t>
      </w:r>
      <w:r w:rsidR="004A4768" w:rsidRPr="00F8585E">
        <w:rPr>
          <w:rFonts w:ascii="Times New Roman" w:hAnsi="Times New Roman" w:cs="Times New Roman"/>
          <w:sz w:val="28"/>
          <w:szCs w:val="28"/>
          <w:lang w:val="uk-UA"/>
        </w:rPr>
        <w:t>к</w:t>
      </w:r>
      <w:r w:rsidRPr="00F8585E">
        <w:rPr>
          <w:rFonts w:ascii="Times New Roman" w:hAnsi="Times New Roman" w:cs="Times New Roman"/>
          <w:sz w:val="28"/>
          <w:szCs w:val="28"/>
          <w:lang w:val="uk-UA"/>
        </w:rPr>
        <w:t>існа оцінка нетарифних бар'єрів</w:t>
      </w:r>
      <w:r w:rsidR="004A4768" w:rsidRPr="00F8585E">
        <w:rPr>
          <w:rFonts w:ascii="Times New Roman" w:hAnsi="Times New Roman" w:cs="Times New Roman"/>
          <w:sz w:val="28"/>
          <w:szCs w:val="28"/>
          <w:lang w:val="uk-UA"/>
        </w:rPr>
        <w:t xml:space="preserve">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004A4768" w:rsidRPr="00F8585E">
        <w:rPr>
          <w:rFonts w:ascii="Times New Roman" w:hAnsi="Times New Roman" w:cs="Times New Roman"/>
          <w:sz w:val="28"/>
          <w:szCs w:val="28"/>
          <w:lang w:val="uk-UA"/>
        </w:rPr>
        <w:t>].</w:t>
      </w:r>
    </w:p>
    <w:p w:rsidR="004C3989" w:rsidRPr="00F8585E" w:rsidRDefault="0024035A" w:rsidP="00836606">
      <w:pPr>
        <w:shd w:val="clear" w:color="auto" w:fill="FFFFFF"/>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Чим вище рівень свободи торгівлі, тим більше інвестицій може залучити країна або регіон [2</w:t>
      </w:r>
      <w:r w:rsidR="0017608D" w:rsidRPr="0017608D">
        <w:rPr>
          <w:rFonts w:ascii="Times New Roman" w:hAnsi="Times New Roman" w:cs="Times New Roman"/>
          <w:sz w:val="28"/>
          <w:szCs w:val="28"/>
        </w:rPr>
        <w:t>6</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Значення складової «Інвестиційна свобода» Індексу економічної свободи 2024 за регіонами світу представлені нижче на рис. 2.12.</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lastRenderedPageBreak/>
        <w:drawing>
          <wp:inline distT="0" distB="0" distL="0" distR="0" wp14:anchorId="3F090675" wp14:editId="58497DE9">
            <wp:extent cx="6045200" cy="2413000"/>
            <wp:effectExtent l="0" t="0" r="0" b="63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2.12. Значення складової «Інвестиційна свобода»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860B9B" w:rsidRPr="00F8585E" w:rsidRDefault="00860B9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 </w:t>
      </w:r>
    </w:p>
    <w:p w:rsidR="00860B9B" w:rsidRPr="00F8585E" w:rsidRDefault="00860B9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«Інвестиційна свобода» Індексу економічної свободи 2024 має Північна Америка зі значенням 80,0, надалі слідує Європа зі значенням 73,9, далі Латинська Америка зі значенням 55,2, Близький Схід/Північна Африка зі значенням  51,8, Субсахарна </w:t>
      </w:r>
      <w:r w:rsidR="002E204E">
        <w:rPr>
          <w:rFonts w:ascii="Times New Roman" w:hAnsi="Times New Roman" w:cs="Times New Roman"/>
          <w:sz w:val="28"/>
          <w:szCs w:val="28"/>
          <w:lang w:val="uk-UA"/>
        </w:rPr>
        <w:t>Африка</w:t>
      </w:r>
      <w:r w:rsidRPr="00F8585E">
        <w:rPr>
          <w:rFonts w:ascii="Times New Roman" w:hAnsi="Times New Roman" w:cs="Times New Roman"/>
          <w:sz w:val="28"/>
          <w:szCs w:val="28"/>
          <w:lang w:val="uk-UA"/>
        </w:rPr>
        <w:t xml:space="preserve"> ‒ 50,2, а Азіатсько-Тихоокеанський регіон ‒ 45,3 (див. рис. 2.12).</w:t>
      </w:r>
    </w:p>
    <w:p w:rsidR="004C3989" w:rsidRPr="00F8585E" w:rsidRDefault="00860B9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В економічно вільній країні не буде жодних обмежень для руху інвестиційного капіталу. Фізичні та юридичні особи могли б без обмежень вкладати свої ресурси в певні види діяльності та виводити їх як всередині країни, так і за її межі. На практиці, однак, більшість країн накладають різноманітні обмеження на інвестиції. Деякі з них мають різні правила для іноземних та внутрішніх інвестицій. Деякі обмежують доступ до іноземної валюти. Інші накладають обмеження на платежі, перекази та операції з капіталом. У деяких - певні галузі закриті для іноземних інвестицій. Індекс оцінює різноманітні регуляторні обмеження, які зазвичай накладаються на інвестиції. Бали віднімаються від ідеальної оцінки в 100 балів за кожне з обмежень інвестиційного режиму країни </w:t>
      </w:r>
      <w:r w:rsidR="0017608D">
        <w:rPr>
          <w:rFonts w:ascii="Times New Roman" w:hAnsi="Times New Roman" w:cs="Times New Roman"/>
          <w:sz w:val="28"/>
          <w:szCs w:val="28"/>
          <w:lang w:val="uk-UA"/>
        </w:rPr>
        <w:t>[1</w:t>
      </w:r>
      <w:r w:rsidR="0017608D" w:rsidRPr="0017608D">
        <w:rPr>
          <w:rFonts w:ascii="Times New Roman" w:hAnsi="Times New Roman" w:cs="Times New Roman"/>
          <w:sz w:val="28"/>
          <w:szCs w:val="28"/>
        </w:rPr>
        <w:t>8</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ab/>
        <w:t>Значення складової «Фінансова свобода» Індексу економічної свободи 2024 за регіонами світу представлені нижче на рис. 2.13.</w:t>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noProof/>
          <w:sz w:val="28"/>
          <w:szCs w:val="28"/>
          <w:lang w:eastAsia="ru-RU"/>
        </w:rPr>
        <w:drawing>
          <wp:inline distT="0" distB="0" distL="0" distR="0" wp14:anchorId="16703175" wp14:editId="692618DD">
            <wp:extent cx="6045200" cy="24257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C3989" w:rsidRPr="00F8585E" w:rsidRDefault="004C3989"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2.13. Значення складової «Фінансова свобода» Індексу економічної свободи 2024 за регіонами світу </w:t>
      </w:r>
    </w:p>
    <w:p w:rsidR="00ED76EC" w:rsidRPr="00F8585E" w:rsidRDefault="00ED76EC"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17608D">
        <w:rPr>
          <w:rFonts w:ascii="Times New Roman" w:hAnsi="Times New Roman" w:cs="Times New Roman"/>
          <w:sz w:val="28"/>
          <w:szCs w:val="28"/>
          <w:lang w:val="uk-UA"/>
        </w:rPr>
        <w:t>: складено автором на основі [1</w:t>
      </w:r>
      <w:r w:rsidR="0017608D" w:rsidRPr="0017608D">
        <w:rPr>
          <w:rFonts w:ascii="Times New Roman" w:hAnsi="Times New Roman" w:cs="Times New Roman"/>
          <w:sz w:val="28"/>
          <w:szCs w:val="28"/>
        </w:rPr>
        <w:t>7</w:t>
      </w:r>
      <w:r w:rsidRPr="00F8585E">
        <w:rPr>
          <w:rFonts w:ascii="Times New Roman" w:hAnsi="Times New Roman" w:cs="Times New Roman"/>
          <w:sz w:val="28"/>
          <w:szCs w:val="28"/>
          <w:lang w:val="uk-UA"/>
        </w:rPr>
        <w:t>].</w:t>
      </w:r>
    </w:p>
    <w:p w:rsidR="004C3989" w:rsidRPr="00F8585E" w:rsidRDefault="004C3989" w:rsidP="00836606">
      <w:pPr>
        <w:spacing w:after="0" w:line="360" w:lineRule="auto"/>
        <w:jc w:val="both"/>
        <w:rPr>
          <w:rFonts w:ascii="Times New Roman" w:hAnsi="Times New Roman" w:cs="Times New Roman"/>
          <w:sz w:val="28"/>
          <w:szCs w:val="28"/>
          <w:lang w:val="uk-UA"/>
        </w:rPr>
      </w:pPr>
    </w:p>
    <w:p w:rsidR="00860B9B" w:rsidRPr="00F8585E" w:rsidRDefault="00860B9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За останніми даними найвище значення складової «Фінансова свобода» Індексу економічної свободи 2024 має Північна Америка зі значенням 80,0, надалі слідує Європа зі значенням 63,6, далі Близький Схід/Північна Африка зі значенням 50,7, </w:t>
      </w:r>
      <w:r w:rsidR="002E204E">
        <w:rPr>
          <w:rFonts w:ascii="Times New Roman" w:hAnsi="Times New Roman" w:cs="Times New Roman"/>
          <w:sz w:val="28"/>
          <w:szCs w:val="28"/>
          <w:lang w:val="uk-UA"/>
        </w:rPr>
        <w:t xml:space="preserve">Латинська Америка зі значенням </w:t>
      </w:r>
      <w:r w:rsidRPr="00F8585E">
        <w:rPr>
          <w:rFonts w:ascii="Times New Roman" w:hAnsi="Times New Roman" w:cs="Times New Roman"/>
          <w:sz w:val="28"/>
          <w:szCs w:val="28"/>
          <w:lang w:val="uk-UA"/>
        </w:rPr>
        <w:t>47,3, Азіатсько-Тихоокеанський</w:t>
      </w:r>
      <w:r w:rsidR="002E204E">
        <w:rPr>
          <w:rFonts w:ascii="Times New Roman" w:hAnsi="Times New Roman" w:cs="Times New Roman"/>
          <w:sz w:val="28"/>
          <w:szCs w:val="28"/>
          <w:lang w:val="uk-UA"/>
        </w:rPr>
        <w:t xml:space="preserve"> регіон ‒ 41,8, а Субсахарна Аф</w:t>
      </w:r>
      <w:r w:rsidRPr="00F8585E">
        <w:rPr>
          <w:rFonts w:ascii="Times New Roman" w:hAnsi="Times New Roman" w:cs="Times New Roman"/>
          <w:sz w:val="28"/>
          <w:szCs w:val="28"/>
          <w:lang w:val="uk-UA"/>
        </w:rPr>
        <w:t>рика ‒ 39,4 (див. рис. 2.13).</w:t>
      </w:r>
    </w:p>
    <w:p w:rsidR="0017608D" w:rsidRPr="00872460" w:rsidRDefault="00860B9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 xml:space="preserve">Фінансова свобода є одночасно показником ефективності банківської діяльності та мірою незалежності від державного контролю і втручання у фінансовий сектор. Державна власність на банки та інші фінансові установи, такі як страхові компанії та ринки капіталу, зменшує конкуренцію і загалом знижує рівень доступу до кредитів. Для оцінки загального рівня фінансової свободи, що забезпечує легкий та ефективний доступ до фінансових можливостей для населення та бізнесу в економіці країни, Індекс враховує п'ять широких сфер: ступінь державного регулювання фінансових послуг, ступінь втручання держави в діяльність банків та інших фінансових компаній через пряме та опосередковане володіння, вплив уряду на розподіл кредитів, ступінь </w:t>
      </w:r>
      <w:r w:rsidRPr="00F8585E">
        <w:rPr>
          <w:rFonts w:ascii="Times New Roman" w:hAnsi="Times New Roman" w:cs="Times New Roman"/>
          <w:sz w:val="28"/>
          <w:szCs w:val="28"/>
          <w:lang w:val="uk-UA"/>
        </w:rPr>
        <w:lastRenderedPageBreak/>
        <w:t>розвитку фінансового ринку та ринку капіталу, а також відкриті</w:t>
      </w:r>
      <w:r w:rsidR="0017608D">
        <w:rPr>
          <w:rFonts w:ascii="Times New Roman" w:hAnsi="Times New Roman" w:cs="Times New Roman"/>
          <w:sz w:val="28"/>
          <w:szCs w:val="28"/>
          <w:lang w:val="uk-UA"/>
        </w:rPr>
        <w:t>сть до іноземної конкуренції [1</w:t>
      </w:r>
      <w:r w:rsidR="0017608D" w:rsidRPr="0017608D">
        <w:rPr>
          <w:rFonts w:ascii="Times New Roman" w:hAnsi="Times New Roman" w:cs="Times New Roman"/>
          <w:sz w:val="28"/>
          <w:szCs w:val="28"/>
          <w:lang w:val="uk-UA"/>
        </w:rPr>
        <w:t>8</w:t>
      </w:r>
      <w:r w:rsidRPr="00F8585E">
        <w:rPr>
          <w:rFonts w:ascii="Times New Roman" w:hAnsi="Times New Roman" w:cs="Times New Roman"/>
          <w:sz w:val="28"/>
          <w:szCs w:val="28"/>
          <w:lang w:val="uk-UA"/>
        </w:rPr>
        <w:t>].</w:t>
      </w:r>
      <w:r w:rsidR="00A43EA3" w:rsidRPr="00F8585E">
        <w:rPr>
          <w:rFonts w:ascii="Times New Roman" w:hAnsi="Times New Roman" w:cs="Times New Roman"/>
          <w:sz w:val="28"/>
          <w:szCs w:val="28"/>
          <w:lang w:val="uk-UA"/>
        </w:rPr>
        <w:tab/>
      </w:r>
    </w:p>
    <w:p w:rsidR="00B81FEA" w:rsidRPr="00F8585E" w:rsidRDefault="00E56FA4"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Отже, з</w:t>
      </w:r>
      <w:r w:rsidR="00860B9B" w:rsidRPr="00F8585E">
        <w:rPr>
          <w:rFonts w:ascii="Times New Roman" w:hAnsi="Times New Roman" w:cs="Times New Roman"/>
          <w:sz w:val="28"/>
          <w:szCs w:val="28"/>
          <w:lang w:val="uk-UA"/>
        </w:rPr>
        <w:t xml:space="preserve"> аналізу індексу економічної свободи випливає, </w:t>
      </w:r>
      <w:r w:rsidR="00B5750C" w:rsidRPr="00F8585E">
        <w:rPr>
          <w:rFonts w:ascii="Times New Roman" w:hAnsi="Times New Roman" w:cs="Times New Roman"/>
          <w:sz w:val="28"/>
          <w:szCs w:val="28"/>
          <w:lang w:val="uk-UA"/>
        </w:rPr>
        <w:t xml:space="preserve">що рівень економічної свободи </w:t>
      </w:r>
      <w:r w:rsidR="00860B9B" w:rsidRPr="00F8585E">
        <w:rPr>
          <w:rFonts w:ascii="Times New Roman" w:hAnsi="Times New Roman" w:cs="Times New Roman"/>
          <w:sz w:val="28"/>
          <w:szCs w:val="28"/>
          <w:lang w:val="uk-UA"/>
        </w:rPr>
        <w:t>в різних регіонах світу значно відрізняється. Північна Америка та Європа виявляються лідерами у багатьох складових, таких як права власності, доброчесність уряду та ефективність судової системи, що свідчить про стабільність і прозорість управління в цих регіонах. Це робить їх привабливими для інвестицій</w:t>
      </w:r>
      <w:r w:rsidR="00B5750C" w:rsidRPr="00F8585E">
        <w:rPr>
          <w:rFonts w:ascii="Times New Roman" w:hAnsi="Times New Roman" w:cs="Times New Roman"/>
          <w:sz w:val="28"/>
          <w:szCs w:val="28"/>
          <w:lang w:val="uk-UA"/>
        </w:rPr>
        <w:t xml:space="preserve"> та транснаціональних операцій. </w:t>
      </w:r>
      <w:r w:rsidR="00860B9B" w:rsidRPr="00F8585E">
        <w:rPr>
          <w:rFonts w:ascii="Times New Roman" w:hAnsi="Times New Roman" w:cs="Times New Roman"/>
          <w:sz w:val="28"/>
          <w:szCs w:val="28"/>
          <w:lang w:val="uk-UA"/>
        </w:rPr>
        <w:t xml:space="preserve">У той час як Північна Америка і Європа мають високі рівні економічної свободи, регіони Південної та Східної Африки, а також Південно-Східна Азія відзначаються нижчими значеннями у багатьох складових, що може гальмувати їхній потенціал для залучення іноземних інвестицій та </w:t>
      </w:r>
      <w:r w:rsidR="00860B9B" w:rsidRPr="00BA543B">
        <w:rPr>
          <w:rFonts w:ascii="Times New Roman" w:hAnsi="Times New Roman" w:cs="Times New Roman"/>
          <w:sz w:val="28"/>
          <w:szCs w:val="28"/>
          <w:lang w:val="uk-UA"/>
        </w:rPr>
        <w:t>розвитку тра</w:t>
      </w:r>
      <w:r w:rsidR="00B5750C" w:rsidRPr="00BA543B">
        <w:rPr>
          <w:rFonts w:ascii="Times New Roman" w:hAnsi="Times New Roman" w:cs="Times New Roman"/>
          <w:sz w:val="28"/>
          <w:szCs w:val="28"/>
          <w:lang w:val="uk-UA"/>
        </w:rPr>
        <w:t>нснаціональних бізнес-операцій. Було отримано</w:t>
      </w:r>
      <w:r w:rsidR="000E6719" w:rsidRPr="00BA543B">
        <w:rPr>
          <w:rFonts w:ascii="Times New Roman" w:hAnsi="Times New Roman" w:cs="Times New Roman"/>
          <w:sz w:val="28"/>
          <w:szCs w:val="28"/>
          <w:lang w:val="uk-UA"/>
        </w:rPr>
        <w:t xml:space="preserve"> комплексне розуміння </w:t>
      </w:r>
      <w:r w:rsidR="00860B9B" w:rsidRPr="00BA543B">
        <w:rPr>
          <w:rFonts w:ascii="Times New Roman" w:hAnsi="Times New Roman" w:cs="Times New Roman"/>
          <w:sz w:val="28"/>
          <w:szCs w:val="28"/>
          <w:lang w:val="uk-UA"/>
        </w:rPr>
        <w:t>економічного</w:t>
      </w:r>
      <w:r w:rsidR="00860B9B" w:rsidRPr="00F8585E">
        <w:rPr>
          <w:rFonts w:ascii="Times New Roman" w:hAnsi="Times New Roman" w:cs="Times New Roman"/>
          <w:sz w:val="28"/>
          <w:szCs w:val="28"/>
          <w:lang w:val="uk-UA"/>
        </w:rPr>
        <w:t xml:space="preserve"> середовища в різних регіонах, що є важливим для розуміння можливостей та обмежень щодо інвестицій та транснаціональної діяльності.</w:t>
      </w:r>
    </w:p>
    <w:p w:rsidR="005948D7" w:rsidRPr="00F8585E" w:rsidRDefault="005948D7" w:rsidP="00836606">
      <w:pPr>
        <w:spacing w:after="0" w:line="360" w:lineRule="auto"/>
        <w:jc w:val="both"/>
        <w:rPr>
          <w:rFonts w:ascii="Times New Roman" w:hAnsi="Times New Roman" w:cs="Times New Roman"/>
          <w:sz w:val="28"/>
          <w:szCs w:val="28"/>
          <w:lang w:val="uk-UA"/>
        </w:rPr>
      </w:pPr>
    </w:p>
    <w:p w:rsidR="00860B9B" w:rsidRPr="00F8585E" w:rsidRDefault="00B5750C" w:rsidP="00836606">
      <w:pPr>
        <w:spacing w:after="0" w:line="360" w:lineRule="auto"/>
        <w:jc w:val="both"/>
        <w:rPr>
          <w:rFonts w:ascii="Times New Roman" w:hAnsi="Times New Roman" w:cs="Times New Roman"/>
          <w:b/>
          <w:sz w:val="28"/>
          <w:szCs w:val="28"/>
          <w:lang w:val="uk-UA"/>
        </w:rPr>
      </w:pPr>
      <w:r w:rsidRPr="00F8585E">
        <w:rPr>
          <w:rFonts w:ascii="Times New Roman" w:hAnsi="Times New Roman" w:cs="Times New Roman"/>
          <w:b/>
          <w:sz w:val="28"/>
          <w:szCs w:val="28"/>
          <w:lang w:val="uk-UA"/>
        </w:rPr>
        <w:tab/>
        <w:t>2.2.</w:t>
      </w:r>
      <w:r w:rsidRPr="00F8585E">
        <w:rPr>
          <w:rFonts w:ascii="Times New Roman" w:hAnsi="Times New Roman" w:cs="Times New Roman"/>
          <w:b/>
          <w:bCs/>
          <w:sz w:val="28"/>
          <w:szCs w:val="28"/>
          <w:lang w:val="uk-UA"/>
        </w:rPr>
        <w:t xml:space="preserve"> </w:t>
      </w:r>
      <w:r w:rsidRPr="00F8585E">
        <w:rPr>
          <w:rFonts w:ascii="Times New Roman" w:hAnsi="Times New Roman" w:cs="Times New Roman"/>
          <w:b/>
          <w:sz w:val="28"/>
          <w:szCs w:val="28"/>
          <w:lang w:val="uk-UA"/>
        </w:rPr>
        <w:t>Моделювання факторів впливу на транснаціональну діяльність</w:t>
      </w:r>
    </w:p>
    <w:p w:rsidR="00860B9B" w:rsidRPr="00F8585E" w:rsidRDefault="00860B9B" w:rsidP="00836606">
      <w:pPr>
        <w:spacing w:after="0" w:line="360" w:lineRule="auto"/>
        <w:jc w:val="both"/>
        <w:rPr>
          <w:rFonts w:ascii="Times New Roman" w:hAnsi="Times New Roman" w:cs="Times New Roman"/>
          <w:sz w:val="28"/>
          <w:szCs w:val="28"/>
          <w:lang w:val="uk-UA"/>
        </w:rPr>
      </w:pPr>
    </w:p>
    <w:p w:rsidR="00DB125A" w:rsidRPr="00F8585E" w:rsidRDefault="00DD5AF8" w:rsidP="00836606">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Було проаналізовано фактори, які формують інвестиційний клімат, в різних регіонах світу, надалі доцільним буде дослідити, які з розглянутих чинників мають вплив на </w:t>
      </w:r>
      <w:r w:rsidR="002969F9">
        <w:rPr>
          <w:rFonts w:ascii="Times New Roman" w:hAnsi="Times New Roman" w:cs="Times New Roman"/>
          <w:sz w:val="28"/>
          <w:szCs w:val="28"/>
          <w:lang w:val="uk-UA"/>
        </w:rPr>
        <w:t>рівень транснаціональної діяльності в Україні та виявити особливості цих факторів.</w:t>
      </w:r>
      <w:r>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t xml:space="preserve">Для </w:t>
      </w:r>
      <w:r w:rsidR="002969F9">
        <w:rPr>
          <w:rFonts w:ascii="Times New Roman" w:hAnsi="Times New Roman" w:cs="Times New Roman"/>
          <w:sz w:val="28"/>
          <w:szCs w:val="28"/>
          <w:lang w:val="uk-UA"/>
        </w:rPr>
        <w:t xml:space="preserve">цього </w:t>
      </w:r>
      <w:r w:rsidR="00DB125A" w:rsidRPr="00F8585E">
        <w:rPr>
          <w:rFonts w:ascii="Times New Roman" w:hAnsi="Times New Roman" w:cs="Times New Roman"/>
          <w:sz w:val="28"/>
          <w:szCs w:val="28"/>
          <w:lang w:val="uk-UA"/>
        </w:rPr>
        <w:t xml:space="preserve">був використаний </w:t>
      </w:r>
      <w:r w:rsidR="00DB125A" w:rsidRPr="00F8585E">
        <w:rPr>
          <w:rFonts w:ascii="Times New Roman" w:hAnsi="Times New Roman" w:cs="Times New Roman"/>
          <w:color w:val="000000" w:themeColor="text1"/>
          <w:sz w:val="28"/>
          <w:szCs w:val="28"/>
          <w:lang w:val="uk-UA"/>
        </w:rPr>
        <w:t xml:space="preserve">математико-статистичний метод вивчення взаємозв’язку, </w:t>
      </w:r>
      <w:r w:rsidR="002969F9">
        <w:rPr>
          <w:rFonts w:ascii="Times New Roman" w:hAnsi="Times New Roman" w:cs="Times New Roman"/>
          <w:color w:val="000000" w:themeColor="text1"/>
          <w:sz w:val="28"/>
          <w:szCs w:val="28"/>
          <w:lang w:val="uk-UA"/>
        </w:rPr>
        <w:t xml:space="preserve"> </w:t>
      </w:r>
      <w:r w:rsidR="00DB125A" w:rsidRPr="00F8585E">
        <w:rPr>
          <w:rFonts w:ascii="Times New Roman" w:hAnsi="Times New Roman" w:cs="Times New Roman"/>
          <w:color w:val="000000" w:themeColor="text1"/>
          <w:sz w:val="28"/>
          <w:szCs w:val="28"/>
          <w:lang w:val="uk-UA"/>
        </w:rPr>
        <w:t xml:space="preserve">а саме регресійний аналіз часових рядів. </w:t>
      </w:r>
    </w:p>
    <w:p w:rsidR="00BF024A" w:rsidRDefault="00DB125A" w:rsidP="00836606">
      <w:pPr>
        <w:spacing w:after="0" w:line="360" w:lineRule="auto"/>
        <w:ind w:firstLine="708"/>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t xml:space="preserve">У якості залежної змінної був обраний показник </w:t>
      </w:r>
      <w:r w:rsidR="002969F9">
        <w:rPr>
          <w:rFonts w:ascii="Times New Roman" w:hAnsi="Times New Roman" w:cs="Times New Roman"/>
          <w:color w:val="000000" w:themeColor="text1"/>
          <w:sz w:val="28"/>
          <w:szCs w:val="28"/>
          <w:lang w:val="uk-UA"/>
        </w:rPr>
        <w:t>міжнародної інвестиційної позиції</w:t>
      </w:r>
      <w:r w:rsidR="00710E0D" w:rsidRPr="00F8585E">
        <w:rPr>
          <w:rFonts w:ascii="Times New Roman" w:hAnsi="Times New Roman" w:cs="Times New Roman"/>
          <w:color w:val="000000" w:themeColor="text1"/>
          <w:sz w:val="28"/>
          <w:szCs w:val="28"/>
          <w:lang w:val="uk-UA"/>
        </w:rPr>
        <w:t xml:space="preserve"> України</w:t>
      </w:r>
      <w:r w:rsidRPr="00F8585E">
        <w:rPr>
          <w:rFonts w:ascii="Times New Roman" w:hAnsi="Times New Roman" w:cs="Times New Roman"/>
          <w:color w:val="000000" w:themeColor="text1"/>
          <w:sz w:val="28"/>
          <w:szCs w:val="28"/>
          <w:lang w:val="uk-UA"/>
        </w:rPr>
        <w:t>. У якості незалежних змінних (факторів впливу) були обрані раніше згадані фактори інвестиційного клімату, а саме компоненти Індексу еконо</w:t>
      </w:r>
      <w:r w:rsidR="005753F4" w:rsidRPr="00F8585E">
        <w:rPr>
          <w:rFonts w:ascii="Times New Roman" w:hAnsi="Times New Roman" w:cs="Times New Roman"/>
          <w:color w:val="000000" w:themeColor="text1"/>
          <w:sz w:val="28"/>
          <w:szCs w:val="28"/>
          <w:lang w:val="uk-UA"/>
        </w:rPr>
        <w:t>мічної свободи</w:t>
      </w:r>
      <w:r w:rsidRPr="00F8585E">
        <w:rPr>
          <w:rFonts w:ascii="Times New Roman" w:hAnsi="Times New Roman" w:cs="Times New Roman"/>
          <w:color w:val="000000" w:themeColor="text1"/>
          <w:sz w:val="28"/>
          <w:szCs w:val="28"/>
          <w:lang w:val="uk-UA"/>
        </w:rPr>
        <w:t xml:space="preserve">: державні витрати, монетарна свобода та доброчесність уряду. </w:t>
      </w:r>
    </w:p>
    <w:p w:rsidR="00BF024A" w:rsidRDefault="00BF024A" w:rsidP="00BF024A">
      <w:pPr>
        <w:spacing w:after="0" w:line="360" w:lineRule="auto"/>
        <w:ind w:firstLine="708"/>
        <w:jc w:val="both"/>
        <w:rPr>
          <w:rFonts w:ascii="Times New Roman" w:hAnsi="Times New Roman" w:cs="Times New Roman"/>
          <w:color w:val="000000" w:themeColor="text1"/>
          <w:sz w:val="28"/>
          <w:szCs w:val="28"/>
          <w:lang w:val="uk-UA"/>
        </w:rPr>
      </w:pPr>
      <w:r w:rsidRPr="00BF024A">
        <w:rPr>
          <w:rFonts w:ascii="Times New Roman" w:hAnsi="Times New Roman" w:cs="Times New Roman"/>
          <w:color w:val="000000" w:themeColor="text1"/>
          <w:sz w:val="28"/>
          <w:szCs w:val="28"/>
          <w:lang w:val="uk-UA"/>
        </w:rPr>
        <w:lastRenderedPageBreak/>
        <w:t>Державні витрати, монетарна свобода та доброчесність уряду безпосередньо відображають ключові економічні та політичні викли</w:t>
      </w:r>
      <w:r>
        <w:rPr>
          <w:rFonts w:ascii="Times New Roman" w:hAnsi="Times New Roman" w:cs="Times New Roman"/>
          <w:color w:val="000000" w:themeColor="text1"/>
          <w:sz w:val="28"/>
          <w:szCs w:val="28"/>
          <w:lang w:val="uk-UA"/>
        </w:rPr>
        <w:t xml:space="preserve">ки, з якими стикається Україна. </w:t>
      </w:r>
      <w:r w:rsidRPr="00BF024A">
        <w:rPr>
          <w:rFonts w:ascii="Times New Roman" w:hAnsi="Times New Roman" w:cs="Times New Roman"/>
          <w:color w:val="000000" w:themeColor="text1"/>
          <w:sz w:val="28"/>
          <w:szCs w:val="28"/>
          <w:lang w:val="uk-UA"/>
        </w:rPr>
        <w:t>Ці компоненти значною мірою визначають інвестиційну привабливість країни, впливаючи на рішення іноземних інвесторів щодо вкладення капіталу в українську економіку.</w:t>
      </w:r>
      <w:r>
        <w:rPr>
          <w:rFonts w:ascii="Times New Roman" w:hAnsi="Times New Roman" w:cs="Times New Roman"/>
          <w:color w:val="000000" w:themeColor="text1"/>
          <w:sz w:val="28"/>
          <w:szCs w:val="28"/>
          <w:lang w:val="uk-UA"/>
        </w:rPr>
        <w:t xml:space="preserve"> </w:t>
      </w:r>
    </w:p>
    <w:p w:rsidR="00BF024A" w:rsidRPr="00BF024A" w:rsidRDefault="00BF024A" w:rsidP="00836606">
      <w:pPr>
        <w:spacing w:after="0" w:line="360" w:lineRule="auto"/>
        <w:ind w:firstLine="708"/>
        <w:jc w:val="both"/>
        <w:rPr>
          <w:rFonts w:ascii="Times New Roman" w:hAnsi="Times New Roman" w:cs="Times New Roman"/>
          <w:color w:val="000000" w:themeColor="text1"/>
          <w:sz w:val="28"/>
          <w:szCs w:val="28"/>
          <w:lang w:val="uk-UA"/>
        </w:rPr>
      </w:pPr>
      <w:r w:rsidRPr="00BF024A">
        <w:rPr>
          <w:rFonts w:ascii="Times New Roman" w:hAnsi="Times New Roman" w:cs="Times New Roman"/>
          <w:color w:val="000000" w:themeColor="text1"/>
          <w:sz w:val="28"/>
          <w:szCs w:val="28"/>
          <w:lang w:val="uk-UA"/>
        </w:rPr>
        <w:t>В Україні значна частка економіки контролюється державними підприєм</w:t>
      </w:r>
      <w:r>
        <w:rPr>
          <w:rFonts w:ascii="Times New Roman" w:hAnsi="Times New Roman" w:cs="Times New Roman"/>
          <w:color w:val="000000" w:themeColor="text1"/>
          <w:sz w:val="28"/>
          <w:szCs w:val="28"/>
          <w:lang w:val="uk-UA"/>
        </w:rPr>
        <w:t>ствами та державними витратами, отже а</w:t>
      </w:r>
      <w:r w:rsidRPr="00BF024A">
        <w:rPr>
          <w:rFonts w:ascii="Times New Roman" w:hAnsi="Times New Roman" w:cs="Times New Roman"/>
          <w:color w:val="000000" w:themeColor="text1"/>
          <w:sz w:val="28"/>
          <w:szCs w:val="28"/>
          <w:lang w:val="uk-UA"/>
        </w:rPr>
        <w:t>наліз державних витрат дозволяє оцінити, наскільки ефективно уряд використовує фінансові ресурси для розвитку інфраструктури, охорони здоров'я, освіти тощо, що є важливими для створення спри</w:t>
      </w:r>
      <w:r>
        <w:rPr>
          <w:rFonts w:ascii="Times New Roman" w:hAnsi="Times New Roman" w:cs="Times New Roman"/>
          <w:color w:val="000000" w:themeColor="text1"/>
          <w:sz w:val="28"/>
          <w:szCs w:val="28"/>
          <w:lang w:val="uk-UA"/>
        </w:rPr>
        <w:t xml:space="preserve">ятливого інвестиційного клімату. </w:t>
      </w:r>
      <w:r w:rsidRPr="00BF024A">
        <w:rPr>
          <w:rFonts w:ascii="Times New Roman" w:hAnsi="Times New Roman" w:cs="Times New Roman"/>
          <w:color w:val="000000" w:themeColor="text1"/>
          <w:sz w:val="28"/>
          <w:szCs w:val="28"/>
          <w:lang w:val="uk-UA"/>
        </w:rPr>
        <w:t>Україна історично стикалася з високою інфляцією та нестабільністю гривні, що є критичними факторами для інвесторів. Монетарна свобода відображає стабільність цін та політику центрального банку, що безпосередньо впливає на інвестиційну привабливість країни.</w:t>
      </w:r>
      <w:r>
        <w:rPr>
          <w:rFonts w:ascii="Times New Roman" w:hAnsi="Times New Roman" w:cs="Times New Roman"/>
          <w:color w:val="000000" w:themeColor="text1"/>
          <w:sz w:val="28"/>
          <w:szCs w:val="28"/>
          <w:lang w:val="uk-UA"/>
        </w:rPr>
        <w:t xml:space="preserve"> </w:t>
      </w:r>
      <w:r w:rsidRPr="00BF024A">
        <w:rPr>
          <w:rFonts w:ascii="Times New Roman" w:hAnsi="Times New Roman" w:cs="Times New Roman"/>
          <w:color w:val="000000" w:themeColor="text1"/>
          <w:sz w:val="28"/>
          <w:szCs w:val="28"/>
          <w:lang w:val="uk-UA"/>
        </w:rPr>
        <w:t xml:space="preserve">Україна </w:t>
      </w:r>
      <w:r>
        <w:rPr>
          <w:rFonts w:ascii="Times New Roman" w:hAnsi="Times New Roman" w:cs="Times New Roman"/>
          <w:color w:val="000000" w:themeColor="text1"/>
          <w:sz w:val="28"/>
          <w:szCs w:val="28"/>
          <w:lang w:val="uk-UA"/>
        </w:rPr>
        <w:t xml:space="preserve">також </w:t>
      </w:r>
      <w:r w:rsidRPr="00BF024A">
        <w:rPr>
          <w:rFonts w:ascii="Times New Roman" w:hAnsi="Times New Roman" w:cs="Times New Roman"/>
          <w:color w:val="000000" w:themeColor="text1"/>
          <w:sz w:val="28"/>
          <w:szCs w:val="28"/>
          <w:lang w:val="uk-UA"/>
        </w:rPr>
        <w:t>має проблеми з корупцією, яка є однією з головних перепон для іноземних інвестицій. Доброчесність уряду відображає рівень корупції та ефективність уря</w:t>
      </w:r>
      <w:r>
        <w:rPr>
          <w:rFonts w:ascii="Times New Roman" w:hAnsi="Times New Roman" w:cs="Times New Roman"/>
          <w:color w:val="000000" w:themeColor="text1"/>
          <w:sz w:val="28"/>
          <w:szCs w:val="28"/>
          <w:lang w:val="uk-UA"/>
        </w:rPr>
        <w:t>дової політики в боротьбі з нею, а в</w:t>
      </w:r>
      <w:r w:rsidRPr="00BF024A">
        <w:rPr>
          <w:rFonts w:ascii="Times New Roman" w:hAnsi="Times New Roman" w:cs="Times New Roman"/>
          <w:color w:val="000000" w:themeColor="text1"/>
          <w:sz w:val="28"/>
          <w:szCs w:val="28"/>
          <w:lang w:val="uk-UA"/>
        </w:rPr>
        <w:t>исокий рівень доброчесності уряду свідчить про прозорість, підзвітність та ефективність державних інституцій, що сприяє створенню сприятливого бізнес-клімату та підвищує довіру інвесторів.</w:t>
      </w:r>
    </w:p>
    <w:p w:rsidR="00DB125A" w:rsidRPr="00F8585E" w:rsidRDefault="00DB125A" w:rsidP="00836606">
      <w:pPr>
        <w:spacing w:after="0" w:line="360" w:lineRule="auto"/>
        <w:ind w:firstLine="708"/>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t xml:space="preserve">У якості контрольних змінних були взяті </w:t>
      </w:r>
      <w:r w:rsidR="000C09E0" w:rsidRPr="00F8585E">
        <w:rPr>
          <w:rFonts w:ascii="Times New Roman" w:hAnsi="Times New Roman" w:cs="Times New Roman"/>
          <w:color w:val="000000" w:themeColor="text1"/>
          <w:sz w:val="28"/>
          <w:szCs w:val="28"/>
          <w:lang w:val="uk-UA"/>
        </w:rPr>
        <w:t>зовнішній</w:t>
      </w:r>
      <w:r w:rsidRPr="00F8585E">
        <w:rPr>
          <w:rFonts w:ascii="Times New Roman" w:hAnsi="Times New Roman" w:cs="Times New Roman"/>
          <w:color w:val="000000" w:themeColor="text1"/>
          <w:sz w:val="28"/>
          <w:szCs w:val="28"/>
          <w:lang w:val="uk-UA"/>
        </w:rPr>
        <w:t xml:space="preserve"> борг та </w:t>
      </w:r>
      <w:r w:rsidR="0019259A" w:rsidRPr="00F8585E">
        <w:rPr>
          <w:rFonts w:ascii="Times New Roman" w:hAnsi="Times New Roman" w:cs="Times New Roman"/>
          <w:color w:val="000000" w:themeColor="text1"/>
          <w:sz w:val="28"/>
          <w:szCs w:val="28"/>
          <w:lang w:val="uk-UA"/>
        </w:rPr>
        <w:t>рівень безробіття</w:t>
      </w:r>
      <w:r w:rsidRPr="00F8585E">
        <w:rPr>
          <w:rFonts w:ascii="Times New Roman" w:hAnsi="Times New Roman" w:cs="Times New Roman"/>
          <w:color w:val="000000" w:themeColor="text1"/>
          <w:sz w:val="28"/>
          <w:szCs w:val="28"/>
          <w:lang w:val="uk-UA"/>
        </w:rPr>
        <w:t>.</w:t>
      </w:r>
    </w:p>
    <w:p w:rsidR="005753F4" w:rsidRPr="00F8585E" w:rsidRDefault="005753F4" w:rsidP="00836606">
      <w:pPr>
        <w:spacing w:after="0" w:line="360" w:lineRule="auto"/>
        <w:ind w:firstLine="708"/>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t xml:space="preserve">Зовнішній борг </w:t>
      </w:r>
      <w:r w:rsidRPr="00F8585E">
        <w:rPr>
          <w:rFonts w:ascii="Times New Roman" w:hAnsi="Times New Roman" w:cs="Times New Roman"/>
          <w:sz w:val="28"/>
          <w:szCs w:val="28"/>
          <w:lang w:val="uk-UA"/>
        </w:rPr>
        <w:sym w:font="Symbol" w:char="F02D"/>
      </w:r>
      <w:r w:rsidRPr="00F8585E">
        <w:rPr>
          <w:rFonts w:ascii="Times New Roman" w:hAnsi="Times New Roman" w:cs="Times New Roman"/>
          <w:color w:val="000000" w:themeColor="text1"/>
          <w:sz w:val="28"/>
          <w:szCs w:val="28"/>
          <w:lang w:val="uk-UA"/>
        </w:rPr>
        <w:t xml:space="preserve"> це частина боргу країни, яка позичається у іноземних кредиторів, включаючи комерційні банки, уряди або міжнародні фінансові установи. Ці кредити, включаючи відсотки, як правило, повинні бути виплачені в тій валюті,</w:t>
      </w:r>
      <w:r w:rsidR="002E204E">
        <w:rPr>
          <w:rFonts w:ascii="Times New Roman" w:hAnsi="Times New Roman" w:cs="Times New Roman"/>
          <w:color w:val="000000" w:themeColor="text1"/>
          <w:sz w:val="28"/>
          <w:szCs w:val="28"/>
          <w:lang w:val="uk-UA"/>
        </w:rPr>
        <w:t xml:space="preserve"> в якій був зроблений кредит [2</w:t>
      </w:r>
      <w:r w:rsidR="002E204E" w:rsidRPr="002E204E">
        <w:rPr>
          <w:rFonts w:ascii="Times New Roman" w:hAnsi="Times New Roman" w:cs="Times New Roman"/>
          <w:color w:val="000000" w:themeColor="text1"/>
          <w:sz w:val="28"/>
          <w:szCs w:val="28"/>
        </w:rPr>
        <w:t>7</w:t>
      </w:r>
      <w:r w:rsidRPr="00F8585E">
        <w:rPr>
          <w:rFonts w:ascii="Times New Roman" w:hAnsi="Times New Roman" w:cs="Times New Roman"/>
          <w:color w:val="000000" w:themeColor="text1"/>
          <w:sz w:val="28"/>
          <w:szCs w:val="28"/>
          <w:lang w:val="uk-UA"/>
        </w:rPr>
        <w:t>].</w:t>
      </w:r>
      <w:r w:rsidR="00836606" w:rsidRPr="00F8585E">
        <w:rPr>
          <w:rFonts w:ascii="Times New Roman" w:hAnsi="Times New Roman" w:cs="Times New Roman"/>
          <w:color w:val="000000" w:themeColor="text1"/>
          <w:sz w:val="28"/>
          <w:szCs w:val="28"/>
          <w:lang w:val="uk-UA"/>
        </w:rPr>
        <w:t xml:space="preserve"> Включення зовнішнього боргу як контрольної змінної дозволяє врахувати вплив фінансових зобов'язань країни на її міжнародну інвестиційну позицію, ізолюючи цей вплив від інших незалежних змінних.</w:t>
      </w:r>
    </w:p>
    <w:p w:rsidR="005753F4" w:rsidRPr="00872460" w:rsidRDefault="005753F4" w:rsidP="00836606">
      <w:pPr>
        <w:spacing w:after="0" w:line="360" w:lineRule="auto"/>
        <w:ind w:firstLine="708"/>
        <w:jc w:val="both"/>
        <w:rPr>
          <w:rFonts w:ascii="Times New Roman" w:hAnsi="Times New Roman" w:cs="Times New Roman"/>
          <w:color w:val="000000" w:themeColor="text1"/>
          <w:sz w:val="28"/>
          <w:szCs w:val="28"/>
          <w:lang w:val="uk-UA"/>
        </w:rPr>
      </w:pPr>
      <w:r w:rsidRPr="00F8585E">
        <w:rPr>
          <w:rFonts w:ascii="Times New Roman" w:hAnsi="Times New Roman" w:cs="Times New Roman"/>
          <w:color w:val="000000" w:themeColor="text1"/>
          <w:sz w:val="28"/>
          <w:szCs w:val="28"/>
          <w:lang w:val="uk-UA"/>
        </w:rPr>
        <w:lastRenderedPageBreak/>
        <w:t xml:space="preserve">Рівень безробіття </w:t>
      </w:r>
      <w:r w:rsidRPr="00F8585E">
        <w:rPr>
          <w:rFonts w:ascii="Times New Roman" w:hAnsi="Times New Roman" w:cs="Times New Roman"/>
          <w:sz w:val="28"/>
          <w:szCs w:val="28"/>
          <w:lang w:val="uk-UA"/>
        </w:rPr>
        <w:sym w:font="Symbol" w:char="F02D"/>
      </w:r>
      <w:r w:rsidRPr="00F8585E">
        <w:rPr>
          <w:rFonts w:ascii="Times New Roman" w:hAnsi="Times New Roman" w:cs="Times New Roman"/>
          <w:color w:val="000000" w:themeColor="text1"/>
          <w:sz w:val="28"/>
          <w:szCs w:val="28"/>
          <w:lang w:val="uk-UA"/>
        </w:rPr>
        <w:t xml:space="preserve"> це відсоток робочої сили без роботи. Цей показник, як правило, піднімається або падає після зміни економічних умов: коли економіка знаходиться в поганому стані, а робочі місця обмежені, рівень безробіття може зрости, коли економіка зростає здоровими темпами, а робочих місць відносно баг</w:t>
      </w:r>
      <w:r w:rsidR="002E204E">
        <w:rPr>
          <w:rFonts w:ascii="Times New Roman" w:hAnsi="Times New Roman" w:cs="Times New Roman"/>
          <w:color w:val="000000" w:themeColor="text1"/>
          <w:sz w:val="28"/>
          <w:szCs w:val="28"/>
          <w:lang w:val="uk-UA"/>
        </w:rPr>
        <w:t>ато, можна очікувати падіння [2</w:t>
      </w:r>
      <w:r w:rsidR="002E204E" w:rsidRPr="002E204E">
        <w:rPr>
          <w:rFonts w:ascii="Times New Roman" w:hAnsi="Times New Roman" w:cs="Times New Roman"/>
          <w:color w:val="000000" w:themeColor="text1"/>
          <w:sz w:val="28"/>
          <w:szCs w:val="28"/>
          <w:lang w:val="uk-UA"/>
        </w:rPr>
        <w:t>8</w:t>
      </w:r>
      <w:r w:rsidRPr="00F8585E">
        <w:rPr>
          <w:rFonts w:ascii="Times New Roman" w:hAnsi="Times New Roman" w:cs="Times New Roman"/>
          <w:color w:val="000000" w:themeColor="text1"/>
          <w:sz w:val="28"/>
          <w:szCs w:val="28"/>
          <w:lang w:val="uk-UA"/>
        </w:rPr>
        <w:t>].</w:t>
      </w:r>
      <w:r w:rsidR="00836606" w:rsidRPr="00F8585E">
        <w:rPr>
          <w:rFonts w:ascii="Times New Roman" w:hAnsi="Times New Roman" w:cs="Times New Roman"/>
          <w:color w:val="000000" w:themeColor="text1"/>
          <w:sz w:val="28"/>
          <w:szCs w:val="28"/>
          <w:lang w:val="uk-UA"/>
        </w:rPr>
        <w:t xml:space="preserve"> Використання рівня безробіття як контрольної змінної допомагає врахувати соціально-економічні умови, що впливають на інвестиційну привабливість країни.</w:t>
      </w:r>
    </w:p>
    <w:p w:rsidR="007514C7" w:rsidRPr="007514C7" w:rsidRDefault="007514C7" w:rsidP="007514C7">
      <w:pPr>
        <w:spacing w:after="0" w:line="360" w:lineRule="auto"/>
        <w:ind w:firstLine="708"/>
        <w:jc w:val="both"/>
        <w:rPr>
          <w:rFonts w:ascii="Times New Roman" w:hAnsi="Times New Roman" w:cs="Times New Roman"/>
          <w:color w:val="000000" w:themeColor="text1"/>
          <w:sz w:val="28"/>
          <w:szCs w:val="28"/>
          <w:lang w:val="uk-UA"/>
        </w:rPr>
      </w:pPr>
      <w:r w:rsidRPr="007514C7">
        <w:rPr>
          <w:rFonts w:ascii="Times New Roman" w:hAnsi="Times New Roman" w:cs="Times New Roman"/>
          <w:color w:val="000000" w:themeColor="text1"/>
          <w:sz w:val="28"/>
          <w:szCs w:val="28"/>
          <w:lang w:val="uk-UA"/>
        </w:rPr>
        <w:t>Чиста міжнародна інвестиційна позиція вимірює різницю між запасом іноземних активів країни та запасо</w:t>
      </w:r>
      <w:r>
        <w:rPr>
          <w:rFonts w:ascii="Times New Roman" w:hAnsi="Times New Roman" w:cs="Times New Roman"/>
          <w:color w:val="000000" w:themeColor="text1"/>
          <w:sz w:val="28"/>
          <w:szCs w:val="28"/>
          <w:lang w:val="uk-UA"/>
        </w:rPr>
        <w:t>м іноземних активів цієї країни</w:t>
      </w:r>
      <w:r w:rsidRPr="00872460">
        <w:rPr>
          <w:rFonts w:ascii="Times New Roman" w:hAnsi="Times New Roman" w:cs="Times New Roman"/>
          <w:color w:val="000000" w:themeColor="text1"/>
          <w:sz w:val="28"/>
          <w:szCs w:val="28"/>
          <w:lang w:val="uk-UA"/>
        </w:rPr>
        <w:t xml:space="preserve"> [29] </w:t>
      </w:r>
      <w:r>
        <w:rPr>
          <w:rFonts w:ascii="Times New Roman" w:hAnsi="Times New Roman" w:cs="Times New Roman"/>
          <w:color w:val="000000" w:themeColor="text1"/>
          <w:sz w:val="28"/>
          <w:szCs w:val="28"/>
          <w:lang w:val="uk-UA"/>
        </w:rPr>
        <w:t xml:space="preserve">та розраховується по формулі: </w:t>
      </w:r>
      <w:r w:rsidRPr="007514C7">
        <w:rPr>
          <w:rFonts w:ascii="Times New Roman" w:hAnsi="Times New Roman" w:cs="Times New Roman"/>
          <w:color w:val="000000" w:themeColor="text1"/>
          <w:sz w:val="28"/>
          <w:szCs w:val="28"/>
          <w:lang w:val="uk-UA"/>
        </w:rPr>
        <w:t>Чиста міжнародна інвестиційна позиція = Зовнішні активи - Зовнішні зобов'язання</w:t>
      </w:r>
      <w:r w:rsidRPr="00872460">
        <w:rPr>
          <w:rFonts w:ascii="Times New Roman" w:hAnsi="Times New Roman" w:cs="Times New Roman"/>
          <w:color w:val="000000" w:themeColor="text1"/>
          <w:sz w:val="28"/>
          <w:szCs w:val="28"/>
          <w:lang w:val="uk-UA"/>
        </w:rPr>
        <w:t xml:space="preserve"> [30]</w:t>
      </w:r>
      <w:r>
        <w:rPr>
          <w:rFonts w:ascii="Times New Roman" w:hAnsi="Times New Roman" w:cs="Times New Roman"/>
          <w:color w:val="000000" w:themeColor="text1"/>
          <w:sz w:val="28"/>
          <w:szCs w:val="28"/>
          <w:lang w:val="uk-UA"/>
        </w:rPr>
        <w:t>.</w:t>
      </w:r>
    </w:p>
    <w:p w:rsidR="007514C7" w:rsidRPr="00F8585E" w:rsidRDefault="007514C7" w:rsidP="007514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8585E">
        <w:rPr>
          <w:rFonts w:ascii="Times New Roman" w:hAnsi="Times New Roman" w:cs="Times New Roman"/>
          <w:sz w:val="28"/>
          <w:szCs w:val="28"/>
          <w:lang w:val="uk-UA"/>
        </w:rPr>
        <w:t xml:space="preserve">Динаміка </w:t>
      </w:r>
      <w:r>
        <w:rPr>
          <w:rFonts w:ascii="Times New Roman" w:hAnsi="Times New Roman" w:cs="Times New Roman"/>
          <w:sz w:val="28"/>
          <w:szCs w:val="28"/>
          <w:lang w:val="uk-UA"/>
        </w:rPr>
        <w:t xml:space="preserve">міжнародної інвестиційної позиції </w:t>
      </w:r>
      <w:r w:rsidRPr="00F8585E">
        <w:rPr>
          <w:rFonts w:ascii="Times New Roman" w:hAnsi="Times New Roman" w:cs="Times New Roman"/>
          <w:sz w:val="28"/>
          <w:szCs w:val="28"/>
          <w:lang w:val="uk-UA"/>
        </w:rPr>
        <w:t>України за 2000-2022 роки представлена</w:t>
      </w:r>
      <w:r>
        <w:rPr>
          <w:rFonts w:ascii="Times New Roman" w:hAnsi="Times New Roman" w:cs="Times New Roman"/>
          <w:sz w:val="28"/>
          <w:szCs w:val="28"/>
          <w:lang w:val="uk-UA"/>
        </w:rPr>
        <w:t xml:space="preserve"> нижче на рис. 2.14</w:t>
      </w:r>
      <w:r w:rsidRPr="00F8585E">
        <w:rPr>
          <w:rFonts w:ascii="Times New Roman" w:hAnsi="Times New Roman" w:cs="Times New Roman"/>
          <w:sz w:val="28"/>
          <w:szCs w:val="28"/>
          <w:lang w:val="uk-UA"/>
        </w:rPr>
        <w:t>.</w:t>
      </w:r>
    </w:p>
    <w:p w:rsidR="007514C7" w:rsidRPr="00F8585E" w:rsidRDefault="007514C7" w:rsidP="007514C7">
      <w:pPr>
        <w:spacing w:after="0" w:line="360" w:lineRule="auto"/>
        <w:jc w:val="both"/>
        <w:rPr>
          <w:rFonts w:ascii="Times New Roman" w:hAnsi="Times New Roman" w:cs="Times New Roman"/>
          <w:sz w:val="28"/>
          <w:szCs w:val="28"/>
          <w:lang w:val="uk-UA"/>
        </w:rPr>
      </w:pPr>
      <w:r w:rsidRPr="00F8585E">
        <w:rPr>
          <w:b/>
          <w:noProof/>
          <w:sz w:val="28"/>
          <w:szCs w:val="28"/>
          <w:lang w:eastAsia="ru-RU"/>
        </w:rPr>
        <w:drawing>
          <wp:inline distT="0" distB="0" distL="0" distR="0" wp14:anchorId="1AB48979" wp14:editId="1B0AB449">
            <wp:extent cx="6121400" cy="2146300"/>
            <wp:effectExtent l="0" t="0" r="0" b="635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514C7" w:rsidRPr="00F8585E" w:rsidRDefault="007514C7" w:rsidP="007514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2.14</w:t>
      </w:r>
      <w:r w:rsidRPr="00F8585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Міжнародна інвестиційна позиція </w:t>
      </w:r>
      <w:r w:rsidRPr="00F8585E">
        <w:rPr>
          <w:rFonts w:ascii="Times New Roman" w:hAnsi="Times New Roman" w:cs="Times New Roman"/>
          <w:sz w:val="28"/>
          <w:szCs w:val="28"/>
          <w:lang w:val="uk-UA"/>
        </w:rPr>
        <w:t xml:space="preserve">України за 2000-2022 роки </w:t>
      </w:r>
    </w:p>
    <w:p w:rsidR="007514C7" w:rsidRPr="00F8585E" w:rsidRDefault="007514C7" w:rsidP="007514C7">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Pr>
          <w:rFonts w:ascii="Times New Roman" w:hAnsi="Times New Roman" w:cs="Times New Roman"/>
          <w:sz w:val="28"/>
          <w:szCs w:val="28"/>
          <w:lang w:val="uk-UA"/>
        </w:rPr>
        <w:t>: складено автором на основі [34</w:t>
      </w:r>
      <w:r w:rsidRPr="00F8585E">
        <w:rPr>
          <w:rFonts w:ascii="Times New Roman" w:hAnsi="Times New Roman" w:cs="Times New Roman"/>
          <w:sz w:val="28"/>
          <w:szCs w:val="28"/>
          <w:lang w:val="uk-UA"/>
        </w:rPr>
        <w:t>].</w:t>
      </w:r>
    </w:p>
    <w:p w:rsidR="00BF024A" w:rsidRDefault="00DB125A" w:rsidP="00836606">
      <w:pPr>
        <w:tabs>
          <w:tab w:val="left" w:pos="512"/>
        </w:tabs>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p>
    <w:p w:rsidR="00BF024A" w:rsidRDefault="00BF024A" w:rsidP="00836606">
      <w:pPr>
        <w:tabs>
          <w:tab w:val="left" w:pos="51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Отже, о</w:t>
      </w:r>
      <w:r w:rsidRPr="00BF024A">
        <w:rPr>
          <w:rFonts w:ascii="Times New Roman" w:hAnsi="Times New Roman" w:cs="Times New Roman"/>
          <w:sz w:val="28"/>
          <w:szCs w:val="28"/>
          <w:lang w:val="uk-UA"/>
        </w:rPr>
        <w:t xml:space="preserve">брані показники дозволяють досягнути мети роботи, оскільки вони відображають ключові економічні та політичні чинники, що визначають інвестиційний клімат </w:t>
      </w:r>
      <w:r>
        <w:rPr>
          <w:rFonts w:ascii="Times New Roman" w:hAnsi="Times New Roman" w:cs="Times New Roman"/>
          <w:sz w:val="28"/>
          <w:szCs w:val="28"/>
          <w:lang w:val="uk-UA"/>
        </w:rPr>
        <w:t>в Україні</w:t>
      </w:r>
      <w:r w:rsidRPr="00BF024A">
        <w:rPr>
          <w:rFonts w:ascii="Times New Roman" w:hAnsi="Times New Roman" w:cs="Times New Roman"/>
          <w:sz w:val="28"/>
          <w:szCs w:val="28"/>
          <w:lang w:val="uk-UA"/>
        </w:rPr>
        <w:t>. Аналізуючи їх вплив на міжнародну інвестиційну позицію за допомогою регресійного аналізу часових рядів, можна виявити регіональні особливості, які найбільше впливають</w:t>
      </w:r>
      <w:r>
        <w:rPr>
          <w:rFonts w:ascii="Times New Roman" w:hAnsi="Times New Roman" w:cs="Times New Roman"/>
          <w:sz w:val="28"/>
          <w:szCs w:val="28"/>
          <w:lang w:val="uk-UA"/>
        </w:rPr>
        <w:t xml:space="preserve"> на транснаціональну діяльність</w:t>
      </w:r>
      <w:r w:rsidRPr="00BF024A">
        <w:rPr>
          <w:rFonts w:ascii="Times New Roman" w:hAnsi="Times New Roman" w:cs="Times New Roman"/>
          <w:sz w:val="28"/>
          <w:szCs w:val="28"/>
          <w:lang w:val="uk-UA"/>
        </w:rPr>
        <w:t xml:space="preserve">. Це допоможе визначити, які аспекти економічної політики </w:t>
      </w:r>
      <w:r w:rsidRPr="00BF024A">
        <w:rPr>
          <w:rFonts w:ascii="Times New Roman" w:hAnsi="Times New Roman" w:cs="Times New Roman"/>
          <w:sz w:val="28"/>
          <w:szCs w:val="28"/>
          <w:lang w:val="uk-UA"/>
        </w:rPr>
        <w:lastRenderedPageBreak/>
        <w:t>потребують удосконалення для покращення інвестиційного клімату та стимулювання транснаціональної діяльності.</w:t>
      </w:r>
    </w:p>
    <w:p w:rsidR="00DB125A" w:rsidRPr="00F8585E" w:rsidRDefault="00BF024A" w:rsidP="00836606">
      <w:pPr>
        <w:tabs>
          <w:tab w:val="left" w:pos="51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B125A" w:rsidRPr="00F8585E">
        <w:rPr>
          <w:rFonts w:ascii="Times New Roman" w:hAnsi="Times New Roman" w:cs="Times New Roman"/>
          <w:sz w:val="28"/>
          <w:szCs w:val="28"/>
          <w:lang w:val="uk-UA"/>
        </w:rPr>
        <w:t>Дана модель була оцінена на підставі статистичних даних України за період 2000-2022 років, показники отримано з бази даних</w:t>
      </w:r>
      <w:r w:rsidR="00E6314B" w:rsidRPr="00F8585E">
        <w:rPr>
          <w:rFonts w:ascii="Times New Roman" w:hAnsi="Times New Roman" w:cs="Times New Roman"/>
          <w:sz w:val="28"/>
          <w:szCs w:val="28"/>
          <w:lang w:val="uk-UA"/>
        </w:rPr>
        <w:t xml:space="preserve"> The Heritage Foundation, World Bank, Macrotrends та International Monetary Fund</w:t>
      </w:r>
      <w:r w:rsidR="00DB125A" w:rsidRPr="00F8585E">
        <w:rPr>
          <w:rFonts w:ascii="Times New Roman" w:hAnsi="Times New Roman" w:cs="Times New Roman"/>
          <w:sz w:val="28"/>
          <w:szCs w:val="28"/>
          <w:lang w:val="uk-UA"/>
        </w:rPr>
        <w:t>.</w:t>
      </w:r>
    </w:p>
    <w:p w:rsidR="00DB125A" w:rsidRPr="00F8585E" w:rsidRDefault="00DB125A" w:rsidP="00836606">
      <w:pPr>
        <w:spacing w:after="0" w:line="360" w:lineRule="auto"/>
        <w:ind w:firstLine="708"/>
        <w:jc w:val="both"/>
        <w:rPr>
          <w:rFonts w:ascii="Times New Roman" w:hAnsi="Times New Roman"/>
          <w:sz w:val="28"/>
          <w:szCs w:val="28"/>
          <w:lang w:val="uk-UA"/>
        </w:rPr>
      </w:pPr>
      <w:r w:rsidRPr="00F8585E">
        <w:rPr>
          <w:rFonts w:ascii="Times New Roman" w:hAnsi="Times New Roman"/>
          <w:sz w:val="28"/>
          <w:szCs w:val="28"/>
          <w:lang w:val="uk-UA"/>
        </w:rPr>
        <w:t>Описова статистика обраних змінних наведена в таблиці 2.1.</w:t>
      </w:r>
    </w:p>
    <w:p w:rsidR="00DB125A" w:rsidRPr="00F8585E" w:rsidRDefault="00DB125A" w:rsidP="00836606">
      <w:pPr>
        <w:autoSpaceDE w:val="0"/>
        <w:autoSpaceDN w:val="0"/>
        <w:adjustRightInd w:val="0"/>
        <w:spacing w:after="0" w:line="360" w:lineRule="auto"/>
        <w:jc w:val="right"/>
        <w:rPr>
          <w:rFonts w:ascii="Times New Roman" w:hAnsi="Times New Roman" w:cs="Times New Roman"/>
          <w:sz w:val="28"/>
          <w:szCs w:val="28"/>
          <w:lang w:val="uk-UA"/>
        </w:rPr>
      </w:pPr>
      <w:r w:rsidRPr="00F8585E">
        <w:rPr>
          <w:rFonts w:ascii="Times New Roman" w:hAnsi="Times New Roman" w:cs="Times New Roman"/>
          <w:sz w:val="28"/>
          <w:szCs w:val="28"/>
          <w:lang w:val="uk-UA"/>
        </w:rPr>
        <w:t>Таблиця 2.1</w:t>
      </w:r>
    </w:p>
    <w:p w:rsidR="00DB125A" w:rsidRPr="00F8585E" w:rsidRDefault="00DB125A" w:rsidP="00836606">
      <w:pPr>
        <w:autoSpaceDE w:val="0"/>
        <w:autoSpaceDN w:val="0"/>
        <w:adjustRightInd w:val="0"/>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Описова статистика змінних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2797"/>
        <w:gridCol w:w="1352"/>
        <w:gridCol w:w="1353"/>
        <w:gridCol w:w="1353"/>
        <w:gridCol w:w="1353"/>
        <w:gridCol w:w="1353"/>
      </w:tblGrid>
      <w:tr w:rsidR="00DB125A" w:rsidRPr="00F8585E" w:rsidTr="00DD5AF8">
        <w:trPr>
          <w:trHeight w:val="282"/>
          <w:jc w:val="center"/>
        </w:trPr>
        <w:tc>
          <w:tcPr>
            <w:tcW w:w="2797"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Змінна</w:t>
            </w:r>
          </w:p>
        </w:tc>
        <w:tc>
          <w:tcPr>
            <w:tcW w:w="1352"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 xml:space="preserve">Середнє значення </w:t>
            </w:r>
          </w:p>
        </w:tc>
        <w:tc>
          <w:tcPr>
            <w:tcW w:w="1353"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Медіана</w:t>
            </w:r>
          </w:p>
        </w:tc>
        <w:tc>
          <w:tcPr>
            <w:tcW w:w="1353"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Стандартне відхилення</w:t>
            </w:r>
          </w:p>
        </w:tc>
        <w:tc>
          <w:tcPr>
            <w:tcW w:w="1353"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Мінімум</w:t>
            </w:r>
          </w:p>
        </w:tc>
        <w:tc>
          <w:tcPr>
            <w:tcW w:w="1353" w:type="dxa"/>
          </w:tcPr>
          <w:p w:rsidR="00DB125A" w:rsidRPr="00F8585E" w:rsidRDefault="00DB125A"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Максимум</w:t>
            </w:r>
          </w:p>
        </w:tc>
      </w:tr>
      <w:tr w:rsidR="000C09E0" w:rsidRPr="00F8585E" w:rsidTr="00DD5AF8">
        <w:trPr>
          <w:trHeight w:val="340"/>
          <w:jc w:val="center"/>
        </w:trPr>
        <w:tc>
          <w:tcPr>
            <w:tcW w:w="2797" w:type="dxa"/>
          </w:tcPr>
          <w:p w:rsidR="000C09E0"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GovIntegr</w:t>
            </w:r>
            <w:r w:rsidR="00DD5AF8">
              <w:rPr>
                <w:rFonts w:ascii="Times New Roman" w:hAnsi="Times New Roman" w:cs="Times New Roman"/>
                <w:sz w:val="24"/>
                <w:szCs w:val="24"/>
                <w:lang w:val="uk-UA"/>
              </w:rPr>
              <w:t>, пункти</w:t>
            </w:r>
          </w:p>
        </w:tc>
        <w:tc>
          <w:tcPr>
            <w:tcW w:w="135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26,3</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26,0</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5,25</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15,0</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37,9</w:t>
            </w:r>
          </w:p>
        </w:tc>
      </w:tr>
      <w:tr w:rsidR="000C09E0" w:rsidRPr="00F8585E" w:rsidTr="00DD5AF8">
        <w:trPr>
          <w:trHeight w:val="340"/>
          <w:jc w:val="center"/>
        </w:trPr>
        <w:tc>
          <w:tcPr>
            <w:tcW w:w="2797" w:type="dxa"/>
          </w:tcPr>
          <w:p w:rsidR="000C09E0"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GovSpend</w:t>
            </w:r>
            <w:r w:rsidR="00DD5AF8">
              <w:rPr>
                <w:rFonts w:ascii="Times New Roman" w:hAnsi="Times New Roman" w:cs="Times New Roman"/>
                <w:sz w:val="24"/>
                <w:szCs w:val="24"/>
                <w:lang w:val="uk-UA"/>
              </w:rPr>
              <w:t>, пункти</w:t>
            </w:r>
          </w:p>
        </w:tc>
        <w:tc>
          <w:tcPr>
            <w:tcW w:w="135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47,2</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44,5</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15,3</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28,0</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78,6</w:t>
            </w:r>
          </w:p>
        </w:tc>
      </w:tr>
      <w:tr w:rsidR="000C09E0" w:rsidRPr="00F8585E" w:rsidTr="00DD5AF8">
        <w:trPr>
          <w:trHeight w:val="340"/>
          <w:jc w:val="center"/>
        </w:trPr>
        <w:tc>
          <w:tcPr>
            <w:tcW w:w="2797" w:type="dxa"/>
          </w:tcPr>
          <w:p w:rsidR="000C09E0"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MonFreed</w:t>
            </w:r>
            <w:r w:rsidR="00DD5AF8">
              <w:rPr>
                <w:rFonts w:ascii="Times New Roman" w:hAnsi="Times New Roman" w:cs="Times New Roman"/>
                <w:sz w:val="24"/>
                <w:szCs w:val="24"/>
                <w:lang w:val="uk-UA"/>
              </w:rPr>
              <w:t>, пункти</w:t>
            </w:r>
          </w:p>
        </w:tc>
        <w:tc>
          <w:tcPr>
            <w:tcW w:w="135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66,6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66,9</w:t>
            </w:r>
          </w:p>
        </w:tc>
        <w:tc>
          <w:tcPr>
            <w:tcW w:w="1353" w:type="dxa"/>
          </w:tcPr>
          <w:p w:rsidR="000C09E0" w:rsidRPr="00F8585E" w:rsidRDefault="00DD5AF8" w:rsidP="00836606">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7,3</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47,4</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78,7</w:t>
            </w:r>
          </w:p>
        </w:tc>
      </w:tr>
      <w:tr w:rsidR="000C09E0" w:rsidRPr="00F8585E" w:rsidTr="00DD5AF8">
        <w:trPr>
          <w:trHeight w:val="340"/>
          <w:jc w:val="center"/>
        </w:trPr>
        <w:tc>
          <w:tcPr>
            <w:tcW w:w="2797" w:type="dxa"/>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U</w:t>
            </w:r>
            <w:r w:rsidR="000C2B97" w:rsidRPr="00F8585E">
              <w:rPr>
                <w:rFonts w:ascii="Times New Roman" w:hAnsi="Times New Roman" w:cs="Times New Roman"/>
                <w:sz w:val="24"/>
                <w:szCs w:val="24"/>
                <w:lang w:val="uk-UA"/>
              </w:rPr>
              <w:t>nempl</w:t>
            </w:r>
            <w:r w:rsidR="00DD5AF8">
              <w:rPr>
                <w:rFonts w:ascii="Times New Roman" w:hAnsi="Times New Roman" w:cs="Times New Roman"/>
                <w:sz w:val="24"/>
                <w:szCs w:val="24"/>
                <w:lang w:val="uk-UA"/>
              </w:rPr>
              <w:t>, %</w:t>
            </w:r>
          </w:p>
        </w:tc>
        <w:tc>
          <w:tcPr>
            <w:tcW w:w="1352" w:type="dxa"/>
          </w:tcPr>
          <w:p w:rsidR="000C09E0" w:rsidRPr="00F8585E" w:rsidRDefault="00DD5AF8" w:rsidP="00836606">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9,1</w:t>
            </w:r>
          </w:p>
        </w:tc>
        <w:tc>
          <w:tcPr>
            <w:tcW w:w="1353" w:type="dxa"/>
          </w:tcPr>
          <w:p w:rsidR="000C09E0" w:rsidRPr="00F8585E" w:rsidRDefault="00DD5AF8" w:rsidP="00836606">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8,8</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2,9</w:t>
            </w:r>
          </w:p>
        </w:tc>
        <w:tc>
          <w:tcPr>
            <w:tcW w:w="1353" w:type="dxa"/>
          </w:tcPr>
          <w:p w:rsidR="000C09E0" w:rsidRPr="00F8585E" w:rsidRDefault="00DD5AF8" w:rsidP="00836606">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21,0</w:t>
            </w:r>
          </w:p>
        </w:tc>
      </w:tr>
      <w:tr w:rsidR="000C09E0" w:rsidRPr="00F8585E" w:rsidTr="00DD5AF8">
        <w:trPr>
          <w:trHeight w:val="340"/>
          <w:jc w:val="center"/>
        </w:trPr>
        <w:tc>
          <w:tcPr>
            <w:tcW w:w="2797" w:type="dxa"/>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E</w:t>
            </w:r>
            <w:r w:rsidR="000C2B97" w:rsidRPr="00F8585E">
              <w:rPr>
                <w:rFonts w:ascii="Times New Roman" w:hAnsi="Times New Roman" w:cs="Times New Roman"/>
                <w:sz w:val="24"/>
                <w:szCs w:val="24"/>
                <w:lang w:val="uk-UA"/>
              </w:rPr>
              <w:t>xt</w:t>
            </w:r>
            <w:r w:rsidRPr="00F8585E">
              <w:rPr>
                <w:rFonts w:ascii="Times New Roman" w:hAnsi="Times New Roman" w:cs="Times New Roman"/>
                <w:sz w:val="24"/>
                <w:szCs w:val="24"/>
                <w:lang w:val="uk-UA"/>
              </w:rPr>
              <w:t>D</w:t>
            </w:r>
            <w:r w:rsidR="000C2B97" w:rsidRPr="00F8585E">
              <w:rPr>
                <w:rFonts w:ascii="Times New Roman" w:hAnsi="Times New Roman" w:cs="Times New Roman"/>
                <w:sz w:val="24"/>
                <w:szCs w:val="24"/>
                <w:lang w:val="uk-UA"/>
              </w:rPr>
              <w:t>ebt</w:t>
            </w:r>
            <w:r w:rsidR="00DD5AF8">
              <w:rPr>
                <w:rFonts w:ascii="Times New Roman" w:hAnsi="Times New Roman" w:cs="Times New Roman"/>
                <w:sz w:val="24"/>
                <w:szCs w:val="24"/>
                <w:lang w:val="uk-UA"/>
              </w:rPr>
              <w:t xml:space="preserve">, </w:t>
            </w:r>
            <w:r w:rsidR="00DD5AF8" w:rsidRPr="00DD5AF8">
              <w:rPr>
                <w:rFonts w:ascii="Times New Roman" w:hAnsi="Times New Roman" w:cs="Times New Roman"/>
                <w:sz w:val="24"/>
                <w:szCs w:val="24"/>
                <w:lang w:val="uk-UA"/>
              </w:rPr>
              <w:t>млрд. дол. США</w:t>
            </w:r>
          </w:p>
        </w:tc>
        <w:tc>
          <w:tcPr>
            <w:tcW w:w="135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94,6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119,</w:t>
            </w:r>
            <w:r w:rsidR="00DD5AF8">
              <w:rPr>
                <w:rFonts w:ascii="Times New Roman" w:hAnsi="Times New Roman" w:cs="Times New Roman"/>
                <w:sz w:val="24"/>
                <w:szCs w:val="24"/>
                <w:lang w:val="uk-UA"/>
              </w:rPr>
              <w:t>0</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46,6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13,9</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147,</w:t>
            </w:r>
            <w:r w:rsidR="00DD5AF8">
              <w:rPr>
                <w:rFonts w:ascii="Times New Roman" w:hAnsi="Times New Roman" w:cs="Times New Roman"/>
                <w:sz w:val="24"/>
                <w:szCs w:val="24"/>
                <w:lang w:val="uk-UA"/>
              </w:rPr>
              <w:t>0</w:t>
            </w:r>
          </w:p>
        </w:tc>
      </w:tr>
      <w:tr w:rsidR="000C09E0" w:rsidRPr="00F8585E" w:rsidTr="00DD5AF8">
        <w:trPr>
          <w:trHeight w:val="340"/>
          <w:jc w:val="center"/>
        </w:trPr>
        <w:tc>
          <w:tcPr>
            <w:tcW w:w="2797" w:type="dxa"/>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IIP</w:t>
            </w:r>
            <w:r w:rsidR="00DD5AF8">
              <w:rPr>
                <w:rFonts w:ascii="Times New Roman" w:hAnsi="Times New Roman" w:cs="Times New Roman"/>
                <w:sz w:val="24"/>
                <w:szCs w:val="24"/>
                <w:lang w:val="uk-UA"/>
              </w:rPr>
              <w:t xml:space="preserve">, </w:t>
            </w:r>
            <w:r w:rsidR="00DD5AF8" w:rsidRPr="00DD5AF8">
              <w:rPr>
                <w:rFonts w:ascii="Times New Roman" w:hAnsi="Times New Roman" w:cs="Times New Roman"/>
                <w:sz w:val="24"/>
                <w:szCs w:val="24"/>
                <w:lang w:val="uk-UA"/>
              </w:rPr>
              <w:t>млрд. дол. США</w:t>
            </w:r>
          </w:p>
        </w:tc>
        <w:tc>
          <w:tcPr>
            <w:tcW w:w="135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-27,6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-26,6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15,6</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-66,9</w:t>
            </w:r>
          </w:p>
        </w:tc>
        <w:tc>
          <w:tcPr>
            <w:tcW w:w="135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-2,81</w:t>
            </w:r>
          </w:p>
        </w:tc>
      </w:tr>
    </w:tbl>
    <w:p w:rsidR="00710E0D" w:rsidRPr="00F8585E" w:rsidRDefault="00710E0D" w:rsidP="00836606">
      <w:pPr>
        <w:spacing w:after="0" w:line="360" w:lineRule="auto"/>
        <w:jc w:val="both"/>
        <w:rPr>
          <w:rFonts w:ascii="Times New Roman" w:hAnsi="Times New Roman" w:cs="Times New Roman"/>
          <w:sz w:val="24"/>
          <w:szCs w:val="28"/>
          <w:lang w:val="uk-UA"/>
        </w:rPr>
      </w:pPr>
      <w:r w:rsidRPr="00F8585E">
        <w:rPr>
          <w:rFonts w:ascii="Times New Roman" w:hAnsi="Times New Roman" w:cs="Times New Roman"/>
          <w:sz w:val="24"/>
          <w:szCs w:val="28"/>
          <w:lang w:val="uk-UA"/>
        </w:rPr>
        <w:t>Річні часові ряди 2000-2022, 23 спостереження</w:t>
      </w:r>
    </w:p>
    <w:p w:rsidR="00E6314B" w:rsidRPr="00F8585E" w:rsidRDefault="00E6314B" w:rsidP="00836606">
      <w:pPr>
        <w:spacing w:after="0" w:line="360" w:lineRule="auto"/>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 р</w:t>
      </w:r>
      <w:r w:rsidR="002E204E">
        <w:rPr>
          <w:rFonts w:ascii="Times New Roman" w:hAnsi="Times New Roman" w:cs="Times New Roman"/>
          <w:sz w:val="28"/>
          <w:szCs w:val="28"/>
          <w:lang w:val="uk-UA"/>
        </w:rPr>
        <w:t>озраховано автором на основі [1</w:t>
      </w:r>
      <w:r w:rsidR="002E204E" w:rsidRPr="002E204E">
        <w:rPr>
          <w:rFonts w:ascii="Times New Roman" w:hAnsi="Times New Roman" w:cs="Times New Roman"/>
          <w:sz w:val="28"/>
          <w:szCs w:val="28"/>
        </w:rPr>
        <w:t>7</w:t>
      </w:r>
      <w:r w:rsidRPr="00F8585E">
        <w:rPr>
          <w:rFonts w:ascii="Times New Roman" w:hAnsi="Times New Roman" w:cs="Times New Roman"/>
          <w:sz w:val="28"/>
          <w:szCs w:val="28"/>
          <w:lang w:val="uk-UA"/>
        </w:rPr>
        <w:t xml:space="preserve">; </w:t>
      </w:r>
      <w:r w:rsidR="00872460">
        <w:rPr>
          <w:rFonts w:ascii="Times New Roman" w:hAnsi="Times New Roman" w:cs="Times New Roman"/>
          <w:sz w:val="28"/>
          <w:szCs w:val="28"/>
          <w:lang w:val="uk-UA"/>
        </w:rPr>
        <w:t>29; 32; 33; 34</w:t>
      </w:r>
      <w:r w:rsidRPr="00F8585E">
        <w:rPr>
          <w:rFonts w:ascii="Times New Roman" w:hAnsi="Times New Roman" w:cs="Times New Roman"/>
          <w:sz w:val="28"/>
          <w:szCs w:val="28"/>
          <w:lang w:val="uk-UA"/>
        </w:rPr>
        <w:t>].</w:t>
      </w:r>
    </w:p>
    <w:p w:rsidR="00DD5AF8" w:rsidRDefault="00DD5AF8" w:rsidP="00836606">
      <w:pPr>
        <w:spacing w:after="0" w:line="360" w:lineRule="auto"/>
        <w:ind w:firstLine="708"/>
        <w:jc w:val="both"/>
        <w:rPr>
          <w:rFonts w:ascii="Times New Roman" w:hAnsi="Times New Roman"/>
          <w:sz w:val="28"/>
          <w:szCs w:val="28"/>
          <w:lang w:val="uk-UA"/>
        </w:rPr>
      </w:pP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sz w:val="28"/>
          <w:szCs w:val="28"/>
          <w:lang w:val="uk-UA"/>
        </w:rPr>
        <w:t xml:space="preserve">Детальна інформація щодо обраних показників наведена в </w:t>
      </w:r>
      <w:r w:rsidRPr="00F8585E">
        <w:rPr>
          <w:rFonts w:ascii="Times New Roman" w:hAnsi="Times New Roman" w:cs="Times New Roman"/>
          <w:sz w:val="28"/>
          <w:szCs w:val="28"/>
          <w:lang w:val="uk-UA"/>
        </w:rPr>
        <w:t>таблиці А.1 у додатку А.</w:t>
      </w:r>
    </w:p>
    <w:p w:rsidR="00DB125A" w:rsidRPr="00F8585E" w:rsidRDefault="00DB125A" w:rsidP="00836606">
      <w:pPr>
        <w:spacing w:after="0" w:line="360" w:lineRule="auto"/>
        <w:ind w:firstLine="708"/>
        <w:rPr>
          <w:rFonts w:ascii="Times New Roman" w:eastAsiaTheme="minorEastAsia" w:hAnsi="Times New Roman" w:cs="Times New Roman"/>
          <w:sz w:val="28"/>
          <w:szCs w:val="28"/>
          <w:lang w:val="uk-UA"/>
        </w:rPr>
      </w:pPr>
      <w:r w:rsidRPr="00F8585E">
        <w:rPr>
          <w:rFonts w:ascii="Times New Roman" w:hAnsi="Times New Roman" w:cs="Times New Roman"/>
          <w:sz w:val="28"/>
          <w:szCs w:val="28"/>
          <w:lang w:val="uk-UA"/>
        </w:rPr>
        <w:t>Отже, модель 2.1 має наступний вигляд:</w:t>
      </w:r>
    </w:p>
    <w:p w:rsidR="00DB125A" w:rsidRPr="00F8585E" w:rsidRDefault="000C09E0" w:rsidP="00836606">
      <w:pPr>
        <w:spacing w:after="0" w:line="360" w:lineRule="auto"/>
        <w:jc w:val="center"/>
        <w:rPr>
          <w:rFonts w:ascii="Times New Roman" w:hAnsi="Times New Roman"/>
          <w:color w:val="000000" w:themeColor="text1"/>
          <w:sz w:val="28"/>
          <w:szCs w:val="28"/>
          <w:lang w:val="uk-UA"/>
        </w:rPr>
      </w:pPr>
      <m:oMathPara>
        <m:oMath>
          <m:r>
            <w:rPr>
              <w:rFonts w:ascii="Cambria Math" w:hAnsi="Cambria Math"/>
              <w:sz w:val="28"/>
              <w:szCs w:val="28"/>
              <w:lang w:val="uk-UA"/>
            </w:rPr>
            <m:t xml:space="preserve">IIP = </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0</m:t>
              </m:r>
            </m:sub>
          </m:sSub>
          <m:r>
            <w:rPr>
              <w:rFonts w:ascii="Cambria Math" w:hAnsi="Cambria Math"/>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1</m:t>
              </m:r>
            </m:sub>
          </m:sSub>
          <m:r>
            <w:rPr>
              <w:rFonts w:ascii="Cambria Math" w:hAnsi="Cambria Math"/>
              <w:sz w:val="28"/>
              <w:szCs w:val="28"/>
              <w:lang w:val="uk-UA"/>
            </w:rPr>
            <m:t>*GovIntegr+</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2</m:t>
              </m:r>
            </m:sub>
          </m:sSub>
          <m:r>
            <w:rPr>
              <w:rFonts w:ascii="Cambria Math" w:hAnsi="Cambria Math"/>
              <w:sz w:val="28"/>
              <w:szCs w:val="28"/>
              <w:lang w:val="uk-UA"/>
            </w:rPr>
            <m:t>*GovSpend+</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3</m:t>
              </m:r>
            </m:sub>
          </m:sSub>
          <m:r>
            <w:rPr>
              <w:rFonts w:ascii="Cambria Math" w:hAnsi="Cambria Math"/>
              <w:sz w:val="28"/>
              <w:szCs w:val="28"/>
              <w:lang w:val="uk-UA"/>
            </w:rPr>
            <m:t>*MonFreed+</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4</m:t>
              </m:r>
            </m:sub>
          </m:sSub>
          <m:r>
            <w:rPr>
              <w:rFonts w:ascii="Cambria Math" w:hAnsi="Cambria Math"/>
              <w:sz w:val="28"/>
              <w:szCs w:val="28"/>
              <w:lang w:val="uk-UA"/>
            </w:rPr>
            <m:t>*Unempl+</m:t>
          </m:r>
          <m:sSub>
            <m:sSubPr>
              <m:ctrlPr>
                <w:rPr>
                  <w:rFonts w:ascii="Cambria Math" w:hAnsi="Cambria Math" w:cs="Times New Roman"/>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5</m:t>
              </m:r>
            </m:sub>
          </m:sSub>
          <m:r>
            <w:rPr>
              <w:rFonts w:ascii="Cambria Math" w:hAnsi="Cambria Math"/>
              <w:sz w:val="28"/>
              <w:szCs w:val="28"/>
              <w:lang w:val="uk-UA"/>
            </w:rPr>
            <m:t>*ExtDebt+</m:t>
          </m:r>
          <m:sSub>
            <m:sSubPr>
              <m:ctrlPr>
                <w:rPr>
                  <w:rFonts w:ascii="Cambria Math" w:hAnsi="Cambria Math"/>
                  <w:i/>
                  <w:sz w:val="28"/>
                  <w:szCs w:val="28"/>
                  <w:lang w:val="uk-UA"/>
                </w:rPr>
              </m:ctrlPr>
            </m:sSubPr>
            <m:e>
              <m:r>
                <w:rPr>
                  <w:rFonts w:ascii="Cambria Math" w:hAnsi="Cambria Math"/>
                  <w:sz w:val="28"/>
                  <w:szCs w:val="28"/>
                  <w:lang w:val="uk-UA"/>
                </w:rPr>
                <m:t>ε</m:t>
              </m:r>
            </m:e>
            <m:sub>
              <m:r>
                <w:rPr>
                  <w:rFonts w:ascii="Cambria Math" w:hAnsi="Cambria Math"/>
                  <w:sz w:val="28"/>
                  <w:szCs w:val="28"/>
                  <w:lang w:val="uk-UA"/>
                </w:rPr>
                <m:t>t</m:t>
              </m:r>
            </m:sub>
          </m:sSub>
        </m:oMath>
      </m:oMathPara>
    </w:p>
    <w:p w:rsidR="005948D7" w:rsidRPr="00F8585E" w:rsidRDefault="00DB125A" w:rsidP="00836606">
      <w:pPr>
        <w:spacing w:after="0" w:line="360" w:lineRule="auto"/>
        <w:jc w:val="right"/>
        <w:rPr>
          <w:rFonts w:ascii="Times New Roman" w:eastAsiaTheme="minorEastAsia" w:hAnsi="Times New Roman" w:cs="Times New Roman"/>
          <w:sz w:val="28"/>
          <w:szCs w:val="28"/>
          <w:lang w:val="uk-UA"/>
        </w:rPr>
      </w:pPr>
      <w:r w:rsidRPr="00F8585E">
        <w:rPr>
          <w:rFonts w:ascii="Times New Roman" w:eastAsiaTheme="minorEastAsia" w:hAnsi="Times New Roman" w:cs="Times New Roman"/>
          <w:sz w:val="28"/>
          <w:szCs w:val="28"/>
          <w:lang w:val="uk-UA"/>
        </w:rPr>
        <w:t>2.1.</w:t>
      </w:r>
    </w:p>
    <w:p w:rsidR="005948D7" w:rsidRPr="00F8585E" w:rsidRDefault="005948D7" w:rsidP="00836606">
      <w:pPr>
        <w:spacing w:after="0" w:line="360" w:lineRule="auto"/>
        <w:jc w:val="right"/>
        <w:rPr>
          <w:rFonts w:ascii="Times New Roman" w:eastAsiaTheme="minorEastAsia" w:hAnsi="Times New Roman" w:cs="Times New Roman"/>
          <w:sz w:val="28"/>
          <w:szCs w:val="28"/>
          <w:lang w:val="uk-UA"/>
        </w:rPr>
      </w:pPr>
    </w:p>
    <w:p w:rsidR="00725725" w:rsidRPr="00F8585E" w:rsidRDefault="00DB125A" w:rsidP="00836606">
      <w:pPr>
        <w:pStyle w:val="a3"/>
        <w:numPr>
          <w:ilvl w:val="0"/>
          <w:numId w:val="13"/>
        </w:numPr>
        <w:spacing w:after="0" w:line="360" w:lineRule="auto"/>
        <w:jc w:val="both"/>
        <w:rPr>
          <w:rFonts w:ascii="Times New Roman" w:eastAsiaTheme="minorEastAsia" w:hAnsi="Times New Roman" w:cs="Times New Roman"/>
          <w:sz w:val="28"/>
          <w:szCs w:val="28"/>
          <w:lang w:val="uk-UA"/>
        </w:rPr>
      </w:pPr>
      <w:r w:rsidRPr="00F8585E">
        <w:rPr>
          <w:rFonts w:ascii="Times New Roman" w:eastAsiaTheme="minorEastAsia" w:hAnsi="Times New Roman" w:cs="Times New Roman"/>
          <w:sz w:val="28"/>
          <w:szCs w:val="28"/>
          <w:lang w:val="uk-UA"/>
        </w:rPr>
        <w:t xml:space="preserve">де </w:t>
      </w:r>
      <w:r w:rsidR="000C09E0" w:rsidRPr="00F8585E">
        <w:rPr>
          <w:rFonts w:ascii="Times New Roman" w:eastAsiaTheme="minorEastAsia" w:hAnsi="Times New Roman" w:cs="Times New Roman"/>
          <w:sz w:val="28"/>
          <w:szCs w:val="28"/>
          <w:lang w:val="uk-UA"/>
        </w:rPr>
        <w:t xml:space="preserve"> </w:t>
      </w:r>
      <w:r w:rsidR="00725725" w:rsidRPr="00F8585E">
        <w:rPr>
          <w:rFonts w:ascii="Times New Roman" w:eastAsiaTheme="minorEastAsia" w:hAnsi="Times New Roman" w:cs="Times New Roman"/>
          <w:sz w:val="28"/>
          <w:szCs w:val="28"/>
          <w:lang w:val="uk-UA"/>
        </w:rPr>
        <w:t>IIP – міжнародна інвестиційна позиція, млрд. дол. США;</w:t>
      </w:r>
    </w:p>
    <w:p w:rsidR="00DB125A" w:rsidRPr="00F8585E" w:rsidRDefault="000C2B97" w:rsidP="00836606">
      <w:pPr>
        <w:pStyle w:val="a3"/>
        <w:numPr>
          <w:ilvl w:val="0"/>
          <w:numId w:val="13"/>
        </w:numPr>
        <w:spacing w:after="0" w:line="360" w:lineRule="auto"/>
        <w:jc w:val="both"/>
        <w:rPr>
          <w:rFonts w:ascii="Times New Roman" w:eastAsiaTheme="minorEastAsia" w:hAnsi="Times New Roman" w:cs="Times New Roman"/>
          <w:sz w:val="28"/>
          <w:szCs w:val="28"/>
          <w:lang w:val="uk-UA"/>
        </w:rPr>
      </w:pPr>
      <w:r w:rsidRPr="00F8585E">
        <w:rPr>
          <w:rFonts w:ascii="Times New Roman" w:eastAsiaTheme="minorEastAsia" w:hAnsi="Times New Roman" w:cs="Times New Roman"/>
          <w:sz w:val="28"/>
          <w:szCs w:val="28"/>
          <w:lang w:val="uk-UA"/>
        </w:rPr>
        <w:t>GovIntegr</w:t>
      </w:r>
      <w:r w:rsidR="00DB125A" w:rsidRPr="00F8585E">
        <w:rPr>
          <w:rFonts w:ascii="Times New Roman" w:eastAsiaTheme="minorEastAsia" w:hAnsi="Times New Roman" w:cs="Times New Roman"/>
          <w:sz w:val="28"/>
          <w:szCs w:val="28"/>
          <w:lang w:val="uk-UA"/>
        </w:rPr>
        <w:t xml:space="preserve"> – </w:t>
      </w:r>
      <w:r w:rsidR="000C09E0" w:rsidRPr="00F8585E">
        <w:rPr>
          <w:rFonts w:ascii="Times New Roman" w:eastAsiaTheme="minorEastAsia" w:hAnsi="Times New Roman" w:cs="Times New Roman"/>
          <w:sz w:val="28"/>
          <w:szCs w:val="28"/>
          <w:lang w:val="uk-UA"/>
        </w:rPr>
        <w:t>індекс доброчесності уряду</w:t>
      </w:r>
      <w:r w:rsidR="00E56FA4" w:rsidRPr="00F8585E">
        <w:rPr>
          <w:rFonts w:ascii="Times New Roman" w:eastAsiaTheme="minorEastAsia" w:hAnsi="Times New Roman" w:cs="Times New Roman"/>
          <w:sz w:val="28"/>
          <w:szCs w:val="28"/>
          <w:lang w:val="uk-UA"/>
        </w:rPr>
        <w:t>, пункти</w:t>
      </w:r>
      <w:r w:rsidR="00DB125A" w:rsidRPr="00F8585E">
        <w:rPr>
          <w:rFonts w:ascii="Times New Roman" w:eastAsiaTheme="minorEastAsia" w:hAnsi="Times New Roman" w:cs="Times New Roman"/>
          <w:sz w:val="28"/>
          <w:szCs w:val="28"/>
          <w:lang w:val="uk-UA"/>
        </w:rPr>
        <w:t>;</w:t>
      </w:r>
    </w:p>
    <w:p w:rsidR="00DB125A" w:rsidRPr="00F8585E" w:rsidRDefault="000C2B97"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GovSpend</w:t>
      </w:r>
      <w:r w:rsidR="00DB125A" w:rsidRPr="00F8585E">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sym w:font="Symbol" w:char="F02D"/>
      </w:r>
      <w:r w:rsidR="000C09E0" w:rsidRPr="00F8585E">
        <w:rPr>
          <w:rFonts w:ascii="Times New Roman" w:hAnsi="Times New Roman" w:cs="Times New Roman"/>
          <w:sz w:val="28"/>
          <w:szCs w:val="28"/>
          <w:lang w:val="uk-UA"/>
        </w:rPr>
        <w:t xml:space="preserve"> </w:t>
      </w:r>
      <w:r w:rsidR="000C09E0" w:rsidRPr="00F8585E">
        <w:rPr>
          <w:rFonts w:ascii="Times New Roman" w:eastAsiaTheme="minorEastAsia" w:hAnsi="Times New Roman" w:cs="Times New Roman"/>
          <w:sz w:val="28"/>
          <w:szCs w:val="28"/>
          <w:lang w:val="uk-UA"/>
        </w:rPr>
        <w:t>індекс державних витрат</w:t>
      </w:r>
      <w:r w:rsidR="00E56FA4" w:rsidRPr="00F8585E">
        <w:rPr>
          <w:rFonts w:ascii="Times New Roman" w:eastAsiaTheme="minorEastAsia" w:hAnsi="Times New Roman" w:cs="Times New Roman"/>
          <w:sz w:val="28"/>
          <w:szCs w:val="28"/>
          <w:lang w:val="uk-UA"/>
        </w:rPr>
        <w:t>, пункти</w:t>
      </w:r>
      <w:r w:rsidR="00DB125A" w:rsidRPr="00F8585E">
        <w:rPr>
          <w:rFonts w:ascii="Times New Roman" w:hAnsi="Times New Roman" w:cs="Times New Roman"/>
          <w:sz w:val="28"/>
          <w:szCs w:val="28"/>
          <w:lang w:val="uk-UA"/>
        </w:rPr>
        <w:t>;</w:t>
      </w:r>
    </w:p>
    <w:p w:rsidR="00DB125A" w:rsidRPr="00F8585E" w:rsidRDefault="000C2B97"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MonFreed</w:t>
      </w:r>
      <w:r w:rsidR="00DB125A" w:rsidRPr="00F8585E">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sym w:font="Symbol" w:char="F02D"/>
      </w:r>
      <w:r w:rsidR="00DB125A" w:rsidRPr="00F8585E">
        <w:rPr>
          <w:rFonts w:ascii="Times New Roman" w:hAnsi="Times New Roman" w:cs="Times New Roman"/>
          <w:sz w:val="28"/>
          <w:szCs w:val="28"/>
          <w:lang w:val="uk-UA"/>
        </w:rPr>
        <w:t xml:space="preserve"> </w:t>
      </w:r>
      <w:r w:rsidR="000C09E0" w:rsidRPr="00F8585E">
        <w:rPr>
          <w:rFonts w:ascii="Times New Roman" w:hAnsi="Times New Roman" w:cs="Times New Roman"/>
          <w:sz w:val="28"/>
          <w:szCs w:val="28"/>
          <w:lang w:val="uk-UA"/>
        </w:rPr>
        <w:t>індекс монетарної свободи</w:t>
      </w:r>
      <w:r w:rsidR="00E56FA4" w:rsidRPr="00F8585E">
        <w:rPr>
          <w:rFonts w:ascii="Times New Roman" w:hAnsi="Times New Roman" w:cs="Times New Roman"/>
          <w:sz w:val="28"/>
          <w:szCs w:val="28"/>
          <w:lang w:val="uk-UA"/>
        </w:rPr>
        <w:t xml:space="preserve">, </w:t>
      </w:r>
      <w:r w:rsidR="00E56FA4" w:rsidRPr="00F8585E">
        <w:rPr>
          <w:rFonts w:ascii="Times New Roman" w:eastAsiaTheme="minorEastAsia" w:hAnsi="Times New Roman" w:cs="Times New Roman"/>
          <w:sz w:val="28"/>
          <w:szCs w:val="28"/>
          <w:lang w:val="uk-UA"/>
        </w:rPr>
        <w:t>пункти</w:t>
      </w:r>
      <w:r w:rsidR="00DB125A" w:rsidRPr="00F8585E">
        <w:rPr>
          <w:rFonts w:ascii="Times New Roman" w:hAnsi="Times New Roman" w:cs="Times New Roman"/>
          <w:sz w:val="28"/>
          <w:szCs w:val="28"/>
          <w:lang w:val="uk-UA"/>
        </w:rPr>
        <w:t>;</w:t>
      </w:r>
    </w:p>
    <w:p w:rsidR="00DB125A" w:rsidRPr="00F8585E" w:rsidRDefault="000C2B97"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Unempl</w:t>
      </w:r>
      <w:r w:rsidR="000C09E0" w:rsidRPr="00F8585E">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sym w:font="Symbol" w:char="F02D"/>
      </w:r>
      <w:r w:rsidR="00DB125A" w:rsidRPr="00F8585E">
        <w:rPr>
          <w:rFonts w:ascii="Times New Roman" w:hAnsi="Times New Roman" w:cs="Times New Roman"/>
          <w:sz w:val="28"/>
          <w:szCs w:val="28"/>
          <w:lang w:val="uk-UA"/>
        </w:rPr>
        <w:t xml:space="preserve"> </w:t>
      </w:r>
      <w:r w:rsidR="000C09E0" w:rsidRPr="00F8585E">
        <w:rPr>
          <w:rFonts w:ascii="Times New Roman" w:hAnsi="Times New Roman" w:cs="Times New Roman"/>
          <w:sz w:val="28"/>
          <w:szCs w:val="28"/>
          <w:lang w:val="uk-UA"/>
        </w:rPr>
        <w:t>рівень безробіття</w:t>
      </w:r>
      <w:r w:rsidR="00BB6399" w:rsidRPr="00F8585E">
        <w:rPr>
          <w:rFonts w:ascii="Times New Roman" w:hAnsi="Times New Roman" w:cs="Times New Roman"/>
          <w:sz w:val="28"/>
          <w:szCs w:val="28"/>
          <w:lang w:val="uk-UA"/>
        </w:rPr>
        <w:t>, %</w:t>
      </w:r>
      <w:r w:rsidR="00DB125A" w:rsidRPr="00F8585E">
        <w:rPr>
          <w:rFonts w:ascii="Times New Roman" w:hAnsi="Times New Roman" w:cs="Times New Roman"/>
          <w:sz w:val="28"/>
          <w:szCs w:val="28"/>
          <w:lang w:val="uk-UA"/>
        </w:rPr>
        <w:t>;</w:t>
      </w:r>
    </w:p>
    <w:p w:rsidR="000C09E0" w:rsidRPr="00F8585E" w:rsidRDefault="000C2B97"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lastRenderedPageBreak/>
        <w:t>ExtDebt</w:t>
      </w:r>
      <w:r w:rsidR="000C09E0" w:rsidRPr="00F8585E">
        <w:rPr>
          <w:rFonts w:ascii="Times New Roman" w:hAnsi="Times New Roman" w:cs="Times New Roman"/>
          <w:sz w:val="28"/>
          <w:szCs w:val="28"/>
          <w:lang w:val="uk-UA"/>
        </w:rPr>
        <w:t xml:space="preserve"> </w:t>
      </w:r>
      <w:r w:rsidR="000C09E0" w:rsidRPr="00F8585E">
        <w:rPr>
          <w:rFonts w:ascii="Times New Roman" w:hAnsi="Times New Roman" w:cs="Times New Roman"/>
          <w:sz w:val="28"/>
          <w:szCs w:val="28"/>
          <w:lang w:val="uk-UA"/>
        </w:rPr>
        <w:sym w:font="Symbol" w:char="F02D"/>
      </w:r>
      <w:r w:rsidR="000C09E0" w:rsidRPr="00F8585E">
        <w:rPr>
          <w:rFonts w:ascii="Times New Roman" w:hAnsi="Times New Roman" w:cs="Times New Roman"/>
          <w:sz w:val="28"/>
          <w:szCs w:val="28"/>
          <w:lang w:val="uk-UA"/>
        </w:rPr>
        <w:t xml:space="preserve"> зовнішній борг, млрд. дол. США;</w:t>
      </w:r>
    </w:p>
    <w:p w:rsidR="00DB125A" w:rsidRPr="00F8585E" w:rsidRDefault="00DB125A"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Cambria Math" w:hAnsi="Cambria Math" w:cs="Cambria Math"/>
          <w:sz w:val="28"/>
          <w:szCs w:val="28"/>
          <w:lang w:val="uk-UA"/>
        </w:rPr>
        <w:t>𝛽</w:t>
      </w:r>
      <w:r w:rsidRPr="00F8585E">
        <w:rPr>
          <w:rFonts w:ascii="Times New Roman" w:hAnsi="Times New Roman" w:cs="Times New Roman"/>
          <w:sz w:val="28"/>
          <w:szCs w:val="28"/>
          <w:vertAlign w:val="subscript"/>
          <w:lang w:val="uk-UA"/>
        </w:rPr>
        <w:t>0</w:t>
      </w:r>
      <w:r w:rsidRPr="00F8585E">
        <w:rPr>
          <w:rFonts w:ascii="Times New Roman" w:hAnsi="Times New Roman" w:cs="Times New Roman"/>
          <w:sz w:val="28"/>
          <w:szCs w:val="28"/>
          <w:lang w:val="uk-UA"/>
        </w:rPr>
        <w:t xml:space="preserve">, </w:t>
      </w:r>
      <w:r w:rsidRPr="00F8585E">
        <w:rPr>
          <w:rFonts w:ascii="Cambria Math" w:hAnsi="Cambria Math" w:cs="Cambria Math"/>
          <w:sz w:val="28"/>
          <w:szCs w:val="28"/>
          <w:lang w:val="uk-UA"/>
        </w:rPr>
        <w:t>𝛽</w:t>
      </w:r>
      <w:r w:rsidRPr="00F8585E">
        <w:rPr>
          <w:rFonts w:ascii="Times New Roman" w:hAnsi="Times New Roman" w:cs="Times New Roman"/>
          <w:sz w:val="28"/>
          <w:szCs w:val="28"/>
          <w:vertAlign w:val="subscript"/>
          <w:lang w:val="uk-UA"/>
        </w:rPr>
        <w:t>1</w:t>
      </w:r>
      <w:r w:rsidRPr="00F8585E">
        <w:rPr>
          <w:rFonts w:ascii="Times New Roman" w:hAnsi="Times New Roman" w:cs="Times New Roman"/>
          <w:sz w:val="28"/>
          <w:szCs w:val="28"/>
          <w:lang w:val="uk-UA"/>
        </w:rPr>
        <w:t xml:space="preserve">, </w:t>
      </w:r>
      <w:r w:rsidRPr="00F8585E">
        <w:rPr>
          <w:rFonts w:ascii="Cambria Math" w:hAnsi="Cambria Math" w:cs="Cambria Math"/>
          <w:sz w:val="28"/>
          <w:szCs w:val="28"/>
          <w:lang w:val="uk-UA"/>
        </w:rPr>
        <w:t>𝛽</w:t>
      </w:r>
      <w:r w:rsidRPr="00F8585E">
        <w:rPr>
          <w:rFonts w:ascii="Times New Roman" w:hAnsi="Times New Roman" w:cs="Times New Roman"/>
          <w:sz w:val="28"/>
          <w:szCs w:val="28"/>
          <w:vertAlign w:val="subscript"/>
          <w:lang w:val="uk-UA"/>
        </w:rPr>
        <w:t>2</w:t>
      </w:r>
      <w:r w:rsidRPr="00F8585E">
        <w:rPr>
          <w:rFonts w:ascii="Times New Roman" w:hAnsi="Times New Roman" w:cs="Times New Roman"/>
          <w:sz w:val="28"/>
          <w:szCs w:val="28"/>
          <w:lang w:val="uk-UA"/>
        </w:rPr>
        <w:t xml:space="preserve">, </w:t>
      </w:r>
      <w:r w:rsidRPr="00F8585E">
        <w:rPr>
          <w:rFonts w:ascii="Cambria Math" w:hAnsi="Cambria Math" w:cs="Cambria Math"/>
          <w:sz w:val="28"/>
          <w:szCs w:val="28"/>
          <w:lang w:val="uk-UA"/>
        </w:rPr>
        <w:t>𝛽</w:t>
      </w:r>
      <w:r w:rsidRPr="00F8585E">
        <w:rPr>
          <w:rFonts w:ascii="Times New Roman" w:hAnsi="Times New Roman" w:cs="Times New Roman"/>
          <w:sz w:val="28"/>
          <w:szCs w:val="28"/>
          <w:vertAlign w:val="subscript"/>
          <w:lang w:val="uk-UA"/>
        </w:rPr>
        <w:t>3</w:t>
      </w:r>
      <w:r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sym w:font="Symbol" w:char="F02D"/>
      </w:r>
      <w:r w:rsidRPr="00F8585E">
        <w:rPr>
          <w:rFonts w:ascii="Times New Roman" w:hAnsi="Times New Roman" w:cs="Times New Roman"/>
          <w:sz w:val="28"/>
          <w:szCs w:val="28"/>
          <w:lang w:val="uk-UA"/>
        </w:rPr>
        <w:t xml:space="preserve"> невідомі коефіцієнти моделі; </w:t>
      </w:r>
    </w:p>
    <w:p w:rsidR="00DB125A" w:rsidRPr="00F8585E" w:rsidRDefault="00DB125A"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Cambria Math" w:hAnsi="Cambria Math" w:cs="Cambria Math"/>
          <w:sz w:val="28"/>
          <w:szCs w:val="28"/>
          <w:lang w:val="uk-UA"/>
        </w:rPr>
        <w:t>𝜀</w:t>
      </w:r>
      <w:r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sym w:font="Symbol" w:char="F02D"/>
      </w:r>
      <w:r w:rsidRPr="00F8585E">
        <w:rPr>
          <w:rFonts w:ascii="Times New Roman" w:hAnsi="Times New Roman" w:cs="Times New Roman"/>
          <w:sz w:val="28"/>
          <w:szCs w:val="28"/>
          <w:lang w:val="uk-UA"/>
        </w:rPr>
        <w:t xml:space="preserve"> стандартна похибка; </w:t>
      </w:r>
    </w:p>
    <w:p w:rsidR="00DB125A" w:rsidRPr="00F8585E" w:rsidRDefault="00DB125A" w:rsidP="00836606">
      <w:pPr>
        <w:pStyle w:val="a3"/>
        <w:numPr>
          <w:ilvl w:val="0"/>
          <w:numId w:val="13"/>
        </w:num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t </w:t>
      </w:r>
      <w:r w:rsidRPr="00F8585E">
        <w:rPr>
          <w:rFonts w:ascii="Times New Roman" w:hAnsi="Times New Roman" w:cs="Times New Roman"/>
          <w:sz w:val="28"/>
          <w:szCs w:val="28"/>
          <w:lang w:val="uk-UA"/>
        </w:rPr>
        <w:sym w:font="Symbol" w:char="F02D"/>
      </w:r>
      <w:r w:rsidRPr="00F8585E">
        <w:rPr>
          <w:rFonts w:ascii="Times New Roman" w:hAnsi="Times New Roman" w:cs="Times New Roman"/>
          <w:sz w:val="28"/>
          <w:szCs w:val="28"/>
          <w:lang w:val="uk-UA"/>
        </w:rPr>
        <w:t xml:space="preserve"> часова змінна. </w:t>
      </w:r>
    </w:p>
    <w:p w:rsidR="00DB125A" w:rsidRPr="00F8585E" w:rsidRDefault="00DB125A"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t>Коефіцієнти специфікації отриманої моделі 2.1 та їх статистична оц</w:t>
      </w:r>
      <w:r w:rsidR="000C09E0" w:rsidRPr="00F8585E">
        <w:rPr>
          <w:rFonts w:ascii="Times New Roman" w:hAnsi="Times New Roman" w:cs="Times New Roman"/>
          <w:sz w:val="28"/>
          <w:szCs w:val="28"/>
          <w:lang w:val="uk-UA"/>
        </w:rPr>
        <w:t>інка  представлені в таблиці 2.2</w:t>
      </w:r>
      <w:r w:rsidRPr="00F8585E">
        <w:rPr>
          <w:rFonts w:ascii="Times New Roman" w:hAnsi="Times New Roman" w:cs="Times New Roman"/>
          <w:sz w:val="28"/>
          <w:szCs w:val="28"/>
          <w:lang w:val="uk-UA"/>
        </w:rPr>
        <w:t>.</w:t>
      </w:r>
    </w:p>
    <w:p w:rsidR="00DB125A" w:rsidRPr="00F8585E" w:rsidRDefault="00DD7A4A" w:rsidP="00836606">
      <w:pPr>
        <w:spacing w:after="0" w:line="360" w:lineRule="auto"/>
        <w:jc w:val="right"/>
        <w:rPr>
          <w:rFonts w:ascii="Times New Roman" w:hAnsi="Times New Roman" w:cs="Times New Roman"/>
          <w:sz w:val="28"/>
          <w:szCs w:val="28"/>
          <w:lang w:val="uk-UA"/>
        </w:rPr>
      </w:pPr>
      <w:r w:rsidRPr="00F8585E">
        <w:rPr>
          <w:rFonts w:ascii="Times New Roman" w:hAnsi="Times New Roman" w:cs="Times New Roman"/>
          <w:sz w:val="28"/>
          <w:szCs w:val="28"/>
          <w:lang w:val="uk-UA"/>
        </w:rPr>
        <w:t>Таблиця 2.2</w:t>
      </w:r>
    </w:p>
    <w:p w:rsidR="00DB125A" w:rsidRPr="00F8585E" w:rsidRDefault="00DB125A"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 xml:space="preserve">Коефіцієнти специфікації моделі 2.1 та їх статистична оцінка  </w:t>
      </w:r>
    </w:p>
    <w:tbl>
      <w:tblPr>
        <w:tblStyle w:val="a4"/>
        <w:tblW w:w="0" w:type="auto"/>
        <w:tblInd w:w="108" w:type="dxa"/>
        <w:tblLook w:val="04A0" w:firstRow="1" w:lastRow="0" w:firstColumn="1" w:lastColumn="0" w:noHBand="0" w:noVBand="1"/>
      </w:tblPr>
      <w:tblGrid>
        <w:gridCol w:w="1485"/>
        <w:gridCol w:w="2118"/>
        <w:gridCol w:w="1607"/>
        <w:gridCol w:w="1598"/>
        <w:gridCol w:w="1786"/>
        <w:gridCol w:w="1152"/>
      </w:tblGrid>
      <w:tr w:rsidR="00DB125A" w:rsidRPr="00F8585E" w:rsidTr="00DB125A">
        <w:trPr>
          <w:trHeight w:hRule="exact" w:val="624"/>
        </w:trPr>
        <w:tc>
          <w:tcPr>
            <w:tcW w:w="1496" w:type="dxa"/>
            <w:vAlign w:val="center"/>
          </w:tcPr>
          <w:p w:rsidR="00DB125A" w:rsidRPr="00F8585E" w:rsidRDefault="00DB125A" w:rsidP="00836606">
            <w:pPr>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Показник</w:t>
            </w:r>
          </w:p>
        </w:tc>
        <w:tc>
          <w:tcPr>
            <w:tcW w:w="2118" w:type="dxa"/>
            <w:vAlign w:val="center"/>
          </w:tcPr>
          <w:p w:rsidR="00DB125A" w:rsidRPr="00F8585E" w:rsidRDefault="00DB125A" w:rsidP="00836606">
            <w:pPr>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Стандартизований коефіцієнт</w:t>
            </w:r>
          </w:p>
        </w:tc>
        <w:tc>
          <w:tcPr>
            <w:tcW w:w="1623" w:type="dxa"/>
            <w:vAlign w:val="center"/>
          </w:tcPr>
          <w:p w:rsidR="00DB125A" w:rsidRPr="00F8585E" w:rsidRDefault="00DB125A" w:rsidP="00836606">
            <w:pPr>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Ст. помилка</w:t>
            </w:r>
          </w:p>
        </w:tc>
        <w:tc>
          <w:tcPr>
            <w:tcW w:w="1609" w:type="dxa"/>
            <w:vAlign w:val="center"/>
          </w:tcPr>
          <w:p w:rsidR="00DB125A" w:rsidRPr="00F8585E" w:rsidRDefault="00DB125A" w:rsidP="00836606">
            <w:pPr>
              <w:pStyle w:val="a3"/>
              <w:spacing w:after="0" w:line="240" w:lineRule="auto"/>
              <w:ind w:left="0"/>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t-статистика</w:t>
            </w:r>
          </w:p>
        </w:tc>
        <w:tc>
          <w:tcPr>
            <w:tcW w:w="1814" w:type="dxa"/>
            <w:vAlign w:val="center"/>
          </w:tcPr>
          <w:p w:rsidR="00DB125A" w:rsidRPr="00F8585E" w:rsidRDefault="00DB125A" w:rsidP="00836606">
            <w:pPr>
              <w:pStyle w:val="a3"/>
              <w:spacing w:after="0" w:line="240" w:lineRule="auto"/>
              <w:ind w:left="0"/>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Р-значення</w:t>
            </w:r>
          </w:p>
        </w:tc>
        <w:tc>
          <w:tcPr>
            <w:tcW w:w="802" w:type="dxa"/>
            <w:vAlign w:val="center"/>
          </w:tcPr>
          <w:p w:rsidR="00DB125A" w:rsidRPr="00F8585E" w:rsidRDefault="006A7758" w:rsidP="00836606">
            <w:pPr>
              <w:pStyle w:val="a3"/>
              <w:spacing w:after="0" w:line="240" w:lineRule="auto"/>
              <w:ind w:left="0"/>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 xml:space="preserve">Критерій </w:t>
            </w:r>
            <w:r w:rsidR="00DB125A" w:rsidRPr="00F8585E">
              <w:rPr>
                <w:rFonts w:ascii="Times New Roman" w:hAnsi="Times New Roman" w:cs="Times New Roman"/>
                <w:sz w:val="24"/>
                <w:szCs w:val="24"/>
                <w:lang w:val="uk-UA"/>
              </w:rPr>
              <w:t>VIF</w:t>
            </w:r>
          </w:p>
        </w:tc>
      </w:tr>
      <w:tr w:rsidR="000C09E0" w:rsidRPr="00F8585E" w:rsidTr="005948D7">
        <w:trPr>
          <w:trHeight w:hRule="exact" w:val="340"/>
        </w:trPr>
        <w:tc>
          <w:tcPr>
            <w:tcW w:w="1496" w:type="dxa"/>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const</w:t>
            </w:r>
          </w:p>
        </w:tc>
        <w:tc>
          <w:tcPr>
            <w:tcW w:w="2118"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p>
        </w:tc>
        <w:tc>
          <w:tcPr>
            <w:tcW w:w="1623"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12,8138</w:t>
            </w:r>
          </w:p>
        </w:tc>
        <w:tc>
          <w:tcPr>
            <w:tcW w:w="1609"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−4,299</w:t>
            </w:r>
          </w:p>
        </w:tc>
        <w:tc>
          <w:tcPr>
            <w:tcW w:w="1814"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0,0005</w:t>
            </w:r>
            <w:r w:rsidR="00322B91" w:rsidRPr="00F8585E">
              <w:rPr>
                <w:rFonts w:ascii="Times New Roman" w:hAnsi="Times New Roman" w:cs="Times New Roman"/>
                <w:sz w:val="24"/>
                <w:szCs w:val="24"/>
                <w:lang w:val="uk-UA"/>
              </w:rPr>
              <w:t xml:space="preserve"> ***</w:t>
            </w:r>
          </w:p>
        </w:tc>
        <w:tc>
          <w:tcPr>
            <w:tcW w:w="802" w:type="dxa"/>
          </w:tcPr>
          <w:p w:rsidR="000C09E0" w:rsidRPr="00F8585E" w:rsidRDefault="000C09E0" w:rsidP="00836606">
            <w:pPr>
              <w:autoSpaceDE w:val="0"/>
              <w:autoSpaceDN w:val="0"/>
              <w:adjustRightInd w:val="0"/>
              <w:spacing w:after="0" w:line="240" w:lineRule="auto"/>
              <w:jc w:val="center"/>
              <w:rPr>
                <w:rFonts w:ascii="Times New Roman" w:hAnsi="Times New Roman" w:cs="Times New Roman"/>
                <w:sz w:val="24"/>
                <w:szCs w:val="24"/>
                <w:lang w:val="uk-UA"/>
              </w:rPr>
            </w:pPr>
          </w:p>
        </w:tc>
      </w:tr>
      <w:tr w:rsidR="000C2B97" w:rsidRPr="00F8585E" w:rsidTr="005948D7">
        <w:trPr>
          <w:trHeight w:hRule="exact" w:val="340"/>
        </w:trPr>
        <w:tc>
          <w:tcPr>
            <w:tcW w:w="1496" w:type="dxa"/>
          </w:tcPr>
          <w:p w:rsidR="000C2B97"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GovIntegr</w:t>
            </w:r>
          </w:p>
        </w:tc>
        <w:tc>
          <w:tcPr>
            <w:tcW w:w="2118" w:type="dxa"/>
          </w:tcPr>
          <w:p w:rsidR="000C2B97" w:rsidRPr="00F8585E" w:rsidRDefault="000C2B97" w:rsidP="00836606">
            <w:pPr>
              <w:spacing w:after="0"/>
              <w:rPr>
                <w:rFonts w:ascii="Times New Roman" w:hAnsi="Times New Roman" w:cs="Times New Roman"/>
                <w:sz w:val="24"/>
                <w:lang w:val="uk-UA"/>
              </w:rPr>
            </w:pPr>
            <w:r w:rsidRPr="00F8585E">
              <w:rPr>
                <w:rFonts w:ascii="Times New Roman" w:hAnsi="Times New Roman" w:cs="Times New Roman"/>
                <w:sz w:val="24"/>
                <w:lang w:val="uk-UA"/>
              </w:rPr>
              <w:t>0,239157356</w:t>
            </w:r>
          </w:p>
        </w:tc>
        <w:tc>
          <w:tcPr>
            <w:tcW w:w="1623"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0,259425</w:t>
            </w:r>
          </w:p>
        </w:tc>
        <w:tc>
          <w:tcPr>
            <w:tcW w:w="1609"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2,739</w:t>
            </w:r>
          </w:p>
        </w:tc>
        <w:tc>
          <w:tcPr>
            <w:tcW w:w="1814"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0,0140 **</w:t>
            </w:r>
          </w:p>
        </w:tc>
        <w:tc>
          <w:tcPr>
            <w:tcW w:w="802" w:type="dxa"/>
          </w:tcPr>
          <w:p w:rsidR="000C2B97" w:rsidRPr="00F8585E" w:rsidRDefault="000C2B97" w:rsidP="00836606">
            <w:pPr>
              <w:spacing w:after="0" w:line="360" w:lineRule="auto"/>
              <w:jc w:val="both"/>
              <w:rPr>
                <w:rFonts w:ascii="Times New Roman" w:hAnsi="Times New Roman" w:cs="Times New Roman"/>
                <w:sz w:val="24"/>
                <w:szCs w:val="28"/>
                <w:lang w:val="uk-UA"/>
              </w:rPr>
            </w:pPr>
            <w:r w:rsidRPr="00F8585E">
              <w:rPr>
                <w:rFonts w:ascii="Times New Roman" w:hAnsi="Times New Roman" w:cs="Times New Roman"/>
                <w:sz w:val="24"/>
                <w:szCs w:val="28"/>
                <w:lang w:val="uk-UA"/>
              </w:rPr>
              <w:t>1,630</w:t>
            </w:r>
          </w:p>
        </w:tc>
      </w:tr>
      <w:tr w:rsidR="000C2B97" w:rsidRPr="00F8585E" w:rsidTr="005948D7">
        <w:trPr>
          <w:trHeight w:hRule="exact" w:val="340"/>
        </w:trPr>
        <w:tc>
          <w:tcPr>
            <w:tcW w:w="1496" w:type="dxa"/>
          </w:tcPr>
          <w:p w:rsidR="000C2B97"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GovSpend</w:t>
            </w:r>
          </w:p>
        </w:tc>
        <w:tc>
          <w:tcPr>
            <w:tcW w:w="2118" w:type="dxa"/>
          </w:tcPr>
          <w:p w:rsidR="000C2B97" w:rsidRPr="00F8585E" w:rsidRDefault="000C2B97" w:rsidP="00836606">
            <w:pPr>
              <w:spacing w:after="0"/>
              <w:rPr>
                <w:rFonts w:ascii="Times New Roman" w:hAnsi="Times New Roman" w:cs="Times New Roman"/>
                <w:sz w:val="24"/>
                <w:lang w:val="uk-UA"/>
              </w:rPr>
            </w:pPr>
            <w:r w:rsidRPr="00F8585E">
              <w:rPr>
                <w:rFonts w:ascii="Times New Roman" w:hAnsi="Times New Roman" w:cs="Times New Roman"/>
                <w:sz w:val="24"/>
                <w:lang w:val="uk-UA"/>
              </w:rPr>
              <w:t>0,487414846</w:t>
            </w:r>
          </w:p>
        </w:tc>
        <w:tc>
          <w:tcPr>
            <w:tcW w:w="1623"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0,104287</w:t>
            </w:r>
          </w:p>
        </w:tc>
        <w:tc>
          <w:tcPr>
            <w:tcW w:w="1609"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4,765</w:t>
            </w:r>
          </w:p>
        </w:tc>
        <w:tc>
          <w:tcPr>
            <w:tcW w:w="1814"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0,0002 ***</w:t>
            </w:r>
          </w:p>
        </w:tc>
        <w:tc>
          <w:tcPr>
            <w:tcW w:w="802" w:type="dxa"/>
          </w:tcPr>
          <w:p w:rsidR="000C2B97" w:rsidRPr="00F8585E" w:rsidRDefault="000C2B97" w:rsidP="00836606">
            <w:pPr>
              <w:spacing w:after="0" w:line="360" w:lineRule="auto"/>
              <w:jc w:val="both"/>
              <w:rPr>
                <w:rFonts w:ascii="Times New Roman" w:hAnsi="Times New Roman" w:cs="Times New Roman"/>
                <w:sz w:val="24"/>
                <w:szCs w:val="28"/>
                <w:lang w:val="uk-UA"/>
              </w:rPr>
            </w:pPr>
            <w:r w:rsidRPr="00F8585E">
              <w:rPr>
                <w:rFonts w:ascii="Times New Roman" w:hAnsi="Times New Roman" w:cs="Times New Roman"/>
                <w:sz w:val="24"/>
                <w:szCs w:val="28"/>
                <w:lang w:val="uk-UA"/>
              </w:rPr>
              <w:t>2,248</w:t>
            </w:r>
          </w:p>
        </w:tc>
      </w:tr>
      <w:tr w:rsidR="000C2B97" w:rsidRPr="00F8585E" w:rsidTr="005948D7">
        <w:trPr>
          <w:trHeight w:hRule="exact" w:val="340"/>
        </w:trPr>
        <w:tc>
          <w:tcPr>
            <w:tcW w:w="1496" w:type="dxa"/>
          </w:tcPr>
          <w:p w:rsidR="000C2B97"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MonFreed</w:t>
            </w:r>
          </w:p>
        </w:tc>
        <w:tc>
          <w:tcPr>
            <w:tcW w:w="2118" w:type="dxa"/>
          </w:tcPr>
          <w:p w:rsidR="000C2B97" w:rsidRPr="00F8585E" w:rsidRDefault="000C2B97" w:rsidP="00836606">
            <w:pPr>
              <w:spacing w:after="0"/>
              <w:rPr>
                <w:rFonts w:ascii="Times New Roman" w:hAnsi="Times New Roman" w:cs="Times New Roman"/>
                <w:sz w:val="24"/>
                <w:lang w:val="uk-UA"/>
              </w:rPr>
            </w:pPr>
            <w:r w:rsidRPr="00F8585E">
              <w:rPr>
                <w:rFonts w:ascii="Times New Roman" w:hAnsi="Times New Roman" w:cs="Times New Roman"/>
                <w:sz w:val="24"/>
                <w:lang w:val="uk-UA"/>
              </w:rPr>
              <w:t>-0,172690571</w:t>
            </w:r>
          </w:p>
        </w:tc>
        <w:tc>
          <w:tcPr>
            <w:tcW w:w="1623"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0,152301</w:t>
            </w:r>
          </w:p>
        </w:tc>
        <w:tc>
          <w:tcPr>
            <w:tcW w:w="1609"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−2,413</w:t>
            </w:r>
          </w:p>
        </w:tc>
        <w:tc>
          <w:tcPr>
            <w:tcW w:w="1814"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0,0274 **</w:t>
            </w:r>
          </w:p>
        </w:tc>
        <w:tc>
          <w:tcPr>
            <w:tcW w:w="802" w:type="dxa"/>
          </w:tcPr>
          <w:p w:rsidR="000C2B97" w:rsidRPr="00F8585E" w:rsidRDefault="000C2B97" w:rsidP="00836606">
            <w:pPr>
              <w:spacing w:after="0" w:line="360" w:lineRule="auto"/>
              <w:jc w:val="both"/>
              <w:rPr>
                <w:rFonts w:ascii="Times New Roman" w:hAnsi="Times New Roman" w:cs="Times New Roman"/>
                <w:sz w:val="24"/>
                <w:szCs w:val="28"/>
                <w:lang w:val="uk-UA"/>
              </w:rPr>
            </w:pPr>
            <w:r w:rsidRPr="00F8585E">
              <w:rPr>
                <w:rFonts w:ascii="Times New Roman" w:hAnsi="Times New Roman" w:cs="Times New Roman"/>
                <w:sz w:val="24"/>
                <w:szCs w:val="28"/>
                <w:lang w:val="uk-UA"/>
              </w:rPr>
              <w:t>1,094</w:t>
            </w:r>
          </w:p>
        </w:tc>
      </w:tr>
      <w:tr w:rsidR="000C2B97" w:rsidRPr="00F8585E" w:rsidTr="005948D7">
        <w:trPr>
          <w:trHeight w:hRule="exact" w:val="340"/>
        </w:trPr>
        <w:tc>
          <w:tcPr>
            <w:tcW w:w="1496" w:type="dxa"/>
          </w:tcPr>
          <w:p w:rsidR="000C2B97"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Unempl</w:t>
            </w:r>
          </w:p>
        </w:tc>
        <w:tc>
          <w:tcPr>
            <w:tcW w:w="2118" w:type="dxa"/>
          </w:tcPr>
          <w:p w:rsidR="000C2B97" w:rsidRPr="00F8585E" w:rsidRDefault="000C2B97" w:rsidP="00836606">
            <w:pPr>
              <w:spacing w:after="0"/>
              <w:rPr>
                <w:rFonts w:ascii="Times New Roman" w:hAnsi="Times New Roman" w:cs="Times New Roman"/>
                <w:sz w:val="24"/>
                <w:lang w:val="uk-UA"/>
              </w:rPr>
            </w:pPr>
            <w:r w:rsidRPr="00F8585E">
              <w:rPr>
                <w:rFonts w:ascii="Times New Roman" w:hAnsi="Times New Roman" w:cs="Times New Roman"/>
                <w:sz w:val="24"/>
                <w:lang w:val="uk-UA"/>
              </w:rPr>
              <w:t>0,471503256</w:t>
            </w:r>
          </w:p>
        </w:tc>
        <w:tc>
          <w:tcPr>
            <w:tcW w:w="1623"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0,400860</w:t>
            </w:r>
          </w:p>
        </w:tc>
        <w:tc>
          <w:tcPr>
            <w:tcW w:w="1609"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6,284</w:t>
            </w:r>
          </w:p>
        </w:tc>
        <w:tc>
          <w:tcPr>
            <w:tcW w:w="1814"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 xml:space="preserve">&lt;0,0001 *** </w:t>
            </w:r>
          </w:p>
        </w:tc>
        <w:tc>
          <w:tcPr>
            <w:tcW w:w="802" w:type="dxa"/>
          </w:tcPr>
          <w:p w:rsidR="000C2B97" w:rsidRPr="00F8585E" w:rsidRDefault="000C2B97" w:rsidP="00836606">
            <w:pPr>
              <w:spacing w:after="0" w:line="360" w:lineRule="auto"/>
              <w:jc w:val="both"/>
              <w:rPr>
                <w:rFonts w:ascii="Times New Roman" w:hAnsi="Times New Roman" w:cs="Times New Roman"/>
                <w:sz w:val="24"/>
                <w:szCs w:val="28"/>
                <w:lang w:val="uk-UA"/>
              </w:rPr>
            </w:pPr>
            <w:r w:rsidRPr="00F8585E">
              <w:rPr>
                <w:rFonts w:ascii="Times New Roman" w:hAnsi="Times New Roman" w:cs="Times New Roman"/>
                <w:sz w:val="24"/>
                <w:szCs w:val="28"/>
                <w:lang w:val="uk-UA"/>
              </w:rPr>
              <w:t>1,207</w:t>
            </w:r>
          </w:p>
        </w:tc>
      </w:tr>
      <w:tr w:rsidR="000C2B97" w:rsidRPr="00F8585E" w:rsidTr="005948D7">
        <w:trPr>
          <w:trHeight w:hRule="exact" w:val="340"/>
        </w:trPr>
        <w:tc>
          <w:tcPr>
            <w:tcW w:w="1496" w:type="dxa"/>
          </w:tcPr>
          <w:p w:rsidR="000C2B97" w:rsidRPr="00F8585E" w:rsidRDefault="000C2B97"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ExtDebt</w:t>
            </w:r>
          </w:p>
        </w:tc>
        <w:tc>
          <w:tcPr>
            <w:tcW w:w="2118" w:type="dxa"/>
          </w:tcPr>
          <w:p w:rsidR="000C2B97" w:rsidRPr="00F8585E" w:rsidRDefault="000C2B97" w:rsidP="00836606">
            <w:pPr>
              <w:spacing w:after="0"/>
              <w:rPr>
                <w:rFonts w:ascii="Times New Roman" w:hAnsi="Times New Roman" w:cs="Times New Roman"/>
                <w:sz w:val="24"/>
                <w:lang w:val="uk-UA"/>
              </w:rPr>
            </w:pPr>
            <w:r w:rsidRPr="00F8585E">
              <w:rPr>
                <w:rFonts w:ascii="Times New Roman" w:hAnsi="Times New Roman" w:cs="Times New Roman"/>
                <w:sz w:val="24"/>
                <w:lang w:val="uk-UA"/>
              </w:rPr>
              <w:t>-0,444053192</w:t>
            </w:r>
          </w:p>
        </w:tc>
        <w:tc>
          <w:tcPr>
            <w:tcW w:w="1623"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0,0378019</w:t>
            </w:r>
          </w:p>
        </w:tc>
        <w:tc>
          <w:tcPr>
            <w:tcW w:w="1609"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−3,932</w:t>
            </w:r>
          </w:p>
        </w:tc>
        <w:tc>
          <w:tcPr>
            <w:tcW w:w="1814" w:type="dxa"/>
          </w:tcPr>
          <w:p w:rsidR="000C2B97" w:rsidRPr="00F8585E" w:rsidRDefault="000C2B97" w:rsidP="00836606">
            <w:pPr>
              <w:autoSpaceDE w:val="0"/>
              <w:autoSpaceDN w:val="0"/>
              <w:adjustRightInd w:val="0"/>
              <w:spacing w:after="0" w:line="240" w:lineRule="auto"/>
              <w:jc w:val="center"/>
              <w:rPr>
                <w:rFonts w:ascii="Times New Roman" w:hAnsi="Times New Roman" w:cs="Times New Roman"/>
                <w:sz w:val="24"/>
                <w:szCs w:val="24"/>
                <w:lang w:val="uk-UA"/>
              </w:rPr>
            </w:pPr>
            <w:r w:rsidRPr="00F8585E">
              <w:rPr>
                <w:rFonts w:ascii="Times New Roman" w:hAnsi="Times New Roman" w:cs="Times New Roman"/>
                <w:sz w:val="24"/>
                <w:szCs w:val="24"/>
                <w:lang w:val="uk-UA"/>
              </w:rPr>
              <w:t>0,0011 ***</w:t>
            </w:r>
          </w:p>
        </w:tc>
        <w:tc>
          <w:tcPr>
            <w:tcW w:w="802" w:type="dxa"/>
          </w:tcPr>
          <w:p w:rsidR="000C2B97" w:rsidRPr="00F8585E" w:rsidRDefault="000C2B97" w:rsidP="00836606">
            <w:pPr>
              <w:spacing w:after="0"/>
              <w:rPr>
                <w:sz w:val="24"/>
                <w:lang w:val="uk-UA"/>
              </w:rPr>
            </w:pPr>
            <w:r w:rsidRPr="00F8585E">
              <w:rPr>
                <w:rFonts w:ascii="Times New Roman" w:hAnsi="Times New Roman" w:cs="Times New Roman"/>
                <w:sz w:val="24"/>
                <w:szCs w:val="28"/>
                <w:lang w:val="uk-UA"/>
              </w:rPr>
              <w:t>2,721</w:t>
            </w:r>
          </w:p>
        </w:tc>
      </w:tr>
      <w:tr w:rsidR="000C09E0" w:rsidRPr="00F8585E" w:rsidTr="005948D7">
        <w:trPr>
          <w:trHeight w:hRule="exact" w:val="340"/>
        </w:trPr>
        <w:tc>
          <w:tcPr>
            <w:tcW w:w="1496" w:type="dxa"/>
            <w:vAlign w:val="bottom"/>
          </w:tcPr>
          <w:p w:rsidR="000C09E0" w:rsidRPr="00F8585E" w:rsidRDefault="000C09E0" w:rsidP="00836606">
            <w:pPr>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R</w:t>
            </w:r>
            <w:r w:rsidRPr="00F8585E">
              <w:rPr>
                <w:rFonts w:ascii="Times New Roman" w:hAnsi="Times New Roman" w:cs="Times New Roman"/>
                <w:sz w:val="24"/>
                <w:szCs w:val="24"/>
                <w:vertAlign w:val="superscript"/>
                <w:lang w:val="uk-UA"/>
              </w:rPr>
              <w:t>2</w:t>
            </w:r>
          </w:p>
        </w:tc>
        <w:tc>
          <w:tcPr>
            <w:tcW w:w="7966" w:type="dxa"/>
            <w:gridSpan w:val="5"/>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 xml:space="preserve"> 0,919998</w:t>
            </w:r>
          </w:p>
        </w:tc>
      </w:tr>
      <w:tr w:rsidR="000C09E0" w:rsidRPr="00F8585E" w:rsidTr="005948D7">
        <w:trPr>
          <w:trHeight w:hRule="exact" w:val="340"/>
        </w:trPr>
        <w:tc>
          <w:tcPr>
            <w:tcW w:w="1496" w:type="dxa"/>
            <w:vAlign w:val="bottom"/>
          </w:tcPr>
          <w:p w:rsidR="000C09E0" w:rsidRPr="00F8585E" w:rsidRDefault="000C09E0" w:rsidP="00836606">
            <w:pPr>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F (5, 17)</w:t>
            </w:r>
          </w:p>
        </w:tc>
        <w:tc>
          <w:tcPr>
            <w:tcW w:w="7966" w:type="dxa"/>
            <w:gridSpan w:val="5"/>
          </w:tcPr>
          <w:p w:rsidR="000C09E0" w:rsidRPr="00F8585E" w:rsidRDefault="000C09E0" w:rsidP="00836606">
            <w:pPr>
              <w:autoSpaceDE w:val="0"/>
              <w:autoSpaceDN w:val="0"/>
              <w:adjustRightInd w:val="0"/>
              <w:spacing w:after="0" w:line="240" w:lineRule="auto"/>
              <w:rPr>
                <w:rFonts w:ascii="Times New Roman" w:hAnsi="Times New Roman" w:cs="Times New Roman"/>
                <w:sz w:val="24"/>
                <w:szCs w:val="24"/>
                <w:lang w:val="uk-UA"/>
              </w:rPr>
            </w:pPr>
            <w:r w:rsidRPr="00F8585E">
              <w:rPr>
                <w:rFonts w:ascii="Times New Roman" w:hAnsi="Times New Roman" w:cs="Times New Roman"/>
                <w:sz w:val="24"/>
                <w:szCs w:val="24"/>
                <w:lang w:val="uk-UA"/>
              </w:rPr>
              <w:t xml:space="preserve"> 39,09890</w:t>
            </w:r>
          </w:p>
        </w:tc>
      </w:tr>
    </w:tbl>
    <w:p w:rsidR="00E6314B" w:rsidRPr="00F8585E" w:rsidRDefault="00E6314B" w:rsidP="00836606">
      <w:pPr>
        <w:spacing w:after="0" w:line="360" w:lineRule="auto"/>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Джерело: розраховано автором на основі </w:t>
      </w:r>
      <w:r w:rsidR="00872460">
        <w:rPr>
          <w:rFonts w:ascii="Times New Roman" w:hAnsi="Times New Roman" w:cs="Times New Roman"/>
          <w:sz w:val="28"/>
          <w:szCs w:val="28"/>
          <w:lang w:val="uk-UA"/>
        </w:rPr>
        <w:t>[1</w:t>
      </w:r>
      <w:r w:rsidR="00872460" w:rsidRPr="002E204E">
        <w:rPr>
          <w:rFonts w:ascii="Times New Roman" w:hAnsi="Times New Roman" w:cs="Times New Roman"/>
          <w:sz w:val="28"/>
          <w:szCs w:val="28"/>
        </w:rPr>
        <w:t>7</w:t>
      </w:r>
      <w:r w:rsidR="00872460" w:rsidRPr="00F8585E">
        <w:rPr>
          <w:rFonts w:ascii="Times New Roman" w:hAnsi="Times New Roman" w:cs="Times New Roman"/>
          <w:sz w:val="28"/>
          <w:szCs w:val="28"/>
          <w:lang w:val="uk-UA"/>
        </w:rPr>
        <w:t xml:space="preserve">; </w:t>
      </w:r>
      <w:r w:rsidR="00872460">
        <w:rPr>
          <w:rFonts w:ascii="Times New Roman" w:hAnsi="Times New Roman" w:cs="Times New Roman"/>
          <w:sz w:val="28"/>
          <w:szCs w:val="28"/>
          <w:lang w:val="uk-UA"/>
        </w:rPr>
        <w:t>29; 32; 33; 34</w:t>
      </w:r>
      <w:r w:rsidR="00872460" w:rsidRPr="00F8585E">
        <w:rPr>
          <w:rFonts w:ascii="Times New Roman" w:hAnsi="Times New Roman" w:cs="Times New Roman"/>
          <w:sz w:val="28"/>
          <w:szCs w:val="28"/>
          <w:lang w:val="uk-UA"/>
        </w:rPr>
        <w:t>].</w:t>
      </w:r>
    </w:p>
    <w:p w:rsidR="000C09E0" w:rsidRPr="00F8585E" w:rsidRDefault="000C09E0" w:rsidP="00836606">
      <w:pPr>
        <w:spacing w:after="0" w:line="360" w:lineRule="auto"/>
        <w:ind w:firstLine="708"/>
        <w:jc w:val="both"/>
        <w:rPr>
          <w:rFonts w:ascii="Times New Roman" w:hAnsi="Times New Roman" w:cs="Times New Roman"/>
          <w:sz w:val="28"/>
          <w:szCs w:val="28"/>
          <w:lang w:val="uk-UA"/>
        </w:rPr>
      </w:pP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На початку аналізу можна визначити якість моделі через високий коефіцієнт детермінації R</w:t>
      </w:r>
      <w:r w:rsidRPr="00F8585E">
        <w:rPr>
          <w:rFonts w:ascii="Times New Roman" w:hAnsi="Times New Roman" w:cs="Times New Roman"/>
          <w:sz w:val="28"/>
          <w:szCs w:val="28"/>
          <w:vertAlign w:val="superscript"/>
          <w:lang w:val="uk-UA"/>
        </w:rPr>
        <w:t>2</w:t>
      </w:r>
      <w:r w:rsidRPr="00F8585E">
        <w:rPr>
          <w:rFonts w:ascii="Times New Roman" w:hAnsi="Times New Roman" w:cs="Times New Roman"/>
          <w:sz w:val="28"/>
          <w:szCs w:val="28"/>
          <w:lang w:val="uk-UA"/>
        </w:rPr>
        <w:t>, який дуже близький до 1 (</w:t>
      </w:r>
      <w:r w:rsidR="000C09E0" w:rsidRPr="00F8585E">
        <w:rPr>
          <w:rFonts w:ascii="Times New Roman" w:hAnsi="Times New Roman" w:cs="Times New Roman"/>
          <w:sz w:val="28"/>
          <w:szCs w:val="28"/>
          <w:lang w:val="uk-UA"/>
        </w:rPr>
        <w:t>0,9199</w:t>
      </w:r>
      <w:r w:rsidRPr="00F8585E">
        <w:rPr>
          <w:rFonts w:ascii="Times New Roman" w:hAnsi="Times New Roman" w:cs="Times New Roman"/>
          <w:sz w:val="28"/>
          <w:szCs w:val="28"/>
          <w:lang w:val="uk-UA"/>
        </w:rPr>
        <w:t>). Коефіцієнт детермінації свідчить, що варіати</w:t>
      </w:r>
      <w:r w:rsidR="000C09E0" w:rsidRPr="00F8585E">
        <w:rPr>
          <w:rFonts w:ascii="Times New Roman" w:hAnsi="Times New Roman" w:cs="Times New Roman"/>
          <w:sz w:val="28"/>
          <w:szCs w:val="28"/>
          <w:lang w:val="uk-UA"/>
        </w:rPr>
        <w:t>вність залежної змінної на 91,99</w:t>
      </w:r>
      <w:r w:rsidRPr="00F8585E">
        <w:rPr>
          <w:rFonts w:ascii="Times New Roman" w:hAnsi="Times New Roman" w:cs="Times New Roman"/>
          <w:sz w:val="28"/>
          <w:szCs w:val="28"/>
          <w:lang w:val="uk-UA"/>
        </w:rPr>
        <w:t xml:space="preserve">%  пояснюється даним набором незалежних змінних.  </w:t>
      </w: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Низькі P-значення свідчать про слабкість нульової гіпотези та відповідно про справедливість альтернативної гіпотези. Така змінна як</w:t>
      </w:r>
      <w:r w:rsidRPr="00F8585E">
        <w:rPr>
          <w:rFonts w:ascii="Times New Roman" w:eastAsiaTheme="minorEastAsia" w:hAnsi="Times New Roman" w:cs="Times New Roman"/>
          <w:sz w:val="28"/>
          <w:szCs w:val="28"/>
          <w:lang w:val="uk-UA"/>
        </w:rPr>
        <w:t xml:space="preserve"> </w:t>
      </w:r>
      <w:r w:rsidR="000C2B97" w:rsidRPr="00F8585E">
        <w:rPr>
          <w:rFonts w:ascii="Times New Roman" w:hAnsi="Times New Roman" w:cs="Times New Roman"/>
          <w:sz w:val="28"/>
          <w:szCs w:val="28"/>
          <w:lang w:val="uk-UA"/>
        </w:rPr>
        <w:t>GovSpend</w:t>
      </w:r>
      <w:r w:rsidR="00322B91" w:rsidRPr="00F8585E">
        <w:rPr>
          <w:rFonts w:ascii="Times New Roman" w:hAnsi="Times New Roman" w:cs="Times New Roman"/>
          <w:sz w:val="28"/>
          <w:szCs w:val="28"/>
          <w:lang w:val="uk-UA"/>
        </w:rPr>
        <w:t>, U</w:t>
      </w:r>
      <w:r w:rsidR="000C2B97" w:rsidRPr="00F8585E">
        <w:rPr>
          <w:rFonts w:ascii="Times New Roman" w:hAnsi="Times New Roman" w:cs="Times New Roman"/>
          <w:sz w:val="28"/>
          <w:szCs w:val="28"/>
          <w:lang w:val="uk-UA"/>
        </w:rPr>
        <w:t>nempl</w:t>
      </w:r>
      <w:r w:rsidR="00322B91" w:rsidRPr="00F8585E">
        <w:rPr>
          <w:rFonts w:ascii="Times New Roman" w:hAnsi="Times New Roman" w:cs="Times New Roman"/>
          <w:sz w:val="28"/>
          <w:szCs w:val="28"/>
          <w:lang w:val="uk-UA"/>
        </w:rPr>
        <w:t xml:space="preserve"> та E</w:t>
      </w:r>
      <w:r w:rsidR="000C2B97" w:rsidRPr="00F8585E">
        <w:rPr>
          <w:rFonts w:ascii="Times New Roman" w:hAnsi="Times New Roman" w:cs="Times New Roman"/>
          <w:sz w:val="28"/>
          <w:szCs w:val="28"/>
          <w:lang w:val="uk-UA"/>
        </w:rPr>
        <w:t>xt</w:t>
      </w:r>
      <w:r w:rsidR="00322B91" w:rsidRPr="00F8585E">
        <w:rPr>
          <w:rFonts w:ascii="Times New Roman" w:hAnsi="Times New Roman" w:cs="Times New Roman"/>
          <w:sz w:val="28"/>
          <w:szCs w:val="28"/>
          <w:lang w:val="uk-UA"/>
        </w:rPr>
        <w:t>D</w:t>
      </w:r>
      <w:r w:rsidR="000C2B97" w:rsidRPr="00F8585E">
        <w:rPr>
          <w:rFonts w:ascii="Times New Roman" w:hAnsi="Times New Roman" w:cs="Times New Roman"/>
          <w:sz w:val="28"/>
          <w:szCs w:val="28"/>
          <w:lang w:val="uk-UA"/>
        </w:rPr>
        <w:t>ebt</w:t>
      </w:r>
      <w:r w:rsidRPr="00F8585E">
        <w:rPr>
          <w:rFonts w:ascii="Times New Roman" w:hAnsi="Times New Roman" w:cs="Times New Roman"/>
          <w:sz w:val="28"/>
          <w:szCs w:val="28"/>
          <w:lang w:val="uk-UA"/>
        </w:rPr>
        <w:t xml:space="preserve"> є с</w:t>
      </w:r>
      <w:r w:rsidR="00966B3A" w:rsidRPr="00F8585E">
        <w:rPr>
          <w:rFonts w:ascii="Times New Roman" w:hAnsi="Times New Roman" w:cs="Times New Roman"/>
          <w:sz w:val="28"/>
          <w:szCs w:val="28"/>
          <w:lang w:val="uk-UA"/>
        </w:rPr>
        <w:t>татистично значущою за найвищим рівнем 1</w:t>
      </w:r>
      <w:r w:rsidRPr="00F8585E">
        <w:rPr>
          <w:rFonts w:ascii="Times New Roman" w:hAnsi="Times New Roman" w:cs="Times New Roman"/>
          <w:sz w:val="28"/>
          <w:szCs w:val="28"/>
          <w:lang w:val="uk-UA"/>
        </w:rPr>
        <w:t>% (</w:t>
      </w:r>
      <w:r w:rsidR="00966B3A" w:rsidRPr="00F8585E">
        <w:rPr>
          <w:rFonts w:ascii="Times New Roman" w:hAnsi="Times New Roman" w:cs="Times New Roman"/>
          <w:sz w:val="28"/>
          <w:szCs w:val="28"/>
          <w:lang w:val="uk-UA"/>
        </w:rPr>
        <w:t>**</w:t>
      </w:r>
      <w:r w:rsidRPr="00F8585E">
        <w:rPr>
          <w:rFonts w:ascii="Times New Roman" w:hAnsi="Times New Roman" w:cs="Times New Roman"/>
          <w:i/>
          <w:iCs/>
          <w:sz w:val="28"/>
          <w:szCs w:val="28"/>
          <w:lang w:val="uk-UA"/>
        </w:rPr>
        <w:t>*</w:t>
      </w:r>
      <w:r w:rsidRPr="00F8585E">
        <w:rPr>
          <w:rFonts w:ascii="Times New Roman" w:hAnsi="Times New Roman" w:cs="Times New Roman"/>
          <w:sz w:val="28"/>
          <w:szCs w:val="28"/>
          <w:lang w:val="uk-UA"/>
        </w:rPr>
        <w:t>), що свідчить про низьку ймовірність  нульового значення відповідного β коефіцієнта. Це означає, що існує т</w:t>
      </w:r>
      <w:r w:rsidR="00966B3A" w:rsidRPr="00F8585E">
        <w:rPr>
          <w:rFonts w:ascii="Times New Roman" w:hAnsi="Times New Roman" w:cs="Times New Roman"/>
          <w:sz w:val="28"/>
          <w:szCs w:val="28"/>
          <w:lang w:val="uk-UA"/>
        </w:rPr>
        <w:t>ільки 1</w:t>
      </w:r>
      <w:r w:rsidRPr="00F8585E">
        <w:rPr>
          <w:rFonts w:ascii="Times New Roman" w:hAnsi="Times New Roman" w:cs="Times New Roman"/>
          <w:sz w:val="28"/>
          <w:szCs w:val="28"/>
          <w:lang w:val="uk-UA"/>
        </w:rPr>
        <w:t xml:space="preserve">% ймовірності того, що коефіцієнт </w:t>
      </w:r>
      <w:r w:rsidR="00966B3A" w:rsidRPr="00F8585E">
        <w:rPr>
          <w:rFonts w:ascii="Times New Roman" w:hAnsi="Times New Roman" w:cs="Times New Roman"/>
          <w:sz w:val="28"/>
          <w:szCs w:val="28"/>
          <w:lang w:val="uk-UA"/>
        </w:rPr>
        <w:t>цієї змінної дорівнює нулю, і 99</w:t>
      </w:r>
      <w:r w:rsidRPr="00F8585E">
        <w:rPr>
          <w:rFonts w:ascii="Times New Roman" w:hAnsi="Times New Roman" w:cs="Times New Roman"/>
          <w:sz w:val="28"/>
          <w:szCs w:val="28"/>
          <w:lang w:val="uk-UA"/>
        </w:rPr>
        <w:t xml:space="preserve">% того, що він статистично відрізняються від 0. А інші змінні </w:t>
      </w:r>
      <w:r w:rsidR="00966B3A" w:rsidRPr="00F8585E">
        <w:rPr>
          <w:rFonts w:ascii="Times New Roman" w:hAnsi="Times New Roman" w:cs="Times New Roman"/>
          <w:sz w:val="28"/>
          <w:szCs w:val="28"/>
          <w:lang w:val="uk-UA"/>
        </w:rPr>
        <w:t>G</w:t>
      </w:r>
      <w:r w:rsidR="000C2B97" w:rsidRPr="00F8585E">
        <w:rPr>
          <w:rFonts w:ascii="Times New Roman" w:hAnsi="Times New Roman" w:cs="Times New Roman"/>
          <w:sz w:val="28"/>
          <w:szCs w:val="28"/>
          <w:lang w:val="uk-UA"/>
        </w:rPr>
        <w:t>ovIntegr</w:t>
      </w:r>
      <w:r w:rsidR="00966B3A" w:rsidRPr="00F8585E">
        <w:rPr>
          <w:rFonts w:ascii="Times New Roman" w:hAnsi="Times New Roman" w:cs="Times New Roman"/>
          <w:sz w:val="28"/>
          <w:szCs w:val="28"/>
          <w:lang w:val="uk-UA"/>
        </w:rPr>
        <w:t xml:space="preserve"> </w:t>
      </w:r>
      <w:r w:rsidRPr="00F8585E">
        <w:rPr>
          <w:rFonts w:ascii="Times New Roman" w:hAnsi="Times New Roman" w:cs="Times New Roman"/>
          <w:sz w:val="28"/>
          <w:szCs w:val="28"/>
          <w:lang w:val="uk-UA"/>
        </w:rPr>
        <w:t xml:space="preserve">та </w:t>
      </w:r>
      <w:r w:rsidR="00966B3A" w:rsidRPr="00F8585E">
        <w:rPr>
          <w:rFonts w:ascii="Times New Roman" w:hAnsi="Times New Roman" w:cs="Times New Roman"/>
          <w:sz w:val="28"/>
          <w:szCs w:val="28"/>
          <w:lang w:val="uk-UA"/>
        </w:rPr>
        <w:t>M</w:t>
      </w:r>
      <w:r w:rsidR="000C2B97" w:rsidRPr="00F8585E">
        <w:rPr>
          <w:rFonts w:ascii="Times New Roman" w:hAnsi="Times New Roman" w:cs="Times New Roman"/>
          <w:sz w:val="28"/>
          <w:szCs w:val="28"/>
          <w:lang w:val="uk-UA"/>
        </w:rPr>
        <w:t>on</w:t>
      </w:r>
      <w:r w:rsidR="00966B3A" w:rsidRPr="00F8585E">
        <w:rPr>
          <w:rFonts w:ascii="Times New Roman" w:hAnsi="Times New Roman" w:cs="Times New Roman"/>
          <w:sz w:val="28"/>
          <w:szCs w:val="28"/>
          <w:lang w:val="uk-UA"/>
        </w:rPr>
        <w:t>F</w:t>
      </w:r>
      <w:r w:rsidR="000C2B97" w:rsidRPr="00F8585E">
        <w:rPr>
          <w:rFonts w:ascii="Times New Roman" w:hAnsi="Times New Roman" w:cs="Times New Roman"/>
          <w:sz w:val="28"/>
          <w:szCs w:val="28"/>
          <w:lang w:val="uk-UA"/>
        </w:rPr>
        <w:t>reed</w:t>
      </w:r>
      <w:r w:rsidRPr="00F8585E">
        <w:rPr>
          <w:rFonts w:ascii="Times New Roman" w:hAnsi="Times New Roman" w:cs="Times New Roman"/>
          <w:sz w:val="28"/>
          <w:szCs w:val="28"/>
          <w:lang w:val="uk-UA"/>
        </w:rPr>
        <w:t xml:space="preserve"> виявились </w:t>
      </w:r>
      <w:r w:rsidR="00966B3A" w:rsidRPr="00F8585E">
        <w:rPr>
          <w:rFonts w:ascii="Times New Roman" w:hAnsi="Times New Roman" w:cs="Times New Roman"/>
          <w:sz w:val="28"/>
          <w:szCs w:val="28"/>
          <w:lang w:val="uk-UA"/>
        </w:rPr>
        <w:t xml:space="preserve">значущими за найвищим рівнем у 5% </w:t>
      </w:r>
      <w:r w:rsidR="00966B3A" w:rsidRPr="00F8585E">
        <w:rPr>
          <w:rFonts w:ascii="Times New Roman" w:hAnsi="Times New Roman" w:cs="Times New Roman"/>
          <w:sz w:val="28"/>
          <w:szCs w:val="28"/>
          <w:lang w:val="uk-UA"/>
        </w:rPr>
        <w:lastRenderedPageBreak/>
        <w:t>(**). Це означає, що існує тільки 5</w:t>
      </w:r>
      <w:r w:rsidRPr="00F8585E">
        <w:rPr>
          <w:rFonts w:ascii="Times New Roman" w:hAnsi="Times New Roman" w:cs="Times New Roman"/>
          <w:sz w:val="28"/>
          <w:szCs w:val="28"/>
          <w:lang w:val="uk-UA"/>
        </w:rPr>
        <w:t xml:space="preserve">% ймовірності того, що коефіцієнт </w:t>
      </w:r>
      <w:r w:rsidR="00966B3A" w:rsidRPr="00F8585E">
        <w:rPr>
          <w:rFonts w:ascii="Times New Roman" w:hAnsi="Times New Roman" w:cs="Times New Roman"/>
          <w:sz w:val="28"/>
          <w:szCs w:val="28"/>
          <w:lang w:val="uk-UA"/>
        </w:rPr>
        <w:t>цієї змінної дорівнює нулю, і 95</w:t>
      </w:r>
      <w:r w:rsidRPr="00F8585E">
        <w:rPr>
          <w:rFonts w:ascii="Times New Roman" w:hAnsi="Times New Roman" w:cs="Times New Roman"/>
          <w:sz w:val="28"/>
          <w:szCs w:val="28"/>
          <w:lang w:val="uk-UA"/>
        </w:rPr>
        <w:t>% того, що він статистично відрізняються від 0.</w:t>
      </w: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Значення розрахункового критерію F статистики Фішера дорівнює </w:t>
      </w:r>
      <w:r w:rsidR="00966B3A" w:rsidRPr="00F8585E">
        <w:rPr>
          <w:rFonts w:ascii="Times New Roman" w:hAnsi="Times New Roman" w:cs="Times New Roman"/>
          <w:sz w:val="28"/>
          <w:szCs w:val="28"/>
          <w:lang w:val="uk-UA"/>
        </w:rPr>
        <w:t>39,09</w:t>
      </w:r>
      <w:r w:rsidRPr="00F8585E">
        <w:rPr>
          <w:rFonts w:ascii="Times New Roman" w:hAnsi="Times New Roman" w:cs="Times New Roman"/>
          <w:sz w:val="28"/>
          <w:szCs w:val="28"/>
          <w:lang w:val="uk-UA"/>
        </w:rPr>
        <w:t xml:space="preserve">, що значно більше, ніж критичне значення, яке дорівнює </w:t>
      </w:r>
      <w:r w:rsidR="000C2B97" w:rsidRPr="00F8585E">
        <w:rPr>
          <w:rFonts w:ascii="Times New Roman" w:hAnsi="Times New Roman" w:cs="Times New Roman"/>
          <w:sz w:val="28"/>
          <w:szCs w:val="28"/>
          <w:lang w:val="uk-UA"/>
        </w:rPr>
        <w:t>2,965</w:t>
      </w:r>
      <w:r w:rsidRPr="00F8585E">
        <w:rPr>
          <w:rFonts w:ascii="Times New Roman" w:hAnsi="Times New Roman" w:cs="Times New Roman"/>
          <w:sz w:val="28"/>
          <w:szCs w:val="28"/>
          <w:lang w:val="uk-UA"/>
        </w:rPr>
        <w:t xml:space="preserve">, отже це вказує на адекватність моделі в цілому. </w:t>
      </w: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Модуль коефіцієнта Стьюдента </w:t>
      </w:r>
      <w:r w:rsidR="000C2B97" w:rsidRPr="00F8585E">
        <w:rPr>
          <w:rFonts w:ascii="Times New Roman" w:hAnsi="Times New Roman" w:cs="Times New Roman"/>
          <w:sz w:val="28"/>
          <w:szCs w:val="28"/>
          <w:lang w:val="uk-UA"/>
        </w:rPr>
        <w:t xml:space="preserve">усіх </w:t>
      </w:r>
      <w:r w:rsidRPr="00F8585E">
        <w:rPr>
          <w:rFonts w:ascii="Times New Roman" w:hAnsi="Times New Roman" w:cs="Times New Roman"/>
          <w:sz w:val="28"/>
          <w:szCs w:val="28"/>
          <w:lang w:val="uk-UA"/>
        </w:rPr>
        <w:t xml:space="preserve">незалежних змінних перевищує критичне значення, яке дорівнює </w:t>
      </w:r>
      <w:r w:rsidR="0017454B" w:rsidRPr="00F8585E">
        <w:rPr>
          <w:rFonts w:ascii="Times New Roman" w:hAnsi="Times New Roman" w:cs="Times New Roman"/>
          <w:sz w:val="28"/>
          <w:szCs w:val="28"/>
          <w:lang w:val="uk-UA"/>
        </w:rPr>
        <w:t>2,073873068</w:t>
      </w:r>
      <w:r w:rsidRPr="00F8585E">
        <w:rPr>
          <w:rFonts w:ascii="Times New Roman" w:hAnsi="Times New Roman" w:cs="Times New Roman"/>
          <w:sz w:val="28"/>
          <w:szCs w:val="28"/>
          <w:lang w:val="uk-UA"/>
        </w:rPr>
        <w:t>, що означає, що</w:t>
      </w:r>
      <w:r w:rsidR="000C2B97" w:rsidRPr="00F8585E">
        <w:rPr>
          <w:rFonts w:ascii="Times New Roman" w:hAnsi="Times New Roman" w:cs="Times New Roman"/>
          <w:sz w:val="28"/>
          <w:szCs w:val="28"/>
          <w:lang w:val="uk-UA"/>
        </w:rPr>
        <w:t xml:space="preserve"> усі вони є значущими</w:t>
      </w:r>
      <w:r w:rsidRPr="00F8585E">
        <w:rPr>
          <w:rFonts w:ascii="Times New Roman" w:hAnsi="Times New Roman" w:cs="Times New Roman"/>
          <w:sz w:val="28"/>
          <w:szCs w:val="28"/>
          <w:lang w:val="uk-UA"/>
        </w:rPr>
        <w:t>.</w:t>
      </w:r>
    </w:p>
    <w:p w:rsidR="00DB125A"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Крім аналізу статистичних оцінок моделі 2.1 був проведений тест на мультиколінеарність. Мінімальне можливе значення критерію VIF </w:t>
      </w:r>
      <w:r w:rsidR="00E71587" w:rsidRPr="00F8585E">
        <w:rPr>
          <w:rFonts w:ascii="Times New Roman" w:hAnsi="Times New Roman" w:cs="Times New Roman"/>
          <w:sz w:val="28"/>
          <w:szCs w:val="28"/>
          <w:lang w:val="uk-UA"/>
        </w:rPr>
        <w:t>дорівнює 1, значення більше 4</w:t>
      </w:r>
      <w:r w:rsidRPr="00F8585E">
        <w:rPr>
          <w:rFonts w:ascii="Times New Roman" w:hAnsi="Times New Roman" w:cs="Times New Roman"/>
          <w:sz w:val="28"/>
          <w:szCs w:val="28"/>
          <w:lang w:val="uk-UA"/>
        </w:rPr>
        <w:t xml:space="preserve"> можуть вказувати на наявність мультиколінеарності. Значення критерію VIF для усіх змінних моделі 2.1</w:t>
      </w:r>
      <w:r w:rsidR="00E71587" w:rsidRPr="00F8585E">
        <w:rPr>
          <w:rFonts w:ascii="Times New Roman" w:hAnsi="Times New Roman" w:cs="Times New Roman"/>
          <w:sz w:val="28"/>
          <w:szCs w:val="28"/>
          <w:lang w:val="uk-UA"/>
        </w:rPr>
        <w:t xml:space="preserve"> менше, ніж 4</w:t>
      </w:r>
      <w:r w:rsidRPr="00F8585E">
        <w:rPr>
          <w:rFonts w:ascii="Times New Roman" w:hAnsi="Times New Roman" w:cs="Times New Roman"/>
          <w:sz w:val="28"/>
          <w:szCs w:val="28"/>
          <w:lang w:val="uk-UA"/>
        </w:rPr>
        <w:t xml:space="preserve"> (</w:t>
      </w:r>
      <w:r w:rsidR="00966B3A" w:rsidRPr="00F8585E">
        <w:rPr>
          <w:rFonts w:ascii="Times New Roman" w:hAnsi="Times New Roman" w:cs="Times New Roman"/>
          <w:sz w:val="28"/>
          <w:szCs w:val="28"/>
          <w:lang w:val="uk-UA"/>
        </w:rPr>
        <w:t>див. табл. 2.2</w:t>
      </w:r>
      <w:r w:rsidRPr="00F8585E">
        <w:rPr>
          <w:rFonts w:ascii="Times New Roman" w:hAnsi="Times New Roman" w:cs="Times New Roman"/>
          <w:sz w:val="28"/>
          <w:szCs w:val="28"/>
          <w:lang w:val="uk-UA"/>
        </w:rPr>
        <w:t>), тому дані фактори визнаються неколінеарними, а це свідчить про те, що їх можна включати в модель регресії одночасно.</w:t>
      </w:r>
    </w:p>
    <w:p w:rsidR="00DB125A" w:rsidRPr="00F8585E" w:rsidRDefault="00892DAF"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Найбільший за величиною вплив надає змінна GovSpend з найбільшим та позитивним стандартизованим коефіцієнтом, який дорівнює 0,4874, позитивний коефіцієнт змінної GovSpend вказує на пряму залежність, </w:t>
      </w:r>
      <w:r w:rsidR="00DD7A4A" w:rsidRPr="00F8585E">
        <w:rPr>
          <w:rFonts w:ascii="Times New Roman" w:hAnsi="Times New Roman" w:cs="Times New Roman"/>
          <w:sz w:val="28"/>
          <w:szCs w:val="28"/>
          <w:lang w:val="uk-UA"/>
        </w:rPr>
        <w:t>тобто чим вище значення державних витрат, тим вище буде міжнародна інвестиційна позиція</w:t>
      </w:r>
      <w:r w:rsidRPr="00F8585E">
        <w:rPr>
          <w:rFonts w:ascii="Times New Roman" w:hAnsi="Times New Roman" w:cs="Times New Roman"/>
          <w:sz w:val="28"/>
          <w:szCs w:val="28"/>
          <w:lang w:val="uk-UA"/>
        </w:rPr>
        <w:t xml:space="preserve">. </w:t>
      </w:r>
      <w:r w:rsidR="00DB125A" w:rsidRPr="00F8585E">
        <w:rPr>
          <w:rFonts w:ascii="Times New Roman" w:hAnsi="Times New Roman" w:cs="Times New Roman"/>
          <w:sz w:val="28"/>
          <w:szCs w:val="28"/>
          <w:lang w:val="uk-UA"/>
        </w:rPr>
        <w:t>Другою</w:t>
      </w:r>
      <w:r w:rsidRPr="00F8585E">
        <w:rPr>
          <w:rFonts w:ascii="Times New Roman" w:hAnsi="Times New Roman" w:cs="Times New Roman"/>
          <w:sz w:val="28"/>
          <w:szCs w:val="28"/>
          <w:lang w:val="uk-UA"/>
        </w:rPr>
        <w:t xml:space="preserve"> за величиною впливу йде змінна Unempl</w:t>
      </w:r>
      <w:r w:rsidR="00DB125A" w:rsidRPr="00F8585E">
        <w:rPr>
          <w:rFonts w:ascii="Times New Roman" w:hAnsi="Times New Roman" w:cs="Times New Roman"/>
          <w:sz w:val="28"/>
          <w:szCs w:val="28"/>
          <w:lang w:val="uk-UA"/>
        </w:rPr>
        <w:t xml:space="preserve"> зі стан</w:t>
      </w:r>
      <w:r w:rsidRPr="00F8585E">
        <w:rPr>
          <w:rFonts w:ascii="Times New Roman" w:hAnsi="Times New Roman" w:cs="Times New Roman"/>
          <w:sz w:val="28"/>
          <w:szCs w:val="28"/>
          <w:lang w:val="uk-UA"/>
        </w:rPr>
        <w:t>дартизованим коефіцієнтом 0,4715, п</w:t>
      </w:r>
      <w:r w:rsidR="00DB125A" w:rsidRPr="00F8585E">
        <w:rPr>
          <w:rFonts w:ascii="Times New Roman" w:hAnsi="Times New Roman" w:cs="Times New Roman"/>
          <w:sz w:val="28"/>
          <w:szCs w:val="28"/>
          <w:lang w:val="uk-UA"/>
        </w:rPr>
        <w:t xml:space="preserve">озитивний коефіцієнт змінної </w:t>
      </w:r>
      <w:r w:rsidRPr="00F8585E">
        <w:rPr>
          <w:rFonts w:ascii="Times New Roman" w:hAnsi="Times New Roman" w:cs="Times New Roman"/>
          <w:sz w:val="28"/>
          <w:szCs w:val="28"/>
          <w:lang w:val="uk-UA"/>
        </w:rPr>
        <w:t>Unempl</w:t>
      </w:r>
      <w:r w:rsidR="00DB125A" w:rsidRPr="00F8585E">
        <w:rPr>
          <w:rFonts w:ascii="Times New Roman" w:hAnsi="Times New Roman" w:cs="Times New Roman"/>
          <w:sz w:val="28"/>
          <w:szCs w:val="28"/>
          <w:lang w:val="uk-UA"/>
        </w:rPr>
        <w:t xml:space="preserve"> вказує на пряму залежність, тобто </w:t>
      </w:r>
      <w:r w:rsidR="00DB125A" w:rsidRPr="007C5246">
        <w:rPr>
          <w:rFonts w:ascii="Times New Roman" w:hAnsi="Times New Roman" w:cs="Times New Roman"/>
          <w:sz w:val="28"/>
          <w:szCs w:val="28"/>
          <w:lang w:val="uk-UA"/>
        </w:rPr>
        <w:t xml:space="preserve">якщо </w:t>
      </w:r>
      <w:r w:rsidRPr="007C5246">
        <w:rPr>
          <w:rFonts w:ascii="Times New Roman" w:hAnsi="Times New Roman" w:cs="Times New Roman"/>
          <w:sz w:val="28"/>
          <w:szCs w:val="28"/>
          <w:lang w:val="uk-UA"/>
        </w:rPr>
        <w:t xml:space="preserve">рівень безробіття </w:t>
      </w:r>
      <w:r w:rsidR="00DB125A" w:rsidRPr="007C5246">
        <w:rPr>
          <w:rFonts w:ascii="Times New Roman" w:hAnsi="Times New Roman" w:cs="Times New Roman"/>
          <w:sz w:val="28"/>
          <w:szCs w:val="28"/>
          <w:lang w:val="uk-UA"/>
        </w:rPr>
        <w:t xml:space="preserve">збільшується, то </w:t>
      </w:r>
      <w:r w:rsidRPr="007C5246">
        <w:rPr>
          <w:rFonts w:ascii="Times New Roman" w:hAnsi="Times New Roman" w:cs="Times New Roman"/>
          <w:sz w:val="28"/>
          <w:szCs w:val="28"/>
          <w:lang w:val="uk-UA"/>
        </w:rPr>
        <w:t>міжнародна інвестиційна позиція буде покращуватись</w:t>
      </w:r>
      <w:r w:rsidR="00DB125A" w:rsidRPr="007C5246">
        <w:rPr>
          <w:rFonts w:ascii="Times New Roman" w:hAnsi="Times New Roman" w:cs="Times New Roman"/>
          <w:sz w:val="28"/>
          <w:szCs w:val="28"/>
          <w:lang w:val="uk-UA"/>
        </w:rPr>
        <w:t>.</w:t>
      </w:r>
      <w:r w:rsidR="00DB125A" w:rsidRPr="00F8585E">
        <w:rPr>
          <w:rFonts w:ascii="Times New Roman" w:hAnsi="Times New Roman" w:cs="Times New Roman"/>
          <w:sz w:val="28"/>
          <w:szCs w:val="28"/>
          <w:lang w:val="uk-UA"/>
        </w:rPr>
        <w:t xml:space="preserve"> Третій за величиною вплив надає</w:t>
      </w:r>
      <w:r w:rsidR="00DB125A" w:rsidRPr="00F8585E">
        <w:rPr>
          <w:rFonts w:ascii="Times New Roman" w:eastAsiaTheme="minorEastAsia" w:hAnsi="Times New Roman" w:cs="Times New Roman"/>
          <w:sz w:val="28"/>
          <w:szCs w:val="28"/>
          <w:lang w:val="uk-UA"/>
        </w:rPr>
        <w:t xml:space="preserve"> змінна </w:t>
      </w:r>
      <w:r w:rsidRPr="00F8585E">
        <w:rPr>
          <w:rFonts w:ascii="Times New Roman" w:eastAsiaTheme="minorEastAsia" w:hAnsi="Times New Roman" w:cs="Times New Roman"/>
          <w:sz w:val="28"/>
          <w:szCs w:val="28"/>
          <w:lang w:val="uk-UA"/>
        </w:rPr>
        <w:t>ExtDebt</w:t>
      </w:r>
      <w:r w:rsidR="00DB125A" w:rsidRPr="00F8585E">
        <w:rPr>
          <w:rFonts w:ascii="Times New Roman" w:eastAsiaTheme="minorEastAsia" w:hAnsi="Times New Roman" w:cs="Times New Roman"/>
          <w:sz w:val="28"/>
          <w:szCs w:val="28"/>
          <w:lang w:val="uk-UA"/>
        </w:rPr>
        <w:t xml:space="preserve"> </w:t>
      </w:r>
      <w:r w:rsidRPr="00F8585E">
        <w:rPr>
          <w:rFonts w:ascii="Times New Roman" w:eastAsiaTheme="minorEastAsia" w:hAnsi="Times New Roman" w:cs="Times New Roman"/>
          <w:sz w:val="28"/>
          <w:szCs w:val="28"/>
          <w:lang w:val="uk-UA"/>
        </w:rPr>
        <w:t>з коефіцієнтом -04440</w:t>
      </w:r>
      <w:r w:rsidRPr="00F8585E">
        <w:rPr>
          <w:rFonts w:ascii="Times New Roman" w:hAnsi="Times New Roman" w:cs="Times New Roman"/>
          <w:sz w:val="28"/>
          <w:szCs w:val="28"/>
          <w:lang w:val="uk-UA"/>
        </w:rPr>
        <w:t>, негативний</w:t>
      </w:r>
      <w:r w:rsidR="00DB125A" w:rsidRPr="00F8585E">
        <w:rPr>
          <w:rFonts w:ascii="Times New Roman" w:hAnsi="Times New Roman" w:cs="Times New Roman"/>
          <w:sz w:val="28"/>
          <w:szCs w:val="28"/>
          <w:lang w:val="uk-UA"/>
        </w:rPr>
        <w:t xml:space="preserve"> коефіцієнт змінної </w:t>
      </w:r>
      <w:r w:rsidRPr="00F8585E">
        <w:rPr>
          <w:rFonts w:ascii="Times New Roman" w:eastAsiaTheme="minorEastAsia" w:hAnsi="Times New Roman" w:cs="Times New Roman"/>
          <w:sz w:val="28"/>
          <w:szCs w:val="28"/>
          <w:lang w:val="uk-UA"/>
        </w:rPr>
        <w:t>ExtDebt</w:t>
      </w:r>
      <w:r w:rsidR="00DB125A" w:rsidRPr="00F8585E">
        <w:rPr>
          <w:rFonts w:ascii="Times New Roman" w:hAnsi="Times New Roman" w:cs="Times New Roman"/>
          <w:sz w:val="28"/>
          <w:szCs w:val="28"/>
          <w:lang w:val="uk-UA"/>
        </w:rPr>
        <w:t xml:space="preserve"> вказує на </w:t>
      </w:r>
      <w:r w:rsidRPr="00F8585E">
        <w:rPr>
          <w:rFonts w:ascii="Times New Roman" w:hAnsi="Times New Roman" w:cs="Times New Roman"/>
          <w:sz w:val="28"/>
          <w:szCs w:val="28"/>
          <w:lang w:val="uk-UA"/>
        </w:rPr>
        <w:t>зворотну</w:t>
      </w:r>
      <w:r w:rsidR="00DB125A" w:rsidRPr="00F8585E">
        <w:rPr>
          <w:rFonts w:ascii="Times New Roman" w:hAnsi="Times New Roman" w:cs="Times New Roman"/>
          <w:sz w:val="28"/>
          <w:szCs w:val="28"/>
          <w:lang w:val="uk-UA"/>
        </w:rPr>
        <w:t xml:space="preserve"> залежність, тобто якщо обсяг </w:t>
      </w:r>
      <w:r w:rsidRPr="00F8585E">
        <w:rPr>
          <w:rFonts w:ascii="Times New Roman" w:hAnsi="Times New Roman" w:cs="Times New Roman"/>
          <w:sz w:val="28"/>
          <w:szCs w:val="28"/>
          <w:lang w:val="uk-UA"/>
        </w:rPr>
        <w:t>зовнішнього боргу збільшується</w:t>
      </w:r>
      <w:r w:rsidR="00DB125A" w:rsidRPr="00F8585E">
        <w:rPr>
          <w:rFonts w:ascii="Times New Roman" w:hAnsi="Times New Roman" w:cs="Times New Roman"/>
          <w:sz w:val="28"/>
          <w:szCs w:val="28"/>
          <w:lang w:val="uk-UA"/>
        </w:rPr>
        <w:t xml:space="preserve">, то </w:t>
      </w:r>
      <w:r w:rsidRPr="00F8585E">
        <w:rPr>
          <w:rFonts w:ascii="Times New Roman" w:hAnsi="Times New Roman" w:cs="Times New Roman"/>
          <w:sz w:val="28"/>
          <w:szCs w:val="28"/>
          <w:lang w:val="uk-UA"/>
        </w:rPr>
        <w:t>міжнародна інвестиційна позиція буде погіршуватись</w:t>
      </w:r>
      <w:r w:rsidR="00DB125A" w:rsidRPr="00F8585E">
        <w:rPr>
          <w:rFonts w:ascii="Times New Roman" w:hAnsi="Times New Roman" w:cs="Times New Roman"/>
          <w:sz w:val="28"/>
          <w:szCs w:val="28"/>
          <w:lang w:val="uk-UA"/>
        </w:rPr>
        <w:t xml:space="preserve">.  </w:t>
      </w:r>
      <w:r w:rsidR="00DD7A4A" w:rsidRPr="00F8585E">
        <w:rPr>
          <w:rFonts w:ascii="Times New Roman" w:hAnsi="Times New Roman" w:cs="Times New Roman"/>
          <w:sz w:val="28"/>
          <w:szCs w:val="28"/>
          <w:lang w:val="uk-UA"/>
        </w:rPr>
        <w:t>Ч</w:t>
      </w:r>
      <w:r w:rsidRPr="00F8585E">
        <w:rPr>
          <w:rFonts w:ascii="Times New Roman" w:hAnsi="Times New Roman" w:cs="Times New Roman"/>
          <w:sz w:val="28"/>
          <w:szCs w:val="28"/>
          <w:lang w:val="uk-UA"/>
        </w:rPr>
        <w:t>етвертий за величиною вплив надає</w:t>
      </w:r>
      <w:r w:rsidRPr="00F8585E">
        <w:rPr>
          <w:rFonts w:ascii="Times New Roman" w:eastAsiaTheme="minorEastAsia" w:hAnsi="Times New Roman" w:cs="Times New Roman"/>
          <w:sz w:val="28"/>
          <w:szCs w:val="28"/>
          <w:lang w:val="uk-UA"/>
        </w:rPr>
        <w:t xml:space="preserve"> змінна GovIntegr з коефіцієнтом 0,2391</w:t>
      </w:r>
      <w:r w:rsidRPr="00F8585E">
        <w:rPr>
          <w:rFonts w:ascii="Times New Roman" w:hAnsi="Times New Roman" w:cs="Times New Roman"/>
          <w:sz w:val="28"/>
          <w:szCs w:val="28"/>
          <w:lang w:val="uk-UA"/>
        </w:rPr>
        <w:t xml:space="preserve">, позитивний коефіцієнт змінної </w:t>
      </w:r>
      <w:r w:rsidRPr="00F8585E">
        <w:rPr>
          <w:rFonts w:ascii="Times New Roman" w:eastAsiaTheme="minorEastAsia" w:hAnsi="Times New Roman" w:cs="Times New Roman"/>
          <w:sz w:val="28"/>
          <w:szCs w:val="28"/>
          <w:lang w:val="uk-UA"/>
        </w:rPr>
        <w:t>GovIntegr</w:t>
      </w:r>
      <w:r w:rsidRPr="00F8585E">
        <w:rPr>
          <w:rFonts w:ascii="Times New Roman" w:hAnsi="Times New Roman" w:cs="Times New Roman"/>
          <w:sz w:val="28"/>
          <w:szCs w:val="28"/>
          <w:lang w:val="uk-UA"/>
        </w:rPr>
        <w:t xml:space="preserve"> вказує на пряму залежність, тобто чим вище значення індексу доброчесності влади, тим вище буде міжнародна інвестиційна позиція.</w:t>
      </w:r>
      <w:r w:rsidR="00DD7A4A" w:rsidRPr="00F8585E">
        <w:rPr>
          <w:rFonts w:ascii="Times New Roman" w:hAnsi="Times New Roman" w:cs="Times New Roman"/>
          <w:sz w:val="28"/>
          <w:szCs w:val="28"/>
          <w:lang w:val="uk-UA"/>
        </w:rPr>
        <w:t xml:space="preserve"> П’ятий за величиною вплив надає</w:t>
      </w:r>
      <w:r w:rsidR="00DD7A4A" w:rsidRPr="00F8585E">
        <w:rPr>
          <w:rFonts w:ascii="Times New Roman" w:eastAsiaTheme="minorEastAsia" w:hAnsi="Times New Roman" w:cs="Times New Roman"/>
          <w:sz w:val="28"/>
          <w:szCs w:val="28"/>
          <w:lang w:val="uk-UA"/>
        </w:rPr>
        <w:t xml:space="preserve"> змінна MonFreed з </w:t>
      </w:r>
      <w:r w:rsidR="00DD7A4A" w:rsidRPr="00F8585E">
        <w:rPr>
          <w:rFonts w:ascii="Times New Roman" w:eastAsiaTheme="minorEastAsia" w:hAnsi="Times New Roman" w:cs="Times New Roman"/>
          <w:sz w:val="28"/>
          <w:szCs w:val="28"/>
          <w:lang w:val="uk-UA"/>
        </w:rPr>
        <w:lastRenderedPageBreak/>
        <w:t>коефіцієнтом -0,1726</w:t>
      </w:r>
      <w:r w:rsidR="00DD7A4A" w:rsidRPr="00F8585E">
        <w:rPr>
          <w:rFonts w:ascii="Times New Roman" w:hAnsi="Times New Roman" w:cs="Times New Roman"/>
          <w:sz w:val="28"/>
          <w:szCs w:val="28"/>
          <w:lang w:val="uk-UA"/>
        </w:rPr>
        <w:t xml:space="preserve">, негативний коефіцієнт змінної </w:t>
      </w:r>
      <w:r w:rsidR="00DD7A4A" w:rsidRPr="00F8585E">
        <w:rPr>
          <w:rFonts w:ascii="Times New Roman" w:eastAsiaTheme="minorEastAsia" w:hAnsi="Times New Roman" w:cs="Times New Roman"/>
          <w:sz w:val="28"/>
          <w:szCs w:val="28"/>
          <w:lang w:val="uk-UA"/>
        </w:rPr>
        <w:t>MonFreed</w:t>
      </w:r>
      <w:r w:rsidR="00DD7A4A" w:rsidRPr="00F8585E">
        <w:rPr>
          <w:rFonts w:ascii="Times New Roman" w:hAnsi="Times New Roman" w:cs="Times New Roman"/>
          <w:sz w:val="28"/>
          <w:szCs w:val="28"/>
          <w:lang w:val="uk-UA"/>
        </w:rPr>
        <w:t xml:space="preserve"> вказує на зворотну залежність, тобто чим вище значення індексу монетарної свободи, тим нижче буде міжнародна інвестиційна позиція.</w:t>
      </w:r>
    </w:p>
    <w:p w:rsidR="00DB125A" w:rsidRPr="00F8585E" w:rsidRDefault="00DB125A" w:rsidP="00836606">
      <w:pPr>
        <w:pStyle w:val="Bodytext20"/>
        <w:shd w:val="clear" w:color="auto" w:fill="auto"/>
        <w:spacing w:before="0" w:after="0" w:line="360" w:lineRule="auto"/>
        <w:ind w:firstLine="708"/>
        <w:rPr>
          <w:sz w:val="28"/>
          <w:szCs w:val="28"/>
          <w:lang w:val="uk-UA"/>
        </w:rPr>
      </w:pPr>
      <w:r w:rsidRPr="00F8585E">
        <w:rPr>
          <w:sz w:val="28"/>
          <w:szCs w:val="28"/>
          <w:lang w:val="uk-UA"/>
        </w:rPr>
        <w:t>Отже, після інтерпретації всіх результатів ми отримуємо наступну емпіричну модель:</w:t>
      </w:r>
    </w:p>
    <w:p w:rsidR="00DD7A4A" w:rsidRPr="00F8585E" w:rsidRDefault="00DD7A4A" w:rsidP="00836606">
      <w:pPr>
        <w:spacing w:after="0" w:line="276" w:lineRule="auto"/>
        <w:jc w:val="center"/>
        <w:rPr>
          <w:rFonts w:ascii="Times New Roman" w:eastAsia="Times New Roman" w:hAnsi="Times New Roman" w:cs="Times New Roman"/>
          <w:sz w:val="28"/>
          <w:szCs w:val="26"/>
          <w:lang w:val="uk-UA"/>
        </w:rPr>
      </w:pPr>
      <m:oMathPara>
        <m:oMath>
          <m:r>
            <w:rPr>
              <w:rFonts w:ascii="Cambria Math" w:hAnsi="Cambria Math"/>
              <w:sz w:val="28"/>
              <w:szCs w:val="26"/>
              <w:lang w:val="uk-UA"/>
            </w:rPr>
            <m:t>IIP=</m:t>
          </m:r>
          <m:r>
            <m:rPr>
              <m:sty m:val="p"/>
            </m:rPr>
            <w:rPr>
              <w:rFonts w:ascii="Cambria Math" w:hAnsi="Cambria Math" w:cs="Times New Roman"/>
              <w:sz w:val="28"/>
              <w:szCs w:val="26"/>
              <w:lang w:val="uk-UA"/>
            </w:rPr>
            <m:t>0,239</m:t>
          </m:r>
          <m:r>
            <w:rPr>
              <w:rFonts w:ascii="Cambria Math" w:hAnsi="Cambria Math"/>
              <w:sz w:val="28"/>
              <w:szCs w:val="26"/>
              <w:lang w:val="uk-UA"/>
            </w:rPr>
            <m:t>*GovIntegr+</m:t>
          </m:r>
          <m:r>
            <m:rPr>
              <m:sty m:val="p"/>
            </m:rPr>
            <w:rPr>
              <w:rFonts w:ascii="Cambria Math" w:hAnsi="Cambria Math" w:cs="Times New Roman"/>
              <w:sz w:val="28"/>
              <w:szCs w:val="26"/>
              <w:lang w:val="uk-UA"/>
            </w:rPr>
            <m:t>0,487</m:t>
          </m:r>
          <m:r>
            <w:rPr>
              <w:rFonts w:ascii="Cambria Math" w:hAnsi="Cambria Math"/>
              <w:sz w:val="28"/>
              <w:szCs w:val="26"/>
              <w:lang w:val="uk-UA"/>
            </w:rPr>
            <m:t>*GovSpend-0,172*MonFreed</m:t>
          </m:r>
        </m:oMath>
      </m:oMathPara>
    </w:p>
    <w:p w:rsidR="00DD7A4A" w:rsidRPr="00F8585E" w:rsidRDefault="00DD7A4A" w:rsidP="00836606">
      <w:pPr>
        <w:spacing w:after="0" w:line="360" w:lineRule="auto"/>
        <w:jc w:val="center"/>
        <w:rPr>
          <w:rFonts w:ascii="Times New Roman" w:eastAsia="Times New Roman" w:hAnsi="Times New Roman" w:cs="Times New Roman"/>
          <w:sz w:val="28"/>
          <w:szCs w:val="26"/>
          <w:lang w:val="uk-UA"/>
        </w:rPr>
      </w:pPr>
      <w:r w:rsidRPr="00F8585E">
        <w:rPr>
          <w:rFonts w:ascii="Times New Roman" w:hAnsi="Times New Roman" w:cs="Times New Roman"/>
          <w:sz w:val="28"/>
          <w:szCs w:val="28"/>
          <w:lang w:val="uk-UA"/>
        </w:rPr>
        <w:t xml:space="preserve">        (2,739**)                    (4,765***)                  (-2,413**)         </w:t>
      </w:r>
    </w:p>
    <w:p w:rsidR="00DB125A" w:rsidRPr="00F8585E" w:rsidRDefault="00DD7A4A" w:rsidP="00836606">
      <w:pPr>
        <w:spacing w:after="0" w:line="276" w:lineRule="auto"/>
        <w:jc w:val="center"/>
        <w:rPr>
          <w:rFonts w:ascii="Times New Roman" w:eastAsiaTheme="minorEastAsia" w:hAnsi="Times New Roman" w:cs="Times New Roman"/>
          <w:sz w:val="28"/>
          <w:szCs w:val="26"/>
          <w:lang w:val="uk-UA"/>
        </w:rPr>
      </w:pPr>
      <m:oMathPara>
        <m:oMath>
          <m:r>
            <w:rPr>
              <w:rFonts w:ascii="Cambria Math" w:hAnsi="Cambria Math"/>
              <w:sz w:val="28"/>
              <w:szCs w:val="26"/>
              <w:lang w:val="uk-UA"/>
            </w:rPr>
            <m:t>+0,471*Unempl-0,444*ExtDebt</m:t>
          </m:r>
        </m:oMath>
      </m:oMathPara>
    </w:p>
    <w:p w:rsidR="00DB125A" w:rsidRPr="00F8585E" w:rsidRDefault="00DD7A4A" w:rsidP="00836606">
      <w:pPr>
        <w:spacing w:after="0" w:line="276" w:lineRule="auto"/>
        <w:jc w:val="center"/>
        <w:rPr>
          <w:rFonts w:ascii="Times New Roman" w:eastAsia="Times New Roman" w:hAnsi="Times New Roman" w:cs="Times New Roman"/>
          <w:sz w:val="28"/>
          <w:szCs w:val="26"/>
          <w:lang w:val="uk-UA"/>
        </w:rPr>
      </w:pPr>
      <w:r w:rsidRPr="00F8585E">
        <w:rPr>
          <w:rFonts w:ascii="Times New Roman" w:hAnsi="Times New Roman" w:cs="Times New Roman"/>
          <w:sz w:val="28"/>
          <w:szCs w:val="28"/>
          <w:lang w:val="uk-UA"/>
        </w:rPr>
        <w:t xml:space="preserve">                                            (6,284***)              (-3,932***)         </w:t>
      </w:r>
      <w:r w:rsidRPr="00F8585E">
        <w:rPr>
          <w:rFonts w:ascii="Times New Roman" w:eastAsia="Times New Roman" w:hAnsi="Times New Roman" w:cs="Times New Roman"/>
          <w:sz w:val="28"/>
          <w:szCs w:val="26"/>
          <w:lang w:val="uk-UA"/>
        </w:rPr>
        <w:t xml:space="preserve">                            </w:t>
      </w:r>
      <w:r w:rsidR="00DB125A" w:rsidRPr="00F8585E">
        <w:rPr>
          <w:rFonts w:ascii="Times New Roman" w:hAnsi="Times New Roman" w:cs="Times New Roman"/>
          <w:sz w:val="28"/>
          <w:szCs w:val="28"/>
          <w:lang w:val="uk-UA"/>
        </w:rPr>
        <w:t>2.2.</w:t>
      </w:r>
    </w:p>
    <w:p w:rsidR="00DD7A4A" w:rsidRPr="00F8585E" w:rsidRDefault="00DD7A4A" w:rsidP="00836606">
      <w:pPr>
        <w:spacing w:after="0" w:line="360" w:lineRule="auto"/>
        <w:ind w:firstLine="708"/>
        <w:jc w:val="both"/>
        <w:rPr>
          <w:rFonts w:ascii="Times New Roman" w:hAnsi="Times New Roman" w:cs="Times New Roman"/>
          <w:sz w:val="28"/>
          <w:szCs w:val="28"/>
          <w:lang w:val="uk-UA"/>
        </w:rPr>
      </w:pPr>
    </w:p>
    <w:p w:rsidR="00D62AD5" w:rsidRPr="00F8585E" w:rsidRDefault="00DB125A"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Економічне значення отриманої моделі доводить що, чим </w:t>
      </w:r>
      <w:r w:rsidR="00D62AD5" w:rsidRPr="00F8585E">
        <w:rPr>
          <w:rFonts w:ascii="Times New Roman" w:hAnsi="Times New Roman" w:cs="Times New Roman"/>
          <w:sz w:val="28"/>
          <w:szCs w:val="28"/>
          <w:lang w:val="uk-UA"/>
        </w:rPr>
        <w:t xml:space="preserve">вище індекс доброчесності уряду та  індекс державних витрат та чим вище рівень безробіття, тим вище міжнародна інвестиційна позиція України. </w:t>
      </w:r>
      <w:r w:rsidRPr="00F8585E">
        <w:rPr>
          <w:rFonts w:ascii="Times New Roman" w:hAnsi="Times New Roman" w:cs="Times New Roman"/>
          <w:sz w:val="28"/>
          <w:szCs w:val="28"/>
          <w:lang w:val="uk-UA"/>
        </w:rPr>
        <w:t xml:space="preserve">Також чим </w:t>
      </w:r>
      <w:r w:rsidR="00D62AD5" w:rsidRPr="00F8585E">
        <w:rPr>
          <w:rFonts w:ascii="Times New Roman" w:hAnsi="Times New Roman" w:cs="Times New Roman"/>
          <w:sz w:val="28"/>
          <w:szCs w:val="28"/>
          <w:lang w:val="uk-UA"/>
        </w:rPr>
        <w:t>вище індекс монетарної свободи та чим вище зовнішній борг, тим нижче міжнародна інвестиційна позиція України.</w:t>
      </w:r>
    </w:p>
    <w:p w:rsidR="00D62AD5" w:rsidRPr="00F8585E" w:rsidRDefault="00D62AD5"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Позитивний коефіцієнт при змінній доброчесності уряду може вказувати на те, що </w:t>
      </w:r>
      <w:r w:rsidR="00F953BF" w:rsidRPr="00F8585E">
        <w:rPr>
          <w:rFonts w:ascii="Times New Roman" w:hAnsi="Times New Roman" w:cs="Times New Roman"/>
          <w:sz w:val="28"/>
          <w:szCs w:val="28"/>
          <w:lang w:val="uk-UA"/>
        </w:rPr>
        <w:t>добро</w:t>
      </w:r>
      <w:r w:rsidRPr="00F8585E">
        <w:rPr>
          <w:rFonts w:ascii="Times New Roman" w:hAnsi="Times New Roman" w:cs="Times New Roman"/>
          <w:sz w:val="28"/>
          <w:szCs w:val="28"/>
          <w:lang w:val="uk-UA"/>
        </w:rPr>
        <w:t>чесність уряду може мати вплив на міжнародну інвестиційну позицію. Високий рівень чесності та прозорості може сприяти покращенню інвестиційного клімату, стимулювати економічний розвиток та залучення іноземних інвесторів</w:t>
      </w:r>
      <w:r w:rsidR="00872460">
        <w:rPr>
          <w:rFonts w:ascii="Times New Roman" w:hAnsi="Times New Roman" w:cs="Times New Roman"/>
          <w:sz w:val="28"/>
          <w:szCs w:val="28"/>
          <w:lang w:val="uk-UA"/>
        </w:rPr>
        <w:t xml:space="preserve"> [35</w:t>
      </w:r>
      <w:r w:rsidR="00F953BF" w:rsidRPr="00F8585E">
        <w:rPr>
          <w:rFonts w:ascii="Times New Roman" w:hAnsi="Times New Roman" w:cs="Times New Roman"/>
          <w:sz w:val="28"/>
          <w:szCs w:val="28"/>
          <w:lang w:val="uk-UA"/>
        </w:rPr>
        <w:t>]</w:t>
      </w:r>
      <w:r w:rsidRPr="00F8585E">
        <w:rPr>
          <w:rFonts w:ascii="Times New Roman" w:hAnsi="Times New Roman" w:cs="Times New Roman"/>
          <w:sz w:val="28"/>
          <w:szCs w:val="28"/>
          <w:lang w:val="uk-UA"/>
        </w:rPr>
        <w:t>.</w:t>
      </w:r>
    </w:p>
    <w:p w:rsidR="00D62AD5" w:rsidRPr="00F8585E" w:rsidRDefault="00D62AD5"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Позитивний коефіцієнт </w:t>
      </w:r>
      <w:r w:rsidR="00F953BF" w:rsidRPr="00F8585E">
        <w:rPr>
          <w:rFonts w:ascii="Times New Roman" w:hAnsi="Times New Roman" w:cs="Times New Roman"/>
          <w:sz w:val="28"/>
          <w:szCs w:val="28"/>
          <w:lang w:val="uk-UA"/>
        </w:rPr>
        <w:t xml:space="preserve">при змінній державних витрат </w:t>
      </w:r>
      <w:r w:rsidRPr="00F8585E">
        <w:rPr>
          <w:rFonts w:ascii="Times New Roman" w:hAnsi="Times New Roman" w:cs="Times New Roman"/>
          <w:sz w:val="28"/>
          <w:szCs w:val="28"/>
          <w:lang w:val="uk-UA"/>
        </w:rPr>
        <w:t>свідчить про те, що збільшення витрат уряду сприяє зростанню міжнародної інвестиційної позиції. Це може бути пов'язано з інфраструктурними проектами та іншими програм</w:t>
      </w:r>
      <w:r w:rsidR="00F953BF" w:rsidRPr="00F8585E">
        <w:rPr>
          <w:rFonts w:ascii="Times New Roman" w:hAnsi="Times New Roman" w:cs="Times New Roman"/>
          <w:sz w:val="28"/>
          <w:szCs w:val="28"/>
          <w:lang w:val="uk-UA"/>
        </w:rPr>
        <w:t>ами, які привертають інвестиції</w:t>
      </w:r>
      <w:r w:rsidR="004D1708" w:rsidRPr="00F8585E">
        <w:rPr>
          <w:rFonts w:ascii="Times New Roman" w:hAnsi="Times New Roman" w:cs="Times New Roman"/>
          <w:sz w:val="28"/>
          <w:szCs w:val="28"/>
          <w:lang w:val="uk-UA"/>
        </w:rPr>
        <w:t>, наприклад, інфра</w:t>
      </w:r>
      <w:r w:rsidR="00872460">
        <w:rPr>
          <w:rFonts w:ascii="Times New Roman" w:hAnsi="Times New Roman" w:cs="Times New Roman"/>
          <w:sz w:val="28"/>
          <w:szCs w:val="28"/>
          <w:lang w:val="uk-UA"/>
        </w:rPr>
        <w:t>структуру зеленої енергетики [36</w:t>
      </w:r>
      <w:r w:rsidR="004D1708" w:rsidRPr="00F8585E">
        <w:rPr>
          <w:rFonts w:ascii="Times New Roman" w:hAnsi="Times New Roman" w:cs="Times New Roman"/>
          <w:sz w:val="28"/>
          <w:szCs w:val="28"/>
          <w:lang w:val="uk-UA"/>
        </w:rPr>
        <w:t>].</w:t>
      </w:r>
    </w:p>
    <w:p w:rsidR="00D62AD5" w:rsidRPr="00F8585E" w:rsidRDefault="00D62AD5" w:rsidP="00836606">
      <w:pPr>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Позитивний коефіцієнт для безробіття означає, що збільшення рівня безробіття сприяє зростанню міжнародної інвестиційної позиції. Це може бути вказівкою на те, що високий рівень безробіття сприяє зниженню зарплат та витрат на працю</w:t>
      </w:r>
      <w:r w:rsidR="00872460">
        <w:rPr>
          <w:rFonts w:ascii="Times New Roman" w:hAnsi="Times New Roman" w:cs="Times New Roman"/>
          <w:sz w:val="28"/>
          <w:szCs w:val="28"/>
          <w:lang w:val="uk-UA"/>
        </w:rPr>
        <w:t xml:space="preserve"> [37</w:t>
      </w:r>
      <w:r w:rsidR="004D1708" w:rsidRPr="00F8585E">
        <w:rPr>
          <w:rFonts w:ascii="Times New Roman" w:hAnsi="Times New Roman" w:cs="Times New Roman"/>
          <w:sz w:val="28"/>
          <w:szCs w:val="28"/>
          <w:lang w:val="uk-UA"/>
        </w:rPr>
        <w:t>]</w:t>
      </w:r>
      <w:r w:rsidRPr="00F8585E">
        <w:rPr>
          <w:rFonts w:ascii="Times New Roman" w:hAnsi="Times New Roman" w:cs="Times New Roman"/>
          <w:sz w:val="28"/>
          <w:szCs w:val="28"/>
          <w:lang w:val="uk-UA"/>
        </w:rPr>
        <w:t xml:space="preserve">, що </w:t>
      </w:r>
      <w:r w:rsidR="004D1708" w:rsidRPr="00F8585E">
        <w:rPr>
          <w:rFonts w:ascii="Times New Roman" w:hAnsi="Times New Roman" w:cs="Times New Roman"/>
          <w:sz w:val="28"/>
          <w:szCs w:val="28"/>
          <w:lang w:val="uk-UA"/>
        </w:rPr>
        <w:t>може зробити</w:t>
      </w:r>
      <w:r w:rsidRPr="00F8585E">
        <w:rPr>
          <w:rFonts w:ascii="Times New Roman" w:hAnsi="Times New Roman" w:cs="Times New Roman"/>
          <w:sz w:val="28"/>
          <w:szCs w:val="28"/>
          <w:lang w:val="uk-UA"/>
        </w:rPr>
        <w:t xml:space="preserve"> інвестиції більш привабливими для іноземних інвесторів.</w:t>
      </w:r>
      <w:r w:rsidR="00836606" w:rsidRPr="00F8585E">
        <w:rPr>
          <w:rFonts w:ascii="Times New Roman" w:hAnsi="Times New Roman" w:cs="Times New Roman"/>
          <w:sz w:val="28"/>
          <w:szCs w:val="28"/>
          <w:lang w:val="uk-UA"/>
        </w:rPr>
        <w:t xml:space="preserve"> Високий рівень безробіття може створювати можливості </w:t>
      </w:r>
      <w:r w:rsidR="00836606" w:rsidRPr="00F8585E">
        <w:rPr>
          <w:rFonts w:ascii="Times New Roman" w:hAnsi="Times New Roman" w:cs="Times New Roman"/>
          <w:sz w:val="28"/>
          <w:szCs w:val="28"/>
          <w:lang w:val="uk-UA"/>
        </w:rPr>
        <w:lastRenderedPageBreak/>
        <w:t>для інвесторів у вигляді доступної робочої сили за нижчою вартістю, отже висококваліфікована робоча сила за нижчою вартістю може бути конкурентоспроможною. У деяких випадках, інвестори можуть вбачати у високому рівні безробіття потенціал для розвитку нових виробництв, що може призводити до зростання міжнародної інвестиційної позиції.</w:t>
      </w:r>
      <w:r w:rsidR="00BF024A">
        <w:rPr>
          <w:rFonts w:ascii="Times New Roman" w:hAnsi="Times New Roman" w:cs="Times New Roman"/>
          <w:sz w:val="28"/>
          <w:szCs w:val="28"/>
          <w:lang w:val="uk-UA"/>
        </w:rPr>
        <w:t xml:space="preserve"> </w:t>
      </w:r>
    </w:p>
    <w:p w:rsidR="00D62AD5" w:rsidRPr="00F8585E" w:rsidRDefault="00D62AD5" w:rsidP="00836606">
      <w:pPr>
        <w:spacing w:after="0" w:line="360" w:lineRule="auto"/>
        <w:ind w:firstLine="708"/>
        <w:jc w:val="both"/>
        <w:rPr>
          <w:rFonts w:ascii="Times New Roman" w:hAnsi="Times New Roman" w:cs="Times New Roman"/>
          <w:b/>
          <w:bCs/>
          <w:sz w:val="28"/>
          <w:szCs w:val="28"/>
          <w:lang w:val="uk-UA"/>
        </w:rPr>
      </w:pPr>
      <w:r w:rsidRPr="00F8585E">
        <w:rPr>
          <w:rFonts w:ascii="Times New Roman" w:hAnsi="Times New Roman" w:cs="Times New Roman"/>
          <w:sz w:val="28"/>
          <w:szCs w:val="28"/>
          <w:lang w:val="uk-UA"/>
        </w:rPr>
        <w:t>Від'ємний коефіцієнт для зовнішнього боргу означає, що збільшення зовнішнього боргу пов'язане зі зменшенням міжнародної інвестиційної позиції. Це може вказувати на те, що високий рівень зовнішнього боргу збільшує ризик для інвесторів та зменшує їхню готовність інвестувати в країну</w:t>
      </w:r>
      <w:r w:rsidR="00872460">
        <w:rPr>
          <w:rFonts w:ascii="Times New Roman" w:hAnsi="Times New Roman" w:cs="Times New Roman"/>
          <w:sz w:val="28"/>
          <w:szCs w:val="28"/>
          <w:lang w:val="uk-UA"/>
        </w:rPr>
        <w:t xml:space="preserve"> [38</w:t>
      </w:r>
      <w:r w:rsidR="00DE5508" w:rsidRPr="00F8585E">
        <w:rPr>
          <w:rFonts w:ascii="Times New Roman" w:hAnsi="Times New Roman" w:cs="Times New Roman"/>
          <w:sz w:val="28"/>
          <w:szCs w:val="28"/>
          <w:lang w:val="uk-UA"/>
        </w:rPr>
        <w:t>]</w:t>
      </w:r>
      <w:r w:rsidRPr="00F8585E">
        <w:rPr>
          <w:rFonts w:ascii="Times New Roman" w:hAnsi="Times New Roman" w:cs="Times New Roman"/>
          <w:sz w:val="28"/>
          <w:szCs w:val="28"/>
          <w:lang w:val="uk-UA"/>
        </w:rPr>
        <w:t>.</w:t>
      </w:r>
    </w:p>
    <w:p w:rsidR="00D62AD5" w:rsidRPr="00F8585E" w:rsidRDefault="00D62AD5" w:rsidP="00836606">
      <w:pPr>
        <w:tabs>
          <w:tab w:val="num" w:pos="720"/>
        </w:tabs>
        <w:spacing w:after="0" w:line="360" w:lineRule="auto"/>
        <w:ind w:firstLine="708"/>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Від'ємний коефіцієнт свідчить про те, що збільшення монетарної свободи (наприклад, зменшення контролю над грошовою політикою) пов'язане зі зменшенням міжнародної інвестиційної позиції. Це мо</w:t>
      </w:r>
      <w:r w:rsidR="00725725" w:rsidRPr="00F8585E">
        <w:rPr>
          <w:rFonts w:ascii="Times New Roman" w:hAnsi="Times New Roman" w:cs="Times New Roman"/>
          <w:sz w:val="28"/>
          <w:szCs w:val="28"/>
          <w:lang w:val="uk-UA"/>
        </w:rPr>
        <w:t>же бути пов'язано зі збільшенням ступені валютної нестабільності або недостатню регуляцію фінансового сектору, що може впливати на інвестиційний клімат.</w:t>
      </w:r>
      <w:r w:rsidR="00DE5508" w:rsidRPr="00F8585E">
        <w:rPr>
          <w:rFonts w:ascii="Times New Roman" w:hAnsi="Times New Roman" w:cs="Times New Roman"/>
          <w:sz w:val="28"/>
          <w:szCs w:val="28"/>
          <w:lang w:val="uk-UA"/>
        </w:rPr>
        <w:t xml:space="preserve"> Необхідно мати збалансований підхід до грошової свободи для забезпечення стабільного і сприятливого середовища для іноземних інвестицій</w:t>
      </w:r>
      <w:r w:rsidR="00872460">
        <w:rPr>
          <w:rFonts w:ascii="Times New Roman" w:hAnsi="Times New Roman" w:cs="Times New Roman"/>
          <w:sz w:val="28"/>
          <w:szCs w:val="28"/>
          <w:lang w:val="uk-UA"/>
        </w:rPr>
        <w:t xml:space="preserve"> [39</w:t>
      </w:r>
      <w:r w:rsidR="008B406E" w:rsidRPr="00F8585E">
        <w:rPr>
          <w:rFonts w:ascii="Times New Roman" w:hAnsi="Times New Roman" w:cs="Times New Roman"/>
          <w:sz w:val="28"/>
          <w:szCs w:val="28"/>
          <w:lang w:val="uk-UA"/>
        </w:rPr>
        <w:t>].</w:t>
      </w:r>
    </w:p>
    <w:p w:rsidR="00D62AD5" w:rsidRDefault="00C00F5B" w:rsidP="0083660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Р</w:t>
      </w:r>
      <w:r w:rsidR="00D62AD5" w:rsidRPr="00F8585E">
        <w:rPr>
          <w:rFonts w:ascii="Times New Roman" w:hAnsi="Times New Roman" w:cs="Times New Roman"/>
          <w:sz w:val="28"/>
          <w:szCs w:val="28"/>
          <w:lang w:val="uk-UA"/>
        </w:rPr>
        <w:t xml:space="preserve">езультати </w:t>
      </w:r>
      <w:r w:rsidR="00725725" w:rsidRPr="00F8585E">
        <w:rPr>
          <w:rFonts w:ascii="Times New Roman" w:hAnsi="Times New Roman" w:cs="Times New Roman"/>
          <w:sz w:val="28"/>
          <w:szCs w:val="28"/>
          <w:lang w:val="uk-UA"/>
        </w:rPr>
        <w:t xml:space="preserve">даної </w:t>
      </w:r>
      <w:r w:rsidR="00D62AD5" w:rsidRPr="00F8585E">
        <w:rPr>
          <w:rFonts w:ascii="Times New Roman" w:hAnsi="Times New Roman" w:cs="Times New Roman"/>
          <w:sz w:val="28"/>
          <w:szCs w:val="28"/>
          <w:lang w:val="uk-UA"/>
        </w:rPr>
        <w:t>регресії дозвол</w:t>
      </w:r>
      <w:r w:rsidR="00725725" w:rsidRPr="00F8585E">
        <w:rPr>
          <w:rFonts w:ascii="Times New Roman" w:hAnsi="Times New Roman" w:cs="Times New Roman"/>
          <w:sz w:val="28"/>
          <w:szCs w:val="28"/>
          <w:lang w:val="uk-UA"/>
        </w:rPr>
        <w:t xml:space="preserve">яють оцінити, як різні фактори </w:t>
      </w:r>
      <w:r w:rsidR="00D62AD5" w:rsidRPr="00F8585E">
        <w:rPr>
          <w:rFonts w:ascii="Times New Roman" w:hAnsi="Times New Roman" w:cs="Times New Roman"/>
          <w:sz w:val="28"/>
          <w:szCs w:val="28"/>
          <w:lang w:val="uk-UA"/>
        </w:rPr>
        <w:t>впливають на міжнародні інвестиції в Україні. Це допомагає у розумінні ситуації з інвестиційним кліматом країни та ідентифікації потенційних аспектів, які можна покращити дл</w:t>
      </w:r>
      <w:r w:rsidR="00725725" w:rsidRPr="00F8585E">
        <w:rPr>
          <w:rFonts w:ascii="Times New Roman" w:hAnsi="Times New Roman" w:cs="Times New Roman"/>
          <w:sz w:val="28"/>
          <w:szCs w:val="28"/>
          <w:lang w:val="uk-UA"/>
        </w:rPr>
        <w:t xml:space="preserve">я приваблення інвестицій, а також </w:t>
      </w:r>
      <w:r w:rsidR="00D62AD5" w:rsidRPr="00F8585E">
        <w:rPr>
          <w:rFonts w:ascii="Times New Roman" w:hAnsi="Times New Roman" w:cs="Times New Roman"/>
          <w:sz w:val="28"/>
          <w:szCs w:val="28"/>
          <w:lang w:val="uk-UA"/>
        </w:rPr>
        <w:t xml:space="preserve">у прогнозуванні рівня та напрямку транснаціональної діяльності в Україні. Наприклад, </w:t>
      </w:r>
      <w:r w:rsidR="00E56FA4" w:rsidRPr="00F8585E">
        <w:rPr>
          <w:rFonts w:ascii="Times New Roman" w:hAnsi="Times New Roman" w:cs="Times New Roman"/>
          <w:sz w:val="28"/>
          <w:szCs w:val="28"/>
          <w:lang w:val="uk-UA"/>
        </w:rPr>
        <w:t>зростання доброчесності уряду та державних витрат</w:t>
      </w:r>
      <w:r w:rsidR="00D62AD5" w:rsidRPr="00F8585E">
        <w:rPr>
          <w:rFonts w:ascii="Times New Roman" w:hAnsi="Times New Roman" w:cs="Times New Roman"/>
          <w:sz w:val="28"/>
          <w:szCs w:val="28"/>
          <w:lang w:val="uk-UA"/>
        </w:rPr>
        <w:t xml:space="preserve"> може сприяти зростанню </w:t>
      </w:r>
      <w:r w:rsidR="00E56FA4" w:rsidRPr="00F8585E">
        <w:rPr>
          <w:rFonts w:ascii="Times New Roman" w:hAnsi="Times New Roman" w:cs="Times New Roman"/>
          <w:sz w:val="28"/>
          <w:szCs w:val="28"/>
          <w:lang w:val="uk-UA"/>
        </w:rPr>
        <w:t>міжнародної інвестиційної позиції України</w:t>
      </w:r>
      <w:r w:rsidR="00D62AD5" w:rsidRPr="00F8585E">
        <w:rPr>
          <w:rFonts w:ascii="Times New Roman" w:hAnsi="Times New Roman" w:cs="Times New Roman"/>
          <w:sz w:val="28"/>
          <w:szCs w:val="28"/>
          <w:lang w:val="uk-UA"/>
        </w:rPr>
        <w:t xml:space="preserve">, тоді як </w:t>
      </w:r>
      <w:r w:rsidR="00E56FA4" w:rsidRPr="00F8585E">
        <w:rPr>
          <w:rFonts w:ascii="Times New Roman" w:hAnsi="Times New Roman" w:cs="Times New Roman"/>
          <w:sz w:val="28"/>
          <w:szCs w:val="28"/>
          <w:lang w:val="uk-UA"/>
        </w:rPr>
        <w:t xml:space="preserve">високий ступінь монетарної свободи та </w:t>
      </w:r>
      <w:r w:rsidR="00D62AD5" w:rsidRPr="00F8585E">
        <w:rPr>
          <w:rFonts w:ascii="Times New Roman" w:hAnsi="Times New Roman" w:cs="Times New Roman"/>
          <w:sz w:val="28"/>
          <w:szCs w:val="28"/>
          <w:lang w:val="uk-UA"/>
        </w:rPr>
        <w:t xml:space="preserve">високий рівень зовнішнього боргу може </w:t>
      </w:r>
      <w:r w:rsidR="00E56FA4" w:rsidRPr="00F8585E">
        <w:rPr>
          <w:rFonts w:ascii="Times New Roman" w:hAnsi="Times New Roman" w:cs="Times New Roman"/>
          <w:sz w:val="28"/>
          <w:szCs w:val="28"/>
          <w:lang w:val="uk-UA"/>
        </w:rPr>
        <w:t xml:space="preserve">погіршити міжнародну інвестиційну позицію України. </w:t>
      </w:r>
    </w:p>
    <w:p w:rsidR="00C00F5B" w:rsidRPr="00C00F5B" w:rsidRDefault="00C00F5B" w:rsidP="00C00F5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р</w:t>
      </w:r>
      <w:r w:rsidRPr="00C00F5B">
        <w:rPr>
          <w:rFonts w:ascii="Times New Roman" w:hAnsi="Times New Roman" w:cs="Times New Roman"/>
          <w:bCs/>
          <w:sz w:val="28"/>
          <w:szCs w:val="28"/>
          <w:lang w:val="uk-UA"/>
        </w:rPr>
        <w:t>езультати моделювання показують взаємозв'язки між обраними показниками та міжнародною інвестиційною позицією України</w:t>
      </w:r>
      <w:r>
        <w:rPr>
          <w:rFonts w:ascii="Times New Roman" w:hAnsi="Times New Roman" w:cs="Times New Roman"/>
          <w:bCs/>
          <w:sz w:val="28"/>
          <w:szCs w:val="28"/>
          <w:lang w:val="uk-UA"/>
        </w:rPr>
        <w:t xml:space="preserve">, </w:t>
      </w:r>
      <w:r w:rsidR="007C5246">
        <w:rPr>
          <w:rFonts w:ascii="Times New Roman" w:hAnsi="Times New Roman" w:cs="Times New Roman"/>
          <w:bCs/>
          <w:sz w:val="28"/>
          <w:szCs w:val="28"/>
          <w:lang w:val="uk-UA"/>
        </w:rPr>
        <w:t xml:space="preserve">але деякі потребують уваги, </w:t>
      </w:r>
      <w:r w:rsidRPr="00C00F5B">
        <w:rPr>
          <w:rFonts w:ascii="Times New Roman" w:hAnsi="Times New Roman" w:cs="Times New Roman"/>
          <w:bCs/>
          <w:sz w:val="28"/>
          <w:szCs w:val="28"/>
          <w:lang w:val="uk-UA"/>
        </w:rPr>
        <w:t>вимагають додаткового дослідження та визн</w:t>
      </w:r>
      <w:r>
        <w:rPr>
          <w:rFonts w:ascii="Times New Roman" w:hAnsi="Times New Roman" w:cs="Times New Roman"/>
          <w:bCs/>
          <w:sz w:val="28"/>
          <w:szCs w:val="28"/>
          <w:lang w:val="uk-UA"/>
        </w:rPr>
        <w:t>ачення механізмів удосконалення.</w:t>
      </w:r>
    </w:p>
    <w:p w:rsidR="00C00F5B" w:rsidRDefault="00C00F5B" w:rsidP="00C00F5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Згідно з отриманими результатами, в</w:t>
      </w:r>
      <w:r w:rsidRPr="00C00F5B">
        <w:rPr>
          <w:rFonts w:ascii="Times New Roman" w:hAnsi="Times New Roman" w:cs="Times New Roman"/>
          <w:bCs/>
          <w:sz w:val="28"/>
          <w:szCs w:val="28"/>
          <w:lang w:val="uk-UA"/>
        </w:rPr>
        <w:t>исокий рівень безробіття пов'язаний із зростанням міжн</w:t>
      </w:r>
      <w:r>
        <w:rPr>
          <w:rFonts w:ascii="Times New Roman" w:hAnsi="Times New Roman" w:cs="Times New Roman"/>
          <w:bCs/>
          <w:sz w:val="28"/>
          <w:szCs w:val="28"/>
          <w:lang w:val="uk-UA"/>
        </w:rPr>
        <w:t>ародної інвестиційної позиції України, ц</w:t>
      </w:r>
      <w:r w:rsidRPr="00C00F5B">
        <w:rPr>
          <w:rFonts w:ascii="Times New Roman" w:hAnsi="Times New Roman" w:cs="Times New Roman"/>
          <w:bCs/>
          <w:sz w:val="28"/>
          <w:szCs w:val="28"/>
          <w:lang w:val="uk-UA"/>
        </w:rPr>
        <w:t>е явище може бути пов'язане зі зниженням витрат на працю, але також може свідчити про інші структурні проблеми в економіці, які потребують уваги.</w:t>
      </w:r>
      <w:r>
        <w:rPr>
          <w:rFonts w:ascii="Times New Roman" w:hAnsi="Times New Roman" w:cs="Times New Roman"/>
          <w:bCs/>
          <w:sz w:val="28"/>
          <w:szCs w:val="28"/>
          <w:lang w:val="uk-UA"/>
        </w:rPr>
        <w:t xml:space="preserve"> Для</w:t>
      </w:r>
      <w:r w:rsidRPr="00C00F5B">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підвищення конкурентоспроможності</w:t>
      </w:r>
      <w:r w:rsidRPr="00C00F5B">
        <w:rPr>
          <w:rFonts w:ascii="Times New Roman" w:hAnsi="Times New Roman" w:cs="Times New Roman"/>
          <w:bCs/>
          <w:sz w:val="28"/>
          <w:szCs w:val="28"/>
          <w:lang w:val="uk-UA"/>
        </w:rPr>
        <w:t xml:space="preserve"> екон</w:t>
      </w:r>
      <w:r>
        <w:rPr>
          <w:rFonts w:ascii="Times New Roman" w:hAnsi="Times New Roman" w:cs="Times New Roman"/>
          <w:bCs/>
          <w:sz w:val="28"/>
          <w:szCs w:val="28"/>
          <w:lang w:val="uk-UA"/>
        </w:rPr>
        <w:t>оміки без зростання безробіття необхідна р</w:t>
      </w:r>
      <w:r w:rsidRPr="00C00F5B">
        <w:rPr>
          <w:rFonts w:ascii="Times New Roman" w:hAnsi="Times New Roman" w:cs="Times New Roman"/>
          <w:bCs/>
          <w:sz w:val="28"/>
          <w:szCs w:val="28"/>
          <w:lang w:val="uk-UA"/>
        </w:rPr>
        <w:t>озробка політик, спрямованих на створення робочих місць, підвищення кваліфікації робочої сили та покращення умов праці</w:t>
      </w:r>
      <w:r>
        <w:rPr>
          <w:rFonts w:ascii="Times New Roman" w:hAnsi="Times New Roman" w:cs="Times New Roman"/>
          <w:bCs/>
          <w:sz w:val="28"/>
          <w:szCs w:val="28"/>
          <w:lang w:val="uk-UA"/>
        </w:rPr>
        <w:t>.</w:t>
      </w:r>
    </w:p>
    <w:p w:rsidR="00C00F5B" w:rsidRPr="00C00F5B" w:rsidRDefault="00B515BC" w:rsidP="00C00F5B">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Додаткове дослідження зазначеного аспекту</w:t>
      </w:r>
      <w:r w:rsidR="00C00F5B" w:rsidRPr="00C00F5B">
        <w:rPr>
          <w:rFonts w:ascii="Times New Roman" w:hAnsi="Times New Roman" w:cs="Times New Roman"/>
          <w:bCs/>
          <w:sz w:val="28"/>
          <w:szCs w:val="28"/>
          <w:lang w:val="uk-UA"/>
        </w:rPr>
        <w:t xml:space="preserve"> допом</w:t>
      </w:r>
      <w:r>
        <w:rPr>
          <w:rFonts w:ascii="Times New Roman" w:hAnsi="Times New Roman" w:cs="Times New Roman"/>
          <w:bCs/>
          <w:sz w:val="28"/>
          <w:szCs w:val="28"/>
          <w:lang w:val="uk-UA"/>
        </w:rPr>
        <w:t>оже краще зрозуміти механізми його</w:t>
      </w:r>
      <w:r w:rsidR="00C00F5B" w:rsidRPr="00C00F5B">
        <w:rPr>
          <w:rFonts w:ascii="Times New Roman" w:hAnsi="Times New Roman" w:cs="Times New Roman"/>
          <w:bCs/>
          <w:sz w:val="28"/>
          <w:szCs w:val="28"/>
          <w:lang w:val="uk-UA"/>
        </w:rPr>
        <w:t xml:space="preserve"> впливу на міжнародну інвестиційну позицію України та розробити ефективні політики для покращення інвестиційного клімату і стимулювання транснаціональної діяльності.</w:t>
      </w:r>
    </w:p>
    <w:p w:rsidR="00860B9B" w:rsidRPr="00F8585E" w:rsidRDefault="00860B9B" w:rsidP="00836606">
      <w:pPr>
        <w:spacing w:after="0" w:line="360" w:lineRule="auto"/>
        <w:jc w:val="both"/>
        <w:rPr>
          <w:rFonts w:ascii="Times New Roman" w:hAnsi="Times New Roman" w:cs="Times New Roman"/>
          <w:sz w:val="28"/>
          <w:szCs w:val="28"/>
          <w:lang w:val="uk-UA"/>
        </w:rPr>
      </w:pPr>
    </w:p>
    <w:p w:rsidR="00B5750C" w:rsidRPr="00F8585E" w:rsidRDefault="00B5750C" w:rsidP="00836606">
      <w:pPr>
        <w:spacing w:after="0"/>
        <w:rPr>
          <w:rFonts w:ascii="Times New Roman" w:hAnsi="Times New Roman" w:cs="Times New Roman"/>
          <w:lang w:val="uk-UA"/>
        </w:rPr>
      </w:pPr>
    </w:p>
    <w:p w:rsidR="00B5750C" w:rsidRPr="00F8585E" w:rsidRDefault="00B5750C" w:rsidP="00836606">
      <w:pPr>
        <w:spacing w:after="0"/>
        <w:rPr>
          <w:rFonts w:ascii="Times New Roman" w:hAnsi="Times New Roman" w:cs="Times New Roman"/>
          <w:lang w:val="uk-UA"/>
        </w:rPr>
      </w:pPr>
    </w:p>
    <w:p w:rsidR="00B5750C" w:rsidRDefault="00B5750C"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Default="007C5246" w:rsidP="00836606">
      <w:pPr>
        <w:spacing w:after="0"/>
        <w:rPr>
          <w:rFonts w:ascii="Times New Roman" w:hAnsi="Times New Roman" w:cs="Times New Roman"/>
          <w:lang w:val="uk-UA"/>
        </w:rPr>
      </w:pPr>
    </w:p>
    <w:p w:rsidR="007C5246" w:rsidRPr="00F8585E" w:rsidRDefault="007C5246" w:rsidP="00836606">
      <w:pPr>
        <w:spacing w:after="0"/>
        <w:rPr>
          <w:rFonts w:ascii="Times New Roman" w:hAnsi="Times New Roman" w:cs="Times New Roman"/>
          <w:lang w:val="uk-UA"/>
        </w:rPr>
      </w:pPr>
    </w:p>
    <w:p w:rsidR="00725725" w:rsidRPr="00F8585E" w:rsidRDefault="00725725" w:rsidP="00836606">
      <w:pPr>
        <w:pStyle w:val="muitypography-root"/>
        <w:spacing w:before="0" w:beforeAutospacing="0" w:after="0" w:afterAutospacing="0" w:line="360" w:lineRule="auto"/>
        <w:rPr>
          <w:sz w:val="28"/>
          <w:szCs w:val="28"/>
        </w:rPr>
      </w:pPr>
    </w:p>
    <w:p w:rsidR="00FC1918" w:rsidRPr="00F8585E" w:rsidRDefault="00FC1918" w:rsidP="00836606">
      <w:pPr>
        <w:pStyle w:val="muitypography-root"/>
        <w:spacing w:before="0" w:beforeAutospacing="0" w:after="0" w:afterAutospacing="0" w:line="360" w:lineRule="auto"/>
        <w:jc w:val="center"/>
        <w:rPr>
          <w:b/>
          <w:sz w:val="28"/>
          <w:szCs w:val="28"/>
        </w:rPr>
      </w:pPr>
      <w:r w:rsidRPr="00F8585E">
        <w:rPr>
          <w:b/>
          <w:sz w:val="28"/>
          <w:szCs w:val="28"/>
        </w:rPr>
        <w:lastRenderedPageBreak/>
        <w:t>РОЗДІЛ 3</w:t>
      </w:r>
    </w:p>
    <w:p w:rsidR="00FC1918" w:rsidRPr="00F8585E" w:rsidRDefault="00FC1918" w:rsidP="00836606">
      <w:pPr>
        <w:pStyle w:val="muitypography-root"/>
        <w:spacing w:before="0" w:beforeAutospacing="0" w:after="0" w:afterAutospacing="0" w:line="360" w:lineRule="auto"/>
        <w:jc w:val="center"/>
        <w:rPr>
          <w:b/>
          <w:sz w:val="28"/>
          <w:szCs w:val="28"/>
        </w:rPr>
      </w:pPr>
      <w:r w:rsidRPr="00F8585E">
        <w:rPr>
          <w:b/>
          <w:sz w:val="28"/>
          <w:szCs w:val="28"/>
        </w:rPr>
        <w:t>ІНВЕСТИЦІЙНИЙ КЛІМАТ ТА ТРАНСНАЦІОНАЛЬНА ДІЯЛЬНІСТЬ В УКРАЇНІ</w:t>
      </w:r>
    </w:p>
    <w:p w:rsidR="00FC1918" w:rsidRPr="00F8585E" w:rsidRDefault="00FC1918" w:rsidP="00836606">
      <w:pPr>
        <w:pStyle w:val="muitypography-root"/>
        <w:spacing w:before="0" w:beforeAutospacing="0" w:after="0" w:afterAutospacing="0" w:line="360" w:lineRule="auto"/>
        <w:jc w:val="center"/>
        <w:rPr>
          <w:b/>
          <w:sz w:val="28"/>
          <w:szCs w:val="28"/>
        </w:rPr>
      </w:pPr>
    </w:p>
    <w:p w:rsidR="00FC1918" w:rsidRPr="00F8585E" w:rsidRDefault="00FC1918" w:rsidP="00836606">
      <w:pPr>
        <w:pStyle w:val="muitypography-root"/>
        <w:spacing w:before="0" w:beforeAutospacing="0" w:after="0" w:afterAutospacing="0" w:line="360" w:lineRule="auto"/>
        <w:jc w:val="both"/>
        <w:rPr>
          <w:b/>
          <w:sz w:val="28"/>
          <w:szCs w:val="28"/>
        </w:rPr>
      </w:pPr>
      <w:r w:rsidRPr="00F8585E">
        <w:rPr>
          <w:b/>
          <w:sz w:val="28"/>
          <w:szCs w:val="28"/>
        </w:rPr>
        <w:tab/>
        <w:t>3.1. Стан інвестиційного клімату в Україні</w:t>
      </w:r>
    </w:p>
    <w:p w:rsidR="0019259A" w:rsidRPr="00F8585E" w:rsidRDefault="0019259A" w:rsidP="00836606">
      <w:pPr>
        <w:pStyle w:val="muitypography-root"/>
        <w:spacing w:before="0" w:beforeAutospacing="0" w:after="0" w:afterAutospacing="0" w:line="360" w:lineRule="auto"/>
        <w:jc w:val="both"/>
        <w:rPr>
          <w:b/>
          <w:sz w:val="28"/>
          <w:szCs w:val="28"/>
        </w:rPr>
      </w:pPr>
    </w:p>
    <w:p w:rsidR="0019259A" w:rsidRPr="00F8585E" w:rsidRDefault="0019259A" w:rsidP="00836606">
      <w:pPr>
        <w:pStyle w:val="muitypography-root"/>
        <w:spacing w:before="0" w:beforeAutospacing="0" w:after="0" w:afterAutospacing="0" w:line="360" w:lineRule="auto"/>
        <w:jc w:val="both"/>
        <w:rPr>
          <w:sz w:val="28"/>
          <w:szCs w:val="28"/>
        </w:rPr>
      </w:pPr>
      <w:r w:rsidRPr="00F8585E">
        <w:rPr>
          <w:b/>
          <w:sz w:val="28"/>
          <w:szCs w:val="28"/>
        </w:rPr>
        <w:tab/>
      </w:r>
      <w:r w:rsidRPr="00F8585E">
        <w:rPr>
          <w:sz w:val="28"/>
          <w:szCs w:val="28"/>
        </w:rPr>
        <w:t xml:space="preserve">Інвестиційний клімат країни є </w:t>
      </w:r>
      <w:r w:rsidR="0083370E" w:rsidRPr="00F8585E">
        <w:rPr>
          <w:sz w:val="28"/>
          <w:szCs w:val="28"/>
        </w:rPr>
        <w:t>важливим</w:t>
      </w:r>
      <w:r w:rsidRPr="00F8585E">
        <w:rPr>
          <w:sz w:val="28"/>
          <w:szCs w:val="28"/>
        </w:rPr>
        <w:t xml:space="preserve"> фактором, який визначає її привабливість для іноземних інвесторів та впливає на економічний розвиток. </w:t>
      </w:r>
      <w:r w:rsidR="0083370E" w:rsidRPr="00F8585E">
        <w:rPr>
          <w:sz w:val="28"/>
          <w:szCs w:val="28"/>
        </w:rPr>
        <w:t xml:space="preserve">Доцільним буде розглянути </w:t>
      </w:r>
      <w:r w:rsidRPr="00F8585E">
        <w:rPr>
          <w:sz w:val="28"/>
          <w:szCs w:val="28"/>
        </w:rPr>
        <w:t xml:space="preserve">динаміку </w:t>
      </w:r>
      <w:r w:rsidR="0083370E" w:rsidRPr="00F8585E">
        <w:rPr>
          <w:sz w:val="28"/>
          <w:szCs w:val="28"/>
        </w:rPr>
        <w:t xml:space="preserve">факторів впливу на міжнародну інвестиційну позицію, виявлених під час моделювання. </w:t>
      </w:r>
      <w:r w:rsidRPr="00F8585E">
        <w:rPr>
          <w:sz w:val="28"/>
          <w:szCs w:val="28"/>
        </w:rPr>
        <w:t>Ці показники дозволяють оцінити, наскільки сприятливим є економічне середовище в країні для ведення бізнесу та здійснення інвестицій.</w:t>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ab/>
      </w:r>
      <w:r w:rsidRPr="00F8585E">
        <w:rPr>
          <w:rFonts w:ascii="Times New Roman" w:eastAsia="Times New Roman" w:hAnsi="Times New Roman" w:cs="Times New Roman"/>
          <w:sz w:val="28"/>
          <w:szCs w:val="28"/>
          <w:lang w:val="uk-UA" w:eastAsia="uk-UA"/>
        </w:rPr>
        <w:t xml:space="preserve">Індекс доброчесності уряду відображає рівень корупції та ефективність урядових структур. </w:t>
      </w:r>
      <w:r w:rsidRPr="00F8585E">
        <w:rPr>
          <w:rFonts w:ascii="Times New Roman" w:hAnsi="Times New Roman" w:cs="Times New Roman"/>
          <w:sz w:val="28"/>
          <w:szCs w:val="28"/>
          <w:lang w:val="uk-UA"/>
        </w:rPr>
        <w:t xml:space="preserve">Динаміка індексу доброчесності уряду України за 2000-2022 роки </w:t>
      </w:r>
      <w:r w:rsidR="00E737CB" w:rsidRPr="00F8585E">
        <w:rPr>
          <w:rFonts w:ascii="Times New Roman" w:hAnsi="Times New Roman" w:cs="Times New Roman"/>
          <w:sz w:val="28"/>
          <w:szCs w:val="28"/>
          <w:lang w:val="uk-UA"/>
        </w:rPr>
        <w:t>представлена</w:t>
      </w:r>
      <w:r w:rsidRPr="00F8585E">
        <w:rPr>
          <w:rFonts w:ascii="Times New Roman" w:hAnsi="Times New Roman" w:cs="Times New Roman"/>
          <w:sz w:val="28"/>
          <w:szCs w:val="28"/>
          <w:lang w:val="uk-UA"/>
        </w:rPr>
        <w:t xml:space="preserve"> нижче на рис. 3.1.</w:t>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b/>
          <w:noProof/>
          <w:sz w:val="28"/>
          <w:szCs w:val="28"/>
          <w:lang w:eastAsia="ru-RU"/>
        </w:rPr>
        <w:drawing>
          <wp:inline distT="0" distB="0" distL="0" distR="0" wp14:anchorId="7594BB6F" wp14:editId="65E799C4">
            <wp:extent cx="6117771" cy="2819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3.1. Індекс доброчесності уряду України за 2000-2022 роки </w:t>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872460">
        <w:rPr>
          <w:rFonts w:ascii="Times New Roman" w:hAnsi="Times New Roman" w:cs="Times New Roman"/>
          <w:sz w:val="28"/>
          <w:szCs w:val="28"/>
          <w:lang w:val="uk-UA"/>
        </w:rPr>
        <w:t>: складено автором на основі [17</w:t>
      </w:r>
      <w:r w:rsidRPr="00F8585E">
        <w:rPr>
          <w:rFonts w:ascii="Times New Roman" w:hAnsi="Times New Roman" w:cs="Times New Roman"/>
          <w:sz w:val="28"/>
          <w:szCs w:val="28"/>
          <w:lang w:val="uk-UA"/>
        </w:rPr>
        <w:t>].</w:t>
      </w:r>
    </w:p>
    <w:p w:rsidR="0083370E" w:rsidRPr="00F8585E" w:rsidRDefault="0083370E" w:rsidP="00836606">
      <w:pPr>
        <w:spacing w:after="0" w:line="360" w:lineRule="auto"/>
        <w:jc w:val="both"/>
        <w:rPr>
          <w:rFonts w:ascii="Times New Roman" w:hAnsi="Times New Roman" w:cs="Times New Roman"/>
          <w:sz w:val="28"/>
          <w:szCs w:val="28"/>
          <w:lang w:val="uk-UA"/>
        </w:rPr>
      </w:pPr>
    </w:p>
    <w:p w:rsidR="0019259A" w:rsidRDefault="0083370E" w:rsidP="00836606">
      <w:pPr>
        <w:pStyle w:val="muitypography-root"/>
        <w:spacing w:before="0" w:beforeAutospacing="0" w:after="0" w:afterAutospacing="0" w:line="360" w:lineRule="auto"/>
        <w:jc w:val="both"/>
        <w:rPr>
          <w:sz w:val="28"/>
          <w:szCs w:val="28"/>
        </w:rPr>
      </w:pPr>
      <w:r w:rsidRPr="00F8585E">
        <w:rPr>
          <w:sz w:val="28"/>
          <w:szCs w:val="28"/>
        </w:rPr>
        <w:tab/>
        <w:t xml:space="preserve">Після аналізу динаміки індексу доброчесності уряду можна зробити висновок, що </w:t>
      </w:r>
      <w:r w:rsidR="0019259A" w:rsidRPr="00F8585E">
        <w:rPr>
          <w:sz w:val="28"/>
          <w:szCs w:val="28"/>
        </w:rPr>
        <w:t xml:space="preserve">цей показник в Україні коливався з 2000 </w:t>
      </w:r>
      <w:r w:rsidRPr="00F8585E">
        <w:rPr>
          <w:sz w:val="28"/>
          <w:szCs w:val="28"/>
        </w:rPr>
        <w:t>року по 2022 рік</w:t>
      </w:r>
      <w:r w:rsidR="0019259A" w:rsidRPr="00F8585E">
        <w:rPr>
          <w:sz w:val="28"/>
          <w:szCs w:val="28"/>
        </w:rPr>
        <w:t xml:space="preserve">. </w:t>
      </w:r>
      <w:r w:rsidR="0019259A" w:rsidRPr="00F8585E">
        <w:rPr>
          <w:sz w:val="28"/>
          <w:szCs w:val="28"/>
        </w:rPr>
        <w:lastRenderedPageBreak/>
        <w:t xml:space="preserve">Зокрема, спостерігаються </w:t>
      </w:r>
      <w:r w:rsidRPr="00F8585E">
        <w:rPr>
          <w:sz w:val="28"/>
          <w:szCs w:val="28"/>
        </w:rPr>
        <w:t xml:space="preserve">наступні тенденції. </w:t>
      </w:r>
      <w:r w:rsidR="0019259A" w:rsidRPr="00F8585E">
        <w:rPr>
          <w:sz w:val="28"/>
          <w:szCs w:val="28"/>
        </w:rPr>
        <w:t xml:space="preserve">У період з 2000 </w:t>
      </w:r>
      <w:r w:rsidRPr="00F8585E">
        <w:rPr>
          <w:sz w:val="28"/>
          <w:szCs w:val="28"/>
        </w:rPr>
        <w:t xml:space="preserve">року </w:t>
      </w:r>
      <w:r w:rsidR="0019259A" w:rsidRPr="00F8585E">
        <w:rPr>
          <w:sz w:val="28"/>
          <w:szCs w:val="28"/>
        </w:rPr>
        <w:t xml:space="preserve">по 2014 </w:t>
      </w:r>
      <w:r w:rsidRPr="00F8585E">
        <w:rPr>
          <w:sz w:val="28"/>
          <w:szCs w:val="28"/>
        </w:rPr>
        <w:t>рік</w:t>
      </w:r>
      <w:r w:rsidR="0019259A" w:rsidRPr="00F8585E">
        <w:rPr>
          <w:sz w:val="28"/>
          <w:szCs w:val="28"/>
        </w:rPr>
        <w:t xml:space="preserve"> індекс </w:t>
      </w:r>
      <w:r w:rsidRPr="00F8585E">
        <w:rPr>
          <w:sz w:val="28"/>
          <w:szCs w:val="28"/>
        </w:rPr>
        <w:t xml:space="preserve">постійно коливався та </w:t>
      </w:r>
      <w:r w:rsidR="0019259A" w:rsidRPr="00F8585E">
        <w:rPr>
          <w:sz w:val="28"/>
          <w:szCs w:val="28"/>
        </w:rPr>
        <w:t>залишався на низькому рівні, що свідчить про високий рівень корупції та низьку ефективність уряду.</w:t>
      </w:r>
      <w:r w:rsidRPr="00F8585E">
        <w:rPr>
          <w:sz w:val="28"/>
          <w:szCs w:val="28"/>
        </w:rPr>
        <w:t xml:space="preserve"> </w:t>
      </w:r>
      <w:r w:rsidR="0019259A" w:rsidRPr="00F8585E">
        <w:rPr>
          <w:sz w:val="28"/>
          <w:szCs w:val="28"/>
        </w:rPr>
        <w:t xml:space="preserve">Після 2014 року, коли відбулися значні політичні зміни, індекс почав </w:t>
      </w:r>
      <w:r w:rsidRPr="00F8585E">
        <w:rPr>
          <w:sz w:val="28"/>
          <w:szCs w:val="28"/>
        </w:rPr>
        <w:t xml:space="preserve">стабільно </w:t>
      </w:r>
      <w:r w:rsidR="0019259A" w:rsidRPr="00F8585E">
        <w:rPr>
          <w:sz w:val="28"/>
          <w:szCs w:val="28"/>
        </w:rPr>
        <w:t>зростати, що може бути пов'язано з активізацією антикорупційних заходів та реформуванням державного управління.</w:t>
      </w:r>
      <w:r w:rsidRPr="00F8585E">
        <w:rPr>
          <w:sz w:val="28"/>
          <w:szCs w:val="28"/>
        </w:rPr>
        <w:t xml:space="preserve"> Проте з 2021 року індекс став знов спадати</w:t>
      </w:r>
      <w:r w:rsidR="007361E0" w:rsidRPr="00F8585E">
        <w:rPr>
          <w:sz w:val="28"/>
          <w:szCs w:val="28"/>
        </w:rPr>
        <w:t xml:space="preserve"> (див. рис. 3.1)</w:t>
      </w:r>
      <w:r w:rsidRPr="00F8585E">
        <w:rPr>
          <w:sz w:val="28"/>
          <w:szCs w:val="28"/>
        </w:rPr>
        <w:t xml:space="preserve">, </w:t>
      </w:r>
      <w:r w:rsidR="0019259A" w:rsidRPr="00F8585E">
        <w:rPr>
          <w:sz w:val="28"/>
          <w:szCs w:val="28"/>
        </w:rPr>
        <w:t>що вказує на наявність системних проблем у цій сфері.</w:t>
      </w:r>
    </w:p>
    <w:p w:rsidR="007C5246" w:rsidRPr="00F8585E" w:rsidRDefault="007C5246" w:rsidP="007C5246">
      <w:pPr>
        <w:pStyle w:val="muitypography-root"/>
        <w:spacing w:before="0" w:beforeAutospacing="0" w:after="0" w:afterAutospacing="0" w:line="360" w:lineRule="auto"/>
        <w:jc w:val="both"/>
        <w:rPr>
          <w:sz w:val="28"/>
          <w:szCs w:val="28"/>
        </w:rPr>
      </w:pPr>
      <w:r>
        <w:rPr>
          <w:sz w:val="28"/>
          <w:szCs w:val="28"/>
        </w:rPr>
        <w:tab/>
      </w:r>
      <w:r w:rsidRPr="007C5246">
        <w:rPr>
          <w:sz w:val="28"/>
          <w:szCs w:val="28"/>
        </w:rPr>
        <w:t>Впровадження та посилення антикорупційних заходів, забезпечення прозорості у державному управлінні, покращення роботи правової системи, забезпечення підз</w:t>
      </w:r>
      <w:r>
        <w:rPr>
          <w:sz w:val="28"/>
          <w:szCs w:val="28"/>
        </w:rPr>
        <w:t>вітності державних посадовців, а також п</w:t>
      </w:r>
      <w:r w:rsidRPr="007C5246">
        <w:rPr>
          <w:sz w:val="28"/>
          <w:szCs w:val="28"/>
        </w:rPr>
        <w:t>ідвищення довіри до уряду серед іноземних інвесторів шляхом реформи державних інституцій та покращення регуляторного сере</w:t>
      </w:r>
      <w:r>
        <w:rPr>
          <w:sz w:val="28"/>
          <w:szCs w:val="28"/>
        </w:rPr>
        <w:t>довища ‒ це можливий механізм вдосконалення доброчесності уряду як значимого фактору впливу, виявленого під час моделювання.</w:t>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bCs/>
          <w:sz w:val="28"/>
          <w:szCs w:val="28"/>
          <w:lang w:val="uk-UA"/>
        </w:rPr>
        <w:tab/>
      </w:r>
      <w:r w:rsidR="0019259A" w:rsidRPr="00F8585E">
        <w:rPr>
          <w:rFonts w:ascii="Times New Roman" w:eastAsia="Times New Roman" w:hAnsi="Times New Roman" w:cs="Times New Roman"/>
          <w:sz w:val="28"/>
          <w:szCs w:val="28"/>
          <w:lang w:val="uk-UA" w:eastAsia="uk-UA"/>
        </w:rPr>
        <w:t xml:space="preserve">Індекс державних витрат відображає обсяг урядових витрат стосовно ВВП. </w:t>
      </w:r>
      <w:r w:rsidRPr="00F8585E">
        <w:rPr>
          <w:rFonts w:ascii="Times New Roman" w:hAnsi="Times New Roman" w:cs="Times New Roman"/>
          <w:sz w:val="28"/>
          <w:szCs w:val="28"/>
          <w:lang w:val="uk-UA"/>
        </w:rPr>
        <w:t xml:space="preserve">Динаміка індексу державних витрат України за 2000-2022 роки </w:t>
      </w:r>
      <w:r w:rsidR="00E737CB" w:rsidRPr="00F8585E">
        <w:rPr>
          <w:rFonts w:ascii="Times New Roman" w:hAnsi="Times New Roman" w:cs="Times New Roman"/>
          <w:sz w:val="28"/>
          <w:szCs w:val="28"/>
          <w:lang w:val="uk-UA"/>
        </w:rPr>
        <w:t>представлена</w:t>
      </w:r>
      <w:r w:rsidRPr="00F8585E">
        <w:rPr>
          <w:rFonts w:ascii="Times New Roman" w:hAnsi="Times New Roman" w:cs="Times New Roman"/>
          <w:sz w:val="28"/>
          <w:szCs w:val="28"/>
          <w:lang w:val="uk-UA"/>
        </w:rPr>
        <w:t xml:space="preserve"> нижче на рис. 3.2.</w:t>
      </w:r>
    </w:p>
    <w:p w:rsidR="0083370E" w:rsidRPr="00F8585E" w:rsidRDefault="0083370E" w:rsidP="00836606">
      <w:pPr>
        <w:pStyle w:val="muitypography-root"/>
        <w:spacing w:before="0" w:beforeAutospacing="0" w:after="0" w:afterAutospacing="0" w:line="360" w:lineRule="auto"/>
        <w:jc w:val="both"/>
        <w:rPr>
          <w:sz w:val="28"/>
          <w:szCs w:val="28"/>
        </w:rPr>
      </w:pPr>
      <w:r w:rsidRPr="00F8585E">
        <w:rPr>
          <w:b/>
          <w:noProof/>
          <w:sz w:val="28"/>
          <w:szCs w:val="28"/>
          <w:lang w:val="ru-RU" w:eastAsia="ru-RU"/>
        </w:rPr>
        <w:drawing>
          <wp:inline distT="0" distB="0" distL="0" distR="0" wp14:anchorId="0102EB91" wp14:editId="6813DAB6">
            <wp:extent cx="6117771" cy="2656114"/>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3.1. Індекс державних витрат України за 2000-2022 роки </w:t>
      </w:r>
    </w:p>
    <w:p w:rsidR="0083370E" w:rsidRPr="00F8585E" w:rsidRDefault="0083370E"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872460">
        <w:rPr>
          <w:rFonts w:ascii="Times New Roman" w:hAnsi="Times New Roman" w:cs="Times New Roman"/>
          <w:sz w:val="28"/>
          <w:szCs w:val="28"/>
          <w:lang w:val="uk-UA"/>
        </w:rPr>
        <w:t>: складено автором на основі [17</w:t>
      </w:r>
      <w:r w:rsidRPr="00F8585E">
        <w:rPr>
          <w:rFonts w:ascii="Times New Roman" w:hAnsi="Times New Roman" w:cs="Times New Roman"/>
          <w:sz w:val="28"/>
          <w:szCs w:val="28"/>
          <w:lang w:val="uk-UA"/>
        </w:rPr>
        <w:t>].</w:t>
      </w:r>
    </w:p>
    <w:p w:rsidR="0083370E" w:rsidRPr="00F8585E" w:rsidRDefault="0083370E" w:rsidP="00836606">
      <w:pPr>
        <w:pStyle w:val="muitypography-root"/>
        <w:spacing w:before="0" w:beforeAutospacing="0" w:after="0" w:afterAutospacing="0" w:line="360" w:lineRule="auto"/>
        <w:jc w:val="both"/>
        <w:rPr>
          <w:sz w:val="28"/>
          <w:szCs w:val="28"/>
        </w:rPr>
      </w:pPr>
    </w:p>
    <w:p w:rsidR="007C5246" w:rsidRDefault="0083370E" w:rsidP="007C5246">
      <w:pPr>
        <w:pStyle w:val="muitypography-root"/>
        <w:spacing w:before="0" w:beforeAutospacing="0" w:after="0" w:afterAutospacing="0" w:line="360" w:lineRule="auto"/>
        <w:jc w:val="both"/>
        <w:rPr>
          <w:sz w:val="28"/>
          <w:szCs w:val="28"/>
        </w:rPr>
      </w:pPr>
      <w:r w:rsidRPr="00F8585E">
        <w:rPr>
          <w:sz w:val="28"/>
          <w:szCs w:val="28"/>
        </w:rPr>
        <w:lastRenderedPageBreak/>
        <w:tab/>
        <w:t xml:space="preserve">Після аналізу динаміки індексу </w:t>
      </w:r>
      <w:r w:rsidR="00E737CB" w:rsidRPr="00F8585E">
        <w:rPr>
          <w:sz w:val="28"/>
          <w:szCs w:val="28"/>
        </w:rPr>
        <w:t>державних витрат</w:t>
      </w:r>
      <w:r w:rsidRPr="00F8585E">
        <w:rPr>
          <w:sz w:val="28"/>
          <w:szCs w:val="28"/>
        </w:rPr>
        <w:t xml:space="preserve"> можна зробити наступні висновки. З 2000 року по 2005 рік індекс невпинно зростав, надалі</w:t>
      </w:r>
      <w:r w:rsidR="007361E0" w:rsidRPr="00F8585E">
        <w:rPr>
          <w:sz w:val="28"/>
          <w:szCs w:val="28"/>
        </w:rPr>
        <w:t xml:space="preserve"> почав спадати до 2009 року, надалі відбуваються незначні коливання зі зростанням у 2014 році, після якого індекс знов йде на спад, проте з 2015 року індекс демонстрував тенденцію до зростання, що може свідчити про збільшення урядових витрат у відповідь на тривалі виклики, пов'язані з безпекою, економічною стабільністю та необхідністю реформ. Проте з 2021 року індекс став знов спадати (див. рис. 3.2).</w:t>
      </w:r>
    </w:p>
    <w:p w:rsidR="007C5246" w:rsidRPr="00F8585E" w:rsidRDefault="007C5246" w:rsidP="007C5246">
      <w:pPr>
        <w:pStyle w:val="muitypography-root"/>
        <w:spacing w:before="0" w:beforeAutospacing="0" w:after="0" w:afterAutospacing="0" w:line="360" w:lineRule="auto"/>
        <w:jc w:val="both"/>
        <w:rPr>
          <w:sz w:val="28"/>
          <w:szCs w:val="28"/>
        </w:rPr>
      </w:pPr>
      <w:r>
        <w:rPr>
          <w:sz w:val="28"/>
          <w:szCs w:val="28"/>
        </w:rPr>
        <w:tab/>
        <w:t xml:space="preserve">Важливо також робити акцент на тому, </w:t>
      </w:r>
      <w:r w:rsidRPr="007C5246">
        <w:rPr>
          <w:sz w:val="28"/>
          <w:szCs w:val="28"/>
        </w:rPr>
        <w:t>які саме державні витрати (наприклад, інфраструктурні проекти, соціальні програми тощо) мають найбільший вплив на м</w:t>
      </w:r>
      <w:r w:rsidR="001813A2">
        <w:rPr>
          <w:sz w:val="28"/>
          <w:szCs w:val="28"/>
        </w:rPr>
        <w:t xml:space="preserve">іжнародну інвестиційну позицію. </w:t>
      </w:r>
      <w:r w:rsidRPr="007C5246">
        <w:rPr>
          <w:sz w:val="28"/>
          <w:szCs w:val="28"/>
        </w:rPr>
        <w:t xml:space="preserve">Оптимізація державних витрат </w:t>
      </w:r>
      <w:r w:rsidR="001813A2">
        <w:rPr>
          <w:sz w:val="28"/>
          <w:szCs w:val="28"/>
        </w:rPr>
        <w:t xml:space="preserve">(як значимого фактору впливу, виявленого під час моделювання) </w:t>
      </w:r>
      <w:r w:rsidRPr="007C5246">
        <w:rPr>
          <w:sz w:val="28"/>
          <w:szCs w:val="28"/>
        </w:rPr>
        <w:t>з акцентом на ті, що мають найбільший позитивний вплив на економічний розвиток і приваблюють інвестиції, такі як розвиток інфраструктури та підтримка і</w:t>
      </w:r>
      <w:r w:rsidR="001813A2">
        <w:rPr>
          <w:sz w:val="28"/>
          <w:szCs w:val="28"/>
        </w:rPr>
        <w:t>нновацій, може допомогти розвивати транснаціональну діяльність в Україні.</w:t>
      </w:r>
    </w:p>
    <w:p w:rsidR="007361E0" w:rsidRPr="00F8585E" w:rsidRDefault="007361E0" w:rsidP="00836606">
      <w:pPr>
        <w:spacing w:after="0" w:line="360" w:lineRule="auto"/>
        <w:jc w:val="both"/>
        <w:rPr>
          <w:rFonts w:ascii="Times New Roman" w:hAnsi="Times New Roman" w:cs="Times New Roman"/>
          <w:sz w:val="28"/>
          <w:szCs w:val="28"/>
          <w:lang w:val="uk-UA"/>
        </w:rPr>
      </w:pPr>
      <w:r w:rsidRPr="00F8585E">
        <w:rPr>
          <w:sz w:val="28"/>
          <w:szCs w:val="28"/>
          <w:lang w:val="uk-UA"/>
        </w:rPr>
        <w:tab/>
      </w:r>
      <w:r w:rsidR="0019259A" w:rsidRPr="00F8585E">
        <w:rPr>
          <w:rFonts w:ascii="Times New Roman" w:eastAsia="Times New Roman" w:hAnsi="Times New Roman" w:cs="Times New Roman"/>
          <w:sz w:val="28"/>
          <w:szCs w:val="28"/>
          <w:lang w:val="uk-UA" w:eastAsia="uk-UA"/>
        </w:rPr>
        <w:t xml:space="preserve">Індекс монетарної свободи оцінює стабільність цін та ступінь державного втручання у формування цін. </w:t>
      </w:r>
      <w:r w:rsidRPr="00F8585E">
        <w:rPr>
          <w:rFonts w:ascii="Times New Roman" w:hAnsi="Times New Roman" w:cs="Times New Roman"/>
          <w:sz w:val="28"/>
          <w:szCs w:val="28"/>
          <w:lang w:val="uk-UA"/>
        </w:rPr>
        <w:t xml:space="preserve">Динаміка індексу </w:t>
      </w:r>
      <w:r w:rsidR="00E737CB" w:rsidRPr="00F8585E">
        <w:rPr>
          <w:rFonts w:ascii="Times New Roman" w:hAnsi="Times New Roman" w:cs="Times New Roman"/>
          <w:sz w:val="28"/>
          <w:szCs w:val="28"/>
          <w:lang w:val="uk-UA"/>
        </w:rPr>
        <w:t>монетарної свободи</w:t>
      </w:r>
      <w:r w:rsidRPr="00F8585E">
        <w:rPr>
          <w:rFonts w:ascii="Times New Roman" w:hAnsi="Times New Roman" w:cs="Times New Roman"/>
          <w:sz w:val="28"/>
          <w:szCs w:val="28"/>
          <w:lang w:val="uk-UA"/>
        </w:rPr>
        <w:t xml:space="preserve"> України за 2000-2022 роки </w:t>
      </w:r>
      <w:r w:rsidR="00E737CB" w:rsidRPr="00F8585E">
        <w:rPr>
          <w:rFonts w:ascii="Times New Roman" w:hAnsi="Times New Roman" w:cs="Times New Roman"/>
          <w:sz w:val="28"/>
          <w:szCs w:val="28"/>
          <w:lang w:val="uk-UA"/>
        </w:rPr>
        <w:t>представлена</w:t>
      </w:r>
      <w:r w:rsidRPr="00F8585E">
        <w:rPr>
          <w:rFonts w:ascii="Times New Roman" w:hAnsi="Times New Roman" w:cs="Times New Roman"/>
          <w:sz w:val="28"/>
          <w:szCs w:val="28"/>
          <w:lang w:val="uk-UA"/>
        </w:rPr>
        <w:t xml:space="preserve"> нижче на рис. 3.3.</w:t>
      </w:r>
    </w:p>
    <w:p w:rsidR="007361E0" w:rsidRPr="00F8585E" w:rsidRDefault="007361E0" w:rsidP="00836606">
      <w:pPr>
        <w:pStyle w:val="muitypography-root"/>
        <w:spacing w:before="0" w:beforeAutospacing="0" w:after="0" w:afterAutospacing="0" w:line="360" w:lineRule="auto"/>
        <w:jc w:val="both"/>
        <w:rPr>
          <w:sz w:val="28"/>
          <w:szCs w:val="28"/>
        </w:rPr>
      </w:pPr>
      <w:r w:rsidRPr="00F8585E">
        <w:rPr>
          <w:b/>
          <w:noProof/>
          <w:sz w:val="28"/>
          <w:szCs w:val="28"/>
          <w:lang w:val="ru-RU" w:eastAsia="ru-RU"/>
        </w:rPr>
        <w:drawing>
          <wp:inline distT="0" distB="0" distL="0" distR="0" wp14:anchorId="5CBA6B6E" wp14:editId="76B8552A">
            <wp:extent cx="6117771" cy="2481943"/>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361E0" w:rsidRPr="00F8585E" w:rsidRDefault="007361E0"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 xml:space="preserve">Рис. </w:t>
      </w:r>
      <w:r w:rsidR="00E737CB" w:rsidRPr="00F8585E">
        <w:rPr>
          <w:rFonts w:ascii="Times New Roman" w:hAnsi="Times New Roman" w:cs="Times New Roman"/>
          <w:sz w:val="28"/>
          <w:szCs w:val="28"/>
          <w:lang w:val="uk-UA"/>
        </w:rPr>
        <w:t>3.3</w:t>
      </w:r>
      <w:r w:rsidRPr="00F8585E">
        <w:rPr>
          <w:rFonts w:ascii="Times New Roman" w:hAnsi="Times New Roman" w:cs="Times New Roman"/>
          <w:sz w:val="28"/>
          <w:szCs w:val="28"/>
          <w:lang w:val="uk-UA"/>
        </w:rPr>
        <w:t xml:space="preserve">. Індекс монетарної свободи України за 2000-2022 роки </w:t>
      </w:r>
    </w:p>
    <w:p w:rsidR="007361E0" w:rsidRPr="00F8585E" w:rsidRDefault="007361E0"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 склад</w:t>
      </w:r>
      <w:r w:rsidR="00872460">
        <w:rPr>
          <w:rFonts w:ascii="Times New Roman" w:hAnsi="Times New Roman" w:cs="Times New Roman"/>
          <w:sz w:val="28"/>
          <w:szCs w:val="28"/>
          <w:lang w:val="uk-UA"/>
        </w:rPr>
        <w:t>ено автором на основі [17</w:t>
      </w:r>
      <w:r w:rsidRPr="00F8585E">
        <w:rPr>
          <w:rFonts w:ascii="Times New Roman" w:hAnsi="Times New Roman" w:cs="Times New Roman"/>
          <w:sz w:val="28"/>
          <w:szCs w:val="28"/>
          <w:lang w:val="uk-UA"/>
        </w:rPr>
        <w:t>].</w:t>
      </w:r>
    </w:p>
    <w:p w:rsidR="007361E0" w:rsidRPr="00F8585E" w:rsidRDefault="007361E0" w:rsidP="00836606">
      <w:pPr>
        <w:pStyle w:val="muitypography-root"/>
        <w:spacing w:before="0" w:beforeAutospacing="0" w:after="0" w:afterAutospacing="0" w:line="360" w:lineRule="auto"/>
        <w:jc w:val="both"/>
        <w:rPr>
          <w:sz w:val="28"/>
          <w:szCs w:val="28"/>
        </w:rPr>
      </w:pPr>
    </w:p>
    <w:p w:rsidR="001813A2" w:rsidRDefault="007361E0" w:rsidP="001813A2">
      <w:pPr>
        <w:pStyle w:val="muitypography-root"/>
        <w:spacing w:before="0" w:beforeAutospacing="0" w:after="0" w:afterAutospacing="0" w:line="360" w:lineRule="auto"/>
        <w:jc w:val="both"/>
        <w:rPr>
          <w:sz w:val="28"/>
          <w:szCs w:val="28"/>
        </w:rPr>
      </w:pPr>
      <w:r w:rsidRPr="00F8585E">
        <w:rPr>
          <w:sz w:val="28"/>
          <w:szCs w:val="28"/>
        </w:rPr>
        <w:tab/>
        <w:t xml:space="preserve">Після аналізу динаміки </w:t>
      </w:r>
      <w:r w:rsidR="00E737CB" w:rsidRPr="00F8585E">
        <w:rPr>
          <w:sz w:val="28"/>
          <w:szCs w:val="28"/>
        </w:rPr>
        <w:t xml:space="preserve">індексу монетарної свободи </w:t>
      </w:r>
      <w:r w:rsidRPr="00F8585E">
        <w:rPr>
          <w:sz w:val="28"/>
          <w:szCs w:val="28"/>
        </w:rPr>
        <w:t>можна зробити наступні висновки. З 2000 по 20</w:t>
      </w:r>
      <w:r w:rsidR="00E737CB" w:rsidRPr="00F8585E">
        <w:rPr>
          <w:sz w:val="28"/>
          <w:szCs w:val="28"/>
        </w:rPr>
        <w:t>08</w:t>
      </w:r>
      <w:r w:rsidR="0019259A" w:rsidRPr="00F8585E">
        <w:rPr>
          <w:sz w:val="28"/>
          <w:szCs w:val="28"/>
        </w:rPr>
        <w:t xml:space="preserve"> роки індекс </w:t>
      </w:r>
      <w:r w:rsidR="00E737CB" w:rsidRPr="00F8585E">
        <w:rPr>
          <w:sz w:val="28"/>
          <w:szCs w:val="28"/>
        </w:rPr>
        <w:t xml:space="preserve">має волатильну динаміку зі спадом після 2008 року, </w:t>
      </w:r>
      <w:r w:rsidR="0019259A" w:rsidRPr="00F8585E">
        <w:rPr>
          <w:sz w:val="28"/>
          <w:szCs w:val="28"/>
        </w:rPr>
        <w:t>що співпадає з глобальною фінансовою кризою та екон</w:t>
      </w:r>
      <w:r w:rsidR="00E737CB" w:rsidRPr="00F8585E">
        <w:rPr>
          <w:sz w:val="28"/>
          <w:szCs w:val="28"/>
        </w:rPr>
        <w:t xml:space="preserve">омічною нестабільністю в країні. </w:t>
      </w:r>
      <w:r w:rsidR="0019259A" w:rsidRPr="00F8585E">
        <w:rPr>
          <w:sz w:val="28"/>
          <w:szCs w:val="28"/>
        </w:rPr>
        <w:t>Починаючи з 2010 року, індекс поступово зростає, що може бути наслідком стабілізації економіки та поліпшення монетарної політики.</w:t>
      </w:r>
      <w:r w:rsidR="00E737CB" w:rsidRPr="00F8585E">
        <w:rPr>
          <w:sz w:val="28"/>
          <w:szCs w:val="28"/>
        </w:rPr>
        <w:t xml:space="preserve"> З 2014 року індекс починає знижуватись та спадає до 2017 року, після чого спостерігається хвилеподібна тенденція зростання індексу (див. рис. 3.3).</w:t>
      </w:r>
    </w:p>
    <w:p w:rsidR="001813A2" w:rsidRPr="00F8585E" w:rsidRDefault="001813A2" w:rsidP="001813A2">
      <w:pPr>
        <w:pStyle w:val="muitypography-root"/>
        <w:spacing w:before="0" w:beforeAutospacing="0" w:after="0" w:afterAutospacing="0" w:line="360" w:lineRule="auto"/>
        <w:jc w:val="both"/>
        <w:rPr>
          <w:sz w:val="28"/>
          <w:szCs w:val="28"/>
        </w:rPr>
      </w:pPr>
      <w:r>
        <w:rPr>
          <w:sz w:val="28"/>
          <w:szCs w:val="28"/>
        </w:rPr>
        <w:tab/>
      </w:r>
      <w:r w:rsidRPr="001813A2">
        <w:rPr>
          <w:sz w:val="28"/>
          <w:szCs w:val="28"/>
        </w:rPr>
        <w:t>Варто дослідити, чи дійсно збільшення монетарної свободи призводить до валютної нестабільності або недостатньо</w:t>
      </w:r>
      <w:r>
        <w:rPr>
          <w:sz w:val="28"/>
          <w:szCs w:val="28"/>
        </w:rPr>
        <w:t>ї регуляції фінансового сектору, та як наслідок погіршує міжнародну інвестиційну позицію.</w:t>
      </w:r>
      <w:r w:rsidRPr="001813A2">
        <w:rPr>
          <w:sz w:val="28"/>
          <w:szCs w:val="28"/>
        </w:rPr>
        <w:t xml:space="preserve"> Можливо, існують інші фактори, які </w:t>
      </w:r>
      <w:r>
        <w:rPr>
          <w:sz w:val="28"/>
          <w:szCs w:val="28"/>
        </w:rPr>
        <w:t xml:space="preserve">впливають на цей взаємозв'язок. </w:t>
      </w:r>
      <w:r w:rsidRPr="001813A2">
        <w:rPr>
          <w:sz w:val="28"/>
          <w:szCs w:val="28"/>
        </w:rPr>
        <w:t>Розробка збалансованої монетарної політики, яка забезпечує стабільність валюти та ефективне регулювання фінансового сектору, що сприятиме створенню ста</w:t>
      </w:r>
      <w:r>
        <w:rPr>
          <w:sz w:val="28"/>
          <w:szCs w:val="28"/>
        </w:rPr>
        <w:t>більного інвестиційного клімату, ‒ це можливий механізм вдосконалення.</w:t>
      </w:r>
    </w:p>
    <w:p w:rsidR="00E737CB" w:rsidRPr="00F8585E" w:rsidRDefault="00E737CB" w:rsidP="00836606">
      <w:pPr>
        <w:spacing w:after="0" w:line="360" w:lineRule="auto"/>
        <w:jc w:val="both"/>
        <w:rPr>
          <w:rFonts w:ascii="Times New Roman" w:hAnsi="Times New Roman" w:cs="Times New Roman"/>
          <w:sz w:val="28"/>
          <w:szCs w:val="28"/>
          <w:lang w:val="uk-UA"/>
        </w:rPr>
      </w:pPr>
      <w:r w:rsidRPr="00F8585E">
        <w:rPr>
          <w:bCs/>
          <w:sz w:val="28"/>
          <w:szCs w:val="28"/>
          <w:lang w:val="uk-UA"/>
        </w:rPr>
        <w:tab/>
      </w:r>
      <w:r w:rsidR="0019259A" w:rsidRPr="00F8585E">
        <w:rPr>
          <w:rFonts w:ascii="Times New Roman" w:eastAsia="Times New Roman" w:hAnsi="Times New Roman" w:cs="Times New Roman"/>
          <w:sz w:val="28"/>
          <w:szCs w:val="28"/>
          <w:lang w:val="uk-UA" w:eastAsia="uk-UA"/>
        </w:rPr>
        <w:t xml:space="preserve">Рівень безробіття є одним з ключових соціально-економічних показників, що відображає стан ринку праці. </w:t>
      </w:r>
      <w:r w:rsidRPr="00F8585E">
        <w:rPr>
          <w:rFonts w:ascii="Times New Roman" w:hAnsi="Times New Roman" w:cs="Times New Roman"/>
          <w:sz w:val="28"/>
          <w:szCs w:val="28"/>
          <w:lang w:val="uk-UA"/>
        </w:rPr>
        <w:t>Динаміка рівня безробіття України за 2000-2022 роки представлена нижче на рис. 3.3.</w:t>
      </w:r>
    </w:p>
    <w:p w:rsidR="00E737CB" w:rsidRPr="00F8585E" w:rsidRDefault="00E737CB" w:rsidP="00836606">
      <w:pPr>
        <w:spacing w:after="0" w:line="360" w:lineRule="auto"/>
        <w:jc w:val="both"/>
        <w:rPr>
          <w:rFonts w:ascii="Times New Roman" w:eastAsia="Times New Roman" w:hAnsi="Times New Roman" w:cs="Times New Roman"/>
          <w:sz w:val="28"/>
          <w:szCs w:val="28"/>
          <w:lang w:val="uk-UA" w:eastAsia="uk-UA"/>
        </w:rPr>
      </w:pPr>
      <w:r w:rsidRPr="00F8585E">
        <w:rPr>
          <w:b/>
          <w:noProof/>
          <w:sz w:val="28"/>
          <w:szCs w:val="28"/>
          <w:lang w:eastAsia="ru-RU"/>
        </w:rPr>
        <w:drawing>
          <wp:inline distT="0" distB="0" distL="0" distR="0" wp14:anchorId="18A83647" wp14:editId="08370B9A">
            <wp:extent cx="6117771" cy="2481943"/>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737CB" w:rsidRPr="00F8585E" w:rsidRDefault="00E737C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Рис. 3.4. Рівень безробіття України за 2000-2022 роки, %</w:t>
      </w:r>
    </w:p>
    <w:p w:rsidR="00E737CB" w:rsidRPr="00F8585E" w:rsidRDefault="00E737CB"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w:t>
      </w:r>
      <w:r w:rsidR="00F83EEA" w:rsidRPr="00F8585E">
        <w:rPr>
          <w:rFonts w:ascii="Times New Roman" w:hAnsi="Times New Roman" w:cs="Times New Roman"/>
          <w:sz w:val="28"/>
          <w:szCs w:val="28"/>
          <w:lang w:val="uk-UA"/>
        </w:rPr>
        <w:t>о</w:t>
      </w:r>
      <w:r w:rsidR="00872460">
        <w:rPr>
          <w:rFonts w:ascii="Times New Roman" w:hAnsi="Times New Roman" w:cs="Times New Roman"/>
          <w:sz w:val="28"/>
          <w:szCs w:val="28"/>
          <w:lang w:val="uk-UA"/>
        </w:rPr>
        <w:t>: складено автором на основі [31; 32</w:t>
      </w:r>
      <w:r w:rsidRPr="00F8585E">
        <w:rPr>
          <w:rFonts w:ascii="Times New Roman" w:hAnsi="Times New Roman" w:cs="Times New Roman"/>
          <w:sz w:val="28"/>
          <w:szCs w:val="28"/>
          <w:lang w:val="uk-UA"/>
        </w:rPr>
        <w:t>].</w:t>
      </w:r>
    </w:p>
    <w:p w:rsidR="00E737CB" w:rsidRPr="00F8585E" w:rsidRDefault="00E737CB" w:rsidP="00836606">
      <w:pPr>
        <w:spacing w:after="0" w:line="360" w:lineRule="auto"/>
        <w:jc w:val="both"/>
        <w:rPr>
          <w:rFonts w:ascii="Times New Roman" w:eastAsia="Times New Roman" w:hAnsi="Times New Roman" w:cs="Times New Roman"/>
          <w:sz w:val="28"/>
          <w:szCs w:val="28"/>
          <w:lang w:val="uk-UA" w:eastAsia="uk-UA"/>
        </w:rPr>
      </w:pPr>
    </w:p>
    <w:p w:rsidR="00E737CB" w:rsidRDefault="00E737CB" w:rsidP="00836606">
      <w:pPr>
        <w:spacing w:after="0" w:line="360" w:lineRule="auto"/>
        <w:jc w:val="both"/>
        <w:rPr>
          <w:rFonts w:ascii="Times New Roman" w:eastAsia="Times New Roman" w:hAnsi="Times New Roman" w:cs="Times New Roman"/>
          <w:sz w:val="28"/>
          <w:szCs w:val="28"/>
          <w:lang w:val="uk-UA" w:eastAsia="uk-UA"/>
        </w:rPr>
      </w:pPr>
      <w:r w:rsidRPr="00F8585E">
        <w:rPr>
          <w:rFonts w:ascii="Times New Roman" w:eastAsia="Times New Roman" w:hAnsi="Times New Roman" w:cs="Times New Roman"/>
          <w:sz w:val="28"/>
          <w:szCs w:val="28"/>
          <w:lang w:val="uk-UA" w:eastAsia="uk-UA"/>
        </w:rPr>
        <w:tab/>
        <w:t xml:space="preserve">Після аналізу динаміки рівня безробіття можна зробити наступні висновки. </w:t>
      </w:r>
      <w:r w:rsidR="0019259A" w:rsidRPr="00F8585E">
        <w:rPr>
          <w:rFonts w:ascii="Times New Roman" w:eastAsia="Times New Roman" w:hAnsi="Times New Roman" w:cs="Times New Roman"/>
          <w:sz w:val="28"/>
          <w:szCs w:val="28"/>
          <w:lang w:val="uk-UA" w:eastAsia="uk-UA"/>
        </w:rPr>
        <w:t xml:space="preserve">В період з 2000 </w:t>
      </w:r>
      <w:r w:rsidRPr="00F8585E">
        <w:rPr>
          <w:rFonts w:ascii="Times New Roman" w:eastAsia="Times New Roman" w:hAnsi="Times New Roman" w:cs="Times New Roman"/>
          <w:sz w:val="28"/>
          <w:szCs w:val="28"/>
          <w:lang w:val="uk-UA" w:eastAsia="uk-UA"/>
        </w:rPr>
        <w:t>року по 2008 рік</w:t>
      </w:r>
      <w:r w:rsidR="0019259A" w:rsidRPr="00F8585E">
        <w:rPr>
          <w:rFonts w:ascii="Times New Roman" w:eastAsia="Times New Roman" w:hAnsi="Times New Roman" w:cs="Times New Roman"/>
          <w:sz w:val="28"/>
          <w:szCs w:val="28"/>
          <w:lang w:val="uk-UA" w:eastAsia="uk-UA"/>
        </w:rPr>
        <w:t xml:space="preserve"> рівень безробіття поступово знижувався, що свідчить про економічне зростання та створення нових робочих місць.</w:t>
      </w:r>
      <w:r w:rsidRPr="00F8585E">
        <w:rPr>
          <w:rFonts w:ascii="Times New Roman" w:eastAsia="Times New Roman" w:hAnsi="Times New Roman" w:cs="Times New Roman"/>
          <w:sz w:val="28"/>
          <w:szCs w:val="28"/>
          <w:lang w:val="uk-UA" w:eastAsia="uk-UA"/>
        </w:rPr>
        <w:t xml:space="preserve"> Після 2008 року </w:t>
      </w:r>
      <w:r w:rsidR="0019259A" w:rsidRPr="00F8585E">
        <w:rPr>
          <w:rFonts w:ascii="Times New Roman" w:eastAsia="Times New Roman" w:hAnsi="Times New Roman" w:cs="Times New Roman"/>
          <w:sz w:val="28"/>
          <w:szCs w:val="28"/>
          <w:lang w:val="uk-UA" w:eastAsia="uk-UA"/>
        </w:rPr>
        <w:t>спостерігається різкий стрибок безробіття, що співпадає з наслідк</w:t>
      </w:r>
      <w:r w:rsidRPr="00F8585E">
        <w:rPr>
          <w:rFonts w:ascii="Times New Roman" w:eastAsia="Times New Roman" w:hAnsi="Times New Roman" w:cs="Times New Roman"/>
          <w:sz w:val="28"/>
          <w:szCs w:val="28"/>
          <w:lang w:val="uk-UA" w:eastAsia="uk-UA"/>
        </w:rPr>
        <w:t xml:space="preserve">ами глобальної фінансової кризи. </w:t>
      </w:r>
      <w:r w:rsidR="0019259A" w:rsidRPr="00F8585E">
        <w:rPr>
          <w:rFonts w:ascii="Times New Roman" w:eastAsia="Times New Roman" w:hAnsi="Times New Roman" w:cs="Times New Roman"/>
          <w:sz w:val="28"/>
          <w:szCs w:val="28"/>
          <w:lang w:val="uk-UA" w:eastAsia="uk-UA"/>
        </w:rPr>
        <w:t>Після 2010 року рівень безробіття знову починає знижуватися, хоча і зберігається на відносно високому рівні.</w:t>
      </w:r>
      <w:r w:rsidRPr="00F8585E">
        <w:rPr>
          <w:rFonts w:ascii="Times New Roman" w:eastAsia="Times New Roman" w:hAnsi="Times New Roman" w:cs="Times New Roman"/>
          <w:sz w:val="28"/>
          <w:szCs w:val="28"/>
          <w:lang w:val="uk-UA" w:eastAsia="uk-UA"/>
        </w:rPr>
        <w:t xml:space="preserve"> </w:t>
      </w:r>
      <w:r w:rsidR="0019259A" w:rsidRPr="00F8585E">
        <w:rPr>
          <w:rFonts w:ascii="Times New Roman" w:eastAsia="Times New Roman" w:hAnsi="Times New Roman" w:cs="Times New Roman"/>
          <w:sz w:val="28"/>
          <w:szCs w:val="28"/>
          <w:lang w:val="uk-UA" w:eastAsia="uk-UA"/>
        </w:rPr>
        <w:t>У 2014 році відбувся новий сплеск безробіття, пов'язаний з політичною та економічною кризою, а також військовими діями на сході країни.</w:t>
      </w:r>
      <w:r w:rsidRPr="00F8585E">
        <w:rPr>
          <w:rFonts w:ascii="Times New Roman" w:eastAsia="Times New Roman" w:hAnsi="Times New Roman" w:cs="Times New Roman"/>
          <w:sz w:val="28"/>
          <w:szCs w:val="28"/>
          <w:lang w:val="uk-UA" w:eastAsia="uk-UA"/>
        </w:rPr>
        <w:t xml:space="preserve"> Надалі рівень безробіття залишається майже на одному стабільному рівні зі зростанням під час пандемії COVID-19. У 2022 році рівень безробіття сягнув свого історичного піку (див. рис. 3.4), що напряму залежить від повномасштабного вторгнення на територію України.</w:t>
      </w:r>
    </w:p>
    <w:p w:rsidR="001813A2" w:rsidRPr="00F8585E" w:rsidRDefault="001813A2" w:rsidP="0083660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13A2">
        <w:rPr>
          <w:rFonts w:ascii="Times New Roman" w:hAnsi="Times New Roman" w:cs="Times New Roman"/>
          <w:sz w:val="28"/>
          <w:szCs w:val="28"/>
          <w:lang w:val="uk-UA"/>
        </w:rPr>
        <w:t xml:space="preserve">Для покращення ситуації з безробіттям, </w:t>
      </w:r>
      <w:r>
        <w:rPr>
          <w:rFonts w:ascii="Times New Roman" w:hAnsi="Times New Roman" w:cs="Times New Roman"/>
          <w:sz w:val="28"/>
          <w:szCs w:val="28"/>
          <w:lang w:val="uk-UA"/>
        </w:rPr>
        <w:t xml:space="preserve">для якої була встановлена пряма залежність з міжнародною інвестиційною позицією </w:t>
      </w:r>
      <w:r w:rsidRPr="001813A2">
        <w:rPr>
          <w:rFonts w:ascii="Times New Roman" w:hAnsi="Times New Roman" w:cs="Times New Roman"/>
          <w:sz w:val="28"/>
          <w:szCs w:val="28"/>
          <w:lang w:val="uk-UA"/>
        </w:rPr>
        <w:t>України, важливо розробити багатовекторну стратегію. Хоча високий рівень безробіття може знижувати витрати на працю і тимчасово підвищувати привабли</w:t>
      </w:r>
      <w:r>
        <w:rPr>
          <w:rFonts w:ascii="Times New Roman" w:hAnsi="Times New Roman" w:cs="Times New Roman"/>
          <w:sz w:val="28"/>
          <w:szCs w:val="28"/>
          <w:lang w:val="uk-UA"/>
        </w:rPr>
        <w:t xml:space="preserve">вість для деяких інвесторів, це, вочевидь, </w:t>
      </w:r>
      <w:r w:rsidRPr="001813A2">
        <w:rPr>
          <w:rFonts w:ascii="Times New Roman" w:hAnsi="Times New Roman" w:cs="Times New Roman"/>
          <w:sz w:val="28"/>
          <w:szCs w:val="28"/>
          <w:lang w:val="uk-UA"/>
        </w:rPr>
        <w:t xml:space="preserve">не є стійким рішенням для економічного зростання. </w:t>
      </w:r>
      <w:r w:rsidR="00F801C2">
        <w:rPr>
          <w:rFonts w:ascii="Times New Roman" w:hAnsi="Times New Roman" w:cs="Times New Roman"/>
          <w:sz w:val="28"/>
          <w:szCs w:val="28"/>
          <w:lang w:val="uk-UA"/>
        </w:rPr>
        <w:t>Стимулювання</w:t>
      </w:r>
      <w:r w:rsidRPr="001813A2">
        <w:rPr>
          <w:rFonts w:ascii="Times New Roman" w:hAnsi="Times New Roman" w:cs="Times New Roman"/>
          <w:sz w:val="28"/>
          <w:szCs w:val="28"/>
          <w:lang w:val="uk-UA"/>
        </w:rPr>
        <w:t xml:space="preserve"> створення нових робочих місць через підтримку малого та середнього бізнесу, розвиток інноваційних секторів економіки та залучення іноземних </w:t>
      </w:r>
      <w:r w:rsidR="00F801C2">
        <w:rPr>
          <w:rFonts w:ascii="Times New Roman" w:hAnsi="Times New Roman" w:cs="Times New Roman"/>
          <w:sz w:val="28"/>
          <w:szCs w:val="28"/>
          <w:lang w:val="uk-UA"/>
        </w:rPr>
        <w:t>інвестицій у виробничі проекти, зосередження</w:t>
      </w:r>
      <w:r w:rsidRPr="001813A2">
        <w:rPr>
          <w:rFonts w:ascii="Times New Roman" w:hAnsi="Times New Roman" w:cs="Times New Roman"/>
          <w:sz w:val="28"/>
          <w:szCs w:val="28"/>
          <w:lang w:val="uk-UA"/>
        </w:rPr>
        <w:t xml:space="preserve"> на підвищенні кваліфікації та перекваліфікації </w:t>
      </w:r>
      <w:r w:rsidR="00F801C2">
        <w:rPr>
          <w:rFonts w:ascii="Times New Roman" w:hAnsi="Times New Roman" w:cs="Times New Roman"/>
          <w:sz w:val="28"/>
          <w:szCs w:val="28"/>
          <w:lang w:val="uk-UA"/>
        </w:rPr>
        <w:t>через і</w:t>
      </w:r>
      <w:r w:rsidR="00F801C2" w:rsidRPr="001813A2">
        <w:rPr>
          <w:rFonts w:ascii="Times New Roman" w:hAnsi="Times New Roman" w:cs="Times New Roman"/>
          <w:sz w:val="28"/>
          <w:szCs w:val="28"/>
          <w:lang w:val="uk-UA"/>
        </w:rPr>
        <w:t xml:space="preserve">нвестиції в освіту та професійне навчання </w:t>
      </w:r>
      <w:r w:rsidRPr="001813A2">
        <w:rPr>
          <w:rFonts w:ascii="Times New Roman" w:hAnsi="Times New Roman" w:cs="Times New Roman"/>
          <w:sz w:val="28"/>
          <w:szCs w:val="28"/>
          <w:lang w:val="uk-UA"/>
        </w:rPr>
        <w:t>дозволить зменшити рівень безробіття та забезпечити ринок праці висококваліфікованими фахівцями. Крім того, державна підтримка програм тимчасової зайнятості та соціального захисту допоможе пом'якшити негативні наслідки безробіття для населення. Таким чином, зниження рівня безробіття через створення якісних робочих місць і підвищення кваліфікації робочої сили сприятиме сталому економічному зростанню та покращенню ін</w:t>
      </w:r>
      <w:r>
        <w:rPr>
          <w:rFonts w:ascii="Times New Roman" w:hAnsi="Times New Roman" w:cs="Times New Roman"/>
          <w:sz w:val="28"/>
          <w:szCs w:val="28"/>
          <w:lang w:val="uk-UA"/>
        </w:rPr>
        <w:t>вестиційного клімату в Україні.</w:t>
      </w:r>
    </w:p>
    <w:p w:rsidR="008A3686" w:rsidRPr="00F8585E" w:rsidRDefault="00E737CB" w:rsidP="00836606">
      <w:pPr>
        <w:spacing w:after="0" w:line="360" w:lineRule="auto"/>
        <w:jc w:val="both"/>
        <w:rPr>
          <w:rFonts w:ascii="Times New Roman" w:hAnsi="Times New Roman" w:cs="Times New Roman"/>
          <w:sz w:val="28"/>
          <w:szCs w:val="28"/>
          <w:lang w:val="uk-UA"/>
        </w:rPr>
      </w:pPr>
      <w:r w:rsidRPr="00F8585E">
        <w:rPr>
          <w:sz w:val="28"/>
          <w:szCs w:val="28"/>
          <w:lang w:val="uk-UA"/>
        </w:rPr>
        <w:lastRenderedPageBreak/>
        <w:tab/>
      </w:r>
      <w:r w:rsidR="0019259A" w:rsidRPr="00F8585E">
        <w:rPr>
          <w:rFonts w:ascii="Times New Roman" w:eastAsia="Times New Roman" w:hAnsi="Times New Roman" w:cs="Times New Roman"/>
          <w:sz w:val="28"/>
          <w:szCs w:val="28"/>
          <w:lang w:val="uk-UA" w:eastAsia="uk-UA"/>
        </w:rPr>
        <w:t xml:space="preserve">Зовнішній борг країни відображає її фінансову залежність від іноземних кредиторів. </w:t>
      </w:r>
      <w:r w:rsidR="008A3686" w:rsidRPr="00F8585E">
        <w:rPr>
          <w:rFonts w:ascii="Times New Roman" w:hAnsi="Times New Roman" w:cs="Times New Roman"/>
          <w:sz w:val="28"/>
          <w:szCs w:val="28"/>
          <w:lang w:val="uk-UA"/>
        </w:rPr>
        <w:t xml:space="preserve">Динаміка зовнішнього боргу України за 2000-2022 роки </w:t>
      </w:r>
      <w:r w:rsidR="001813A2">
        <w:rPr>
          <w:rFonts w:ascii="Times New Roman" w:hAnsi="Times New Roman" w:cs="Times New Roman"/>
          <w:sz w:val="28"/>
          <w:szCs w:val="28"/>
          <w:lang w:val="uk-UA"/>
        </w:rPr>
        <w:t>представлена нижче на рис. 3.5.</w:t>
      </w:r>
    </w:p>
    <w:p w:rsidR="008A3686" w:rsidRPr="00F8585E" w:rsidRDefault="008A3686" w:rsidP="00836606">
      <w:pPr>
        <w:spacing w:after="0" w:line="360" w:lineRule="auto"/>
        <w:jc w:val="both"/>
        <w:rPr>
          <w:rFonts w:ascii="Times New Roman" w:hAnsi="Times New Roman" w:cs="Times New Roman"/>
          <w:sz w:val="28"/>
          <w:szCs w:val="28"/>
          <w:lang w:val="uk-UA"/>
        </w:rPr>
      </w:pPr>
      <w:r w:rsidRPr="00F8585E">
        <w:rPr>
          <w:b/>
          <w:noProof/>
          <w:sz w:val="28"/>
          <w:szCs w:val="28"/>
          <w:lang w:eastAsia="ru-RU"/>
        </w:rPr>
        <w:drawing>
          <wp:inline distT="0" distB="0" distL="0" distR="0" wp14:anchorId="41E85630" wp14:editId="093F5592">
            <wp:extent cx="6121400" cy="21590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F8585E">
        <w:rPr>
          <w:rFonts w:ascii="Times New Roman" w:hAnsi="Times New Roman" w:cs="Times New Roman"/>
          <w:sz w:val="28"/>
          <w:szCs w:val="28"/>
          <w:lang w:val="uk-UA"/>
        </w:rPr>
        <w:t xml:space="preserve"> Рис. 3.5. </w:t>
      </w:r>
      <w:r w:rsidRPr="00F8585E">
        <w:rPr>
          <w:rFonts w:ascii="Times New Roman" w:eastAsia="Times New Roman" w:hAnsi="Times New Roman" w:cs="Times New Roman"/>
          <w:sz w:val="28"/>
          <w:szCs w:val="28"/>
          <w:lang w:val="uk-UA" w:eastAsia="uk-UA"/>
        </w:rPr>
        <w:t xml:space="preserve">Зовнішній борг </w:t>
      </w:r>
      <w:r w:rsidRPr="00F8585E">
        <w:rPr>
          <w:rFonts w:ascii="Times New Roman" w:hAnsi="Times New Roman" w:cs="Times New Roman"/>
          <w:sz w:val="28"/>
          <w:szCs w:val="28"/>
          <w:lang w:val="uk-UA"/>
        </w:rPr>
        <w:t>України за 2000-2022 роки, млрд. дол. США</w:t>
      </w:r>
    </w:p>
    <w:p w:rsidR="008A3686" w:rsidRPr="00F8585E" w:rsidRDefault="008A3686" w:rsidP="00836606">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w:t>
      </w:r>
      <w:r w:rsidR="00F83EEA" w:rsidRPr="00F8585E">
        <w:rPr>
          <w:rFonts w:ascii="Times New Roman" w:hAnsi="Times New Roman" w:cs="Times New Roman"/>
          <w:sz w:val="28"/>
          <w:szCs w:val="28"/>
          <w:lang w:val="uk-UA"/>
        </w:rPr>
        <w:t>о: складено автором на основі [29</w:t>
      </w:r>
      <w:r w:rsidRPr="00F8585E">
        <w:rPr>
          <w:rFonts w:ascii="Times New Roman" w:hAnsi="Times New Roman" w:cs="Times New Roman"/>
          <w:sz w:val="28"/>
          <w:szCs w:val="28"/>
          <w:lang w:val="uk-UA"/>
        </w:rPr>
        <w:t>].</w:t>
      </w:r>
    </w:p>
    <w:p w:rsidR="008A3686" w:rsidRPr="00F8585E" w:rsidRDefault="008A3686" w:rsidP="00836606">
      <w:pPr>
        <w:spacing w:after="0" w:line="360" w:lineRule="auto"/>
        <w:jc w:val="both"/>
        <w:rPr>
          <w:rFonts w:ascii="Times New Roman" w:hAnsi="Times New Roman" w:cs="Times New Roman"/>
          <w:sz w:val="28"/>
          <w:szCs w:val="28"/>
          <w:lang w:val="uk-UA"/>
        </w:rPr>
      </w:pPr>
    </w:p>
    <w:p w:rsidR="0019259A" w:rsidRDefault="008A3686" w:rsidP="00836606">
      <w:pPr>
        <w:spacing w:after="0" w:line="360" w:lineRule="auto"/>
        <w:jc w:val="both"/>
        <w:rPr>
          <w:rFonts w:ascii="Times New Roman" w:eastAsia="Times New Roman" w:hAnsi="Times New Roman" w:cs="Times New Roman"/>
          <w:sz w:val="28"/>
          <w:szCs w:val="28"/>
          <w:lang w:val="uk-UA" w:eastAsia="uk-UA"/>
        </w:rPr>
      </w:pPr>
      <w:r w:rsidRPr="00F8585E">
        <w:rPr>
          <w:rFonts w:ascii="Times New Roman" w:eastAsia="Times New Roman" w:hAnsi="Times New Roman" w:cs="Times New Roman"/>
          <w:sz w:val="28"/>
          <w:szCs w:val="28"/>
          <w:lang w:val="uk-UA" w:eastAsia="uk-UA"/>
        </w:rPr>
        <w:tab/>
        <w:t xml:space="preserve">Після аналізу динаміки зовнішнього боргу можна зробити наступні висновки. </w:t>
      </w:r>
      <w:r w:rsidR="0019259A" w:rsidRPr="00F8585E">
        <w:rPr>
          <w:rFonts w:ascii="Times New Roman" w:eastAsia="Times New Roman" w:hAnsi="Times New Roman" w:cs="Times New Roman"/>
          <w:sz w:val="28"/>
          <w:szCs w:val="28"/>
          <w:lang w:val="uk-UA" w:eastAsia="uk-UA"/>
        </w:rPr>
        <w:t xml:space="preserve">З 2000 </w:t>
      </w:r>
      <w:r w:rsidRPr="00F8585E">
        <w:rPr>
          <w:rFonts w:ascii="Times New Roman" w:eastAsia="Times New Roman" w:hAnsi="Times New Roman" w:cs="Times New Roman"/>
          <w:sz w:val="28"/>
          <w:szCs w:val="28"/>
          <w:lang w:val="uk-UA" w:eastAsia="uk-UA"/>
        </w:rPr>
        <w:t>року по 2013 рік</w:t>
      </w:r>
      <w:r w:rsidR="0019259A" w:rsidRPr="00F8585E">
        <w:rPr>
          <w:rFonts w:ascii="Times New Roman" w:eastAsia="Times New Roman" w:hAnsi="Times New Roman" w:cs="Times New Roman"/>
          <w:sz w:val="28"/>
          <w:szCs w:val="28"/>
          <w:lang w:val="uk-UA" w:eastAsia="uk-UA"/>
        </w:rPr>
        <w:t xml:space="preserve"> зовнішній борг </w:t>
      </w:r>
      <w:r w:rsidRPr="00F8585E">
        <w:rPr>
          <w:rFonts w:ascii="Times New Roman" w:eastAsia="Times New Roman" w:hAnsi="Times New Roman" w:cs="Times New Roman"/>
          <w:sz w:val="28"/>
          <w:szCs w:val="28"/>
          <w:lang w:val="uk-UA" w:eastAsia="uk-UA"/>
        </w:rPr>
        <w:t xml:space="preserve">поступово зростав, </w:t>
      </w:r>
      <w:r w:rsidR="0019259A" w:rsidRPr="00F8585E">
        <w:rPr>
          <w:rFonts w:ascii="Times New Roman" w:eastAsia="Times New Roman" w:hAnsi="Times New Roman" w:cs="Times New Roman"/>
          <w:sz w:val="28"/>
          <w:szCs w:val="28"/>
          <w:lang w:val="uk-UA" w:eastAsia="uk-UA"/>
        </w:rPr>
        <w:t>досягнувши піку в 2013</w:t>
      </w:r>
      <w:r w:rsidRPr="00F8585E">
        <w:rPr>
          <w:rFonts w:ascii="Times New Roman" w:eastAsia="Times New Roman" w:hAnsi="Times New Roman" w:cs="Times New Roman"/>
          <w:sz w:val="28"/>
          <w:szCs w:val="28"/>
          <w:lang w:val="uk-UA" w:eastAsia="uk-UA"/>
        </w:rPr>
        <w:t xml:space="preserve"> році, надалі спостерігалось</w:t>
      </w:r>
      <w:r w:rsidR="0019259A" w:rsidRPr="00F8585E">
        <w:rPr>
          <w:rFonts w:ascii="Times New Roman" w:eastAsia="Times New Roman" w:hAnsi="Times New Roman" w:cs="Times New Roman"/>
          <w:sz w:val="28"/>
          <w:szCs w:val="28"/>
          <w:lang w:val="uk-UA" w:eastAsia="uk-UA"/>
        </w:rPr>
        <w:t xml:space="preserve"> поступове зниження зовнішнього боргу, що може бути результатом реструктуризації боргових зо</w:t>
      </w:r>
      <w:r w:rsidRPr="00F8585E">
        <w:rPr>
          <w:rFonts w:ascii="Times New Roman" w:eastAsia="Times New Roman" w:hAnsi="Times New Roman" w:cs="Times New Roman"/>
          <w:sz w:val="28"/>
          <w:szCs w:val="28"/>
          <w:lang w:val="uk-UA" w:eastAsia="uk-UA"/>
        </w:rPr>
        <w:t>бов'язань та економічних реформ, але з 2016 року обсяг зовнішнього боргу знов став помірно зростати (див. рис. 3.5).</w:t>
      </w:r>
    </w:p>
    <w:p w:rsidR="001813A2" w:rsidRPr="001813A2" w:rsidRDefault="001813A2" w:rsidP="001813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Певні </w:t>
      </w:r>
      <w:r w:rsidRPr="001813A2">
        <w:rPr>
          <w:rFonts w:ascii="Times New Roman" w:hAnsi="Times New Roman" w:cs="Times New Roman"/>
          <w:sz w:val="28"/>
          <w:szCs w:val="28"/>
          <w:lang w:val="uk-UA"/>
        </w:rPr>
        <w:t>рівні зовнішнього боргу є критичними для інвестиційного клімату</w:t>
      </w:r>
      <w:r>
        <w:rPr>
          <w:rFonts w:ascii="Times New Roman" w:hAnsi="Times New Roman" w:cs="Times New Roman"/>
          <w:sz w:val="28"/>
          <w:szCs w:val="28"/>
          <w:lang w:val="uk-UA"/>
        </w:rPr>
        <w:t xml:space="preserve">, визначення критичних показників та аналіз, </w:t>
      </w:r>
      <w:r w:rsidRPr="001813A2">
        <w:rPr>
          <w:rFonts w:ascii="Times New Roman" w:hAnsi="Times New Roman" w:cs="Times New Roman"/>
          <w:sz w:val="28"/>
          <w:szCs w:val="28"/>
          <w:lang w:val="uk-UA"/>
        </w:rPr>
        <w:t>як</w:t>
      </w:r>
      <w:r>
        <w:rPr>
          <w:rFonts w:ascii="Times New Roman" w:hAnsi="Times New Roman" w:cs="Times New Roman"/>
          <w:sz w:val="28"/>
          <w:szCs w:val="28"/>
          <w:lang w:val="uk-UA"/>
        </w:rPr>
        <w:t xml:space="preserve"> країна може зменшити ці ризики, а також р</w:t>
      </w:r>
      <w:r w:rsidRPr="001813A2">
        <w:rPr>
          <w:rFonts w:ascii="Times New Roman" w:hAnsi="Times New Roman" w:cs="Times New Roman"/>
          <w:sz w:val="28"/>
          <w:szCs w:val="28"/>
          <w:lang w:val="uk-UA"/>
        </w:rPr>
        <w:t>озробка стратегії зменшення зовнішнього боргу та оптимізації управління борговими зобов'язаннями, що може включати реструктуризацію боргу, покращення умов запозичень та п</w:t>
      </w:r>
      <w:r>
        <w:rPr>
          <w:rFonts w:ascii="Times New Roman" w:hAnsi="Times New Roman" w:cs="Times New Roman"/>
          <w:sz w:val="28"/>
          <w:szCs w:val="28"/>
          <w:lang w:val="uk-UA"/>
        </w:rPr>
        <w:t>ідвищення економічної стійкості, може бути шляхом покращення інвестиційного клімату в країні та підвищення транснаціональної активності.</w:t>
      </w:r>
    </w:p>
    <w:p w:rsidR="0019259A" w:rsidRPr="00F8585E" w:rsidRDefault="008A3686" w:rsidP="00836606">
      <w:pPr>
        <w:pStyle w:val="muitypography-root"/>
        <w:spacing w:before="0" w:beforeAutospacing="0" w:after="0" w:afterAutospacing="0" w:line="360" w:lineRule="auto"/>
        <w:jc w:val="both"/>
        <w:rPr>
          <w:sz w:val="28"/>
          <w:szCs w:val="28"/>
        </w:rPr>
      </w:pPr>
      <w:r w:rsidRPr="00F8585E">
        <w:rPr>
          <w:bCs/>
          <w:sz w:val="28"/>
          <w:szCs w:val="28"/>
        </w:rPr>
        <w:tab/>
        <w:t xml:space="preserve">Отже, </w:t>
      </w:r>
      <w:r w:rsidRPr="00F8585E">
        <w:rPr>
          <w:sz w:val="28"/>
          <w:szCs w:val="28"/>
        </w:rPr>
        <w:t>а</w:t>
      </w:r>
      <w:r w:rsidR="0019259A" w:rsidRPr="00F8585E">
        <w:rPr>
          <w:sz w:val="28"/>
          <w:szCs w:val="28"/>
        </w:rPr>
        <w:t xml:space="preserve">наліз динаміки основних складових Індексу економічної свободи, рівня безробіття та зовнішнього боргу в Україні показує складну та неоднозначну картину. Незважаючи на певні позитивні зрушення, такі як </w:t>
      </w:r>
      <w:r w:rsidR="0019259A" w:rsidRPr="00F8585E">
        <w:rPr>
          <w:sz w:val="28"/>
          <w:szCs w:val="28"/>
        </w:rPr>
        <w:lastRenderedPageBreak/>
        <w:t>зниження безробіття та зростання доброчесності уряду, залишаються серйозні виклики, зокрема у сфері державних витрат та управління зовнішнім боргом. Покращення інвестиційного клімату вимагає комплексних заходів, спрямованих на стабілізацію економіки, боротьбу з корупцією та підвищення ефективності уряд</w:t>
      </w:r>
      <w:r w:rsidRPr="00F8585E">
        <w:rPr>
          <w:sz w:val="28"/>
          <w:szCs w:val="28"/>
        </w:rPr>
        <w:t>у.</w:t>
      </w:r>
    </w:p>
    <w:p w:rsidR="003C663D" w:rsidRPr="00F8585E" w:rsidRDefault="00F83EEA" w:rsidP="00E860BA">
      <w:pPr>
        <w:spacing w:after="0" w:line="360" w:lineRule="auto"/>
        <w:jc w:val="both"/>
        <w:rPr>
          <w:sz w:val="28"/>
          <w:szCs w:val="28"/>
          <w:lang w:val="uk-UA"/>
        </w:rPr>
      </w:pPr>
      <w:r w:rsidRPr="00F8585E">
        <w:rPr>
          <w:rFonts w:ascii="Times New Roman" w:hAnsi="Times New Roman" w:cs="Times New Roman"/>
          <w:sz w:val="28"/>
          <w:szCs w:val="28"/>
          <w:lang w:val="uk-UA"/>
        </w:rPr>
        <w:tab/>
      </w:r>
    </w:p>
    <w:p w:rsidR="00836606" w:rsidRPr="00F8585E" w:rsidRDefault="00836606" w:rsidP="00836606">
      <w:pPr>
        <w:pStyle w:val="muitypography-root"/>
        <w:spacing w:before="0" w:beforeAutospacing="0" w:after="0" w:afterAutospacing="0" w:line="360" w:lineRule="auto"/>
        <w:jc w:val="both"/>
        <w:rPr>
          <w:sz w:val="28"/>
          <w:szCs w:val="28"/>
        </w:rPr>
      </w:pPr>
    </w:p>
    <w:p w:rsidR="00FC1918" w:rsidRPr="00F8585E" w:rsidRDefault="00FC1918" w:rsidP="00836606">
      <w:pPr>
        <w:pStyle w:val="muitypography-root"/>
        <w:spacing w:before="0" w:beforeAutospacing="0" w:after="0" w:afterAutospacing="0" w:line="360" w:lineRule="auto"/>
        <w:jc w:val="both"/>
        <w:rPr>
          <w:b/>
          <w:sz w:val="28"/>
          <w:szCs w:val="28"/>
        </w:rPr>
      </w:pPr>
      <w:r w:rsidRPr="00F8585E">
        <w:rPr>
          <w:b/>
          <w:sz w:val="28"/>
          <w:szCs w:val="28"/>
        </w:rPr>
        <w:tab/>
        <w:t>3.2. Перспективи поліпшення інвестиційного клімату та привертання інвестицій до України у період післявоєнного відновлення</w:t>
      </w:r>
    </w:p>
    <w:p w:rsidR="00725725" w:rsidRPr="00F8585E" w:rsidRDefault="00725725" w:rsidP="00836606">
      <w:pPr>
        <w:pStyle w:val="muitypography-root"/>
        <w:spacing w:before="0" w:beforeAutospacing="0" w:after="0" w:afterAutospacing="0" w:line="360" w:lineRule="auto"/>
        <w:jc w:val="both"/>
        <w:rPr>
          <w:b/>
        </w:rPr>
      </w:pPr>
    </w:p>
    <w:p w:rsidR="00725725" w:rsidRPr="00F8585E" w:rsidRDefault="008A63CC" w:rsidP="00836606">
      <w:pPr>
        <w:pStyle w:val="muitypography-root"/>
        <w:spacing w:before="0" w:beforeAutospacing="0" w:after="0" w:afterAutospacing="0" w:line="360" w:lineRule="auto"/>
        <w:jc w:val="both"/>
        <w:rPr>
          <w:sz w:val="28"/>
        </w:rPr>
      </w:pPr>
      <w:r w:rsidRPr="00F8585E">
        <w:rPr>
          <w:sz w:val="28"/>
        </w:rPr>
        <w:tab/>
        <w:t xml:space="preserve">Для забезпечення економічного зростання та реінтеграції України в глобальні економічні процеси у період післявоєнного відновлення необхідно поліпшення інвестиційного клімату задля привертання  іноземних інвестицій, які можуть стати ключовим фактором післявоєнної відбудови. </w:t>
      </w:r>
    </w:p>
    <w:p w:rsidR="00E860BA" w:rsidRPr="00F8585E" w:rsidRDefault="00E860BA" w:rsidP="00E860BA">
      <w:pPr>
        <w:spacing w:after="0" w:line="360" w:lineRule="auto"/>
        <w:jc w:val="both"/>
        <w:rPr>
          <w:rFonts w:ascii="Times New Roman" w:hAnsi="Times New Roman" w:cs="Times New Roman"/>
          <w:sz w:val="28"/>
          <w:szCs w:val="28"/>
          <w:lang w:val="uk-UA"/>
        </w:rPr>
      </w:pPr>
      <w:r w:rsidRPr="00F8585E">
        <w:rPr>
          <w:rFonts w:ascii="Times New Roman" w:eastAsia="Times New Roman" w:hAnsi="Times New Roman" w:cs="Times New Roman"/>
          <w:sz w:val="28"/>
          <w:szCs w:val="28"/>
          <w:lang w:val="uk-UA" w:eastAsia="uk-UA"/>
        </w:rPr>
        <w:tab/>
        <w:t xml:space="preserve">Динаміка припливу прямих іноземних інвестицій є важливим показником економічного здоров'я країни та її привабливості для іноземних інвесторів. </w:t>
      </w:r>
      <w:r w:rsidRPr="00F8585E">
        <w:rPr>
          <w:rFonts w:ascii="Times New Roman" w:hAnsi="Times New Roman" w:cs="Times New Roman"/>
          <w:sz w:val="28"/>
          <w:szCs w:val="28"/>
          <w:lang w:val="uk-UA"/>
        </w:rPr>
        <w:t>Динаміка припливу прямих іноземних інвестицій в Україну за 2002-2023 роки представлена нижче на рис. 3.6.</w:t>
      </w:r>
    </w:p>
    <w:p w:rsidR="00E860BA" w:rsidRPr="00F8585E" w:rsidRDefault="00E860BA" w:rsidP="00E860BA">
      <w:pPr>
        <w:spacing w:after="0" w:line="360" w:lineRule="auto"/>
        <w:jc w:val="both"/>
        <w:rPr>
          <w:rFonts w:ascii="Times New Roman" w:hAnsi="Times New Roman" w:cs="Times New Roman"/>
          <w:sz w:val="24"/>
          <w:szCs w:val="28"/>
          <w:lang w:val="uk-UA"/>
        </w:rPr>
      </w:pPr>
      <w:r w:rsidRPr="00F8585E">
        <w:rPr>
          <w:b/>
          <w:noProof/>
          <w:sz w:val="28"/>
          <w:szCs w:val="28"/>
          <w:lang w:eastAsia="ru-RU"/>
        </w:rPr>
        <w:drawing>
          <wp:inline distT="0" distB="0" distL="0" distR="0" wp14:anchorId="29924A60" wp14:editId="6C3C02FD">
            <wp:extent cx="6121400" cy="21209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F8585E">
        <w:rPr>
          <w:rFonts w:ascii="Times New Roman" w:hAnsi="Times New Roman" w:cs="Times New Roman"/>
          <w:sz w:val="28"/>
          <w:szCs w:val="28"/>
          <w:lang w:val="uk-UA"/>
        </w:rPr>
        <w:t xml:space="preserve"> </w:t>
      </w:r>
      <w:r w:rsidRPr="00F8585E">
        <w:rPr>
          <w:rFonts w:ascii="Times New Roman" w:hAnsi="Times New Roman" w:cs="Times New Roman"/>
          <w:sz w:val="24"/>
          <w:szCs w:val="28"/>
          <w:lang w:val="uk-UA"/>
        </w:rPr>
        <w:t xml:space="preserve">Тут наведено відомості щодо прямих </w:t>
      </w:r>
      <w:r w:rsidR="00DB44C8" w:rsidRPr="00F8585E">
        <w:rPr>
          <w:rFonts w:ascii="Times New Roman" w:hAnsi="Times New Roman" w:cs="Times New Roman"/>
          <w:sz w:val="24"/>
          <w:szCs w:val="28"/>
          <w:lang w:val="uk-UA"/>
        </w:rPr>
        <w:t>інвестицій</w:t>
      </w:r>
      <w:r w:rsidRPr="00F8585E">
        <w:rPr>
          <w:rFonts w:ascii="Times New Roman" w:hAnsi="Times New Roman" w:cs="Times New Roman"/>
          <w:sz w:val="24"/>
          <w:szCs w:val="28"/>
          <w:lang w:val="uk-UA"/>
        </w:rPr>
        <w:t xml:space="preserve"> України за </w:t>
      </w:r>
      <w:r w:rsidR="00DB44C8" w:rsidRPr="00F8585E">
        <w:rPr>
          <w:rFonts w:ascii="Times New Roman" w:hAnsi="Times New Roman" w:cs="Times New Roman"/>
          <w:sz w:val="24"/>
          <w:szCs w:val="28"/>
          <w:lang w:val="uk-UA"/>
        </w:rPr>
        <w:t>принципом</w:t>
      </w:r>
      <w:r w:rsidRPr="00F8585E">
        <w:rPr>
          <w:rFonts w:ascii="Times New Roman" w:hAnsi="Times New Roman" w:cs="Times New Roman"/>
          <w:sz w:val="24"/>
          <w:szCs w:val="28"/>
          <w:lang w:val="uk-UA"/>
        </w:rPr>
        <w:t xml:space="preserve"> спрямованості, тобто, по грошовим потокам. </w:t>
      </w:r>
    </w:p>
    <w:p w:rsidR="00E860BA" w:rsidRPr="00F8585E" w:rsidRDefault="00E860BA" w:rsidP="00E860BA">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Рис. 3.6. Приплив прямих іноземних інвестицій в Україну за 202-2023 роки, млн. дол. США</w:t>
      </w:r>
    </w:p>
    <w:p w:rsidR="00E860BA" w:rsidRPr="00F8585E" w:rsidRDefault="00E860BA" w:rsidP="00E860BA">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w:t>
      </w:r>
      <w:r w:rsidR="00872460">
        <w:rPr>
          <w:rFonts w:ascii="Times New Roman" w:hAnsi="Times New Roman" w:cs="Times New Roman"/>
          <w:sz w:val="28"/>
          <w:szCs w:val="28"/>
          <w:lang w:val="uk-UA"/>
        </w:rPr>
        <w:t>: складено автором на основі [40; 41</w:t>
      </w:r>
      <w:r w:rsidRPr="00F8585E">
        <w:rPr>
          <w:rFonts w:ascii="Times New Roman" w:hAnsi="Times New Roman" w:cs="Times New Roman"/>
          <w:sz w:val="28"/>
          <w:szCs w:val="28"/>
          <w:lang w:val="uk-UA"/>
        </w:rPr>
        <w:t>].</w:t>
      </w:r>
    </w:p>
    <w:p w:rsidR="00E860BA" w:rsidRPr="00F8585E" w:rsidRDefault="00E860BA" w:rsidP="00E860BA">
      <w:pPr>
        <w:pStyle w:val="muitypography-root"/>
        <w:spacing w:before="0" w:beforeAutospacing="0" w:after="0" w:afterAutospacing="0" w:line="360" w:lineRule="auto"/>
        <w:jc w:val="both"/>
        <w:rPr>
          <w:b/>
          <w:sz w:val="28"/>
          <w:szCs w:val="28"/>
        </w:rPr>
      </w:pPr>
    </w:p>
    <w:p w:rsidR="00E860BA" w:rsidRPr="00F8585E" w:rsidRDefault="00E860BA" w:rsidP="00E860BA">
      <w:pPr>
        <w:pStyle w:val="muitypography-root"/>
        <w:spacing w:before="0" w:beforeAutospacing="0" w:after="0" w:afterAutospacing="0" w:line="360" w:lineRule="auto"/>
        <w:jc w:val="both"/>
        <w:rPr>
          <w:sz w:val="28"/>
          <w:szCs w:val="28"/>
        </w:rPr>
      </w:pPr>
      <w:r w:rsidRPr="00F8585E">
        <w:rPr>
          <w:sz w:val="28"/>
          <w:szCs w:val="28"/>
        </w:rPr>
        <w:tab/>
        <w:t xml:space="preserve">Після аналізу динаміки припливу прямих іноземних інвестицій можна виділити декілька ключових етапів. У період з 2002 до 2004 року спостерігалося поступове збільшення припливу прямих іноземних інвестицій. У 2002 році цей показник становив 693 млн доларів США, у 2003 році він зріс до 1,4 млрд. дол. США, а у 2004 році досяг 1,7 млрд. дол. США. Така динаміка свідчить про покращення економічного клімату в країні та зростання інтересу іноземних інвесторів. З 2005 року по 2008 рік відбувся значний стрибок припливу прямих іноземних інвестицій. Ця тенденція зберігалася у наступні роки, досягнувши піку у 2008 році на рівні 10,9 млрд. дол. США. Це був період активного залучення іноземного капіталу в українську економіку. Глобальна фінансова криза 2009 року значно вплинула на приплив прямих іноземних інвестицій в Україну, спричинивши падіння до 4,8 млрд. дол. США. Однак, у 2010-2012 роках відбулося поступове відновлення інвестиційної активності, і приплив прямих іноземних інвестицій зріс до 8,4 млрд. дол. США у 2012 році. Цей період характеризується певною стабілізацією економічної ситуації та поверненням довіри інвесторів. Однак, у 2013 році приплив прямих іноземних інвестицій знову знизився до 4,5 млрд. дол. США на тлі політичної нестабільності. Події 2014-2015 років, включаючи політичну кризу та військові дії на сході України, призвели до значного відтоку капіталу. У 2014 році приплив прямих іноземних інвестицій знизився до 410 млн. дол. США, а у 2015 році відтік капіталу склав -458 млн. дол. США. Починаючи з 2016 року відбулося поступове відновлення припливу прямих іноземних інвестицій, що свідчить про стабілізацію економічної ситуації: у 2016 році приплив склав 3,8 млрд. дол. США, а у 2019 році зріс до 5,8 млрд. дол. США. Пандемія COVID-19 у 2020 році спричинила відтік капіталу на рівні -868 млн. доларів через глобальну економічну нестабільність. Проте надалі ситуація покращилась та приплив склав 6,7 млрд. дол. США у 2021 році. З початком повномасштабної </w:t>
      </w:r>
      <w:r w:rsidRPr="00F8585E">
        <w:rPr>
          <w:sz w:val="28"/>
          <w:szCs w:val="28"/>
        </w:rPr>
        <w:lastRenderedPageBreak/>
        <w:t>війни приплив різко скоротився до 1,2 млрд. дол. США у 2022 році (див. рис. 3.6).</w:t>
      </w:r>
    </w:p>
    <w:p w:rsidR="00E860BA" w:rsidRPr="00F8585E" w:rsidRDefault="00E860BA" w:rsidP="00E860BA">
      <w:pPr>
        <w:pStyle w:val="muitypography-root"/>
        <w:spacing w:before="0" w:beforeAutospacing="0" w:after="0" w:afterAutospacing="0" w:line="360" w:lineRule="auto"/>
        <w:jc w:val="both"/>
        <w:rPr>
          <w:sz w:val="28"/>
        </w:rPr>
      </w:pPr>
      <w:r w:rsidRPr="00F8585E">
        <w:rPr>
          <w:sz w:val="28"/>
        </w:rPr>
        <w:tab/>
        <w:t>В останньому звіті Європейського банку реконструкції та розвитку «Регіональні економічні перспективи» викладено сценарій, який демонструє на основі уроків історії, що п’ятирічний період відновлення вимагатиме додаткових інвестицій у розмірі близько 50 млрд. дол. США на рік завдяки припливу іноземного капіт</w:t>
      </w:r>
      <w:r w:rsidR="00872460">
        <w:rPr>
          <w:sz w:val="28"/>
        </w:rPr>
        <w:t>алу, в тому числі приватного [42</w:t>
      </w:r>
      <w:r w:rsidRPr="00F8585E">
        <w:rPr>
          <w:sz w:val="28"/>
        </w:rPr>
        <w:t>].</w:t>
      </w:r>
    </w:p>
    <w:p w:rsidR="00E860BA" w:rsidRPr="00F8585E" w:rsidRDefault="00E860BA" w:rsidP="00E860BA">
      <w:pPr>
        <w:pStyle w:val="muitypography-root"/>
        <w:spacing w:before="0" w:beforeAutospacing="0" w:after="0" w:afterAutospacing="0" w:line="360" w:lineRule="auto"/>
        <w:jc w:val="both"/>
        <w:rPr>
          <w:sz w:val="28"/>
          <w:szCs w:val="28"/>
        </w:rPr>
      </w:pPr>
      <w:r w:rsidRPr="00F8585E">
        <w:rPr>
          <w:sz w:val="28"/>
        </w:rPr>
        <w:tab/>
      </w:r>
      <w:r w:rsidRPr="00F8585E">
        <w:rPr>
          <w:sz w:val="28"/>
          <w:szCs w:val="28"/>
        </w:rPr>
        <w:t>За даними Національного банку, протягом 2023 року приплив прямих іноземних інвестицій в Україну становив 4,25 млрд. дол. США (див. рис. 3.6). Це в 7,6 разів більше, ніж обсяг інвестицій за 2022 рік, але на 42% менше, ніж 2021 року. Розподіл вкладень за напрямками був такий: 3,8 млрд. дол. США – це інструменти участі в капіталі, 0,5 млрд. дол. США – боргові інструменти. Інтерес інвесторів сконцентрований переважно в таких сферах, як військово-промисловий комплекс, виробництво будматеріалів, сільське господарство та товари широкого вжитку. Це ті галузі, які попри війну продовжують розвив</w:t>
      </w:r>
      <w:r w:rsidR="00872460">
        <w:rPr>
          <w:sz w:val="28"/>
          <w:szCs w:val="28"/>
        </w:rPr>
        <w:t>атися та генерувати прибутки [43</w:t>
      </w:r>
      <w:r w:rsidRPr="00F8585E">
        <w:rPr>
          <w:sz w:val="28"/>
          <w:szCs w:val="28"/>
        </w:rPr>
        <w:t>].</w:t>
      </w:r>
    </w:p>
    <w:p w:rsidR="00E860BA" w:rsidRPr="00F8585E" w:rsidRDefault="00E860BA" w:rsidP="00836606">
      <w:pPr>
        <w:pStyle w:val="muitypography-root"/>
        <w:spacing w:before="0" w:beforeAutospacing="0" w:after="0" w:afterAutospacing="0" w:line="360" w:lineRule="auto"/>
        <w:jc w:val="both"/>
        <w:rPr>
          <w:sz w:val="28"/>
        </w:rPr>
      </w:pPr>
      <w:r w:rsidRPr="00F8585E">
        <w:rPr>
          <w:sz w:val="28"/>
        </w:rPr>
        <w:tab/>
      </w:r>
      <w:r w:rsidR="00BA543B" w:rsidRPr="00BA543B">
        <w:rPr>
          <w:sz w:val="28"/>
        </w:rPr>
        <w:t>У звіті ЄБРР, найбільшого інституційного інвестора в Україні, також підкреслюється важливість на ранніх етапах постконфліктного відновлення належного балансу між залученням приватного та держ</w:t>
      </w:r>
      <w:r w:rsidR="00BA543B">
        <w:rPr>
          <w:sz w:val="28"/>
        </w:rPr>
        <w:t>авного секторів, а також важливу</w:t>
      </w:r>
      <w:r w:rsidR="00BA543B" w:rsidRPr="00BA543B">
        <w:rPr>
          <w:sz w:val="28"/>
        </w:rPr>
        <w:t xml:space="preserve"> роль, яку відіграє зовнішня допомога від двосторонніх </w:t>
      </w:r>
      <w:r w:rsidR="00BA543B">
        <w:rPr>
          <w:sz w:val="28"/>
        </w:rPr>
        <w:t>та багатосторонніх організацій</w:t>
      </w:r>
      <w:r w:rsidR="00872460">
        <w:rPr>
          <w:sz w:val="28"/>
        </w:rPr>
        <w:t xml:space="preserve"> [42</w:t>
      </w:r>
      <w:r w:rsidRPr="00F8585E">
        <w:rPr>
          <w:sz w:val="28"/>
        </w:rPr>
        <w:t>].</w:t>
      </w:r>
    </w:p>
    <w:p w:rsidR="003349D1" w:rsidRPr="00F8585E" w:rsidRDefault="008A63CC" w:rsidP="003349D1">
      <w:pPr>
        <w:pStyle w:val="muitypography-root"/>
        <w:spacing w:before="0" w:beforeAutospacing="0" w:after="0" w:afterAutospacing="0" w:line="360" w:lineRule="auto"/>
        <w:jc w:val="both"/>
        <w:rPr>
          <w:iCs/>
          <w:sz w:val="28"/>
        </w:rPr>
      </w:pPr>
      <w:r w:rsidRPr="00F8585E">
        <w:rPr>
          <w:iCs/>
          <w:sz w:val="28"/>
        </w:rPr>
        <w:tab/>
        <w:t>В останньому дослідженні «Прогнози бізнесу на 2024 рік» Європейської Бізнес Асоціації (в основі лежить опитування, в якому взяли участь 91 топ-менеджер компаній- членів Європейської Бізнес Асоціації) бізнес традиційно відніс боротьбу з корупцією, необхідність проведення судової реформи, встановлення верховенства права та забезпечення макроекономічної стабільності до </w:t>
      </w:r>
      <w:r w:rsidRPr="00F8585E">
        <w:rPr>
          <w:bCs/>
          <w:iCs/>
          <w:sz w:val="28"/>
        </w:rPr>
        <w:t>топ-3 пріоритетних завдань до Уряду [</w:t>
      </w:r>
      <w:r w:rsidR="00872460">
        <w:rPr>
          <w:bCs/>
          <w:iCs/>
          <w:sz w:val="28"/>
        </w:rPr>
        <w:t>44</w:t>
      </w:r>
      <w:r w:rsidRPr="00F8585E">
        <w:rPr>
          <w:bCs/>
          <w:iCs/>
          <w:sz w:val="28"/>
        </w:rPr>
        <w:t>]</w:t>
      </w:r>
      <w:r w:rsidRPr="00F8585E">
        <w:rPr>
          <w:iCs/>
          <w:sz w:val="28"/>
        </w:rPr>
        <w:t xml:space="preserve">. У відсотковому значенні розподіл наступний: </w:t>
      </w:r>
      <w:r w:rsidR="00CA2823" w:rsidRPr="00F8585E">
        <w:rPr>
          <w:iCs/>
          <w:sz w:val="28"/>
        </w:rPr>
        <w:t xml:space="preserve">боротьба з корупцією ‒ 79%, необхідність </w:t>
      </w:r>
      <w:r w:rsidR="00CA2823" w:rsidRPr="00F8585E">
        <w:rPr>
          <w:iCs/>
          <w:sz w:val="28"/>
        </w:rPr>
        <w:lastRenderedPageBreak/>
        <w:t xml:space="preserve">проведення судової реформи, встановлення верховенства права ‒ 57% та забезпечення макроекономічної стабільності ‒ 41% </w:t>
      </w:r>
      <w:r w:rsidRPr="00F8585E">
        <w:rPr>
          <w:iCs/>
          <w:sz w:val="28"/>
        </w:rPr>
        <w:t>[</w:t>
      </w:r>
      <w:r w:rsidR="00872460">
        <w:rPr>
          <w:iCs/>
          <w:sz w:val="28"/>
        </w:rPr>
        <w:t>45</w:t>
      </w:r>
      <w:r w:rsidRPr="00F8585E">
        <w:rPr>
          <w:iCs/>
          <w:sz w:val="28"/>
        </w:rPr>
        <w:t>].</w:t>
      </w:r>
    </w:p>
    <w:p w:rsidR="003349D1" w:rsidRPr="00F8585E" w:rsidRDefault="003349D1" w:rsidP="003349D1">
      <w:pPr>
        <w:pStyle w:val="muitypography-root"/>
        <w:spacing w:before="0" w:beforeAutospacing="0" w:after="0" w:afterAutospacing="0" w:line="360" w:lineRule="auto"/>
        <w:jc w:val="both"/>
        <w:rPr>
          <w:iCs/>
          <w:sz w:val="28"/>
          <w:szCs w:val="28"/>
        </w:rPr>
      </w:pPr>
      <w:r w:rsidRPr="00F8585E">
        <w:rPr>
          <w:iCs/>
          <w:sz w:val="28"/>
        </w:rPr>
        <w:tab/>
      </w:r>
      <w:r w:rsidRPr="00F8585E">
        <w:rPr>
          <w:sz w:val="28"/>
        </w:rPr>
        <w:t xml:space="preserve">Без розширення антикорупційних зусиль буде вкрай важко залучити відповідальних інвесторів, які могли б допомогти в просуванні доброчесних циклів </w:t>
      </w:r>
      <w:r w:rsidR="00872460">
        <w:rPr>
          <w:sz w:val="28"/>
        </w:rPr>
        <w:t>реформ у післявоєнний період [46</w:t>
      </w:r>
      <w:r w:rsidRPr="00F8585E">
        <w:rPr>
          <w:sz w:val="28"/>
        </w:rPr>
        <w:t xml:space="preserve">]. </w:t>
      </w:r>
      <w:r w:rsidR="00BD4BAD" w:rsidRPr="00F8585E">
        <w:rPr>
          <w:sz w:val="28"/>
        </w:rPr>
        <w:t xml:space="preserve">Експерти наголошують, що серед основник дій по боротьбі з корупцією має бути завершення відбору керівників </w:t>
      </w:r>
      <w:r w:rsidR="00BD4BAD" w:rsidRPr="00F8585E">
        <w:rPr>
          <w:sz w:val="28"/>
          <w:szCs w:val="28"/>
        </w:rPr>
        <w:t xml:space="preserve">антикорупційних органів та антимонопольного комітету, а також посилення незалежності Спеціалізованої антикорупційної прокуратури. До того ж щодо </w:t>
      </w:r>
      <w:r w:rsidR="00BD4BAD" w:rsidRPr="00F8585E">
        <w:rPr>
          <w:iCs/>
          <w:sz w:val="28"/>
          <w:szCs w:val="28"/>
        </w:rPr>
        <w:t xml:space="preserve">судової реформи та встановлення верховенства права, має відбутися </w:t>
      </w:r>
      <w:r w:rsidR="00BD4BAD" w:rsidRPr="00F8585E">
        <w:rPr>
          <w:sz w:val="28"/>
          <w:szCs w:val="28"/>
        </w:rPr>
        <w:t>перезапуск Вищої Ради Правосуддя та Вищої кваліфікаційної комісії суддів. Консультації із західними експертами з Венеціанської комісії та інших подібних органів на ранній стадії процесу могли б сприяти зміцненню довіри до зусиль уряду. Кадровий склад цих інституцій слід розширити, щоб забезпечити їх функціонування на високому рівні, навіть у воєнний час. Крім цього реформа правосуддя та органів правопорядку має стати міцним фундаментом, що гарантує захист прав, свободу економічної діяльності та відповідальність за поруше</w:t>
      </w:r>
      <w:r w:rsidR="00872460">
        <w:rPr>
          <w:sz w:val="28"/>
          <w:szCs w:val="28"/>
        </w:rPr>
        <w:t>ння [47</w:t>
      </w:r>
      <w:r w:rsidR="00BD4BAD" w:rsidRPr="00F8585E">
        <w:rPr>
          <w:sz w:val="28"/>
          <w:szCs w:val="28"/>
        </w:rPr>
        <w:t>]</w:t>
      </w:r>
    </w:p>
    <w:p w:rsidR="00E860BA" w:rsidRPr="00F8585E" w:rsidRDefault="00BD4BAD" w:rsidP="00BD4BAD">
      <w:pPr>
        <w:pStyle w:val="muitypography-root"/>
        <w:spacing w:before="0" w:beforeAutospacing="0" w:after="0" w:afterAutospacing="0" w:line="360" w:lineRule="auto"/>
        <w:jc w:val="both"/>
        <w:rPr>
          <w:sz w:val="28"/>
          <w:szCs w:val="28"/>
        </w:rPr>
      </w:pPr>
      <w:r w:rsidRPr="00F8585E">
        <w:rPr>
          <w:sz w:val="28"/>
          <w:szCs w:val="28"/>
        </w:rPr>
        <w:tab/>
        <w:t xml:space="preserve">Щодо </w:t>
      </w:r>
      <w:r w:rsidRPr="00F8585E">
        <w:rPr>
          <w:iCs/>
          <w:sz w:val="28"/>
          <w:szCs w:val="28"/>
        </w:rPr>
        <w:t xml:space="preserve">макроекономічної стабільності, </w:t>
      </w:r>
      <w:r w:rsidRPr="00F8585E">
        <w:rPr>
          <w:sz w:val="28"/>
          <w:szCs w:val="28"/>
        </w:rPr>
        <w:t>за даними Європейського банку реконструкції та розвитку для того, щоб Україна змогла відновитися протягом п'яти років, її економіка повинна зростати на 14% щорічно протягом цього періоду. Це дозволить збільшити середній ВВП до 225 млрд. дол. США з приблизно 150 млрд. дол. США у 2022 році в постійних цінах</w:t>
      </w:r>
      <w:r w:rsidR="00DB44C8" w:rsidRPr="00F8585E">
        <w:rPr>
          <w:sz w:val="28"/>
          <w:szCs w:val="28"/>
        </w:rPr>
        <w:t>. А для такого високого економічного зростання необхідне високе співвідношення інвестицій до ВВП</w:t>
      </w:r>
      <w:r w:rsidR="00872460">
        <w:rPr>
          <w:sz w:val="28"/>
          <w:szCs w:val="28"/>
        </w:rPr>
        <w:t xml:space="preserve"> [42</w:t>
      </w:r>
      <w:r w:rsidRPr="00F8585E">
        <w:rPr>
          <w:sz w:val="28"/>
          <w:szCs w:val="28"/>
        </w:rPr>
        <w:t>].</w:t>
      </w:r>
    </w:p>
    <w:p w:rsidR="00E860BA" w:rsidRPr="00F8585E" w:rsidRDefault="00DB44C8" w:rsidP="00BD6F35">
      <w:pPr>
        <w:pStyle w:val="muitypography-root"/>
        <w:spacing w:before="0" w:beforeAutospacing="0" w:after="0" w:afterAutospacing="0" w:line="360" w:lineRule="auto"/>
        <w:jc w:val="both"/>
        <w:rPr>
          <w:sz w:val="28"/>
          <w:szCs w:val="28"/>
        </w:rPr>
      </w:pPr>
      <w:r w:rsidRPr="00F8585E">
        <w:rPr>
          <w:b/>
          <w:sz w:val="28"/>
          <w:szCs w:val="28"/>
        </w:rPr>
        <w:tab/>
      </w:r>
      <w:r w:rsidRPr="00F8585E">
        <w:rPr>
          <w:sz w:val="28"/>
          <w:szCs w:val="28"/>
        </w:rPr>
        <w:t>Д</w:t>
      </w:r>
      <w:r w:rsidR="004E2E85" w:rsidRPr="00F8585E">
        <w:rPr>
          <w:sz w:val="28"/>
          <w:szCs w:val="28"/>
        </w:rPr>
        <w:t>ля залучення в українську економіку іноземних інвесторів</w:t>
      </w:r>
      <w:r w:rsidRPr="00F8585E">
        <w:rPr>
          <w:sz w:val="28"/>
          <w:szCs w:val="28"/>
        </w:rPr>
        <w:t xml:space="preserve"> наразі </w:t>
      </w:r>
      <w:r w:rsidR="004E2E85" w:rsidRPr="00F8585E">
        <w:rPr>
          <w:sz w:val="28"/>
          <w:szCs w:val="28"/>
        </w:rPr>
        <w:t>створена унікальна електронна платформа</w:t>
      </w:r>
      <w:r w:rsidR="00E860BA" w:rsidRPr="00F8585E">
        <w:rPr>
          <w:sz w:val="28"/>
          <w:szCs w:val="28"/>
        </w:rPr>
        <w:t xml:space="preserve"> Advantage Ukraine, </w:t>
      </w:r>
      <w:r w:rsidR="003349D1" w:rsidRPr="00F8585E">
        <w:rPr>
          <w:sz w:val="28"/>
          <w:szCs w:val="28"/>
        </w:rPr>
        <w:t>«</w:t>
      </w:r>
      <w:r w:rsidR="00BD4BAD" w:rsidRPr="00F8585E">
        <w:rPr>
          <w:sz w:val="28"/>
          <w:szCs w:val="28"/>
        </w:rPr>
        <w:t xml:space="preserve">на якій зібрано понад 500 інвестиційних </w:t>
      </w:r>
      <w:r w:rsidR="00E860BA" w:rsidRPr="00F8585E">
        <w:rPr>
          <w:sz w:val="28"/>
          <w:szCs w:val="28"/>
        </w:rPr>
        <w:t>проектів та можливостей у 10-ти галузях економіки.</w:t>
      </w:r>
      <w:r w:rsidR="004E2E85" w:rsidRPr="00F8585E">
        <w:rPr>
          <w:sz w:val="28"/>
          <w:szCs w:val="28"/>
        </w:rPr>
        <w:t xml:space="preserve"> </w:t>
      </w:r>
      <w:r w:rsidR="00E860BA" w:rsidRPr="00F8585E">
        <w:rPr>
          <w:sz w:val="28"/>
          <w:szCs w:val="28"/>
        </w:rPr>
        <w:t xml:space="preserve">Кожен потенційний інвестор, зареєструвавшись на платформі, отримає вичерпну інформацію про можливості інвестування, конкретні проекти та </w:t>
      </w:r>
      <w:r w:rsidR="00E860BA" w:rsidRPr="00F8585E">
        <w:rPr>
          <w:sz w:val="28"/>
          <w:szCs w:val="28"/>
        </w:rPr>
        <w:lastRenderedPageBreak/>
        <w:t>вигоди, які матиме від вкладання в економіку України</w:t>
      </w:r>
      <w:r w:rsidR="003349D1" w:rsidRPr="00F8585E">
        <w:rPr>
          <w:sz w:val="28"/>
          <w:szCs w:val="28"/>
        </w:rPr>
        <w:t>»</w:t>
      </w:r>
      <w:r w:rsidR="004E2E85" w:rsidRPr="00F8585E">
        <w:rPr>
          <w:sz w:val="28"/>
          <w:szCs w:val="28"/>
        </w:rPr>
        <w:t xml:space="preserve">, </w:t>
      </w:r>
      <w:r w:rsidR="003349D1" w:rsidRPr="00F8585E">
        <w:rPr>
          <w:sz w:val="28"/>
          <w:szCs w:val="28"/>
        </w:rPr>
        <w:t xml:space="preserve">‒ </w:t>
      </w:r>
      <w:r w:rsidR="004E2E85" w:rsidRPr="00F8585E">
        <w:rPr>
          <w:sz w:val="28"/>
          <w:szCs w:val="28"/>
        </w:rPr>
        <w:t xml:space="preserve">зазначає </w:t>
      </w:r>
      <w:r w:rsidR="003349D1" w:rsidRPr="00F8585E">
        <w:rPr>
          <w:sz w:val="28"/>
          <w:szCs w:val="28"/>
        </w:rPr>
        <w:t>Міністерство економіки України</w:t>
      </w:r>
      <w:r w:rsidR="00872460">
        <w:rPr>
          <w:sz w:val="28"/>
          <w:szCs w:val="28"/>
        </w:rPr>
        <w:t xml:space="preserve"> [48</w:t>
      </w:r>
      <w:r w:rsidRPr="00F8585E">
        <w:rPr>
          <w:sz w:val="28"/>
          <w:szCs w:val="28"/>
        </w:rPr>
        <w:t>]</w:t>
      </w:r>
      <w:r w:rsidR="00E860BA" w:rsidRPr="00F8585E">
        <w:rPr>
          <w:sz w:val="28"/>
          <w:szCs w:val="28"/>
        </w:rPr>
        <w:t>.</w:t>
      </w:r>
    </w:p>
    <w:p w:rsidR="004E2E85" w:rsidRPr="00F8585E" w:rsidRDefault="004E2E85" w:rsidP="00BD6F35">
      <w:pPr>
        <w:pStyle w:val="muitypography-root"/>
        <w:spacing w:before="0" w:beforeAutospacing="0" w:after="0" w:afterAutospacing="0" w:line="360" w:lineRule="auto"/>
        <w:jc w:val="both"/>
        <w:rPr>
          <w:sz w:val="28"/>
          <w:szCs w:val="28"/>
        </w:rPr>
      </w:pPr>
      <w:r w:rsidRPr="00F8585E">
        <w:rPr>
          <w:sz w:val="28"/>
          <w:szCs w:val="28"/>
        </w:rPr>
        <w:tab/>
        <w:t>Серед переваг та особливостей інвестування в економіку України, які освітлені на платформі</w:t>
      </w:r>
      <w:r w:rsidR="0011402C" w:rsidRPr="00F8585E">
        <w:rPr>
          <w:sz w:val="28"/>
          <w:szCs w:val="28"/>
        </w:rPr>
        <w:t xml:space="preserve">, наступне: заохочення інвестицій (до 30% компенсації CAPEX, не стягнення ПДВ та мита при імпорті обладнання, до 10 років звільнення від податку на прибуток підприємств та однакові податкові та митні пільги для резидентів зареєстрованих індустріальних парків), законодавство щодо державно-приватних партнерств (до 30 років гарантованих державою концесійних платежів, великий потенціал для нових </w:t>
      </w:r>
      <w:r w:rsidR="00237D27">
        <w:rPr>
          <w:sz w:val="28"/>
          <w:szCs w:val="28"/>
        </w:rPr>
        <w:t>прибутків тощо), екосистема «Дія</w:t>
      </w:r>
      <w:r w:rsidR="0011402C" w:rsidRPr="00F8585E">
        <w:rPr>
          <w:sz w:val="28"/>
          <w:szCs w:val="28"/>
        </w:rPr>
        <w:t>.City» (сприятливі податкові умови та ефективні інструменти, ІТ-хаб, найпотужніший у Центральній та Східній Європі, швидка реалізація інноваційних бізнес-ідей), право інте</w:t>
      </w:r>
      <w:r w:rsidR="00237D27">
        <w:rPr>
          <w:sz w:val="28"/>
          <w:szCs w:val="28"/>
        </w:rPr>
        <w:t>лектуальної власності в ІТ («Дія</w:t>
      </w:r>
      <w:r w:rsidR="0011402C" w:rsidRPr="00F8585E">
        <w:rPr>
          <w:sz w:val="28"/>
          <w:szCs w:val="28"/>
        </w:rPr>
        <w:t>.City» забезпечує захист прав інтелектуальної власності для ІТ-компаній</w:t>
      </w:r>
      <w:r w:rsidR="003349D1" w:rsidRPr="00F8585E">
        <w:rPr>
          <w:sz w:val="28"/>
          <w:szCs w:val="28"/>
        </w:rPr>
        <w:t xml:space="preserve"> тощо</w:t>
      </w:r>
      <w:r w:rsidR="00237D27">
        <w:rPr>
          <w:sz w:val="28"/>
          <w:szCs w:val="28"/>
        </w:rPr>
        <w:t xml:space="preserve"> </w:t>
      </w:r>
      <w:r w:rsidR="00237D27" w:rsidRPr="00237D27">
        <w:rPr>
          <w:sz w:val="28"/>
          <w:szCs w:val="28"/>
        </w:rPr>
        <w:t>[49]</w:t>
      </w:r>
      <w:r w:rsidR="0011402C" w:rsidRPr="00F8585E">
        <w:rPr>
          <w:sz w:val="28"/>
          <w:szCs w:val="28"/>
        </w:rPr>
        <w:t>)</w:t>
      </w:r>
      <w:r w:rsidR="003349D1" w:rsidRPr="00F8585E">
        <w:rPr>
          <w:sz w:val="28"/>
          <w:szCs w:val="28"/>
        </w:rPr>
        <w:t xml:space="preserve"> та інші</w:t>
      </w:r>
      <w:r w:rsidR="00237D27">
        <w:rPr>
          <w:sz w:val="28"/>
          <w:szCs w:val="28"/>
        </w:rPr>
        <w:t xml:space="preserve"> [</w:t>
      </w:r>
      <w:r w:rsidR="00237D27" w:rsidRPr="00237D27">
        <w:rPr>
          <w:sz w:val="28"/>
          <w:szCs w:val="28"/>
        </w:rPr>
        <w:t>50</w:t>
      </w:r>
      <w:r w:rsidR="00DB44C8" w:rsidRPr="00F8585E">
        <w:rPr>
          <w:sz w:val="28"/>
          <w:szCs w:val="28"/>
        </w:rPr>
        <w:t>]</w:t>
      </w:r>
      <w:r w:rsidR="003349D1" w:rsidRPr="00F8585E">
        <w:rPr>
          <w:sz w:val="28"/>
          <w:szCs w:val="28"/>
        </w:rPr>
        <w:t>.</w:t>
      </w:r>
    </w:p>
    <w:p w:rsidR="00E860BA" w:rsidRPr="00F8585E" w:rsidRDefault="00DB44C8" w:rsidP="00E860BA">
      <w:pPr>
        <w:pStyle w:val="muitypography-root"/>
        <w:spacing w:before="0" w:beforeAutospacing="0" w:after="0" w:afterAutospacing="0" w:line="360" w:lineRule="auto"/>
        <w:jc w:val="both"/>
        <w:rPr>
          <w:sz w:val="28"/>
          <w:szCs w:val="28"/>
        </w:rPr>
      </w:pPr>
      <w:r w:rsidRPr="00F8585E">
        <w:rPr>
          <w:sz w:val="28"/>
          <w:szCs w:val="28"/>
        </w:rPr>
        <w:tab/>
      </w:r>
      <w:r w:rsidR="00E860BA" w:rsidRPr="00F8585E">
        <w:rPr>
          <w:sz w:val="28"/>
          <w:szCs w:val="28"/>
        </w:rPr>
        <w:t xml:space="preserve">Отже, протягом останніх двох десятиліть динаміка припливу прямих іноземних інвестицій в Україну демонструє значні коливання, що відображають як внутрішні економічні та політичні зміни, так і глобальні економічні тенденції: значні стрибки та спади пов'язані з періодами економічного зростання, фінансових криз, політичної нестабільності та глобальних економічних потрясінь. </w:t>
      </w:r>
      <w:r w:rsidRPr="00F8585E">
        <w:rPr>
          <w:sz w:val="28"/>
        </w:rPr>
        <w:t>Іноземні інвестиції мають стати ключовим фактором післявоєнної відбудови України.</w:t>
      </w:r>
      <w:r w:rsidRPr="00F8585E">
        <w:rPr>
          <w:sz w:val="28"/>
          <w:szCs w:val="28"/>
        </w:rPr>
        <w:t xml:space="preserve"> Зусилля уряду щодо антикорупційних ініціатив та судової реформи, а також зміцнення правопорядку мають створити міцний фундамент для економічного зростання, </w:t>
      </w:r>
      <w:r w:rsidR="00E860BA" w:rsidRPr="00F8585E">
        <w:rPr>
          <w:sz w:val="28"/>
          <w:szCs w:val="28"/>
        </w:rPr>
        <w:t xml:space="preserve">що в свою чергу стимулюватиме транснаціональну діяльність та підвищить конкурентоспроможність </w:t>
      </w:r>
      <w:r w:rsidR="00F8585E">
        <w:rPr>
          <w:sz w:val="28"/>
          <w:szCs w:val="28"/>
        </w:rPr>
        <w:t>У</w:t>
      </w:r>
      <w:r w:rsidR="00E860BA" w:rsidRPr="00F8585E">
        <w:rPr>
          <w:sz w:val="28"/>
          <w:szCs w:val="28"/>
        </w:rPr>
        <w:t>країни на глобальному ринку.</w:t>
      </w:r>
    </w:p>
    <w:p w:rsidR="00725725" w:rsidRPr="00F8585E" w:rsidRDefault="00725725" w:rsidP="00836606">
      <w:pPr>
        <w:pStyle w:val="muitypography-root"/>
        <w:spacing w:before="0" w:beforeAutospacing="0" w:after="0" w:afterAutospacing="0" w:line="360" w:lineRule="auto"/>
        <w:jc w:val="center"/>
        <w:rPr>
          <w:b/>
        </w:rPr>
      </w:pPr>
    </w:p>
    <w:p w:rsidR="00725725" w:rsidRPr="00F8585E" w:rsidRDefault="00725725" w:rsidP="00836606">
      <w:pPr>
        <w:pStyle w:val="muitypography-root"/>
        <w:spacing w:before="0" w:beforeAutospacing="0" w:after="0" w:afterAutospacing="0" w:line="360" w:lineRule="auto"/>
        <w:jc w:val="center"/>
        <w:rPr>
          <w:b/>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DB44C8" w:rsidRPr="00F8585E" w:rsidRDefault="00DB44C8" w:rsidP="00DB44C8">
      <w:pPr>
        <w:spacing w:after="0" w:line="360" w:lineRule="auto"/>
        <w:jc w:val="center"/>
        <w:rPr>
          <w:rFonts w:ascii="Times New Roman" w:hAnsi="Times New Roman" w:cs="Times New Roman"/>
          <w:b/>
          <w:bCs/>
          <w:sz w:val="28"/>
          <w:szCs w:val="28"/>
          <w:lang w:val="uk-UA"/>
        </w:rPr>
      </w:pPr>
      <w:r w:rsidRPr="00F8585E">
        <w:rPr>
          <w:rFonts w:ascii="Times New Roman" w:hAnsi="Times New Roman" w:cs="Times New Roman"/>
          <w:b/>
          <w:bCs/>
          <w:sz w:val="28"/>
          <w:szCs w:val="28"/>
          <w:lang w:val="uk-UA"/>
        </w:rPr>
        <w:lastRenderedPageBreak/>
        <w:t>ВИСНОВКИ</w:t>
      </w:r>
    </w:p>
    <w:p w:rsidR="00E56FA4" w:rsidRPr="00F8585E" w:rsidRDefault="00E56FA4" w:rsidP="00E56FA4">
      <w:pPr>
        <w:pStyle w:val="a3"/>
        <w:spacing w:after="0" w:line="360" w:lineRule="auto"/>
        <w:jc w:val="both"/>
        <w:rPr>
          <w:rFonts w:ascii="Times New Roman" w:hAnsi="Times New Roman" w:cs="Times New Roman"/>
          <w:b/>
          <w:bCs/>
          <w:sz w:val="28"/>
          <w:szCs w:val="28"/>
          <w:lang w:val="uk-UA"/>
        </w:rPr>
      </w:pPr>
    </w:p>
    <w:p w:rsidR="007A480D" w:rsidRDefault="00E56FA4" w:rsidP="00E56FA4">
      <w:pPr>
        <w:spacing w:after="0" w:line="360" w:lineRule="auto"/>
        <w:jc w:val="both"/>
        <w:rPr>
          <w:rFonts w:ascii="Times New Roman" w:hAnsi="Times New Roman" w:cs="Times New Roman"/>
          <w:color w:val="000000" w:themeColor="text1"/>
          <w:sz w:val="28"/>
          <w:szCs w:val="28"/>
          <w:lang w:val="uk-UA"/>
        </w:rPr>
      </w:pPr>
      <w:r w:rsidRPr="00F8585E">
        <w:rPr>
          <w:rFonts w:ascii="Times New Roman" w:hAnsi="Times New Roman" w:cs="Times New Roman"/>
          <w:bCs/>
          <w:sz w:val="28"/>
          <w:szCs w:val="28"/>
          <w:lang w:val="uk-UA"/>
        </w:rPr>
        <w:tab/>
      </w:r>
      <w:r w:rsidR="00DB44C8" w:rsidRPr="00F8585E">
        <w:rPr>
          <w:rFonts w:ascii="Times New Roman" w:hAnsi="Times New Roman" w:cs="Times New Roman"/>
          <w:bCs/>
          <w:sz w:val="28"/>
          <w:szCs w:val="28"/>
          <w:lang w:val="uk-UA"/>
        </w:rPr>
        <w:t xml:space="preserve">Після аналізу </w:t>
      </w:r>
      <w:r w:rsidR="007A480D" w:rsidRPr="00BA543B">
        <w:rPr>
          <w:rFonts w:ascii="Times New Roman" w:hAnsi="Times New Roman" w:cs="Times New Roman"/>
          <w:color w:val="000000" w:themeColor="text1"/>
          <w:sz w:val="28"/>
          <w:szCs w:val="28"/>
          <w:lang w:val="uk-UA"/>
        </w:rPr>
        <w:t>сутності та взаємозв’язку між інвестиційним кліматом та транснаціональною діяльністю</w:t>
      </w:r>
      <w:r w:rsidRPr="00BA543B">
        <w:rPr>
          <w:rFonts w:ascii="Times New Roman" w:hAnsi="Times New Roman" w:cs="Times New Roman"/>
          <w:color w:val="000000" w:themeColor="text1"/>
          <w:sz w:val="28"/>
          <w:szCs w:val="28"/>
          <w:lang w:val="uk-UA"/>
        </w:rPr>
        <w:t xml:space="preserve"> можна зробити </w:t>
      </w:r>
      <w:r w:rsidR="007A480D" w:rsidRPr="00BA543B">
        <w:rPr>
          <w:rFonts w:ascii="Times New Roman" w:hAnsi="Times New Roman" w:cs="Times New Roman"/>
          <w:color w:val="000000" w:themeColor="text1"/>
          <w:sz w:val="28"/>
          <w:szCs w:val="28"/>
          <w:lang w:val="uk-UA"/>
        </w:rPr>
        <w:t>наступні виснов</w:t>
      </w:r>
      <w:r w:rsidRPr="00BA543B">
        <w:rPr>
          <w:rFonts w:ascii="Times New Roman" w:hAnsi="Times New Roman" w:cs="Times New Roman"/>
          <w:color w:val="000000" w:themeColor="text1"/>
          <w:sz w:val="28"/>
          <w:szCs w:val="28"/>
          <w:lang w:val="uk-UA"/>
        </w:rPr>
        <w:t>к</w:t>
      </w:r>
      <w:r w:rsidR="007A480D" w:rsidRPr="00BA543B">
        <w:rPr>
          <w:rFonts w:ascii="Times New Roman" w:hAnsi="Times New Roman" w:cs="Times New Roman"/>
          <w:color w:val="000000" w:themeColor="text1"/>
          <w:sz w:val="28"/>
          <w:szCs w:val="28"/>
          <w:lang w:val="uk-UA"/>
        </w:rPr>
        <w:t>и та пропозиції.</w:t>
      </w:r>
      <w:r w:rsidR="007A480D">
        <w:rPr>
          <w:rFonts w:ascii="Times New Roman" w:hAnsi="Times New Roman" w:cs="Times New Roman"/>
          <w:color w:val="000000" w:themeColor="text1"/>
          <w:sz w:val="28"/>
          <w:szCs w:val="28"/>
          <w:lang w:val="uk-UA"/>
        </w:rPr>
        <w:t xml:space="preserve"> </w:t>
      </w:r>
    </w:p>
    <w:p w:rsidR="00E56FA4" w:rsidRPr="00F8585E" w:rsidRDefault="007A480D" w:rsidP="007A480D">
      <w:pPr>
        <w:spacing w:after="0" w:line="360" w:lineRule="auto"/>
        <w:ind w:firstLine="708"/>
        <w:jc w:val="both"/>
        <w:rPr>
          <w:rFonts w:ascii="Times New Roman" w:hAnsi="Times New Roman" w:cs="Times New Roman"/>
          <w:color w:val="0D0D0D"/>
          <w:sz w:val="28"/>
          <w:szCs w:val="28"/>
          <w:shd w:val="clear" w:color="auto" w:fill="FFFFFF"/>
          <w:lang w:val="uk-UA"/>
        </w:rPr>
      </w:pPr>
      <w:r>
        <w:rPr>
          <w:rFonts w:ascii="Times New Roman" w:hAnsi="Times New Roman" w:cs="Times New Roman"/>
          <w:color w:val="0D0D0D"/>
          <w:sz w:val="28"/>
          <w:szCs w:val="28"/>
          <w:shd w:val="clear" w:color="auto" w:fill="FFFFFF"/>
          <w:lang w:val="uk-UA"/>
        </w:rPr>
        <w:t>В</w:t>
      </w:r>
      <w:r w:rsidR="00E56FA4" w:rsidRPr="00F8585E">
        <w:rPr>
          <w:rFonts w:ascii="Times New Roman" w:hAnsi="Times New Roman" w:cs="Times New Roman"/>
          <w:color w:val="0D0D0D"/>
          <w:sz w:val="28"/>
          <w:szCs w:val="28"/>
          <w:shd w:val="clear" w:color="auto" w:fill="FFFFFF"/>
          <w:lang w:val="uk-UA"/>
        </w:rPr>
        <w:t>раховуючи унікальні характеристики кожної території, необхідно розглядати та визначати фактори, які впливають на створення сприятливого інвестиційного середовища та транснаціональної діяльності в межах цих регіонів. Відповідне розуміння концепцій та механізмів, що керують цими процесами, дозволяє ефективно аналізувати й прогнозувати динаміку економічного зростання та інвестиційного потенціалу на рівні регіонів.</w:t>
      </w:r>
    </w:p>
    <w:p w:rsidR="00E56FA4" w:rsidRPr="00F8585E" w:rsidRDefault="00E56FA4" w:rsidP="00E56FA4">
      <w:pPr>
        <w:spacing w:after="0" w:line="360" w:lineRule="auto"/>
        <w:jc w:val="both"/>
        <w:rPr>
          <w:rFonts w:ascii="Times New Roman" w:hAnsi="Times New Roman" w:cs="Times New Roman"/>
          <w:color w:val="0D0D0D"/>
          <w:sz w:val="28"/>
          <w:szCs w:val="28"/>
          <w:shd w:val="clear" w:color="auto" w:fill="FFFFFF"/>
          <w:lang w:val="uk-UA"/>
        </w:rPr>
      </w:pPr>
      <w:r w:rsidRPr="00F8585E">
        <w:rPr>
          <w:rFonts w:ascii="Times New Roman" w:hAnsi="Times New Roman" w:cs="Times New Roman"/>
          <w:color w:val="000000" w:themeColor="text1"/>
          <w:sz w:val="28"/>
          <w:szCs w:val="28"/>
          <w:lang w:val="uk-UA"/>
        </w:rPr>
        <w:tab/>
        <w:t xml:space="preserve">Проаналізувавши чинники впливу інвестиційного клімату на транснаціональну діяльність, можна зробити висновок, що </w:t>
      </w:r>
      <w:r w:rsidRPr="00F8585E">
        <w:rPr>
          <w:rFonts w:ascii="Times New Roman" w:hAnsi="Times New Roman" w:cs="Times New Roman"/>
          <w:color w:val="0D0D0D"/>
          <w:sz w:val="28"/>
          <w:szCs w:val="28"/>
          <w:shd w:val="clear" w:color="auto" w:fill="FFFFFF"/>
          <w:lang w:val="uk-UA"/>
        </w:rPr>
        <w:t>різна інвестиційна привабливість у різних країнах та регіонах зумовлюється комплексом факторів, таких як політична стабільність, правова система, економічні перспективи та культурні особливості. Аналіз цих результатів дозволяє виявити ключові тенденції та визначити стратегічні напрямки для покращення інвестиційного клімату та сприяння транснаціональній діяльності в різних частинах світу.</w:t>
      </w:r>
      <w:r w:rsidRPr="00F8585E">
        <w:rPr>
          <w:rFonts w:ascii="Times New Roman" w:hAnsi="Times New Roman" w:cs="Times New Roman"/>
          <w:color w:val="0D0D0D"/>
          <w:sz w:val="28"/>
          <w:szCs w:val="28"/>
          <w:shd w:val="clear" w:color="auto" w:fill="FFFFFF"/>
          <w:lang w:val="uk-UA"/>
        </w:rPr>
        <w:tab/>
      </w:r>
    </w:p>
    <w:p w:rsidR="00E56FA4" w:rsidRPr="00F8585E" w:rsidRDefault="00E56FA4" w:rsidP="00E56FA4">
      <w:pPr>
        <w:spacing w:after="0" w:line="360" w:lineRule="auto"/>
        <w:jc w:val="both"/>
        <w:rPr>
          <w:rFonts w:ascii="Times New Roman" w:hAnsi="Times New Roman" w:cs="Times New Roman"/>
          <w:sz w:val="28"/>
          <w:szCs w:val="28"/>
          <w:lang w:val="uk-UA"/>
        </w:rPr>
      </w:pPr>
      <w:r w:rsidRPr="00F8585E">
        <w:rPr>
          <w:rFonts w:ascii="Times New Roman" w:hAnsi="Times New Roman" w:cs="Times New Roman"/>
          <w:color w:val="0D0D0D"/>
          <w:sz w:val="28"/>
          <w:szCs w:val="28"/>
          <w:shd w:val="clear" w:color="auto" w:fill="FFFFFF"/>
          <w:lang w:val="uk-UA"/>
        </w:rPr>
        <w:tab/>
        <w:t xml:space="preserve">Після </w:t>
      </w:r>
      <w:r w:rsidRPr="00F8585E">
        <w:rPr>
          <w:rFonts w:ascii="Times New Roman" w:hAnsi="Times New Roman" w:cs="Times New Roman"/>
          <w:color w:val="000000" w:themeColor="text1"/>
          <w:sz w:val="28"/>
          <w:szCs w:val="28"/>
          <w:lang w:val="uk-UA"/>
        </w:rPr>
        <w:t xml:space="preserve">аналізу </w:t>
      </w:r>
      <w:r w:rsidR="00F8585E" w:rsidRPr="00F8585E">
        <w:rPr>
          <w:rFonts w:ascii="Times New Roman" w:hAnsi="Times New Roman" w:cs="Times New Roman"/>
          <w:color w:val="000000" w:themeColor="text1"/>
          <w:sz w:val="28"/>
          <w:szCs w:val="28"/>
          <w:lang w:val="uk-UA"/>
        </w:rPr>
        <w:t>особливостей інвестиційного клімату в різних регіонах світу</w:t>
      </w:r>
      <w:r w:rsidRPr="00F8585E">
        <w:rPr>
          <w:rFonts w:ascii="Times New Roman" w:hAnsi="Times New Roman" w:cs="Times New Roman"/>
          <w:color w:val="000000" w:themeColor="text1"/>
          <w:sz w:val="28"/>
          <w:szCs w:val="28"/>
          <w:lang w:val="uk-UA"/>
        </w:rPr>
        <w:t xml:space="preserve"> було встановлено, що </w:t>
      </w:r>
      <w:r w:rsidRPr="00F8585E">
        <w:rPr>
          <w:rFonts w:ascii="Times New Roman" w:hAnsi="Times New Roman" w:cs="Times New Roman"/>
          <w:sz w:val="28"/>
          <w:szCs w:val="28"/>
          <w:lang w:val="uk-UA"/>
        </w:rPr>
        <w:t xml:space="preserve">рівень економічної свободи як показник інвестиційного клімату в різних регіонах світу значно відрізняється. Північна Америка та Європа виявляються лідерами у багатьох складових, таких як права власності, доброчесність уряду та ефективність судової системи, що свідчить про стабільність і прозорість управління в цих регіонах. Це робить їх привабливими для інвестицій та транснаціональних операцій. У той час як Північна Америка і Європа мають високі рівні економічної свободи, регіони Південної та Східної Африки, а також Південно-Східна Азія відзначаються нижчими значеннями у багатьох складових, що може гальмувати їхній потенціал для залучення іноземних інвестицій та розвитку транснаціональних бізнес-операцій. Було отримано комплексний образ економічного середовища в </w:t>
      </w:r>
      <w:r w:rsidRPr="00F8585E">
        <w:rPr>
          <w:rFonts w:ascii="Times New Roman" w:hAnsi="Times New Roman" w:cs="Times New Roman"/>
          <w:sz w:val="28"/>
          <w:szCs w:val="28"/>
          <w:lang w:val="uk-UA"/>
        </w:rPr>
        <w:lastRenderedPageBreak/>
        <w:t>різних регіонах, що є важливим для розуміння можливостей та обмежень щодо інвестицій та транснаціональної діяльності.</w:t>
      </w:r>
    </w:p>
    <w:p w:rsidR="00F8585E" w:rsidRPr="00B515BC" w:rsidRDefault="00F8585E" w:rsidP="00F8585E">
      <w:pPr>
        <w:spacing w:after="0" w:line="360" w:lineRule="auto"/>
        <w:ind w:firstLine="708"/>
        <w:jc w:val="both"/>
        <w:rPr>
          <w:rFonts w:ascii="Times New Roman" w:hAnsi="Times New Roman" w:cs="Times New Roman"/>
          <w:bCs/>
          <w:sz w:val="28"/>
          <w:szCs w:val="28"/>
          <w:lang w:val="uk-UA"/>
        </w:rPr>
      </w:pPr>
      <w:r w:rsidRPr="00F8585E">
        <w:rPr>
          <w:rFonts w:ascii="Times New Roman" w:hAnsi="Times New Roman" w:cs="Times New Roman"/>
          <w:sz w:val="28"/>
          <w:szCs w:val="28"/>
          <w:lang w:val="uk-UA"/>
        </w:rPr>
        <w:t xml:space="preserve">Для того, щоб дослідити, які фактори впливають на транснаціональну діяльність, був використаний </w:t>
      </w:r>
      <w:r w:rsidRPr="00F8585E">
        <w:rPr>
          <w:rFonts w:ascii="Times New Roman" w:hAnsi="Times New Roman" w:cs="Times New Roman"/>
          <w:color w:val="000000" w:themeColor="text1"/>
          <w:sz w:val="28"/>
          <w:szCs w:val="28"/>
          <w:lang w:val="uk-UA"/>
        </w:rPr>
        <w:t xml:space="preserve">математико-статистичний метод вивчення взаємозв’язку, а саме регресійний аналіз часових рядів. У якості залежної змінної був обраний показник міжнародна інвестиційна позиція України. У якості незалежних змінних (факторів впливу) були обрані фактори інвестиційного клімату, а саме компоненти Індексу економічної свободи: державні витрати, монетарна свобода та доброчесність уряду. </w:t>
      </w:r>
      <w:r w:rsidR="0059422E" w:rsidRPr="00BF024A">
        <w:rPr>
          <w:rFonts w:ascii="Times New Roman" w:hAnsi="Times New Roman" w:cs="Times New Roman"/>
          <w:color w:val="000000" w:themeColor="text1"/>
          <w:sz w:val="28"/>
          <w:szCs w:val="28"/>
          <w:lang w:val="uk-UA"/>
        </w:rPr>
        <w:t>Державні витрати, монетарна свобода та доброчесність уряду безпосередньо відображають ключові економічні та політичні викли</w:t>
      </w:r>
      <w:r w:rsidR="0059422E">
        <w:rPr>
          <w:rFonts w:ascii="Times New Roman" w:hAnsi="Times New Roman" w:cs="Times New Roman"/>
          <w:color w:val="000000" w:themeColor="text1"/>
          <w:sz w:val="28"/>
          <w:szCs w:val="28"/>
          <w:lang w:val="uk-UA"/>
        </w:rPr>
        <w:t xml:space="preserve">ки, з якими стикається Україна. </w:t>
      </w:r>
      <w:r w:rsidRPr="00F8585E">
        <w:rPr>
          <w:rFonts w:ascii="Times New Roman" w:hAnsi="Times New Roman" w:cs="Times New Roman"/>
          <w:color w:val="000000" w:themeColor="text1"/>
          <w:sz w:val="28"/>
          <w:szCs w:val="28"/>
          <w:lang w:val="uk-UA"/>
        </w:rPr>
        <w:t xml:space="preserve">У якості контрольних змінних були взяті зовнішній борг та рівень безробіття. </w:t>
      </w:r>
      <w:r w:rsidRPr="00F8585E">
        <w:rPr>
          <w:rFonts w:ascii="Times New Roman" w:hAnsi="Times New Roman" w:cs="Times New Roman"/>
          <w:bCs/>
          <w:sz w:val="28"/>
          <w:szCs w:val="28"/>
          <w:lang w:val="uk-UA"/>
        </w:rPr>
        <w:t>Р</w:t>
      </w:r>
      <w:r w:rsidRPr="00F8585E">
        <w:rPr>
          <w:rFonts w:ascii="Times New Roman" w:hAnsi="Times New Roman" w:cs="Times New Roman"/>
          <w:sz w:val="28"/>
          <w:szCs w:val="28"/>
          <w:lang w:val="uk-UA"/>
        </w:rPr>
        <w:t xml:space="preserve">езультати даної регресії дозволяють оцінити, як різні фактори впливають на міжнародні інвестиції в Україні. Це допомагає у розумінні ситуації з інвестиційним кліматом країни та ідентифікації потенційних аспектів, які можна покращити для приваблення інвестицій, а також у прогнозуванні рівня та напрямку транснаціональної діяльності в Україні. Наприклад, зростання доброчесності уряду та державних витрат може сприяти зростанню міжнародної інвестиційної позиції України, тоді як високий ступінь монетарної свободи та високий рівень зовнішнього боргу може погіршити міжнародну інвестиційну позицію України. </w:t>
      </w:r>
      <w:r w:rsidR="00B515BC">
        <w:rPr>
          <w:rFonts w:ascii="Times New Roman" w:hAnsi="Times New Roman" w:cs="Times New Roman"/>
          <w:bCs/>
          <w:sz w:val="28"/>
          <w:szCs w:val="28"/>
          <w:lang w:val="uk-UA"/>
        </w:rPr>
        <w:t>Згідно з отриманими результатами, в</w:t>
      </w:r>
      <w:r w:rsidR="00B515BC" w:rsidRPr="00C00F5B">
        <w:rPr>
          <w:rFonts w:ascii="Times New Roman" w:hAnsi="Times New Roman" w:cs="Times New Roman"/>
          <w:bCs/>
          <w:sz w:val="28"/>
          <w:szCs w:val="28"/>
          <w:lang w:val="uk-UA"/>
        </w:rPr>
        <w:t>исокий рівень безробіття пов'язаний із зростанням міжн</w:t>
      </w:r>
      <w:r w:rsidR="00B515BC">
        <w:rPr>
          <w:rFonts w:ascii="Times New Roman" w:hAnsi="Times New Roman" w:cs="Times New Roman"/>
          <w:bCs/>
          <w:sz w:val="28"/>
          <w:szCs w:val="28"/>
          <w:lang w:val="uk-UA"/>
        </w:rPr>
        <w:t>ародної інвестиційної позиції України, ц</w:t>
      </w:r>
      <w:r w:rsidR="00B515BC" w:rsidRPr="00C00F5B">
        <w:rPr>
          <w:rFonts w:ascii="Times New Roman" w:hAnsi="Times New Roman" w:cs="Times New Roman"/>
          <w:bCs/>
          <w:sz w:val="28"/>
          <w:szCs w:val="28"/>
          <w:lang w:val="uk-UA"/>
        </w:rPr>
        <w:t>е явище може бути пов'язане зі зниженням витрат на працю, але також може свідчити про інші структурні проблеми в економіці, які потребують уваги.</w:t>
      </w:r>
      <w:r w:rsidR="00B515BC">
        <w:rPr>
          <w:rFonts w:ascii="Times New Roman" w:hAnsi="Times New Roman" w:cs="Times New Roman"/>
          <w:bCs/>
          <w:sz w:val="28"/>
          <w:szCs w:val="28"/>
          <w:lang w:val="uk-UA"/>
        </w:rPr>
        <w:t xml:space="preserve"> Для</w:t>
      </w:r>
      <w:r w:rsidR="00B515BC" w:rsidRPr="00C00F5B">
        <w:rPr>
          <w:rFonts w:ascii="Times New Roman" w:hAnsi="Times New Roman" w:cs="Times New Roman"/>
          <w:bCs/>
          <w:sz w:val="28"/>
          <w:szCs w:val="28"/>
          <w:lang w:val="uk-UA"/>
        </w:rPr>
        <w:t xml:space="preserve"> </w:t>
      </w:r>
      <w:r w:rsidR="00B515BC">
        <w:rPr>
          <w:rFonts w:ascii="Times New Roman" w:hAnsi="Times New Roman" w:cs="Times New Roman"/>
          <w:bCs/>
          <w:sz w:val="28"/>
          <w:szCs w:val="28"/>
          <w:lang w:val="uk-UA"/>
        </w:rPr>
        <w:t>підвищення конкурентоспроможності</w:t>
      </w:r>
      <w:r w:rsidR="00B515BC" w:rsidRPr="00C00F5B">
        <w:rPr>
          <w:rFonts w:ascii="Times New Roman" w:hAnsi="Times New Roman" w:cs="Times New Roman"/>
          <w:bCs/>
          <w:sz w:val="28"/>
          <w:szCs w:val="28"/>
          <w:lang w:val="uk-UA"/>
        </w:rPr>
        <w:t xml:space="preserve"> екон</w:t>
      </w:r>
      <w:r w:rsidR="00B515BC">
        <w:rPr>
          <w:rFonts w:ascii="Times New Roman" w:hAnsi="Times New Roman" w:cs="Times New Roman"/>
          <w:bCs/>
          <w:sz w:val="28"/>
          <w:szCs w:val="28"/>
          <w:lang w:val="uk-UA"/>
        </w:rPr>
        <w:t>оміки без зростання безробіття необхідна р</w:t>
      </w:r>
      <w:r w:rsidR="00B515BC" w:rsidRPr="00C00F5B">
        <w:rPr>
          <w:rFonts w:ascii="Times New Roman" w:hAnsi="Times New Roman" w:cs="Times New Roman"/>
          <w:bCs/>
          <w:sz w:val="28"/>
          <w:szCs w:val="28"/>
          <w:lang w:val="uk-UA"/>
        </w:rPr>
        <w:t>озробка політик, спрямованих на створення робочих місць, підвищення кваліфікації робочої сили та покращення умов праці</w:t>
      </w:r>
      <w:r w:rsidR="00B515BC">
        <w:rPr>
          <w:rFonts w:ascii="Times New Roman" w:hAnsi="Times New Roman" w:cs="Times New Roman"/>
          <w:bCs/>
          <w:sz w:val="28"/>
          <w:szCs w:val="28"/>
          <w:lang w:val="uk-UA"/>
        </w:rPr>
        <w:t>.</w:t>
      </w:r>
    </w:p>
    <w:p w:rsidR="00F8585E" w:rsidRPr="00F8585E" w:rsidRDefault="00F8585E" w:rsidP="00F8585E">
      <w:pPr>
        <w:pStyle w:val="muitypography-root"/>
        <w:spacing w:before="0" w:beforeAutospacing="0" w:after="0" w:afterAutospacing="0" w:line="360" w:lineRule="auto"/>
        <w:jc w:val="both"/>
        <w:rPr>
          <w:sz w:val="28"/>
          <w:szCs w:val="28"/>
        </w:rPr>
      </w:pPr>
      <w:r w:rsidRPr="00F8585E">
        <w:rPr>
          <w:color w:val="000000" w:themeColor="text1"/>
          <w:sz w:val="28"/>
          <w:szCs w:val="28"/>
        </w:rPr>
        <w:lastRenderedPageBreak/>
        <w:tab/>
        <w:t xml:space="preserve">Після аналізу </w:t>
      </w:r>
      <w:r w:rsidR="00E56FA4" w:rsidRPr="00F8585E">
        <w:rPr>
          <w:color w:val="000000" w:themeColor="text1"/>
          <w:sz w:val="28"/>
          <w:szCs w:val="28"/>
        </w:rPr>
        <w:t>стан</w:t>
      </w:r>
      <w:r w:rsidRPr="00F8585E">
        <w:rPr>
          <w:color w:val="000000" w:themeColor="text1"/>
          <w:sz w:val="28"/>
          <w:szCs w:val="28"/>
        </w:rPr>
        <w:t>у</w:t>
      </w:r>
      <w:r w:rsidR="00E56FA4" w:rsidRPr="00F8585E">
        <w:rPr>
          <w:color w:val="000000" w:themeColor="text1"/>
          <w:sz w:val="28"/>
          <w:szCs w:val="28"/>
        </w:rPr>
        <w:t xml:space="preserve"> інвестиційного клімату </w:t>
      </w:r>
      <w:r w:rsidRPr="00F8585E">
        <w:rPr>
          <w:color w:val="000000" w:themeColor="text1"/>
          <w:sz w:val="28"/>
          <w:szCs w:val="28"/>
        </w:rPr>
        <w:t xml:space="preserve">в Україні було зроблено наступні висновки. </w:t>
      </w:r>
      <w:r w:rsidRPr="00F8585E">
        <w:rPr>
          <w:sz w:val="28"/>
          <w:szCs w:val="28"/>
        </w:rPr>
        <w:t>Аналіз динаміки основних складових Індексу економічної свободи, рівня безробіття та зовнішнього боргу в Україні показує складну та неоднозначну картину. Незважаючи на певні позитивні зрушення, такі як зниження безробіття та зростання доброчесності уряду, залишаються серйозні виклики, зокрема у сфері державних витрат та управління зовнішнім боргом. Покращення інвестиційного клімату вимагає комплексних заходів, спрямованих на стабілізацію економіки, боротьбу з корупцією та підвищення ефективності уряду.</w:t>
      </w: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r w:rsidRPr="00F8585E">
        <w:rPr>
          <w:rFonts w:ascii="Times New Roman" w:hAnsi="Times New Roman" w:cs="Times New Roman"/>
          <w:color w:val="000000" w:themeColor="text1"/>
          <w:sz w:val="28"/>
          <w:szCs w:val="28"/>
          <w:lang w:val="uk-UA"/>
        </w:rPr>
        <w:tab/>
        <w:t xml:space="preserve">Дослідження перспектив поліпшення інвестиційного клімату та </w:t>
      </w:r>
      <w:r w:rsidR="00BA543B">
        <w:rPr>
          <w:rFonts w:ascii="Times New Roman" w:hAnsi="Times New Roman" w:cs="Times New Roman"/>
          <w:color w:val="000000" w:themeColor="text1"/>
          <w:sz w:val="28"/>
          <w:szCs w:val="28"/>
          <w:lang w:val="uk-UA"/>
        </w:rPr>
        <w:t xml:space="preserve">механізмів залучення </w:t>
      </w:r>
      <w:r w:rsidRPr="00F8585E">
        <w:rPr>
          <w:rFonts w:ascii="Times New Roman" w:hAnsi="Times New Roman" w:cs="Times New Roman"/>
          <w:color w:val="000000" w:themeColor="text1"/>
          <w:sz w:val="28"/>
          <w:szCs w:val="28"/>
          <w:lang w:val="uk-UA"/>
        </w:rPr>
        <w:t xml:space="preserve">інвестицій до України </w:t>
      </w:r>
      <w:r w:rsidR="00BA543B" w:rsidRPr="00BA543B">
        <w:rPr>
          <w:rFonts w:ascii="Times New Roman" w:hAnsi="Times New Roman" w:cs="Times New Roman"/>
          <w:color w:val="000000" w:themeColor="text1"/>
          <w:sz w:val="28"/>
          <w:szCs w:val="28"/>
          <w:lang w:val="uk-UA"/>
        </w:rPr>
        <w:t xml:space="preserve">в період післявоєнного відновлення </w:t>
      </w:r>
      <w:r w:rsidRPr="00F8585E">
        <w:rPr>
          <w:rFonts w:ascii="Times New Roman" w:hAnsi="Times New Roman" w:cs="Times New Roman"/>
          <w:color w:val="000000" w:themeColor="text1"/>
          <w:sz w:val="28"/>
          <w:szCs w:val="28"/>
          <w:lang w:val="uk-UA"/>
        </w:rPr>
        <w:t xml:space="preserve">показало, що </w:t>
      </w:r>
      <w:r w:rsidRPr="00F8585E">
        <w:rPr>
          <w:rFonts w:ascii="Times New Roman" w:hAnsi="Times New Roman" w:cs="Times New Roman"/>
          <w:sz w:val="28"/>
          <w:szCs w:val="28"/>
          <w:lang w:val="uk-UA"/>
        </w:rPr>
        <w:t xml:space="preserve">протягом останніх двох десятиліть динаміка припливу прямих іноземних інвестицій в Україну демонструє значні коливання, що відображають як внутрішні економічні та політичні зміни, так і глобальні економічні тенденції: значні стрибки та спади пов'язані з періодами економічного зростання, фінансових криз, політичної нестабільності та глобальних економічних потрясінь. </w:t>
      </w:r>
      <w:r w:rsidRPr="00F8585E">
        <w:rPr>
          <w:rFonts w:ascii="Times New Roman" w:hAnsi="Times New Roman" w:cs="Times New Roman"/>
          <w:sz w:val="28"/>
          <w:lang w:val="uk-UA"/>
        </w:rPr>
        <w:t>Іноземні інвестиції мають стати ключовим фактором післявоєнної відбудови України.</w:t>
      </w:r>
      <w:r w:rsidRPr="00F8585E">
        <w:rPr>
          <w:rFonts w:ascii="Times New Roman" w:hAnsi="Times New Roman" w:cs="Times New Roman"/>
          <w:sz w:val="28"/>
          <w:szCs w:val="28"/>
          <w:lang w:val="uk-UA"/>
        </w:rPr>
        <w:t xml:space="preserve"> Зусилля уряду щодо антикорупційних ініціатив та судової реформи, а також зміцнення правопорядку мають створити міцний фундамент для економічного зростання, що в свою чергу стимулюватиме транснаціональну діяльність та підвищить конкурентоспроможність України на глобальному ринку.</w:t>
      </w: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F8585E" w:rsidRPr="00F8585E" w:rsidRDefault="00F8585E" w:rsidP="00F8585E">
      <w:pPr>
        <w:pStyle w:val="a3"/>
        <w:spacing w:after="0" w:line="360" w:lineRule="auto"/>
        <w:ind w:left="0"/>
        <w:jc w:val="both"/>
        <w:rPr>
          <w:rFonts w:ascii="Times New Roman" w:hAnsi="Times New Roman" w:cs="Times New Roman"/>
          <w:sz w:val="28"/>
          <w:szCs w:val="28"/>
          <w:lang w:val="uk-UA"/>
        </w:rPr>
      </w:pPr>
    </w:p>
    <w:p w:rsidR="00841733" w:rsidRPr="00841733" w:rsidRDefault="00841733" w:rsidP="00841733">
      <w:pPr>
        <w:tabs>
          <w:tab w:val="num" w:pos="0"/>
        </w:tabs>
        <w:spacing w:after="0" w:line="360" w:lineRule="auto"/>
        <w:jc w:val="center"/>
        <w:rPr>
          <w:rFonts w:ascii="Times New Roman" w:hAnsi="Times New Roman" w:cs="Times New Roman"/>
          <w:b/>
          <w:sz w:val="28"/>
          <w:lang w:val="uk-UA"/>
        </w:rPr>
      </w:pPr>
      <w:r w:rsidRPr="00841733">
        <w:rPr>
          <w:rFonts w:ascii="Times New Roman" w:hAnsi="Times New Roman" w:cs="Times New Roman"/>
          <w:b/>
          <w:sz w:val="28"/>
          <w:lang w:val="uk-UA"/>
        </w:rPr>
        <w:lastRenderedPageBreak/>
        <w:t>СПИСОК ВИКОРИСТАНИХ ДЖЕРЕЛ</w:t>
      </w:r>
    </w:p>
    <w:p w:rsidR="00841733" w:rsidRPr="00841733" w:rsidRDefault="00841733" w:rsidP="00841733">
      <w:pPr>
        <w:tabs>
          <w:tab w:val="num" w:pos="142"/>
        </w:tabs>
        <w:spacing w:after="0" w:line="360" w:lineRule="auto"/>
        <w:jc w:val="both"/>
        <w:rPr>
          <w:rFonts w:ascii="Times New Roman" w:hAnsi="Times New Roman" w:cs="Times New Roman"/>
          <w:sz w:val="28"/>
          <w:lang w:val="en-US"/>
        </w:rPr>
      </w:pP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Misztal P., Kulakou V. Analysis of the practical applicability of selected methodologies for assessing the investment climate of countries [Електронний ресурс] // 33rd RSEP International Conference on Economics, Finance and Business ‒</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t xml:space="preserve">2023. – Режим доступу: </w:t>
      </w:r>
      <w:hyperlink r:id="rId28" w:history="1">
        <w:r w:rsidRPr="00841733">
          <w:rPr>
            <w:rStyle w:val="aa"/>
            <w:rFonts w:ascii="Times New Roman" w:hAnsi="Times New Roman" w:cs="Times New Roman"/>
            <w:bCs/>
            <w:sz w:val="28"/>
            <w:lang w:val="uk-UA"/>
          </w:rPr>
          <w:t>https://doi.org/10.19275/RSEPCONFERENCES280</w:t>
        </w:r>
      </w:hyperlink>
      <w:r w:rsidRPr="00841733">
        <w:rPr>
          <w:rFonts w:ascii="Times New Roman" w:hAnsi="Times New Roman" w:cs="Times New Roman"/>
          <w:bCs/>
          <w:sz w:val="28"/>
          <w:lang w:val="uk-UA"/>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Guo R, Qiu X, He Y. Evaluation of Agricultural Investment Climate in CEE Countries: The Application of Back Propagation Neural Network [Електронний ресурс] // Algorithmic Aspects of Neural Networks. – 2020. – №13(12). – Режим доступу: </w:t>
      </w:r>
      <w:hyperlink r:id="rId29" w:tgtFrame="_new" w:history="1">
        <w:r w:rsidRPr="00841733">
          <w:rPr>
            <w:rStyle w:val="aa"/>
            <w:rFonts w:ascii="Times New Roman" w:hAnsi="Times New Roman" w:cs="Times New Roman"/>
            <w:bCs/>
            <w:sz w:val="28"/>
            <w:lang w:val="uk-UA"/>
          </w:rPr>
          <w:t>https://doi.org/10.3390/a13120336</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Issue-Brief </w:t>
      </w:r>
      <w:r w:rsidRPr="00841733">
        <w:rPr>
          <w:rFonts w:ascii="Times New Roman" w:hAnsi="Times New Roman" w:cs="Times New Roman"/>
          <w:bCs/>
          <w:sz w:val="28"/>
          <w:lang w:val="en-US"/>
        </w:rPr>
        <w:t xml:space="preserve">Series. </w:t>
      </w:r>
      <w:r w:rsidRPr="00841733">
        <w:rPr>
          <w:rFonts w:ascii="Times New Roman" w:hAnsi="Times New Roman" w:cs="Times New Roman"/>
          <w:bCs/>
          <w:sz w:val="28"/>
          <w:lang w:val="uk-UA"/>
        </w:rPr>
        <w:t xml:space="preserve">The Investment Climate. [Електронний ресурс] // International Finance Corporation (World Bank Group). – Режим доступу: </w:t>
      </w:r>
      <w:hyperlink r:id="rId30" w:tgtFrame="_new" w:history="1">
        <w:r w:rsidRPr="00841733">
          <w:rPr>
            <w:rStyle w:val="aa"/>
            <w:rFonts w:ascii="Times New Roman" w:hAnsi="Times New Roman" w:cs="Times New Roman"/>
            <w:bCs/>
            <w:sz w:val="28"/>
            <w:lang w:val="uk-UA"/>
          </w:rPr>
          <w:t>https://www.un.org/esa/ffd/wp-content/uploads/2016/01/The-Investment-Climate_IFC-World-Bank-Group_IATF-Issue-Brief.pdf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Handbook </w:t>
      </w:r>
      <w:r w:rsidRPr="00841733">
        <w:rPr>
          <w:rFonts w:ascii="Times New Roman" w:hAnsi="Times New Roman" w:cs="Times New Roman"/>
          <w:bCs/>
          <w:sz w:val="28"/>
          <w:lang w:val="en-US"/>
        </w:rPr>
        <w:t>on improving the Investment Climate through EU action. Implementation of Pillar 3 in the integrated approach of the External Investment Plan</w:t>
      </w:r>
      <w:r w:rsidRPr="00841733">
        <w:rPr>
          <w:rFonts w:ascii="Times New Roman" w:hAnsi="Times New Roman" w:cs="Times New Roman"/>
          <w:bCs/>
          <w:sz w:val="28"/>
          <w:lang w:val="uk-UA"/>
        </w:rPr>
        <w:t xml:space="preserve"> [Електронний ресурс] // European Commission. – 2022. – Режим доступу: </w:t>
      </w:r>
      <w:hyperlink r:id="rId31" w:tgtFrame="_new" w:history="1">
        <w:r w:rsidRPr="00841733">
          <w:rPr>
            <w:rStyle w:val="aa"/>
            <w:rFonts w:ascii="Times New Roman" w:hAnsi="Times New Roman" w:cs="Times New Roman"/>
            <w:bCs/>
            <w:sz w:val="28"/>
            <w:lang w:val="uk-UA"/>
          </w:rPr>
          <w:t>https://south.euneighbours.eu/wp-content/uploads/2022/07/handbook-en-1.pdf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Njuguna, A.E., Nnadozie, E. Investment Climate and Foreign Direct Investment in Africa: The Role of Ease of Doing Business [Електронний ресурс] // Journal of African Trade. – 2022. – №9. – С. 23–46. – Режим доступу: </w:t>
      </w:r>
      <w:hyperlink r:id="rId32" w:tgtFrame="_new" w:history="1">
        <w:r w:rsidRPr="00841733">
          <w:rPr>
            <w:rStyle w:val="aa"/>
            <w:rFonts w:ascii="Times New Roman" w:hAnsi="Times New Roman" w:cs="Times New Roman"/>
            <w:bCs/>
            <w:sz w:val="28"/>
            <w:lang w:val="uk-UA"/>
          </w:rPr>
          <w:t>https://doi.org/10.1007/s44232-022-00003-x</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en-US"/>
        </w:rPr>
        <w:t xml:space="preserve">Navruzov </w:t>
      </w:r>
      <w:r w:rsidRPr="00841733">
        <w:rPr>
          <w:rFonts w:ascii="Times New Roman" w:hAnsi="Times New Roman" w:cs="Times New Roman"/>
          <w:bCs/>
          <w:sz w:val="28"/>
          <w:lang w:val="uk-UA"/>
        </w:rPr>
        <w:t>I.</w:t>
      </w:r>
      <w:r w:rsidRPr="00841733">
        <w:rPr>
          <w:rFonts w:ascii="Times New Roman" w:hAnsi="Times New Roman" w:cs="Times New Roman"/>
          <w:bCs/>
          <w:sz w:val="28"/>
          <w:lang w:val="en-US"/>
        </w:rPr>
        <w:t xml:space="preserve"> A. </w:t>
      </w:r>
      <w:r w:rsidRPr="00841733">
        <w:rPr>
          <w:rFonts w:ascii="Times New Roman" w:hAnsi="Times New Roman" w:cs="Times New Roman"/>
          <w:bCs/>
          <w:sz w:val="28"/>
          <w:lang w:val="uk-UA"/>
        </w:rPr>
        <w:t xml:space="preserve">The Importance </w:t>
      </w:r>
      <w:r w:rsidRPr="00841733">
        <w:rPr>
          <w:rFonts w:ascii="Times New Roman" w:hAnsi="Times New Roman" w:cs="Times New Roman"/>
          <w:bCs/>
          <w:sz w:val="28"/>
          <w:lang w:val="en-US"/>
        </w:rPr>
        <w:t>o</w:t>
      </w:r>
      <w:r w:rsidRPr="00841733">
        <w:rPr>
          <w:rFonts w:ascii="Times New Roman" w:hAnsi="Times New Roman" w:cs="Times New Roman"/>
          <w:bCs/>
          <w:sz w:val="28"/>
          <w:lang w:val="uk-UA"/>
        </w:rPr>
        <w:t xml:space="preserve">f </w:t>
      </w:r>
      <w:r w:rsidRPr="00841733">
        <w:rPr>
          <w:rFonts w:ascii="Times New Roman" w:hAnsi="Times New Roman" w:cs="Times New Roman"/>
          <w:bCs/>
          <w:sz w:val="28"/>
          <w:lang w:val="en-US"/>
        </w:rPr>
        <w:t>t</w:t>
      </w:r>
      <w:r w:rsidRPr="00841733">
        <w:rPr>
          <w:rFonts w:ascii="Times New Roman" w:hAnsi="Times New Roman" w:cs="Times New Roman"/>
          <w:bCs/>
          <w:sz w:val="28"/>
          <w:lang w:val="uk-UA"/>
        </w:rPr>
        <w:t xml:space="preserve">he Investment Climate </w:t>
      </w:r>
      <w:r w:rsidRPr="00841733">
        <w:rPr>
          <w:rFonts w:ascii="Times New Roman" w:hAnsi="Times New Roman" w:cs="Times New Roman"/>
          <w:bCs/>
          <w:sz w:val="28"/>
          <w:lang w:val="en-US"/>
        </w:rPr>
        <w:t>i</w:t>
      </w:r>
      <w:r w:rsidRPr="00841733">
        <w:rPr>
          <w:rFonts w:ascii="Times New Roman" w:hAnsi="Times New Roman" w:cs="Times New Roman"/>
          <w:bCs/>
          <w:sz w:val="28"/>
          <w:lang w:val="uk-UA"/>
        </w:rPr>
        <w:t xml:space="preserve">n </w:t>
      </w:r>
      <w:r w:rsidRPr="00841733">
        <w:rPr>
          <w:rFonts w:ascii="Times New Roman" w:hAnsi="Times New Roman" w:cs="Times New Roman"/>
          <w:bCs/>
          <w:sz w:val="28"/>
          <w:lang w:val="en-US"/>
        </w:rPr>
        <w:t>t</w:t>
      </w:r>
      <w:r w:rsidRPr="00841733">
        <w:rPr>
          <w:rFonts w:ascii="Times New Roman" w:hAnsi="Times New Roman" w:cs="Times New Roman"/>
          <w:bCs/>
          <w:sz w:val="28"/>
          <w:lang w:val="uk-UA"/>
        </w:rPr>
        <w:t xml:space="preserve">he Inflow </w:t>
      </w:r>
      <w:r w:rsidRPr="00841733">
        <w:rPr>
          <w:rFonts w:ascii="Times New Roman" w:hAnsi="Times New Roman" w:cs="Times New Roman"/>
          <w:bCs/>
          <w:sz w:val="28"/>
          <w:lang w:val="en-US"/>
        </w:rPr>
        <w:t>o</w:t>
      </w:r>
      <w:r w:rsidRPr="00841733">
        <w:rPr>
          <w:rFonts w:ascii="Times New Roman" w:hAnsi="Times New Roman" w:cs="Times New Roman"/>
          <w:bCs/>
          <w:sz w:val="28"/>
          <w:lang w:val="uk-UA"/>
        </w:rPr>
        <w:t xml:space="preserve">f Foreign Direct Investment </w:t>
      </w:r>
      <w:r w:rsidRPr="00841733">
        <w:rPr>
          <w:rFonts w:ascii="Times New Roman" w:hAnsi="Times New Roman" w:cs="Times New Roman"/>
          <w:bCs/>
          <w:sz w:val="28"/>
          <w:lang w:val="en-US"/>
        </w:rPr>
        <w:t>i</w:t>
      </w:r>
      <w:r w:rsidRPr="00841733">
        <w:rPr>
          <w:rFonts w:ascii="Times New Roman" w:hAnsi="Times New Roman" w:cs="Times New Roman"/>
          <w:bCs/>
          <w:sz w:val="28"/>
          <w:lang w:val="uk-UA"/>
        </w:rPr>
        <w:t xml:space="preserve">nto </w:t>
      </w:r>
      <w:r w:rsidRPr="00841733">
        <w:rPr>
          <w:rFonts w:ascii="Times New Roman" w:hAnsi="Times New Roman" w:cs="Times New Roman"/>
          <w:bCs/>
          <w:sz w:val="28"/>
          <w:lang w:val="en-US"/>
        </w:rPr>
        <w:t>t</w:t>
      </w:r>
      <w:r w:rsidRPr="00841733">
        <w:rPr>
          <w:rFonts w:ascii="Times New Roman" w:hAnsi="Times New Roman" w:cs="Times New Roman"/>
          <w:bCs/>
          <w:sz w:val="28"/>
          <w:lang w:val="uk-UA"/>
        </w:rPr>
        <w:t xml:space="preserve">he Country [Електронний ресурс] // American Journal of Business Management, Economics and Banking. – 2023. – №16. – С. 260. – Режим доступу: </w:t>
      </w:r>
      <w:hyperlink r:id="rId33" w:history="1">
        <w:r w:rsidRPr="00841733">
          <w:rPr>
            <w:rStyle w:val="aa"/>
            <w:rFonts w:ascii="Times New Roman" w:hAnsi="Times New Roman" w:cs="Times New Roman"/>
            <w:sz w:val="28"/>
            <w:lang w:val="en-US"/>
          </w:rPr>
          <w:t>https://zienjournals.com/index.php/tjm/article/view/4455</w:t>
        </w:r>
      </w:hyperlink>
      <w:r w:rsidRPr="00841733">
        <w:rPr>
          <w:rFonts w:ascii="Times New Roman" w:hAnsi="Times New Roman" w:cs="Times New Roman"/>
          <w:sz w:val="28"/>
          <w:lang w:val="en-US"/>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en-US"/>
        </w:rPr>
        <w:t xml:space="preserve">Navruzov </w:t>
      </w:r>
      <w:r w:rsidRPr="00841733">
        <w:rPr>
          <w:rFonts w:ascii="Times New Roman" w:hAnsi="Times New Roman" w:cs="Times New Roman"/>
          <w:bCs/>
          <w:sz w:val="28"/>
          <w:lang w:val="uk-UA"/>
        </w:rPr>
        <w:t>I.</w:t>
      </w:r>
      <w:r w:rsidRPr="00841733">
        <w:rPr>
          <w:rFonts w:ascii="Times New Roman" w:hAnsi="Times New Roman" w:cs="Times New Roman"/>
          <w:bCs/>
          <w:sz w:val="28"/>
          <w:lang w:val="en-US"/>
        </w:rPr>
        <w:t xml:space="preserve"> A. </w:t>
      </w:r>
      <w:r w:rsidRPr="00841733">
        <w:rPr>
          <w:rFonts w:ascii="Times New Roman" w:hAnsi="Times New Roman" w:cs="Times New Roman"/>
          <w:bCs/>
          <w:sz w:val="28"/>
          <w:lang w:val="uk-UA"/>
        </w:rPr>
        <w:t>Attracting Foreign Direct Investment Is A Guarantee Of Progress [Електронний ресурс] // Miasto Przyszłości. – 2022. – Т. 24. – С. 226-230.</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lastRenderedPageBreak/>
        <w:t>– Режим доступу:</w:t>
      </w:r>
      <w:r w:rsidRPr="00841733">
        <w:rPr>
          <w:rFonts w:ascii="Times New Roman" w:hAnsi="Times New Roman" w:cs="Times New Roman"/>
          <w:bCs/>
          <w:sz w:val="28"/>
          <w:lang w:val="en-US"/>
        </w:rPr>
        <w:t xml:space="preserve"> </w:t>
      </w:r>
      <w:hyperlink r:id="rId34" w:history="1">
        <w:r w:rsidRPr="00841733">
          <w:rPr>
            <w:rStyle w:val="aa"/>
            <w:rFonts w:ascii="Times New Roman" w:hAnsi="Times New Roman" w:cs="Times New Roman"/>
            <w:bCs/>
            <w:sz w:val="28"/>
            <w:lang w:val="en-US"/>
          </w:rPr>
          <w:t>https://miastoprzyszlosci.com.pl/index.php/mp/article/download/70/68</w:t>
        </w:r>
      </w:hyperlink>
      <w:r w:rsidRPr="00841733">
        <w:rPr>
          <w:rFonts w:ascii="Times New Roman" w:hAnsi="Times New Roman" w:cs="Times New Roman"/>
          <w:bCs/>
          <w:sz w:val="28"/>
          <w:lang w:val="en-US"/>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Schwarzenberg Zilberstein, A. B. Investment and Economic Performance in Europe: The Role of the Investment Climate [Електронний ресурс] // 2020. – Режим доступу: </w:t>
      </w:r>
      <w:hyperlink r:id="rId35" w:history="1">
        <w:r w:rsidRPr="00841733">
          <w:rPr>
            <w:rStyle w:val="aa"/>
            <w:rFonts w:ascii="Times New Roman" w:hAnsi="Times New Roman" w:cs="Times New Roman"/>
            <w:sz w:val="28"/>
            <w:lang w:val="en-US"/>
          </w:rPr>
          <w:t>https://drum.lib.umd.edu/items/68808b47-a27a-4cd8-bfff-0c47eec31583</w:t>
        </w:r>
      </w:hyperlink>
      <w:r w:rsidRPr="00841733">
        <w:rPr>
          <w:rFonts w:ascii="Times New Roman" w:hAnsi="Times New Roman" w:cs="Times New Roman"/>
          <w:sz w:val="28"/>
          <w:lang w:val="en-US"/>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Gıovanıs, E., Özdamar, Z. The nexus between business–investment climate and firm performance in the Middle East and North Africa (MENA) region [Електронний ресурс] // Review of Economic and Political Science. – 2022. – Режим доступу: </w:t>
      </w:r>
      <w:hyperlink r:id="rId36" w:tgtFrame="_new" w:history="1">
        <w:r w:rsidRPr="00841733">
          <w:rPr>
            <w:rStyle w:val="aa"/>
            <w:rFonts w:ascii="Times New Roman" w:hAnsi="Times New Roman" w:cs="Times New Roman"/>
            <w:bCs/>
            <w:sz w:val="28"/>
            <w:lang w:val="uk-UA"/>
          </w:rPr>
          <w:t>https://doi.org/10.1108/reps-09-2020-0138</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Mihailova, V., Dodu-Gugea, L. Ways of improving the investment climate in the Republic of Moldova. Case study: Baltic States [Електронний ресурс] // Center for Studies in European Integration (CSIE) Working Papers Series. – 2016. – С. 19-33. – Режим доступу: </w:t>
      </w:r>
      <w:hyperlink r:id="rId37" w:tgtFrame="_new" w:history="1">
        <w:r w:rsidRPr="00841733">
          <w:rPr>
            <w:rStyle w:val="aa"/>
            <w:rFonts w:ascii="Times New Roman" w:hAnsi="Times New Roman" w:cs="Times New Roman"/>
            <w:bCs/>
            <w:sz w:val="28"/>
            <w:lang w:val="uk-UA"/>
          </w:rPr>
          <w:t>https://www.ceeol.com/search/article-detail?id=570258</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Singh, D., Gal, Z. Economic freedom and its impact on foreign direct investment: global overview [Електронний ресурс] // Review of Economic Perspectives. – 2020. – №20(1). – С. 73-90. – Режим доступу: </w:t>
      </w:r>
      <w:hyperlink r:id="rId38" w:tgtFrame="_new" w:history="1">
        <w:r w:rsidRPr="00841733">
          <w:rPr>
            <w:rStyle w:val="aa"/>
            <w:rFonts w:ascii="Times New Roman" w:hAnsi="Times New Roman" w:cs="Times New Roman"/>
            <w:bCs/>
            <w:sz w:val="28"/>
            <w:lang w:val="uk-UA"/>
          </w:rPr>
          <w:t>https://intapi.sciendo.com/pdf/10.2478/revecp-2020-0004</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Sooreea-Bheemul, B., Rasool, U. S., Sooreea, R. Does economic freedom matter to foreign direct investment in Sub-Saharan Africa [Електронний ресурс] // International Journal of Economics and Financial Issues. – 2020. – №10(3). – Режим доступу: </w:t>
      </w:r>
      <w:hyperlink r:id="rId39" w:tgtFrame="_new" w:history="1">
        <w:r w:rsidRPr="00841733">
          <w:rPr>
            <w:rStyle w:val="aa"/>
            <w:rFonts w:ascii="Times New Roman" w:hAnsi="Times New Roman" w:cs="Times New Roman"/>
            <w:bCs/>
            <w:sz w:val="28"/>
            <w:lang w:val="uk-UA"/>
          </w:rPr>
          <w:t>https://scholar.dominican.edu/barowsky-school-of-business-faculty-scholarship/9/</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Irtyshcheva, I., Kramarenko, I., Shults, S., Boiko, Y., Blishchuk, K., Hryshyna, N., Popadynets, N., Dubynska, І., Ishchenko, O., &amp; Krapyvina, D. Building favorable investment climate for economic development [Електронний ресурс] // Accounting. – 2020. – №6(5). – С. 773-780. – Режим доступу: </w:t>
      </w:r>
      <w:hyperlink r:id="rId40" w:tgtFrame="_new" w:history="1">
        <w:r w:rsidRPr="00841733">
          <w:rPr>
            <w:rStyle w:val="aa"/>
            <w:rFonts w:ascii="Times New Roman" w:hAnsi="Times New Roman" w:cs="Times New Roman"/>
            <w:bCs/>
            <w:sz w:val="28"/>
            <w:lang w:val="uk-UA"/>
          </w:rPr>
          <w:t>https://growingscience.com/beta/ac/4043-building-favorable-investment-climate-for-economic-development.html</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lastRenderedPageBreak/>
        <w:t xml:space="preserve">About the </w:t>
      </w:r>
      <w:r w:rsidRPr="00841733">
        <w:rPr>
          <w:rFonts w:ascii="Times New Roman" w:hAnsi="Times New Roman" w:cs="Times New Roman"/>
          <w:bCs/>
          <w:sz w:val="28"/>
          <w:lang w:val="en-US"/>
        </w:rPr>
        <w:t xml:space="preserve">Economic Freedom </w:t>
      </w:r>
      <w:r w:rsidRPr="00841733">
        <w:rPr>
          <w:rFonts w:ascii="Times New Roman" w:hAnsi="Times New Roman" w:cs="Times New Roman"/>
          <w:bCs/>
          <w:sz w:val="28"/>
          <w:lang w:val="uk-UA"/>
        </w:rPr>
        <w:t xml:space="preserve">Index [Електронний ресурс] // Heritage Foundation. – Режим доступу: </w:t>
      </w:r>
      <w:hyperlink r:id="rId41" w:tgtFrame="_new" w:history="1">
        <w:r w:rsidRPr="00841733">
          <w:rPr>
            <w:rStyle w:val="aa"/>
            <w:rFonts w:ascii="Times New Roman" w:hAnsi="Times New Roman" w:cs="Times New Roman"/>
            <w:bCs/>
            <w:sz w:val="28"/>
            <w:lang w:val="uk-UA"/>
          </w:rPr>
          <w:t>https://www.heritage.org/index/pages/about</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The 12 Economic Freedoms: Unleashing Choice And Opportunity [Електронний ресурс] // Heritage Foundation. – 2024. – Режим доступу: </w:t>
      </w:r>
      <w:hyperlink r:id="rId42" w:tgtFrame="_new" w:history="1">
        <w:r w:rsidRPr="00841733">
          <w:rPr>
            <w:rStyle w:val="aa"/>
            <w:rFonts w:ascii="Times New Roman" w:hAnsi="Times New Roman" w:cs="Times New Roman"/>
            <w:bCs/>
            <w:sz w:val="28"/>
            <w:lang w:val="uk-UA"/>
          </w:rPr>
          <w:t>https://static.heritage.org/index/pdf/2024/2024_indexofeconomicfreedom_twelvefreedoms.pdf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The Index Of Economic Freedom</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t>Prefac</w:t>
      </w:r>
      <w:r w:rsidRPr="00841733">
        <w:rPr>
          <w:rFonts w:ascii="Times New Roman" w:hAnsi="Times New Roman" w:cs="Times New Roman"/>
          <w:bCs/>
          <w:sz w:val="28"/>
          <w:lang w:val="en-US"/>
        </w:rPr>
        <w:t>e</w:t>
      </w:r>
      <w:r w:rsidRPr="00841733">
        <w:rPr>
          <w:rFonts w:ascii="Times New Roman" w:hAnsi="Times New Roman" w:cs="Times New Roman"/>
          <w:bCs/>
          <w:sz w:val="28"/>
          <w:lang w:val="uk-UA"/>
        </w:rPr>
        <w:t xml:space="preserve"> [Електронний ресурс] // Heritage Foundation. – Режим доступу: </w:t>
      </w:r>
      <w:hyperlink r:id="rId43" w:tgtFrame="_new" w:history="1">
        <w:r w:rsidRPr="00841733">
          <w:rPr>
            <w:rStyle w:val="aa"/>
            <w:rFonts w:ascii="Times New Roman" w:hAnsi="Times New Roman" w:cs="Times New Roman"/>
            <w:bCs/>
            <w:sz w:val="28"/>
            <w:lang w:val="uk-UA"/>
          </w:rPr>
          <w:t>https://www.heritage.org/index/pages/report</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All Country Scores [Електронний ресурс] // Heritage Foundation. – Режим доступу: </w:t>
      </w:r>
      <w:hyperlink r:id="rId44" w:tgtFrame="_new" w:history="1">
        <w:r w:rsidRPr="00841733">
          <w:rPr>
            <w:rStyle w:val="aa"/>
            <w:rFonts w:ascii="Times New Roman" w:hAnsi="Times New Roman" w:cs="Times New Roman"/>
            <w:bCs/>
            <w:sz w:val="28"/>
            <w:lang w:val="uk-UA"/>
          </w:rPr>
          <w:t>https://www.heritage.org/index/pages/all-country-scores</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Index Methodology [Електронний ресурс] // Heritage Foundation. – Режим доступу: </w:t>
      </w:r>
      <w:hyperlink r:id="rId45" w:anchor="indexMethodology" w:tgtFrame="_new" w:history="1">
        <w:r w:rsidRPr="00841733">
          <w:rPr>
            <w:rStyle w:val="aa"/>
            <w:rFonts w:ascii="Times New Roman" w:hAnsi="Times New Roman" w:cs="Times New Roman"/>
            <w:bCs/>
            <w:sz w:val="28"/>
            <w:lang w:val="uk-UA"/>
          </w:rPr>
          <w:t>https://www.heritage.org/index/pages/about#indexMethodology</w:t>
        </w:r>
      </w:hyperlink>
    </w:p>
    <w:p w:rsidR="00B515BC"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 </w:t>
      </w:r>
      <w:r w:rsidRPr="00841733">
        <w:rPr>
          <w:rFonts w:ascii="Times New Roman" w:hAnsi="Times New Roman" w:cs="Times New Roman"/>
          <w:bCs/>
          <w:sz w:val="28"/>
          <w:lang w:val="en-US"/>
        </w:rPr>
        <w:t xml:space="preserve">Adams S. </w:t>
      </w:r>
      <w:r w:rsidR="00B515BC" w:rsidRPr="00841733">
        <w:rPr>
          <w:rFonts w:ascii="Times New Roman" w:hAnsi="Times New Roman" w:cs="Times New Roman"/>
          <w:bCs/>
          <w:sz w:val="28"/>
          <w:lang w:val="uk-UA"/>
        </w:rPr>
        <w:t xml:space="preserve">Intellectual Property Rights, Investment Climate, and FDI in Developing Countries [Електронний ресурс] // International Business Research 3(3). – Режим доступу: </w:t>
      </w:r>
      <w:hyperlink r:id="rId46" w:tgtFrame="_new" w:history="1">
        <w:r w:rsidR="00B515BC" w:rsidRPr="00841733">
          <w:rPr>
            <w:rStyle w:val="aa"/>
            <w:rFonts w:ascii="Times New Roman" w:hAnsi="Times New Roman" w:cs="Times New Roman"/>
            <w:bCs/>
            <w:sz w:val="28"/>
            <w:lang w:val="uk-UA"/>
          </w:rPr>
          <w:t>https://www.researchgate.net/publication/44298419_Intellectual_Property_Rights_Investment_Climate_and_FDI_in_Developing_Countries</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Hajzler</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t>C</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t>Rosborough J</w:t>
      </w: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uk-UA"/>
        </w:rPr>
        <w:t xml:space="preserve">Government corruption and foreign direct investment under the threat of expropriation [Електронний ресурс] // </w:t>
      </w:r>
      <w:r w:rsidRPr="00841733">
        <w:rPr>
          <w:rFonts w:ascii="Times New Roman" w:hAnsi="Times New Roman" w:cs="Times New Roman"/>
          <w:sz w:val="28"/>
          <w:lang w:val="en-US"/>
        </w:rPr>
        <w:t>Bank of Canada Staff Working Paper No. 2016-13.</w:t>
      </w:r>
      <w:r w:rsidRPr="00841733">
        <w:rPr>
          <w:rFonts w:ascii="Times New Roman" w:hAnsi="Times New Roman" w:cs="Times New Roman"/>
          <w:bCs/>
          <w:sz w:val="28"/>
          <w:lang w:val="uk-UA"/>
        </w:rPr>
        <w:t xml:space="preserve"> – Режим доступу: </w:t>
      </w:r>
      <w:hyperlink r:id="rId47" w:tgtFrame="_new" w:history="1">
        <w:r w:rsidRPr="00841733">
          <w:rPr>
            <w:rStyle w:val="aa"/>
            <w:rFonts w:ascii="Times New Roman" w:hAnsi="Times New Roman" w:cs="Times New Roman"/>
            <w:bCs/>
            <w:sz w:val="28"/>
            <w:lang w:val="uk-UA"/>
          </w:rPr>
          <w:t>https://www.econstor.eu/handle/10419/148120</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en-US"/>
        </w:rPr>
        <w:t>Ukrainian Justice Matrix: Assessment Of The Ukrainian Justice System Under The Eu Justice Scoreboard 2022 Methodology</w:t>
      </w:r>
      <w:r w:rsidRPr="00841733">
        <w:rPr>
          <w:rFonts w:ascii="Times New Roman" w:hAnsi="Times New Roman" w:cs="Times New Roman"/>
          <w:bCs/>
          <w:sz w:val="28"/>
          <w:lang w:val="uk-UA"/>
        </w:rPr>
        <w:t xml:space="preserve"> [Електронний ресурс] – 2022. – Режим доступу: </w:t>
      </w:r>
      <w:hyperlink r:id="rId48" w:tgtFrame="_new" w:history="1">
        <w:r w:rsidRPr="00841733">
          <w:rPr>
            <w:rStyle w:val="aa"/>
            <w:rFonts w:ascii="Times New Roman" w:hAnsi="Times New Roman" w:cs="Times New Roman"/>
            <w:bCs/>
            <w:sz w:val="28"/>
            <w:lang w:val="uk-UA"/>
          </w:rPr>
          <w:t>https://pravo.org.ua/wp-content/uploads/2022/10/Matrix_2022_eng.pdf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en-US"/>
        </w:rPr>
        <w:t>Ilyina A. I</w:t>
      </w:r>
      <w:r w:rsidRPr="00841733">
        <w:rPr>
          <w:rFonts w:ascii="Times New Roman" w:hAnsi="Times New Roman" w:cs="Times New Roman"/>
          <w:bCs/>
          <w:sz w:val="28"/>
          <w:lang w:val="uk-UA"/>
        </w:rPr>
        <w:t xml:space="preserve">nvestment Climate Evaluation As An Effective Detection Method For Negative Impacts On Country’s Development [Електронний ресурс] // Baltic Journal </w:t>
      </w:r>
      <w:r w:rsidRPr="00841733">
        <w:rPr>
          <w:rFonts w:ascii="Times New Roman" w:hAnsi="Times New Roman" w:cs="Times New Roman"/>
          <w:bCs/>
          <w:sz w:val="28"/>
          <w:lang w:val="en-US"/>
        </w:rPr>
        <w:t>of</w:t>
      </w:r>
      <w:r w:rsidRPr="00841733">
        <w:rPr>
          <w:rFonts w:ascii="Times New Roman" w:hAnsi="Times New Roman" w:cs="Times New Roman"/>
          <w:bCs/>
          <w:sz w:val="28"/>
          <w:lang w:val="uk-UA"/>
        </w:rPr>
        <w:t xml:space="preserve"> </w:t>
      </w:r>
      <w:r w:rsidRPr="00841733">
        <w:rPr>
          <w:rFonts w:ascii="Times New Roman" w:hAnsi="Times New Roman" w:cs="Times New Roman"/>
          <w:bCs/>
          <w:sz w:val="28"/>
          <w:lang w:val="en-US"/>
        </w:rPr>
        <w:t>Economic</w:t>
      </w:r>
      <w:r w:rsidRPr="00841733">
        <w:rPr>
          <w:rFonts w:ascii="Times New Roman" w:hAnsi="Times New Roman" w:cs="Times New Roman"/>
          <w:bCs/>
          <w:sz w:val="28"/>
          <w:lang w:val="uk-UA"/>
        </w:rPr>
        <w:t xml:space="preserve"> </w:t>
      </w:r>
      <w:r w:rsidRPr="00841733">
        <w:rPr>
          <w:rFonts w:ascii="Times New Roman" w:hAnsi="Times New Roman" w:cs="Times New Roman"/>
          <w:bCs/>
          <w:sz w:val="28"/>
          <w:lang w:val="en-US"/>
        </w:rPr>
        <w:t>Studies</w:t>
      </w:r>
      <w:r w:rsidRPr="00841733">
        <w:rPr>
          <w:rFonts w:ascii="Times New Roman" w:hAnsi="Times New Roman" w:cs="Times New Roman"/>
          <w:bCs/>
          <w:sz w:val="28"/>
          <w:lang w:val="uk-UA"/>
        </w:rPr>
        <w:t xml:space="preserve">. – Режим доступу: </w:t>
      </w:r>
      <w:hyperlink r:id="rId49" w:tgtFrame="_new" w:history="1">
        <w:r w:rsidRPr="00841733">
          <w:rPr>
            <w:rStyle w:val="aa"/>
            <w:rFonts w:ascii="Times New Roman" w:hAnsi="Times New Roman" w:cs="Times New Roman"/>
            <w:bCs/>
            <w:sz w:val="28"/>
            <w:lang w:val="uk-UA"/>
          </w:rPr>
          <w:t>http://www.baltijapublishing.lv/index.php/issue/article/view/280/pdf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lastRenderedPageBreak/>
        <w:t xml:space="preserve">Siskos </w:t>
      </w:r>
      <w:r w:rsidRPr="00841733">
        <w:rPr>
          <w:rFonts w:ascii="Times New Roman" w:hAnsi="Times New Roman" w:cs="Times New Roman"/>
          <w:bCs/>
          <w:sz w:val="28"/>
          <w:lang w:val="en-US"/>
        </w:rPr>
        <w:t xml:space="preserve">E., </w:t>
      </w:r>
      <w:r w:rsidRPr="00841733">
        <w:rPr>
          <w:rFonts w:ascii="Times New Roman" w:hAnsi="Times New Roman" w:cs="Times New Roman"/>
          <w:bCs/>
          <w:sz w:val="28"/>
          <w:lang w:val="uk-UA"/>
        </w:rPr>
        <w:t>Darvidou</w:t>
      </w:r>
      <w:r w:rsidRPr="00841733">
        <w:rPr>
          <w:rFonts w:ascii="Times New Roman" w:hAnsi="Times New Roman" w:cs="Times New Roman"/>
          <w:bCs/>
          <w:sz w:val="28"/>
          <w:lang w:val="en-US"/>
        </w:rPr>
        <w:t xml:space="preserve"> K. </w:t>
      </w:r>
      <w:r w:rsidRPr="00841733">
        <w:rPr>
          <w:rFonts w:ascii="Times New Roman" w:hAnsi="Times New Roman" w:cs="Times New Roman"/>
          <w:bCs/>
          <w:sz w:val="28"/>
          <w:lang w:val="uk-UA"/>
        </w:rPr>
        <w:t>Analyzing the FDI dynamics and the investment climate impacting the economic development of BSEC [Електронний ресурс] // Business Perspectives. ‒</w:t>
      </w:r>
      <w:r w:rsidRPr="00841733">
        <w:rPr>
          <w:rFonts w:ascii="Times New Roman" w:hAnsi="Times New Roman" w:cs="Times New Roman"/>
          <w:bCs/>
          <w:sz w:val="28"/>
        </w:rPr>
        <w:t xml:space="preserve"> 2020. </w:t>
      </w:r>
      <w:r w:rsidRPr="00841733">
        <w:rPr>
          <w:rFonts w:ascii="Times New Roman" w:hAnsi="Times New Roman" w:cs="Times New Roman"/>
          <w:bCs/>
          <w:sz w:val="28"/>
          <w:lang w:val="uk-UA"/>
        </w:rPr>
        <w:t xml:space="preserve">– Режим доступу: </w:t>
      </w:r>
      <w:hyperlink r:id="rId50" w:tgtFrame="_new" w:history="1">
        <w:r w:rsidRPr="00841733">
          <w:rPr>
            <w:rStyle w:val="aa"/>
            <w:rFonts w:ascii="Times New Roman" w:hAnsi="Times New Roman" w:cs="Times New Roman"/>
            <w:bCs/>
            <w:sz w:val="28"/>
            <w:lang w:val="uk-UA"/>
          </w:rPr>
          <w:t>https://www.businessperspectives.org/journals/economics-of-development/issue-363/analyzing-the-fdi-dynamics-and-the-investment-climate-impacting-the-economic-development-of-bsec</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en-US"/>
        </w:rPr>
        <w:t>Foreign Direct Investment, Economic Freedom and Economic Growth: Evidence from Developing Countries</w:t>
      </w:r>
      <w:r w:rsidRPr="00841733">
        <w:rPr>
          <w:rFonts w:ascii="Times New Roman" w:hAnsi="Times New Roman" w:cs="Times New Roman"/>
          <w:bCs/>
          <w:sz w:val="28"/>
          <w:lang w:val="uk-UA"/>
        </w:rPr>
        <w:t xml:space="preserve"> [Електронний ресурс] // </w:t>
      </w:r>
      <w:r w:rsidRPr="00841733">
        <w:rPr>
          <w:rFonts w:ascii="Times New Roman" w:hAnsi="Times New Roman" w:cs="Times New Roman"/>
          <w:sz w:val="28"/>
          <w:lang w:val="en-US"/>
        </w:rPr>
        <w:t>International Journal of Economics and Finance</w:t>
      </w:r>
      <w:r w:rsidRPr="00841733">
        <w:rPr>
          <w:rFonts w:ascii="Times New Roman" w:hAnsi="Times New Roman" w:cs="Times New Roman"/>
          <w:bCs/>
          <w:sz w:val="28"/>
          <w:lang w:val="uk-UA"/>
        </w:rPr>
        <w:t>. – 201</w:t>
      </w:r>
      <w:r w:rsidRPr="00841733">
        <w:rPr>
          <w:rFonts w:ascii="Times New Roman" w:hAnsi="Times New Roman" w:cs="Times New Roman"/>
          <w:bCs/>
          <w:sz w:val="28"/>
          <w:lang w:val="en-US"/>
        </w:rPr>
        <w:t>6</w:t>
      </w:r>
      <w:r w:rsidRPr="00841733">
        <w:rPr>
          <w:rFonts w:ascii="Times New Roman" w:hAnsi="Times New Roman" w:cs="Times New Roman"/>
          <w:bCs/>
          <w:sz w:val="28"/>
          <w:lang w:val="uk-UA"/>
        </w:rPr>
        <w:t xml:space="preserve">. – Режим доступу: </w:t>
      </w:r>
      <w:hyperlink r:id="rId51" w:tgtFrame="_new" w:history="1">
        <w:r w:rsidRPr="00841733">
          <w:rPr>
            <w:rStyle w:val="aa"/>
            <w:rFonts w:ascii="Times New Roman" w:hAnsi="Times New Roman" w:cs="Times New Roman"/>
            <w:bCs/>
            <w:sz w:val="28"/>
            <w:lang w:val="uk-UA"/>
          </w:rPr>
          <w:t>https://web.archive.org/web/20170923003811id_/http://ccsenet.org/journal/index.php/ijef/article/viewFile/59976/34417</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en-US"/>
        </w:rPr>
      </w:pPr>
      <w:r w:rsidRPr="00841733">
        <w:rPr>
          <w:rFonts w:ascii="Times New Roman" w:hAnsi="Times New Roman" w:cs="Times New Roman"/>
          <w:bCs/>
          <w:sz w:val="28"/>
          <w:lang w:val="en-US"/>
        </w:rPr>
        <w:t>Ivanovic V., Stanišić N. Monetary freedom and economic growth in New European Union Member States</w:t>
      </w:r>
      <w:r w:rsidRPr="00841733">
        <w:rPr>
          <w:rFonts w:ascii="Times New Roman" w:hAnsi="Times New Roman" w:cs="Times New Roman"/>
          <w:bCs/>
          <w:sz w:val="28"/>
          <w:lang w:val="uk-UA"/>
        </w:rPr>
        <w:t xml:space="preserve"> [Електронний ресурс] // Economic Research-Ekonomska Istraživanja. – Режим доступу: </w:t>
      </w:r>
      <w:hyperlink r:id="rId52" w:tgtFrame="_new" w:history="1">
        <w:r w:rsidRPr="00841733">
          <w:rPr>
            <w:rStyle w:val="aa"/>
            <w:rFonts w:ascii="Times New Roman" w:hAnsi="Times New Roman" w:cs="Times New Roman"/>
            <w:bCs/>
            <w:sz w:val="28"/>
            <w:lang w:val="uk-UA"/>
          </w:rPr>
          <w:t>https://www.tandfonline.com/doi/full/10.1080/1331677X.2017.1305803</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en-US"/>
        </w:rPr>
        <w:t xml:space="preserve"> </w:t>
      </w:r>
      <w:r w:rsidRPr="00841733">
        <w:rPr>
          <w:rFonts w:ascii="Times New Roman" w:hAnsi="Times New Roman" w:cs="Times New Roman"/>
          <w:bCs/>
          <w:sz w:val="28"/>
          <w:lang w:val="de-DE"/>
        </w:rPr>
        <w:t xml:space="preserve">Tag M. N., Degirmen S.. </w:t>
      </w:r>
      <w:r w:rsidRPr="00841733">
        <w:rPr>
          <w:rFonts w:ascii="Times New Roman" w:hAnsi="Times New Roman" w:cs="Times New Roman"/>
          <w:bCs/>
          <w:sz w:val="28"/>
          <w:lang w:val="uk-UA"/>
        </w:rPr>
        <w:t>Economic freedom and foreign direct investment: Are they related? [Електронний ресурс] // Economic Analysis and Policy. ‒ 2022.</w:t>
      </w:r>
      <w:r w:rsidRPr="00841733">
        <w:rPr>
          <w:rFonts w:ascii="Times New Roman" w:hAnsi="Times New Roman" w:cs="Times New Roman"/>
          <w:bCs/>
          <w:sz w:val="28"/>
        </w:rPr>
        <w:t xml:space="preserve"> </w:t>
      </w:r>
      <w:r w:rsidRPr="00841733">
        <w:rPr>
          <w:rFonts w:ascii="Times New Roman" w:hAnsi="Times New Roman" w:cs="Times New Roman"/>
          <w:bCs/>
          <w:sz w:val="28"/>
          <w:lang w:val="uk-UA"/>
        </w:rPr>
        <w:t xml:space="preserve">– Режим доступу: </w:t>
      </w:r>
      <w:hyperlink r:id="rId53" w:tgtFrame="_new" w:history="1">
        <w:r w:rsidRPr="00841733">
          <w:rPr>
            <w:rStyle w:val="aa"/>
            <w:rFonts w:ascii="Times New Roman" w:hAnsi="Times New Roman" w:cs="Times New Roman"/>
            <w:bCs/>
            <w:sz w:val="28"/>
            <w:lang w:val="uk-UA"/>
          </w:rPr>
          <w:t>https://www.sciencedirect.com/science/article/abs/pii/S0313592621001909</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External Debt: Definition, Types, vs. Internal Debt [Електронний ресурс] // Investopedia. – Режим доступу: </w:t>
      </w:r>
      <w:hyperlink r:id="rId54" w:tgtFrame="_new" w:history="1">
        <w:r w:rsidRPr="00841733">
          <w:rPr>
            <w:rStyle w:val="aa"/>
            <w:rFonts w:ascii="Times New Roman" w:hAnsi="Times New Roman" w:cs="Times New Roman"/>
            <w:bCs/>
            <w:sz w:val="28"/>
            <w:lang w:val="uk-UA"/>
          </w:rPr>
          <w:t>https://www.investopedia.com/terms/e/external-debt.asp</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What Is the Unemployment Rate? [Електронний ресурс] // Investopedia. – Режим доступу: </w:t>
      </w:r>
      <w:hyperlink r:id="rId55" w:tgtFrame="_new" w:history="1">
        <w:r w:rsidRPr="00841733">
          <w:rPr>
            <w:rStyle w:val="aa"/>
            <w:rFonts w:ascii="Times New Roman" w:hAnsi="Times New Roman" w:cs="Times New Roman"/>
            <w:bCs/>
            <w:sz w:val="28"/>
            <w:lang w:val="uk-UA"/>
          </w:rPr>
          <w:t>https://www.investopedia.com/terms/u/unemploymentrate.asp</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Net International Investment Position (NIIP): Definition, Example [Електронний ресурс] // Investopedia. – Режим доступу: </w:t>
      </w:r>
      <w:hyperlink r:id="rId56" w:history="1">
        <w:r w:rsidRPr="00841733">
          <w:rPr>
            <w:rStyle w:val="aa"/>
            <w:rFonts w:ascii="Times New Roman" w:hAnsi="Times New Roman" w:cs="Times New Roman"/>
            <w:bCs/>
            <w:sz w:val="28"/>
            <w:lang w:val="uk-UA"/>
          </w:rPr>
          <w:t>https://www.investopedia.com/terms/n/net-international-investment-position-niip.asp</w:t>
        </w:r>
      </w:hyperlink>
      <w:r w:rsidRPr="00841733">
        <w:rPr>
          <w:rFonts w:ascii="Times New Roman" w:hAnsi="Times New Roman" w:cs="Times New Roman"/>
          <w:bCs/>
          <w:sz w:val="28"/>
          <w:lang w:val="uk-UA"/>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Net International Investment Position (NIIP) [Електронний ресурс] // Corporate Finance Institute. – Режим доступу: </w:t>
      </w:r>
      <w:hyperlink r:id="rId57" w:history="1">
        <w:r w:rsidRPr="00841733">
          <w:rPr>
            <w:rStyle w:val="aa"/>
            <w:rFonts w:ascii="Times New Roman" w:hAnsi="Times New Roman" w:cs="Times New Roman"/>
            <w:bCs/>
            <w:sz w:val="28"/>
            <w:lang w:val="uk-UA"/>
          </w:rPr>
          <w:t>https://corporatefinanceinstitute.com/resources/economics/net-international-investment-position-niip/</w:t>
        </w:r>
      </w:hyperlink>
      <w:r w:rsidRPr="00841733">
        <w:rPr>
          <w:rFonts w:ascii="Times New Roman" w:hAnsi="Times New Roman" w:cs="Times New Roman"/>
          <w:bCs/>
          <w:sz w:val="28"/>
          <w:lang w:val="uk-UA"/>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Unemployment, total (% of total labor force) [Електронний ресурс] // World Bank Data. – Режим доступу: </w:t>
      </w:r>
      <w:hyperlink r:id="rId58" w:tgtFrame="_new" w:history="1">
        <w:r w:rsidRPr="00841733">
          <w:rPr>
            <w:rStyle w:val="aa"/>
            <w:rFonts w:ascii="Times New Roman" w:hAnsi="Times New Roman" w:cs="Times New Roman"/>
            <w:bCs/>
            <w:sz w:val="28"/>
            <w:lang w:val="uk-UA"/>
          </w:rPr>
          <w:t>https://data.worldbank.org/indicator/SL.UEM.TOTL.NE.ZS?cid=ECR_GA_worldbank_EN_EXTP_search&amp;gad_source=1&amp;gclid=CjwKCAjw0YGyBhByEiwAQmBEWu-NqwWf-_AiOyXJXi3ejyk2PXiNf-i-v6-6SGyDbQCGOGg97rqzwBoCe60QAvD_BwE&amp;locations=UA&amp;s_kwcid=AL%2118468%213%21665425039372%21b%21%21g%21%21world+bank+projects</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How Did War Impact Ukrainian Labour Market [Електронний ресурс] // ILO. – </w:t>
      </w:r>
      <w:r w:rsidRPr="00841733">
        <w:rPr>
          <w:rFonts w:ascii="Times New Roman" w:hAnsi="Times New Roman" w:cs="Times New Roman"/>
          <w:bCs/>
          <w:sz w:val="28"/>
          <w:lang w:val="en-US"/>
        </w:rPr>
        <w:t xml:space="preserve">2024. </w:t>
      </w:r>
      <w:r w:rsidRPr="00841733">
        <w:rPr>
          <w:rFonts w:ascii="Times New Roman" w:hAnsi="Times New Roman" w:cs="Times New Roman"/>
          <w:bCs/>
          <w:sz w:val="28"/>
        </w:rPr>
        <w:t xml:space="preserve">‒ </w:t>
      </w:r>
      <w:r w:rsidRPr="00841733">
        <w:rPr>
          <w:rFonts w:ascii="Times New Roman" w:hAnsi="Times New Roman" w:cs="Times New Roman"/>
          <w:bCs/>
          <w:sz w:val="28"/>
          <w:lang w:val="uk-UA"/>
        </w:rPr>
        <w:t xml:space="preserve">Режим доступу: </w:t>
      </w:r>
      <w:hyperlink r:id="rId59" w:tgtFrame="_new" w:history="1">
        <w:r w:rsidRPr="00841733">
          <w:rPr>
            <w:rStyle w:val="aa"/>
            <w:rFonts w:ascii="Times New Roman" w:hAnsi="Times New Roman" w:cs="Times New Roman"/>
            <w:bCs/>
            <w:sz w:val="28"/>
            <w:lang w:val="uk-UA"/>
          </w:rPr>
          <w:t>https://www.ilo.org/resource/news/how-did-war-impact-ukrainian-labour-market</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Ukraine External Debt 1960-2024 [Електронний ресурс] // MacroTrends. – Режим доступу: </w:t>
      </w:r>
      <w:hyperlink r:id="rId60" w:tgtFrame="_new" w:history="1">
        <w:r w:rsidRPr="00841733">
          <w:rPr>
            <w:rStyle w:val="aa"/>
            <w:rFonts w:ascii="Times New Roman" w:hAnsi="Times New Roman" w:cs="Times New Roman"/>
            <w:bCs/>
            <w:sz w:val="28"/>
            <w:lang w:val="uk-UA"/>
          </w:rPr>
          <w:t>https://www.macrotrends.net/global-metrics/countries/UKR/ukraine/external-debt-stock</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en-US"/>
        </w:rPr>
        <w:t xml:space="preserve">Balance of Payments and International Investment Position Statistics </w:t>
      </w:r>
      <w:r w:rsidRPr="00841733">
        <w:rPr>
          <w:rFonts w:ascii="Times New Roman" w:hAnsi="Times New Roman" w:cs="Times New Roman"/>
          <w:bCs/>
          <w:sz w:val="28"/>
          <w:lang w:val="uk-UA"/>
        </w:rPr>
        <w:t xml:space="preserve"> [Електронний ресурс] // IMF. – Режим доступу: </w:t>
      </w:r>
      <w:hyperlink r:id="rId61" w:tgtFrame="_new" w:history="1">
        <w:r w:rsidRPr="00841733">
          <w:rPr>
            <w:rStyle w:val="aa"/>
            <w:rFonts w:ascii="Times New Roman" w:hAnsi="Times New Roman" w:cs="Times New Roman"/>
            <w:bCs/>
            <w:sz w:val="28"/>
            <w:lang w:val="uk-UA"/>
          </w:rPr>
          <w:t>https://data.imf.org/?sk=7a51304b-6426-40c0-83dd-ca473ca1fd52&amp;sid=1390030341854</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en-US"/>
        </w:rPr>
        <w:t>Building Trust and Confidence in International Investment. REPORT BY COUNTRIES PARTICIPATING IN THE “FREEDOM OF INVESTMENT” PROCESS</w:t>
      </w:r>
      <w:r w:rsidRPr="00841733">
        <w:rPr>
          <w:rFonts w:ascii="Times New Roman" w:hAnsi="Times New Roman" w:cs="Times New Roman"/>
          <w:bCs/>
          <w:sz w:val="28"/>
          <w:lang w:val="uk-UA"/>
        </w:rPr>
        <w:t xml:space="preserve"> [Електронний ресурс] // OECD. – Режим доступу: </w:t>
      </w:r>
      <w:hyperlink r:id="rId62" w:tgtFrame="_new" w:history="1">
        <w:r w:rsidRPr="00841733">
          <w:rPr>
            <w:rStyle w:val="aa"/>
            <w:rFonts w:ascii="Times New Roman" w:hAnsi="Times New Roman" w:cs="Times New Roman"/>
            <w:bCs/>
            <w:sz w:val="28"/>
            <w:lang w:val="uk-UA"/>
          </w:rPr>
          <w:t>https://www.oecd.org/daf/inv/investment-policy/42446942.pdf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en-US"/>
        </w:rPr>
        <w:t>Government investment spending</w:t>
      </w:r>
      <w:r w:rsidRPr="00841733">
        <w:rPr>
          <w:rFonts w:ascii="Times New Roman" w:hAnsi="Times New Roman" w:cs="Times New Roman"/>
          <w:bCs/>
          <w:sz w:val="28"/>
          <w:lang w:val="uk-UA"/>
        </w:rPr>
        <w:t xml:space="preserve"> [Електронний ресурс] // OECD iLibrary. – Режим доступу: </w:t>
      </w:r>
      <w:hyperlink r:id="rId63" w:tgtFrame="_new" w:history="1">
        <w:r w:rsidRPr="00841733">
          <w:rPr>
            <w:rStyle w:val="aa"/>
            <w:rFonts w:ascii="Times New Roman" w:hAnsi="Times New Roman" w:cs="Times New Roman"/>
            <w:bCs/>
            <w:sz w:val="28"/>
            <w:lang w:val="uk-UA"/>
          </w:rPr>
          <w:t>https://www.oecd-ilibrary.org/sites/3bb97646-en/index.html?itemId=%2Fcontent%2Fcomponent%2F3bb97646-en</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Unemployment, Labor Costs, and Recessions: Implications for the Inflation Outlook [Електронний ресурс] // </w:t>
      </w:r>
      <w:r w:rsidRPr="00841733">
        <w:rPr>
          <w:rFonts w:ascii="Times New Roman" w:hAnsi="Times New Roman" w:cs="Times New Roman"/>
          <w:bCs/>
          <w:sz w:val="28"/>
          <w:lang w:val="en-US"/>
        </w:rPr>
        <w:t>Federal Reserve Bank</w:t>
      </w:r>
      <w:r w:rsidRPr="00841733">
        <w:rPr>
          <w:rFonts w:ascii="Times New Roman" w:hAnsi="Times New Roman" w:cs="Times New Roman"/>
          <w:bCs/>
          <w:sz w:val="28"/>
          <w:lang w:val="uk-UA"/>
        </w:rPr>
        <w:t xml:space="preserve">. – Режим доступу: </w:t>
      </w:r>
      <w:hyperlink r:id="rId64" w:tgtFrame="_new" w:history="1">
        <w:r w:rsidRPr="00841733">
          <w:rPr>
            <w:rStyle w:val="aa"/>
            <w:rFonts w:ascii="Times New Roman" w:hAnsi="Times New Roman" w:cs="Times New Roman"/>
            <w:bCs/>
            <w:sz w:val="28"/>
            <w:lang w:val="uk-UA"/>
          </w:rPr>
          <w:t>https://www.clevelandfed.org/publications/economic-commentary/2011/ec-201117-unemployment-labor-costs-and-recessions-implications-for-the-inflation-outlook</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The Fiscal and Financial Risks of a High-Debt, Slow-Growth World [Електронний ресурс] // IMF Blog. – 2024. – Режим доступу: </w:t>
      </w:r>
      <w:hyperlink r:id="rId65" w:tgtFrame="_new" w:history="1">
        <w:r w:rsidRPr="00841733">
          <w:rPr>
            <w:rStyle w:val="aa"/>
            <w:rFonts w:ascii="Times New Roman" w:hAnsi="Times New Roman" w:cs="Times New Roman"/>
            <w:bCs/>
            <w:sz w:val="28"/>
            <w:lang w:val="uk-UA"/>
          </w:rPr>
          <w:t>https://www.imf.org/en/Blogs/Articles/2024/03/28/the-fiscal-and-financial-risks-of-a-high-debt-slow-growth-world</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Currency Risk is Stifling Climate Finance for Developing Countries: It Should and Can Be Mitigated [Електронний ресурс] // OECD. – 2023. – Режим доступу: </w:t>
      </w:r>
      <w:hyperlink r:id="rId66" w:tgtFrame="_new" w:history="1">
        <w:r w:rsidRPr="00841733">
          <w:rPr>
            <w:rStyle w:val="aa"/>
            <w:rFonts w:ascii="Times New Roman" w:hAnsi="Times New Roman" w:cs="Times New Roman"/>
            <w:bCs/>
            <w:sz w:val="28"/>
            <w:lang w:val="uk-UA"/>
          </w:rPr>
          <w:t>https://oecd-development-matters.org/2023/10/09/currency-risk-is-stifling-climate-finance-for-developing-countries-it-should-and-can-be-mitigated/</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rPr>
        <w:t>Статистика зовнішнього сектору</w:t>
      </w:r>
      <w:r w:rsidRPr="00841733">
        <w:rPr>
          <w:rFonts w:ascii="Times New Roman" w:hAnsi="Times New Roman" w:cs="Times New Roman"/>
          <w:bCs/>
          <w:sz w:val="28"/>
          <w:lang w:val="uk-UA"/>
        </w:rPr>
        <w:t xml:space="preserve"> [Електронний ресурс] // Національний банк України. – Режим доступу: </w:t>
      </w:r>
      <w:hyperlink r:id="rId67" w:anchor="5" w:tgtFrame="_new" w:history="1">
        <w:r w:rsidRPr="00841733">
          <w:rPr>
            <w:rStyle w:val="aa"/>
            <w:rFonts w:ascii="Times New Roman" w:hAnsi="Times New Roman" w:cs="Times New Roman"/>
            <w:bCs/>
            <w:sz w:val="28"/>
            <w:lang w:val="uk-UA"/>
          </w:rPr>
          <w:t>https://bank.gov.ua/ua/statistic/sector-external#5</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Прямі іноземні інвестиції</w:t>
      </w:r>
      <w:r w:rsidRPr="00841733">
        <w:rPr>
          <w:rFonts w:ascii="Times New Roman" w:hAnsi="Times New Roman" w:cs="Times New Roman"/>
          <w:bCs/>
          <w:sz w:val="28"/>
        </w:rPr>
        <w:t xml:space="preserve"> (ПІІ)</w:t>
      </w:r>
      <w:r w:rsidRPr="00841733">
        <w:rPr>
          <w:rFonts w:ascii="Times New Roman" w:hAnsi="Times New Roman" w:cs="Times New Roman"/>
          <w:bCs/>
          <w:sz w:val="28"/>
          <w:lang w:val="uk-UA"/>
        </w:rPr>
        <w:t xml:space="preserve"> в Україну [Електронний ресурс] // Мінфін. – Режим доступу: </w:t>
      </w:r>
      <w:hyperlink r:id="rId68" w:tgtFrame="_new" w:history="1">
        <w:r w:rsidRPr="00841733">
          <w:rPr>
            <w:rStyle w:val="aa"/>
            <w:rFonts w:ascii="Times New Roman" w:hAnsi="Times New Roman" w:cs="Times New Roman"/>
            <w:bCs/>
            <w:sz w:val="28"/>
            <w:lang w:val="uk-UA"/>
          </w:rPr>
          <w:t>https://index.minfin.com.ua/ua/economy/fdi/</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EBRD outlines a view of a successful Ukraine reconstruction [Електронний ресурс] // EBRD. – Режим доступу: </w:t>
      </w:r>
      <w:hyperlink r:id="rId69" w:tgtFrame="_new" w:history="1">
        <w:r w:rsidRPr="00841733">
          <w:rPr>
            <w:rStyle w:val="aa"/>
            <w:rFonts w:ascii="Times New Roman" w:hAnsi="Times New Roman" w:cs="Times New Roman"/>
            <w:bCs/>
            <w:sz w:val="28"/>
            <w:lang w:val="uk-UA"/>
          </w:rPr>
          <w:t>https://www.ebrd.com/ebrd-rep-successful-ukraine-reconstruction-scenario-ukr</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Іноземні інвестори вже повертаються: як Україна отримала $4,2 млрд у 2023 році [Електронний ресурс] // Mind. – Режим доступу: </w:t>
      </w:r>
      <w:hyperlink r:id="rId70" w:tgtFrame="_new" w:history="1">
        <w:r w:rsidRPr="00841733">
          <w:rPr>
            <w:rStyle w:val="aa"/>
            <w:rFonts w:ascii="Times New Roman" w:hAnsi="Times New Roman" w:cs="Times New Roman"/>
            <w:bCs/>
            <w:sz w:val="28"/>
            <w:lang w:val="uk-UA"/>
          </w:rPr>
          <w:t>https://mind.ua/publications/20271636-inozemni-investori-vzhe-povertayutsya-yak-ukrayina-otrimala-42-mlrd-u-2023-roci</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Бізнес покращує прогнози фінансових показників на 2024 рік [Електронний ресурс] // EBA. – Режим доступу: </w:t>
      </w:r>
      <w:hyperlink r:id="rId71" w:tgtFrame="_new" w:history="1">
        <w:r w:rsidRPr="00841733">
          <w:rPr>
            <w:rStyle w:val="aa"/>
            <w:rFonts w:ascii="Times New Roman" w:hAnsi="Times New Roman" w:cs="Times New Roman"/>
            <w:bCs/>
            <w:sz w:val="28"/>
            <w:lang w:val="uk-UA"/>
          </w:rPr>
          <w:t>https://eba.com.ua/biznes-pokrashhuye-prognozy-finansovyh-pokaznykiv-na-2024-rik/</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Прогнози бізнесу 2024. Результати опитування [Електронний ресурс] // EBA. – Режим доступу: </w:t>
      </w:r>
      <w:hyperlink r:id="rId72" w:tgtFrame="_new" w:history="1">
        <w:r w:rsidRPr="00841733">
          <w:rPr>
            <w:rStyle w:val="aa"/>
            <w:rFonts w:ascii="Times New Roman" w:hAnsi="Times New Roman" w:cs="Times New Roman"/>
            <w:bCs/>
            <w:sz w:val="28"/>
            <w:lang w:val="uk-UA"/>
          </w:rPr>
          <w:t>https://eba.com.ua/wp-content/uploads/2023/09/forecast-ukr.pdf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en-US"/>
        </w:rPr>
        <w:lastRenderedPageBreak/>
        <w:t>Lohsen</w:t>
      </w:r>
      <w:r w:rsidRPr="00841733">
        <w:rPr>
          <w:rFonts w:ascii="Times New Roman" w:hAnsi="Times New Roman" w:cs="Times New Roman"/>
          <w:sz w:val="28"/>
          <w:lang w:val="uk-UA"/>
        </w:rPr>
        <w:t xml:space="preserve"> </w:t>
      </w:r>
      <w:r w:rsidRPr="00841733">
        <w:rPr>
          <w:rFonts w:ascii="Times New Roman" w:hAnsi="Times New Roman" w:cs="Times New Roman"/>
          <w:sz w:val="28"/>
          <w:lang w:val="en-US"/>
        </w:rPr>
        <w:t>A., Fenton N. Corruption and Private Sector Investment in Ukraine’s Reconstruction</w:t>
      </w:r>
      <w:r w:rsidRPr="00841733">
        <w:rPr>
          <w:rFonts w:ascii="Times New Roman" w:hAnsi="Times New Roman" w:cs="Times New Roman"/>
          <w:bCs/>
          <w:sz w:val="28"/>
          <w:lang w:val="uk-UA"/>
        </w:rPr>
        <w:t xml:space="preserve"> [Електронний ресурс] //</w:t>
      </w:r>
      <w:r w:rsidRPr="00841733">
        <w:rPr>
          <w:rFonts w:ascii="Times New Roman" w:hAnsi="Times New Roman" w:cs="Times New Roman"/>
          <w:bCs/>
          <w:sz w:val="28"/>
          <w:lang w:val="en-US"/>
        </w:rPr>
        <w:t xml:space="preserve"> CSIS Briefs</w:t>
      </w:r>
      <w:r w:rsidRPr="00841733">
        <w:rPr>
          <w:rFonts w:ascii="Times New Roman" w:hAnsi="Times New Roman" w:cs="Times New Roman"/>
          <w:bCs/>
          <w:sz w:val="28"/>
          <w:lang w:val="uk-UA"/>
        </w:rPr>
        <w:t xml:space="preserve">. – Режим доступу: </w:t>
      </w:r>
      <w:hyperlink r:id="rId73" w:tgtFrame="_new" w:history="1">
        <w:r w:rsidRPr="00841733">
          <w:rPr>
            <w:rStyle w:val="aa"/>
            <w:rFonts w:ascii="Times New Roman" w:hAnsi="Times New Roman" w:cs="Times New Roman"/>
            <w:bCs/>
            <w:sz w:val="28"/>
            <w:lang w:val="uk-UA"/>
          </w:rPr>
          <w:t>https://www.jstor.org/stable/resrep44882?seq=8</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sz w:val="28"/>
          <w:lang w:val="uk-UA"/>
        </w:rPr>
        <w:t>Колесніченко О. Міжнародний досвід відновлення та відбудови держав і регіонів після військових конфліктів та екологічних катастроф: висновки для України</w:t>
      </w:r>
      <w:r w:rsidRPr="00841733">
        <w:rPr>
          <w:rFonts w:ascii="Times New Roman" w:hAnsi="Times New Roman" w:cs="Times New Roman"/>
          <w:bCs/>
          <w:sz w:val="28"/>
          <w:lang w:val="uk-UA"/>
        </w:rPr>
        <w:t xml:space="preserve"> [Електронний ресурс] // </w:t>
      </w:r>
      <w:r w:rsidRPr="00841733">
        <w:rPr>
          <w:rFonts w:ascii="Times New Roman" w:hAnsi="Times New Roman" w:cs="Times New Roman"/>
          <w:sz w:val="28"/>
          <w:lang w:val="uk-UA"/>
        </w:rPr>
        <w:t>Економічна правда</w:t>
      </w:r>
      <w:r w:rsidRPr="00841733">
        <w:rPr>
          <w:rFonts w:ascii="Times New Roman" w:hAnsi="Times New Roman" w:cs="Times New Roman"/>
          <w:bCs/>
          <w:sz w:val="28"/>
          <w:lang w:val="uk-UA"/>
        </w:rPr>
        <w:t xml:space="preserve">. – 2024. – Режим доступу: </w:t>
      </w:r>
      <w:hyperlink r:id="rId74" w:tgtFrame="_new" w:history="1">
        <w:r w:rsidRPr="00841733">
          <w:rPr>
            <w:rStyle w:val="aa"/>
            <w:rFonts w:ascii="Times New Roman" w:hAnsi="Times New Roman" w:cs="Times New Roman"/>
            <w:bCs/>
            <w:sz w:val="28"/>
            <w:lang w:val="uk-UA"/>
          </w:rPr>
          <w:t>https://analytics.intsecurity.org/wp-content/uploads/2024/01/Ukr_EPravda_12_Recovery.pdf</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Інвестиції в Україну та відновлення економіки [Електронний ресурс] // Міністерство економіки України. – </w:t>
      </w:r>
      <w:r w:rsidRPr="00841733">
        <w:rPr>
          <w:rFonts w:ascii="Times New Roman" w:hAnsi="Times New Roman" w:cs="Times New Roman"/>
          <w:bCs/>
          <w:sz w:val="28"/>
        </w:rPr>
        <w:t xml:space="preserve">2024. ‒ </w:t>
      </w:r>
      <w:r w:rsidRPr="00841733">
        <w:rPr>
          <w:rFonts w:ascii="Times New Roman" w:hAnsi="Times New Roman" w:cs="Times New Roman"/>
          <w:bCs/>
          <w:sz w:val="28"/>
          <w:lang w:val="uk-UA"/>
        </w:rPr>
        <w:t xml:space="preserve">Режим доступу: </w:t>
      </w:r>
      <w:hyperlink r:id="rId75" w:tgtFrame="_new" w:history="1">
        <w:r w:rsidRPr="00841733">
          <w:rPr>
            <w:rStyle w:val="aa"/>
            <w:rFonts w:ascii="Times New Roman" w:hAnsi="Times New Roman" w:cs="Times New Roman"/>
            <w:bCs/>
            <w:sz w:val="28"/>
            <w:lang w:val="uk-UA"/>
          </w:rPr>
          <w:t>https://www.me.gov.ua/Documents/Detail?lang=uk-UA&amp;id=62bfd716-8665-4a4c-9e2d-6325ba53b3c8&amp;title=InvestitsiiVUkrainuTaVidnovlenniaEkonomiki&amp;isSpecial=true</w:t>
        </w:r>
      </w:hyperlink>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Дія City. Свобода і можливості IT-бізнесу [Електронний ресурс] // Дія City. – Режим доступу: </w:t>
      </w:r>
      <w:hyperlink r:id="rId76" w:history="1">
        <w:r w:rsidRPr="00841733">
          <w:rPr>
            <w:rStyle w:val="aa"/>
            <w:rFonts w:ascii="Times New Roman" w:hAnsi="Times New Roman" w:cs="Times New Roman"/>
            <w:bCs/>
            <w:sz w:val="28"/>
            <w:lang w:val="uk-UA"/>
          </w:rPr>
          <w:t>https://city.diia.gov.ua/</w:t>
        </w:r>
      </w:hyperlink>
      <w:r w:rsidRPr="00841733">
        <w:rPr>
          <w:rFonts w:ascii="Times New Roman" w:hAnsi="Times New Roman" w:cs="Times New Roman"/>
          <w:bCs/>
          <w:sz w:val="28"/>
          <w:lang w:val="uk-UA"/>
        </w:rPr>
        <w:t xml:space="preserve"> </w:t>
      </w:r>
    </w:p>
    <w:p w:rsidR="00841733" w:rsidRPr="00841733" w:rsidRDefault="00841733" w:rsidP="00841733">
      <w:pPr>
        <w:numPr>
          <w:ilvl w:val="0"/>
          <w:numId w:val="23"/>
        </w:numPr>
        <w:tabs>
          <w:tab w:val="num" w:pos="142"/>
        </w:tabs>
        <w:spacing w:after="0" w:line="360" w:lineRule="auto"/>
        <w:ind w:left="0" w:firstLine="0"/>
        <w:jc w:val="both"/>
        <w:rPr>
          <w:rFonts w:ascii="Times New Roman" w:hAnsi="Times New Roman" w:cs="Times New Roman"/>
          <w:bCs/>
          <w:sz w:val="28"/>
          <w:lang w:val="uk-UA"/>
        </w:rPr>
      </w:pPr>
      <w:r w:rsidRPr="00841733">
        <w:rPr>
          <w:rFonts w:ascii="Times New Roman" w:hAnsi="Times New Roman" w:cs="Times New Roman"/>
          <w:bCs/>
          <w:sz w:val="28"/>
          <w:lang w:val="uk-UA"/>
        </w:rPr>
        <w:t xml:space="preserve">Advantage Ukraine [Електронний ресурс] // Advantage Ukraine. – Режим доступу: </w:t>
      </w:r>
      <w:hyperlink r:id="rId77" w:tgtFrame="_new" w:history="1">
        <w:r w:rsidRPr="00841733">
          <w:rPr>
            <w:rStyle w:val="aa"/>
            <w:rFonts w:ascii="Times New Roman" w:hAnsi="Times New Roman" w:cs="Times New Roman"/>
            <w:bCs/>
            <w:sz w:val="28"/>
            <w:lang w:val="uk-UA"/>
          </w:rPr>
          <w:t>https://advantageukraine.com/</w:t>
        </w:r>
      </w:hyperlink>
    </w:p>
    <w:p w:rsidR="00F8585E" w:rsidRPr="00237D27" w:rsidRDefault="00F8585E" w:rsidP="00237D27">
      <w:pPr>
        <w:tabs>
          <w:tab w:val="num" w:pos="0"/>
        </w:tabs>
        <w:spacing w:after="0" w:line="360" w:lineRule="auto"/>
        <w:jc w:val="both"/>
        <w:rPr>
          <w:rFonts w:ascii="Times New Roman" w:hAnsi="Times New Roman" w:cs="Times New Roman"/>
          <w:bCs/>
          <w:sz w:val="28"/>
          <w:szCs w:val="28"/>
          <w:lang w:val="uk-UA"/>
        </w:rPr>
      </w:pPr>
    </w:p>
    <w:p w:rsidR="00F8585E" w:rsidRPr="00AC38AB" w:rsidRDefault="00F8585E"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841733" w:rsidRPr="00AC38AB" w:rsidRDefault="00841733" w:rsidP="00237D27">
      <w:pPr>
        <w:tabs>
          <w:tab w:val="num" w:pos="0"/>
        </w:tabs>
        <w:spacing w:after="0" w:line="360" w:lineRule="auto"/>
        <w:jc w:val="both"/>
        <w:rPr>
          <w:rFonts w:ascii="Times New Roman" w:hAnsi="Times New Roman" w:cs="Times New Roman"/>
          <w:bCs/>
          <w:sz w:val="28"/>
          <w:szCs w:val="28"/>
          <w:lang w:val="uk-UA"/>
        </w:rPr>
      </w:pPr>
    </w:p>
    <w:p w:rsidR="00F8585E" w:rsidRPr="00237D27" w:rsidRDefault="00F8585E" w:rsidP="00237D27">
      <w:pPr>
        <w:tabs>
          <w:tab w:val="num" w:pos="0"/>
        </w:tabs>
        <w:spacing w:after="0" w:line="360" w:lineRule="auto"/>
        <w:jc w:val="both"/>
        <w:rPr>
          <w:rFonts w:ascii="Times New Roman" w:hAnsi="Times New Roman" w:cs="Times New Roman"/>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Default="00F8585E" w:rsidP="00836606">
      <w:pPr>
        <w:spacing w:after="0" w:line="360" w:lineRule="auto"/>
        <w:jc w:val="both"/>
        <w:rPr>
          <w:bCs/>
          <w:sz w:val="28"/>
          <w:szCs w:val="28"/>
          <w:lang w:val="uk-UA"/>
        </w:rPr>
      </w:pPr>
    </w:p>
    <w:p w:rsidR="00F8585E" w:rsidRPr="00F8585E" w:rsidRDefault="00F8585E"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center"/>
        <w:rPr>
          <w:rFonts w:ascii="Times New Roman" w:hAnsi="Times New Roman" w:cs="Times New Roman"/>
          <w:bCs/>
          <w:sz w:val="28"/>
          <w:szCs w:val="28"/>
          <w:lang w:val="uk-UA"/>
        </w:rPr>
      </w:pPr>
      <w:r w:rsidRPr="00F8585E">
        <w:rPr>
          <w:rFonts w:ascii="Times New Roman" w:hAnsi="Times New Roman" w:cs="Times New Roman"/>
          <w:bCs/>
          <w:sz w:val="28"/>
          <w:szCs w:val="28"/>
          <w:lang w:val="uk-UA"/>
        </w:rPr>
        <w:t>ДОДАТКИ</w:t>
      </w: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bCs/>
          <w:sz w:val="28"/>
          <w:szCs w:val="28"/>
          <w:lang w:val="uk-UA"/>
        </w:rPr>
      </w:pPr>
    </w:p>
    <w:p w:rsidR="00725725" w:rsidRPr="00F8585E" w:rsidRDefault="00725725" w:rsidP="00836606">
      <w:pPr>
        <w:spacing w:after="0" w:line="360" w:lineRule="auto"/>
        <w:jc w:val="both"/>
        <w:rPr>
          <w:rFonts w:ascii="Times New Roman" w:hAnsi="Times New Roman" w:cs="Times New Roman"/>
          <w:sz w:val="28"/>
          <w:szCs w:val="28"/>
          <w:lang w:val="uk-UA"/>
        </w:rPr>
      </w:pPr>
    </w:p>
    <w:p w:rsidR="00725725" w:rsidRPr="00F8585E" w:rsidRDefault="00725725"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lastRenderedPageBreak/>
        <w:t>ДОДАТОК А</w:t>
      </w:r>
    </w:p>
    <w:p w:rsidR="00725725" w:rsidRPr="00F8585E" w:rsidRDefault="00725725"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 xml:space="preserve">ДАНІ ДЛЯ </w:t>
      </w:r>
      <w:r w:rsidRPr="00F8585E">
        <w:rPr>
          <w:rFonts w:ascii="Times New Roman" w:eastAsia="Times New Roman" w:hAnsi="Times New Roman" w:cs="Times New Roman"/>
          <w:b/>
          <w:color w:val="000000"/>
          <w:sz w:val="28"/>
          <w:szCs w:val="28"/>
          <w:lang w:val="uk-UA" w:eastAsia="ru-RU"/>
        </w:rPr>
        <w:t>РЕГРЕСІЙНОГО АНАЛІЗУ ФАКТОРІВ ВПЛИВУ НА МІЖНАРОДНУ ІНВЕСТИЦІЙНУ ПОЗИЦІЮ УКРАЇНИ</w:t>
      </w:r>
    </w:p>
    <w:p w:rsidR="00725725" w:rsidRPr="00F8585E" w:rsidRDefault="00725725" w:rsidP="00836606">
      <w:pPr>
        <w:spacing w:after="0" w:line="360" w:lineRule="auto"/>
        <w:jc w:val="center"/>
        <w:rPr>
          <w:rFonts w:ascii="Times New Roman" w:hAnsi="Times New Roman" w:cs="Times New Roman"/>
          <w:b/>
          <w:sz w:val="28"/>
          <w:szCs w:val="28"/>
          <w:lang w:val="uk-UA"/>
        </w:rPr>
      </w:pPr>
    </w:p>
    <w:p w:rsidR="00725725" w:rsidRPr="00F8585E" w:rsidRDefault="00725725" w:rsidP="00836606">
      <w:pPr>
        <w:spacing w:after="0" w:line="360" w:lineRule="auto"/>
        <w:jc w:val="right"/>
        <w:rPr>
          <w:rFonts w:ascii="Times New Roman" w:hAnsi="Times New Roman" w:cs="Times New Roman"/>
          <w:sz w:val="28"/>
          <w:szCs w:val="28"/>
          <w:lang w:val="uk-UA"/>
        </w:rPr>
      </w:pPr>
      <w:r w:rsidRPr="00F8585E">
        <w:rPr>
          <w:rFonts w:ascii="Times New Roman" w:hAnsi="Times New Roman" w:cs="Times New Roman"/>
          <w:sz w:val="28"/>
          <w:szCs w:val="28"/>
          <w:lang w:val="uk-UA"/>
        </w:rPr>
        <w:t>Таблиця А.1</w:t>
      </w:r>
    </w:p>
    <w:p w:rsidR="00725725" w:rsidRPr="00F8585E" w:rsidRDefault="00725725" w:rsidP="00836606">
      <w:pPr>
        <w:spacing w:after="0" w:line="360" w:lineRule="auto"/>
        <w:jc w:val="center"/>
        <w:rPr>
          <w:rFonts w:ascii="Times New Roman" w:hAnsi="Times New Roman" w:cs="Times New Roman"/>
          <w:b/>
          <w:sz w:val="28"/>
          <w:szCs w:val="28"/>
          <w:lang w:val="uk-UA"/>
        </w:rPr>
      </w:pPr>
      <w:r w:rsidRPr="00F8585E">
        <w:rPr>
          <w:rFonts w:ascii="Times New Roman" w:hAnsi="Times New Roman" w:cs="Times New Roman"/>
          <w:b/>
          <w:sz w:val="28"/>
          <w:szCs w:val="28"/>
          <w:lang w:val="uk-UA"/>
        </w:rPr>
        <w:t xml:space="preserve">Дані для </w:t>
      </w:r>
      <w:r w:rsidRPr="00F8585E">
        <w:rPr>
          <w:rFonts w:ascii="Times New Roman" w:eastAsia="Times New Roman" w:hAnsi="Times New Roman" w:cs="Times New Roman"/>
          <w:b/>
          <w:color w:val="000000"/>
          <w:sz w:val="28"/>
          <w:szCs w:val="28"/>
          <w:lang w:val="uk-UA" w:eastAsia="ru-RU"/>
        </w:rPr>
        <w:t>регресійного аналізу факторів впливу на міжнародну інвестиційну позицію України</w:t>
      </w:r>
    </w:p>
    <w:tbl>
      <w:tblPr>
        <w:tblW w:w="976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1701"/>
        <w:gridCol w:w="1418"/>
        <w:gridCol w:w="1417"/>
        <w:gridCol w:w="1418"/>
        <w:gridCol w:w="1417"/>
        <w:gridCol w:w="1666"/>
      </w:tblGrid>
      <w:tr w:rsidR="00725725" w:rsidRPr="00F8585E" w:rsidTr="00DD5AF8">
        <w:trPr>
          <w:trHeight w:val="864"/>
        </w:trPr>
        <w:tc>
          <w:tcPr>
            <w:tcW w:w="724" w:type="dxa"/>
            <w:shd w:val="clear" w:color="auto" w:fill="auto"/>
            <w:vAlign w:val="center"/>
            <w:hideMark/>
          </w:tcPr>
          <w:p w:rsidR="00725725" w:rsidRPr="00F8585E" w:rsidRDefault="00725725"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Рік</w:t>
            </w:r>
          </w:p>
        </w:tc>
        <w:tc>
          <w:tcPr>
            <w:tcW w:w="1701" w:type="dxa"/>
            <w:shd w:val="clear" w:color="auto" w:fill="auto"/>
            <w:vAlign w:val="center"/>
            <w:hideMark/>
          </w:tcPr>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eastAsiaTheme="minorEastAsia" w:hAnsi="Times New Roman" w:cs="Times New Roman"/>
                <w:sz w:val="24"/>
                <w:szCs w:val="24"/>
                <w:lang w:val="uk-UA"/>
              </w:rPr>
              <w:t>GovIntegr, індекс доброчесності уряду</w:t>
            </w:r>
            <w:r w:rsidR="00DD5AF8">
              <w:rPr>
                <w:rFonts w:ascii="Times New Roman" w:eastAsiaTheme="minorEastAsia" w:hAnsi="Times New Roman" w:cs="Times New Roman"/>
                <w:sz w:val="24"/>
                <w:szCs w:val="24"/>
                <w:lang w:val="uk-UA"/>
              </w:rPr>
              <w:t>, пункти</w:t>
            </w:r>
          </w:p>
        </w:tc>
        <w:tc>
          <w:tcPr>
            <w:tcW w:w="1418" w:type="dxa"/>
            <w:shd w:val="clear" w:color="auto" w:fill="auto"/>
            <w:vAlign w:val="center"/>
            <w:hideMark/>
          </w:tcPr>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hAnsi="Times New Roman" w:cs="Times New Roman"/>
                <w:sz w:val="24"/>
                <w:szCs w:val="24"/>
                <w:lang w:val="uk-UA"/>
              </w:rPr>
              <w:t xml:space="preserve">GovSpend, </w:t>
            </w:r>
            <w:r w:rsidRPr="00F8585E">
              <w:rPr>
                <w:rFonts w:ascii="Times New Roman" w:eastAsiaTheme="minorEastAsia" w:hAnsi="Times New Roman" w:cs="Times New Roman"/>
                <w:sz w:val="24"/>
                <w:szCs w:val="24"/>
                <w:lang w:val="uk-UA"/>
              </w:rPr>
              <w:t>індекс державних витрат</w:t>
            </w:r>
            <w:r w:rsidR="00DD5AF8">
              <w:rPr>
                <w:rFonts w:ascii="Times New Roman" w:eastAsiaTheme="minorEastAsia" w:hAnsi="Times New Roman" w:cs="Times New Roman"/>
                <w:sz w:val="24"/>
                <w:szCs w:val="24"/>
                <w:lang w:val="uk-UA"/>
              </w:rPr>
              <w:t>, пункти</w:t>
            </w:r>
          </w:p>
        </w:tc>
        <w:tc>
          <w:tcPr>
            <w:tcW w:w="1417" w:type="dxa"/>
            <w:shd w:val="clear" w:color="auto" w:fill="auto"/>
            <w:noWrap/>
            <w:vAlign w:val="center"/>
            <w:hideMark/>
          </w:tcPr>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hAnsi="Times New Roman" w:cs="Times New Roman"/>
                <w:sz w:val="24"/>
                <w:szCs w:val="24"/>
                <w:lang w:val="uk-UA"/>
              </w:rPr>
              <w:t>MonFreed, індекс монетарної свободи</w:t>
            </w:r>
            <w:r w:rsidR="00DD5AF8">
              <w:rPr>
                <w:rFonts w:ascii="Times New Roman" w:eastAsiaTheme="minorEastAsia" w:hAnsi="Times New Roman" w:cs="Times New Roman"/>
                <w:sz w:val="24"/>
                <w:szCs w:val="24"/>
                <w:lang w:val="uk-UA"/>
              </w:rPr>
              <w:t>, пункти</w:t>
            </w:r>
          </w:p>
        </w:tc>
        <w:tc>
          <w:tcPr>
            <w:tcW w:w="1418" w:type="dxa"/>
            <w:shd w:val="clear" w:color="auto" w:fill="auto"/>
            <w:noWrap/>
            <w:vAlign w:val="center"/>
            <w:hideMark/>
          </w:tcPr>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hAnsi="Times New Roman" w:cs="Times New Roman"/>
                <w:sz w:val="24"/>
                <w:szCs w:val="24"/>
                <w:lang w:val="uk-UA"/>
              </w:rPr>
              <w:t>Unempl, рівень безробіття, %</w:t>
            </w:r>
          </w:p>
        </w:tc>
        <w:tc>
          <w:tcPr>
            <w:tcW w:w="1417" w:type="dxa"/>
            <w:shd w:val="clear" w:color="auto" w:fill="auto"/>
            <w:noWrap/>
            <w:vAlign w:val="center"/>
            <w:hideMark/>
          </w:tcPr>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hAnsi="Times New Roman" w:cs="Times New Roman"/>
                <w:sz w:val="24"/>
                <w:szCs w:val="24"/>
                <w:lang w:val="uk-UA"/>
              </w:rPr>
              <w:t>ExtDebt, зовнішній борг, млрд. дол. США</w:t>
            </w:r>
          </w:p>
        </w:tc>
        <w:tc>
          <w:tcPr>
            <w:tcW w:w="1666" w:type="dxa"/>
            <w:shd w:val="clear" w:color="auto" w:fill="auto"/>
            <w:noWrap/>
            <w:vAlign w:val="center"/>
            <w:hideMark/>
          </w:tcPr>
          <w:p w:rsidR="00BB6399"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IIP,</w:t>
            </w:r>
          </w:p>
          <w:p w:rsidR="00725725" w:rsidRPr="00F8585E" w:rsidRDefault="00BB6399" w:rsidP="00DD5AF8">
            <w:pPr>
              <w:spacing w:after="0" w:line="240" w:lineRule="auto"/>
              <w:jc w:val="center"/>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міжнародна інвестиційна позиція, млрд. дол. США</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2000</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28,00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41,90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63,00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11,71</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13,91548</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-12,7911</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2001</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49,60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62,30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11,06</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22,20914</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-12,2401</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2002</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15,00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58,90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58,20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10,14</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23,4858</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-12,1188</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2003</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21,00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68,10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64,00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9,06</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25,86601</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-11,7217</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2004</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24,00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77,80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74,50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8,59</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32,1095</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-12,1191</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2005</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23,00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78,60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76,20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7,18</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35,10016</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-14,1575</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2006</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22,00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75,80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72,90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6,81</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54,26925</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-19,9188</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2007</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53,20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68,40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6,35</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80,8115</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-26,6994</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2008</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28,00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43,00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69,90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6,36</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99,52273</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-40,1994</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2009</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27,00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39,00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68,10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8,84</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105,3057</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-34,972</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2010</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25,00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41,10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61,20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8,1</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124,5269</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-35,0829</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2011</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22,00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32,90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63,20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7,85</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137,134</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-41,8356</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2012</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24,00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29,40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67,70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7,53</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133,7471</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-51,1737</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2013</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23,00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29,40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71,00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7,17</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146,9362</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-66,881</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2014</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21,90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37,50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78,70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9,27</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127,6574</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-49,9907</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2015</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25,00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28,00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78,60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9,14</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118,5662</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-38,0519</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2016</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30,60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66,90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9,35</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116,1916</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-34,9035</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2017</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29,20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38,20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47,40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9,5</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123,8758</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-32,2756</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2018</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29,00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45,00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60,10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8,8</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121,8871</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-26,4384</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2019</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29,60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46,90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58,60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8,19</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124,9002</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-27,7272</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2020</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37,90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47,20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63,00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9,48</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132,4104</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-21,9026</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2021</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37,90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48,20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65,80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9,83</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135,7294</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-26,1942</w:t>
            </w:r>
          </w:p>
        </w:tc>
      </w:tr>
      <w:tr w:rsidR="00725725" w:rsidRPr="00F8585E" w:rsidTr="00BB6399">
        <w:trPr>
          <w:trHeight w:val="340"/>
        </w:trPr>
        <w:tc>
          <w:tcPr>
            <w:tcW w:w="724"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2022</w:t>
            </w:r>
          </w:p>
        </w:tc>
        <w:tc>
          <w:tcPr>
            <w:tcW w:w="1701"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33,80</w:t>
            </w:r>
          </w:p>
        </w:tc>
        <w:tc>
          <w:tcPr>
            <w:tcW w:w="1418" w:type="dxa"/>
            <w:shd w:val="clear" w:color="auto" w:fill="auto"/>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44,50</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71,20</w:t>
            </w:r>
          </w:p>
        </w:tc>
        <w:tc>
          <w:tcPr>
            <w:tcW w:w="1418"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21</w:t>
            </w:r>
          </w:p>
        </w:tc>
        <w:tc>
          <w:tcPr>
            <w:tcW w:w="1417"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139,3309</w:t>
            </w:r>
          </w:p>
        </w:tc>
        <w:tc>
          <w:tcPr>
            <w:tcW w:w="1666" w:type="dxa"/>
            <w:shd w:val="clear" w:color="auto" w:fill="auto"/>
            <w:noWrap/>
            <w:vAlign w:val="bottom"/>
            <w:hideMark/>
          </w:tcPr>
          <w:p w:rsidR="00725725" w:rsidRPr="00F8585E" w:rsidRDefault="00725725" w:rsidP="00836606">
            <w:pPr>
              <w:spacing w:after="0" w:line="240" w:lineRule="auto"/>
              <w:jc w:val="right"/>
              <w:rPr>
                <w:rFonts w:ascii="Times New Roman" w:eastAsia="Times New Roman" w:hAnsi="Times New Roman" w:cs="Times New Roman"/>
                <w:color w:val="000000"/>
                <w:sz w:val="24"/>
                <w:szCs w:val="24"/>
                <w:lang w:val="uk-UA" w:eastAsia="uk-UA"/>
              </w:rPr>
            </w:pPr>
            <w:r w:rsidRPr="00F8585E">
              <w:rPr>
                <w:rFonts w:ascii="Times New Roman" w:eastAsia="Times New Roman" w:hAnsi="Times New Roman" w:cs="Times New Roman"/>
                <w:color w:val="000000"/>
                <w:sz w:val="24"/>
                <w:szCs w:val="24"/>
                <w:lang w:val="uk-UA" w:eastAsia="uk-UA"/>
              </w:rPr>
              <w:t>-2,80574</w:t>
            </w:r>
          </w:p>
        </w:tc>
      </w:tr>
    </w:tbl>
    <w:p w:rsidR="00725725" w:rsidRPr="00F8585E" w:rsidRDefault="00725725" w:rsidP="00836606">
      <w:pPr>
        <w:spacing w:after="0" w:line="360" w:lineRule="auto"/>
        <w:rPr>
          <w:rFonts w:ascii="Times New Roman" w:hAnsi="Times New Roman" w:cs="Times New Roman"/>
          <w:sz w:val="28"/>
          <w:szCs w:val="28"/>
          <w:lang w:val="uk-UA"/>
        </w:rPr>
      </w:pPr>
      <w:r w:rsidRPr="00F8585E">
        <w:rPr>
          <w:rFonts w:ascii="Times New Roman" w:hAnsi="Times New Roman" w:cs="Times New Roman"/>
          <w:sz w:val="28"/>
          <w:szCs w:val="28"/>
          <w:lang w:val="uk-UA"/>
        </w:rPr>
        <w:t>Джерело: складено автором на основі [</w:t>
      </w:r>
      <w:r w:rsidR="005753F4" w:rsidRPr="00F8585E">
        <w:rPr>
          <w:rFonts w:ascii="Times New Roman" w:hAnsi="Times New Roman" w:cs="Times New Roman"/>
          <w:sz w:val="28"/>
          <w:szCs w:val="28"/>
          <w:lang w:val="uk-UA"/>
        </w:rPr>
        <w:t>15; 27; 2</w:t>
      </w:r>
      <w:r w:rsidRPr="00F8585E">
        <w:rPr>
          <w:rFonts w:ascii="Times New Roman" w:hAnsi="Times New Roman" w:cs="Times New Roman"/>
          <w:sz w:val="28"/>
          <w:szCs w:val="28"/>
          <w:lang w:val="uk-UA"/>
        </w:rPr>
        <w:t>8</w:t>
      </w:r>
      <w:r w:rsidR="00E6314B" w:rsidRPr="00F8585E">
        <w:rPr>
          <w:rFonts w:ascii="Times New Roman" w:hAnsi="Times New Roman" w:cs="Times New Roman"/>
          <w:sz w:val="28"/>
          <w:szCs w:val="28"/>
          <w:lang w:val="uk-UA"/>
        </w:rPr>
        <w:t>; 29; 30</w:t>
      </w:r>
      <w:r w:rsidRPr="00F8585E">
        <w:rPr>
          <w:rFonts w:ascii="Times New Roman" w:hAnsi="Times New Roman" w:cs="Times New Roman"/>
          <w:sz w:val="28"/>
          <w:szCs w:val="28"/>
          <w:lang w:val="uk-UA"/>
        </w:rPr>
        <w:t>].</w:t>
      </w:r>
    </w:p>
    <w:p w:rsidR="00725725" w:rsidRPr="00F8585E" w:rsidRDefault="00725725" w:rsidP="00836606">
      <w:pPr>
        <w:pStyle w:val="muitypography-root"/>
        <w:spacing w:before="0" w:beforeAutospacing="0" w:after="0" w:afterAutospacing="0"/>
      </w:pPr>
    </w:p>
    <w:sectPr w:rsidR="00725725" w:rsidRPr="00F8585E" w:rsidSect="001516C8">
      <w:headerReference w:type="default" r:id="rId78"/>
      <w:pgSz w:w="11906" w:h="16838"/>
      <w:pgMar w:top="1134" w:right="567" w:bottom="1418"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030E" w:rsidRDefault="0081030E" w:rsidP="001516C8">
      <w:pPr>
        <w:spacing w:after="0" w:line="240" w:lineRule="auto"/>
      </w:pPr>
      <w:r>
        <w:separator/>
      </w:r>
    </w:p>
  </w:endnote>
  <w:endnote w:type="continuationSeparator" w:id="0">
    <w:p w:rsidR="0081030E" w:rsidRDefault="0081030E" w:rsidP="001516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030E" w:rsidRDefault="0081030E" w:rsidP="001516C8">
      <w:pPr>
        <w:spacing w:after="0" w:line="240" w:lineRule="auto"/>
      </w:pPr>
      <w:r>
        <w:separator/>
      </w:r>
    </w:p>
  </w:footnote>
  <w:footnote w:type="continuationSeparator" w:id="0">
    <w:p w:rsidR="0081030E" w:rsidRDefault="0081030E" w:rsidP="001516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206021"/>
      <w:docPartObj>
        <w:docPartGallery w:val="Page Numbers (Top of Page)"/>
        <w:docPartUnique/>
      </w:docPartObj>
    </w:sdtPr>
    <w:sdtEndPr>
      <w:rPr>
        <w:rFonts w:ascii="Times New Roman" w:hAnsi="Times New Roman" w:cs="Times New Roman"/>
        <w:sz w:val="24"/>
        <w:szCs w:val="24"/>
      </w:rPr>
    </w:sdtEndPr>
    <w:sdtContent>
      <w:p w:rsidR="00B515BC" w:rsidRPr="001516C8" w:rsidRDefault="00B515BC">
        <w:pPr>
          <w:pStyle w:val="a5"/>
          <w:jc w:val="right"/>
          <w:rPr>
            <w:rFonts w:ascii="Times New Roman" w:hAnsi="Times New Roman" w:cs="Times New Roman"/>
            <w:sz w:val="24"/>
            <w:szCs w:val="24"/>
          </w:rPr>
        </w:pPr>
        <w:r w:rsidRPr="001516C8">
          <w:rPr>
            <w:rFonts w:ascii="Times New Roman" w:hAnsi="Times New Roman" w:cs="Times New Roman"/>
            <w:sz w:val="24"/>
            <w:szCs w:val="24"/>
          </w:rPr>
          <w:fldChar w:fldCharType="begin"/>
        </w:r>
        <w:r w:rsidRPr="001516C8">
          <w:rPr>
            <w:rFonts w:ascii="Times New Roman" w:hAnsi="Times New Roman" w:cs="Times New Roman"/>
            <w:sz w:val="24"/>
            <w:szCs w:val="24"/>
          </w:rPr>
          <w:instrText>PAGE   \* MERGEFORMAT</w:instrText>
        </w:r>
        <w:r w:rsidRPr="001516C8">
          <w:rPr>
            <w:rFonts w:ascii="Times New Roman" w:hAnsi="Times New Roman" w:cs="Times New Roman"/>
            <w:sz w:val="24"/>
            <w:szCs w:val="24"/>
          </w:rPr>
          <w:fldChar w:fldCharType="separate"/>
        </w:r>
        <w:r w:rsidR="00AC38AB">
          <w:rPr>
            <w:rFonts w:ascii="Times New Roman" w:hAnsi="Times New Roman" w:cs="Times New Roman"/>
            <w:noProof/>
            <w:sz w:val="24"/>
            <w:szCs w:val="24"/>
          </w:rPr>
          <w:t>4</w:t>
        </w:r>
        <w:r w:rsidRPr="001516C8">
          <w:rPr>
            <w:rFonts w:ascii="Times New Roman" w:hAnsi="Times New Roman" w:cs="Times New Roman"/>
            <w:sz w:val="24"/>
            <w:szCs w:val="24"/>
          </w:rPr>
          <w:fldChar w:fldCharType="end"/>
        </w:r>
      </w:p>
    </w:sdtContent>
  </w:sdt>
  <w:p w:rsidR="00B515BC" w:rsidRDefault="00B515B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28B9"/>
    <w:multiLevelType w:val="multilevel"/>
    <w:tmpl w:val="0EFAD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3566BC"/>
    <w:multiLevelType w:val="hybridMultilevel"/>
    <w:tmpl w:val="0DE67D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8B65294"/>
    <w:multiLevelType w:val="multilevel"/>
    <w:tmpl w:val="8E6C2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7002F5"/>
    <w:multiLevelType w:val="multilevel"/>
    <w:tmpl w:val="22929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8A5C24"/>
    <w:multiLevelType w:val="multilevel"/>
    <w:tmpl w:val="321237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F41EDE"/>
    <w:multiLevelType w:val="hybridMultilevel"/>
    <w:tmpl w:val="B2421CF2"/>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FC348D"/>
    <w:multiLevelType w:val="multilevel"/>
    <w:tmpl w:val="A73E9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F066142"/>
    <w:multiLevelType w:val="hybridMultilevel"/>
    <w:tmpl w:val="C53E5EBE"/>
    <w:lvl w:ilvl="0" w:tplc="6BFE681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33E2E3A"/>
    <w:multiLevelType w:val="multilevel"/>
    <w:tmpl w:val="47B6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D4304D"/>
    <w:multiLevelType w:val="multilevel"/>
    <w:tmpl w:val="5E822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304F15"/>
    <w:multiLevelType w:val="multilevel"/>
    <w:tmpl w:val="2A78B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ABF1B5B"/>
    <w:multiLevelType w:val="multilevel"/>
    <w:tmpl w:val="56C67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F697968"/>
    <w:multiLevelType w:val="multilevel"/>
    <w:tmpl w:val="D6C6F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E660DE4"/>
    <w:multiLevelType w:val="multilevel"/>
    <w:tmpl w:val="18B2E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E6D1DE8"/>
    <w:multiLevelType w:val="multilevel"/>
    <w:tmpl w:val="2422A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AB60D1"/>
    <w:multiLevelType w:val="multilevel"/>
    <w:tmpl w:val="0D084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BA4509"/>
    <w:multiLevelType w:val="multilevel"/>
    <w:tmpl w:val="4B0C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80B03"/>
    <w:multiLevelType w:val="multilevel"/>
    <w:tmpl w:val="544C69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2E97012"/>
    <w:multiLevelType w:val="multilevel"/>
    <w:tmpl w:val="7DEA0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3B01B0B"/>
    <w:multiLevelType w:val="multilevel"/>
    <w:tmpl w:val="41EEC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8196181"/>
    <w:multiLevelType w:val="multilevel"/>
    <w:tmpl w:val="BA9EA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42464C"/>
    <w:multiLevelType w:val="multilevel"/>
    <w:tmpl w:val="2F509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92C631F"/>
    <w:multiLevelType w:val="multilevel"/>
    <w:tmpl w:val="DCB22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9"/>
  </w:num>
  <w:num w:numId="3">
    <w:abstractNumId w:val="22"/>
  </w:num>
  <w:num w:numId="4">
    <w:abstractNumId w:val="1"/>
  </w:num>
  <w:num w:numId="5">
    <w:abstractNumId w:val="20"/>
  </w:num>
  <w:num w:numId="6">
    <w:abstractNumId w:val="0"/>
  </w:num>
  <w:num w:numId="7">
    <w:abstractNumId w:val="3"/>
  </w:num>
  <w:num w:numId="8">
    <w:abstractNumId w:val="16"/>
  </w:num>
  <w:num w:numId="9">
    <w:abstractNumId w:val="15"/>
  </w:num>
  <w:num w:numId="10">
    <w:abstractNumId w:val="18"/>
  </w:num>
  <w:num w:numId="11">
    <w:abstractNumId w:val="8"/>
  </w:num>
  <w:num w:numId="12">
    <w:abstractNumId w:val="2"/>
  </w:num>
  <w:num w:numId="13">
    <w:abstractNumId w:val="7"/>
  </w:num>
  <w:num w:numId="14">
    <w:abstractNumId w:val="21"/>
  </w:num>
  <w:num w:numId="15">
    <w:abstractNumId w:val="4"/>
  </w:num>
  <w:num w:numId="16">
    <w:abstractNumId w:val="17"/>
  </w:num>
  <w:num w:numId="17">
    <w:abstractNumId w:val="13"/>
  </w:num>
  <w:num w:numId="18">
    <w:abstractNumId w:val="19"/>
  </w:num>
  <w:num w:numId="19">
    <w:abstractNumId w:val="10"/>
  </w:num>
  <w:num w:numId="20">
    <w:abstractNumId w:val="11"/>
  </w:num>
  <w:num w:numId="21">
    <w:abstractNumId w:val="6"/>
  </w:num>
  <w:num w:numId="22">
    <w:abstractNumId w:val="12"/>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261"/>
    <w:rsid w:val="00022206"/>
    <w:rsid w:val="0003592D"/>
    <w:rsid w:val="00036DA6"/>
    <w:rsid w:val="00057176"/>
    <w:rsid w:val="000C09E0"/>
    <w:rsid w:val="000C2B97"/>
    <w:rsid w:val="000E6719"/>
    <w:rsid w:val="000F3DFC"/>
    <w:rsid w:val="00110A4D"/>
    <w:rsid w:val="0011402C"/>
    <w:rsid w:val="00132682"/>
    <w:rsid w:val="00133961"/>
    <w:rsid w:val="001516C8"/>
    <w:rsid w:val="0017454B"/>
    <w:rsid w:val="0017608D"/>
    <w:rsid w:val="001813A2"/>
    <w:rsid w:val="00183E1D"/>
    <w:rsid w:val="0019259A"/>
    <w:rsid w:val="001C1F30"/>
    <w:rsid w:val="001C479B"/>
    <w:rsid w:val="001C4CF2"/>
    <w:rsid w:val="001E611C"/>
    <w:rsid w:val="001F2AF4"/>
    <w:rsid w:val="00235261"/>
    <w:rsid w:val="00237D27"/>
    <w:rsid w:val="0024035A"/>
    <w:rsid w:val="002969F9"/>
    <w:rsid w:val="002E204E"/>
    <w:rsid w:val="00322B91"/>
    <w:rsid w:val="00333899"/>
    <w:rsid w:val="003349D1"/>
    <w:rsid w:val="003452DB"/>
    <w:rsid w:val="00352C7F"/>
    <w:rsid w:val="00390478"/>
    <w:rsid w:val="003B32ED"/>
    <w:rsid w:val="003B438F"/>
    <w:rsid w:val="003C663D"/>
    <w:rsid w:val="0041331D"/>
    <w:rsid w:val="00437971"/>
    <w:rsid w:val="00472B3F"/>
    <w:rsid w:val="004A4768"/>
    <w:rsid w:val="004A62EA"/>
    <w:rsid w:val="004B7B54"/>
    <w:rsid w:val="004C3989"/>
    <w:rsid w:val="004D1708"/>
    <w:rsid w:val="004E2E85"/>
    <w:rsid w:val="004F127B"/>
    <w:rsid w:val="0050266F"/>
    <w:rsid w:val="005753F4"/>
    <w:rsid w:val="00577355"/>
    <w:rsid w:val="005875D8"/>
    <w:rsid w:val="0059422E"/>
    <w:rsid w:val="005948D7"/>
    <w:rsid w:val="005B232E"/>
    <w:rsid w:val="005D4D29"/>
    <w:rsid w:val="00627444"/>
    <w:rsid w:val="006404FD"/>
    <w:rsid w:val="00657F7E"/>
    <w:rsid w:val="00667AD1"/>
    <w:rsid w:val="006771FB"/>
    <w:rsid w:val="006A03BD"/>
    <w:rsid w:val="006A3512"/>
    <w:rsid w:val="006A7758"/>
    <w:rsid w:val="006F32B1"/>
    <w:rsid w:val="006F608F"/>
    <w:rsid w:val="00710E0D"/>
    <w:rsid w:val="00725725"/>
    <w:rsid w:val="007361E0"/>
    <w:rsid w:val="00736451"/>
    <w:rsid w:val="00744AAE"/>
    <w:rsid w:val="00750EEC"/>
    <w:rsid w:val="007514C7"/>
    <w:rsid w:val="0077070C"/>
    <w:rsid w:val="00774D69"/>
    <w:rsid w:val="007A480D"/>
    <w:rsid w:val="007C5246"/>
    <w:rsid w:val="007D1B6E"/>
    <w:rsid w:val="007D3574"/>
    <w:rsid w:val="007E50A0"/>
    <w:rsid w:val="0081030E"/>
    <w:rsid w:val="0081182B"/>
    <w:rsid w:val="00816FAD"/>
    <w:rsid w:val="00830544"/>
    <w:rsid w:val="0083370E"/>
    <w:rsid w:val="00836606"/>
    <w:rsid w:val="00841733"/>
    <w:rsid w:val="008437F9"/>
    <w:rsid w:val="00860B9B"/>
    <w:rsid w:val="00861D35"/>
    <w:rsid w:val="00872460"/>
    <w:rsid w:val="00885821"/>
    <w:rsid w:val="00892DAF"/>
    <w:rsid w:val="0089665D"/>
    <w:rsid w:val="008A3686"/>
    <w:rsid w:val="008A63CC"/>
    <w:rsid w:val="008B2D3F"/>
    <w:rsid w:val="008B406E"/>
    <w:rsid w:val="008D09F0"/>
    <w:rsid w:val="008D673F"/>
    <w:rsid w:val="008F7B6A"/>
    <w:rsid w:val="009342A4"/>
    <w:rsid w:val="00966966"/>
    <w:rsid w:val="00966B3A"/>
    <w:rsid w:val="00992231"/>
    <w:rsid w:val="009C1484"/>
    <w:rsid w:val="00A0785F"/>
    <w:rsid w:val="00A43EA3"/>
    <w:rsid w:val="00A876B3"/>
    <w:rsid w:val="00AC38AB"/>
    <w:rsid w:val="00AD7DE8"/>
    <w:rsid w:val="00B2062C"/>
    <w:rsid w:val="00B21C89"/>
    <w:rsid w:val="00B30FAA"/>
    <w:rsid w:val="00B314F1"/>
    <w:rsid w:val="00B43A84"/>
    <w:rsid w:val="00B45E27"/>
    <w:rsid w:val="00B515BC"/>
    <w:rsid w:val="00B5750C"/>
    <w:rsid w:val="00B81FEA"/>
    <w:rsid w:val="00B823B1"/>
    <w:rsid w:val="00BA543B"/>
    <w:rsid w:val="00BB6399"/>
    <w:rsid w:val="00BD4BAD"/>
    <w:rsid w:val="00BD6F35"/>
    <w:rsid w:val="00BF024A"/>
    <w:rsid w:val="00BF56E1"/>
    <w:rsid w:val="00C00F5B"/>
    <w:rsid w:val="00C34F53"/>
    <w:rsid w:val="00C90595"/>
    <w:rsid w:val="00CA2823"/>
    <w:rsid w:val="00CA332D"/>
    <w:rsid w:val="00CE328D"/>
    <w:rsid w:val="00CF1152"/>
    <w:rsid w:val="00D26747"/>
    <w:rsid w:val="00D62AD5"/>
    <w:rsid w:val="00D67F54"/>
    <w:rsid w:val="00D71D08"/>
    <w:rsid w:val="00D86C08"/>
    <w:rsid w:val="00DB125A"/>
    <w:rsid w:val="00DB44C8"/>
    <w:rsid w:val="00DD5AF8"/>
    <w:rsid w:val="00DD7A4A"/>
    <w:rsid w:val="00DE5508"/>
    <w:rsid w:val="00E018A9"/>
    <w:rsid w:val="00E270E6"/>
    <w:rsid w:val="00E55203"/>
    <w:rsid w:val="00E56FA4"/>
    <w:rsid w:val="00E6314B"/>
    <w:rsid w:val="00E71587"/>
    <w:rsid w:val="00E737CB"/>
    <w:rsid w:val="00E754B5"/>
    <w:rsid w:val="00E860BA"/>
    <w:rsid w:val="00EC1AE4"/>
    <w:rsid w:val="00ED76EC"/>
    <w:rsid w:val="00EF75C0"/>
    <w:rsid w:val="00F05F34"/>
    <w:rsid w:val="00F70853"/>
    <w:rsid w:val="00F801C2"/>
    <w:rsid w:val="00F83EEA"/>
    <w:rsid w:val="00F8585E"/>
    <w:rsid w:val="00F953BF"/>
    <w:rsid w:val="00F95667"/>
    <w:rsid w:val="00FC1918"/>
    <w:rsid w:val="00FF0032"/>
    <w:rsid w:val="00FF4F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B1948E9-BB89-4C83-AF04-DC3C32B48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15BC"/>
    <w:pPr>
      <w:spacing w:after="160" w:line="259" w:lineRule="auto"/>
    </w:pPr>
  </w:style>
  <w:style w:type="paragraph" w:styleId="1">
    <w:name w:val="heading 1"/>
    <w:basedOn w:val="a"/>
    <w:next w:val="a"/>
    <w:link w:val="10"/>
    <w:uiPriority w:val="9"/>
    <w:qFormat/>
    <w:rsid w:val="005753F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19259A"/>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link w:val="50"/>
    <w:uiPriority w:val="9"/>
    <w:qFormat/>
    <w:rsid w:val="009C1484"/>
    <w:pPr>
      <w:spacing w:before="100" w:beforeAutospacing="1" w:after="100" w:afterAutospacing="1" w:line="240" w:lineRule="auto"/>
      <w:outlineLvl w:val="4"/>
    </w:pPr>
    <w:rPr>
      <w:rFonts w:ascii="Times New Roman" w:eastAsia="Times New Roman" w:hAnsi="Times New Roman" w:cs="Times New Roman"/>
      <w:b/>
      <w:bCs/>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32ED"/>
    <w:pPr>
      <w:ind w:left="720"/>
      <w:contextualSpacing/>
    </w:pPr>
  </w:style>
  <w:style w:type="table" w:styleId="a4">
    <w:name w:val="Table Grid"/>
    <w:basedOn w:val="a1"/>
    <w:uiPriority w:val="39"/>
    <w:rsid w:val="003B3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516C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516C8"/>
  </w:style>
  <w:style w:type="paragraph" w:styleId="a7">
    <w:name w:val="footer"/>
    <w:basedOn w:val="a"/>
    <w:link w:val="a8"/>
    <w:uiPriority w:val="99"/>
    <w:unhideWhenUsed/>
    <w:rsid w:val="001516C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516C8"/>
  </w:style>
  <w:style w:type="paragraph" w:styleId="a9">
    <w:name w:val="Normal (Web)"/>
    <w:basedOn w:val="a"/>
    <w:uiPriority w:val="99"/>
    <w:semiHidden/>
    <w:unhideWhenUsed/>
    <w:rsid w:val="004A62EA"/>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50">
    <w:name w:val="Заголовок 5 Знак"/>
    <w:basedOn w:val="a0"/>
    <w:link w:val="5"/>
    <w:uiPriority w:val="9"/>
    <w:rsid w:val="009C1484"/>
    <w:rPr>
      <w:rFonts w:ascii="Times New Roman" w:eastAsia="Times New Roman" w:hAnsi="Times New Roman" w:cs="Times New Roman"/>
      <w:b/>
      <w:bCs/>
      <w:sz w:val="20"/>
      <w:szCs w:val="20"/>
      <w:lang w:val="uk-UA" w:eastAsia="uk-UA"/>
    </w:rPr>
  </w:style>
  <w:style w:type="character" w:styleId="aa">
    <w:name w:val="Hyperlink"/>
    <w:basedOn w:val="a0"/>
    <w:uiPriority w:val="99"/>
    <w:unhideWhenUsed/>
    <w:rsid w:val="00B2062C"/>
    <w:rPr>
      <w:color w:val="0000FF" w:themeColor="hyperlink"/>
      <w:u w:val="single"/>
    </w:rPr>
  </w:style>
  <w:style w:type="paragraph" w:customStyle="1" w:styleId="muitypography-root">
    <w:name w:val="muitypography-root"/>
    <w:basedOn w:val="a"/>
    <w:rsid w:val="00EF75C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Emphasis"/>
    <w:basedOn w:val="a0"/>
    <w:uiPriority w:val="20"/>
    <w:qFormat/>
    <w:rsid w:val="00B45E27"/>
    <w:rPr>
      <w:i/>
      <w:iCs/>
    </w:rPr>
  </w:style>
  <w:style w:type="paragraph" w:styleId="ac">
    <w:name w:val="Balloon Text"/>
    <w:basedOn w:val="a"/>
    <w:link w:val="ad"/>
    <w:uiPriority w:val="99"/>
    <w:semiHidden/>
    <w:unhideWhenUsed/>
    <w:rsid w:val="008D673F"/>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8D673F"/>
    <w:rPr>
      <w:rFonts w:ascii="Tahoma" w:hAnsi="Tahoma" w:cs="Tahoma"/>
      <w:sz w:val="16"/>
      <w:szCs w:val="16"/>
    </w:rPr>
  </w:style>
  <w:style w:type="character" w:customStyle="1" w:styleId="Bodytext2">
    <w:name w:val="Body text (2)_"/>
    <w:basedOn w:val="a0"/>
    <w:link w:val="Bodytext20"/>
    <w:locked/>
    <w:rsid w:val="00DB125A"/>
    <w:rPr>
      <w:rFonts w:ascii="Times New Roman" w:eastAsia="Times New Roman" w:hAnsi="Times New Roman" w:cs="Times New Roman"/>
      <w:sz w:val="32"/>
      <w:szCs w:val="32"/>
      <w:shd w:val="clear" w:color="auto" w:fill="FFFFFF"/>
    </w:rPr>
  </w:style>
  <w:style w:type="paragraph" w:customStyle="1" w:styleId="Bodytext20">
    <w:name w:val="Body text (2)"/>
    <w:basedOn w:val="a"/>
    <w:link w:val="Bodytext2"/>
    <w:rsid w:val="00DB125A"/>
    <w:pPr>
      <w:widowControl w:val="0"/>
      <w:shd w:val="clear" w:color="auto" w:fill="FFFFFF"/>
      <w:spacing w:before="120" w:after="360" w:line="0" w:lineRule="atLeast"/>
      <w:jc w:val="both"/>
    </w:pPr>
    <w:rPr>
      <w:rFonts w:ascii="Times New Roman" w:eastAsia="Times New Roman" w:hAnsi="Times New Roman" w:cs="Times New Roman"/>
      <w:sz w:val="32"/>
      <w:szCs w:val="32"/>
    </w:rPr>
  </w:style>
  <w:style w:type="character" w:customStyle="1" w:styleId="10">
    <w:name w:val="Заголовок 1 Знак"/>
    <w:basedOn w:val="a0"/>
    <w:link w:val="1"/>
    <w:uiPriority w:val="9"/>
    <w:rsid w:val="005753F4"/>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19259A"/>
    <w:rPr>
      <w:rFonts w:asciiTheme="majorHAnsi" w:eastAsiaTheme="majorEastAsia" w:hAnsiTheme="majorHAnsi" w:cstheme="majorBidi"/>
      <w:b/>
      <w:bCs/>
      <w:color w:val="4F81BD" w:themeColor="accent1"/>
    </w:rPr>
  </w:style>
  <w:style w:type="character" w:styleId="ae">
    <w:name w:val="Placeholder Text"/>
    <w:basedOn w:val="a0"/>
    <w:uiPriority w:val="99"/>
    <w:semiHidden/>
    <w:rsid w:val="007514C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2676">
      <w:bodyDiv w:val="1"/>
      <w:marLeft w:val="0"/>
      <w:marRight w:val="0"/>
      <w:marTop w:val="0"/>
      <w:marBottom w:val="0"/>
      <w:divBdr>
        <w:top w:val="none" w:sz="0" w:space="0" w:color="auto"/>
        <w:left w:val="none" w:sz="0" w:space="0" w:color="auto"/>
        <w:bottom w:val="none" w:sz="0" w:space="0" w:color="auto"/>
        <w:right w:val="none" w:sz="0" w:space="0" w:color="auto"/>
      </w:divBdr>
    </w:div>
    <w:div w:id="16197691">
      <w:bodyDiv w:val="1"/>
      <w:marLeft w:val="0"/>
      <w:marRight w:val="0"/>
      <w:marTop w:val="0"/>
      <w:marBottom w:val="0"/>
      <w:divBdr>
        <w:top w:val="none" w:sz="0" w:space="0" w:color="auto"/>
        <w:left w:val="none" w:sz="0" w:space="0" w:color="auto"/>
        <w:bottom w:val="none" w:sz="0" w:space="0" w:color="auto"/>
        <w:right w:val="none" w:sz="0" w:space="0" w:color="auto"/>
      </w:divBdr>
    </w:div>
    <w:div w:id="65736439">
      <w:bodyDiv w:val="1"/>
      <w:marLeft w:val="0"/>
      <w:marRight w:val="0"/>
      <w:marTop w:val="0"/>
      <w:marBottom w:val="0"/>
      <w:divBdr>
        <w:top w:val="none" w:sz="0" w:space="0" w:color="auto"/>
        <w:left w:val="none" w:sz="0" w:space="0" w:color="auto"/>
        <w:bottom w:val="none" w:sz="0" w:space="0" w:color="auto"/>
        <w:right w:val="none" w:sz="0" w:space="0" w:color="auto"/>
      </w:divBdr>
    </w:div>
    <w:div w:id="75906757">
      <w:bodyDiv w:val="1"/>
      <w:marLeft w:val="0"/>
      <w:marRight w:val="0"/>
      <w:marTop w:val="0"/>
      <w:marBottom w:val="0"/>
      <w:divBdr>
        <w:top w:val="none" w:sz="0" w:space="0" w:color="auto"/>
        <w:left w:val="none" w:sz="0" w:space="0" w:color="auto"/>
        <w:bottom w:val="none" w:sz="0" w:space="0" w:color="auto"/>
        <w:right w:val="none" w:sz="0" w:space="0" w:color="auto"/>
      </w:divBdr>
    </w:div>
    <w:div w:id="92366635">
      <w:bodyDiv w:val="1"/>
      <w:marLeft w:val="0"/>
      <w:marRight w:val="0"/>
      <w:marTop w:val="0"/>
      <w:marBottom w:val="0"/>
      <w:divBdr>
        <w:top w:val="none" w:sz="0" w:space="0" w:color="auto"/>
        <w:left w:val="none" w:sz="0" w:space="0" w:color="auto"/>
        <w:bottom w:val="none" w:sz="0" w:space="0" w:color="auto"/>
        <w:right w:val="none" w:sz="0" w:space="0" w:color="auto"/>
      </w:divBdr>
    </w:div>
    <w:div w:id="116142424">
      <w:bodyDiv w:val="1"/>
      <w:marLeft w:val="0"/>
      <w:marRight w:val="0"/>
      <w:marTop w:val="0"/>
      <w:marBottom w:val="0"/>
      <w:divBdr>
        <w:top w:val="none" w:sz="0" w:space="0" w:color="auto"/>
        <w:left w:val="none" w:sz="0" w:space="0" w:color="auto"/>
        <w:bottom w:val="none" w:sz="0" w:space="0" w:color="auto"/>
        <w:right w:val="none" w:sz="0" w:space="0" w:color="auto"/>
      </w:divBdr>
    </w:div>
    <w:div w:id="142745898">
      <w:bodyDiv w:val="1"/>
      <w:marLeft w:val="0"/>
      <w:marRight w:val="0"/>
      <w:marTop w:val="0"/>
      <w:marBottom w:val="0"/>
      <w:divBdr>
        <w:top w:val="none" w:sz="0" w:space="0" w:color="auto"/>
        <w:left w:val="none" w:sz="0" w:space="0" w:color="auto"/>
        <w:bottom w:val="none" w:sz="0" w:space="0" w:color="auto"/>
        <w:right w:val="none" w:sz="0" w:space="0" w:color="auto"/>
      </w:divBdr>
    </w:div>
    <w:div w:id="175927104">
      <w:bodyDiv w:val="1"/>
      <w:marLeft w:val="0"/>
      <w:marRight w:val="0"/>
      <w:marTop w:val="0"/>
      <w:marBottom w:val="0"/>
      <w:divBdr>
        <w:top w:val="none" w:sz="0" w:space="0" w:color="auto"/>
        <w:left w:val="none" w:sz="0" w:space="0" w:color="auto"/>
        <w:bottom w:val="none" w:sz="0" w:space="0" w:color="auto"/>
        <w:right w:val="none" w:sz="0" w:space="0" w:color="auto"/>
      </w:divBdr>
    </w:div>
    <w:div w:id="176769197">
      <w:bodyDiv w:val="1"/>
      <w:marLeft w:val="0"/>
      <w:marRight w:val="0"/>
      <w:marTop w:val="0"/>
      <w:marBottom w:val="0"/>
      <w:divBdr>
        <w:top w:val="none" w:sz="0" w:space="0" w:color="auto"/>
        <w:left w:val="none" w:sz="0" w:space="0" w:color="auto"/>
        <w:bottom w:val="none" w:sz="0" w:space="0" w:color="auto"/>
        <w:right w:val="none" w:sz="0" w:space="0" w:color="auto"/>
      </w:divBdr>
    </w:div>
    <w:div w:id="217783147">
      <w:bodyDiv w:val="1"/>
      <w:marLeft w:val="0"/>
      <w:marRight w:val="0"/>
      <w:marTop w:val="0"/>
      <w:marBottom w:val="0"/>
      <w:divBdr>
        <w:top w:val="none" w:sz="0" w:space="0" w:color="auto"/>
        <w:left w:val="none" w:sz="0" w:space="0" w:color="auto"/>
        <w:bottom w:val="none" w:sz="0" w:space="0" w:color="auto"/>
        <w:right w:val="none" w:sz="0" w:space="0" w:color="auto"/>
      </w:divBdr>
    </w:div>
    <w:div w:id="266695713">
      <w:bodyDiv w:val="1"/>
      <w:marLeft w:val="0"/>
      <w:marRight w:val="0"/>
      <w:marTop w:val="0"/>
      <w:marBottom w:val="0"/>
      <w:divBdr>
        <w:top w:val="none" w:sz="0" w:space="0" w:color="auto"/>
        <w:left w:val="none" w:sz="0" w:space="0" w:color="auto"/>
        <w:bottom w:val="none" w:sz="0" w:space="0" w:color="auto"/>
        <w:right w:val="none" w:sz="0" w:space="0" w:color="auto"/>
      </w:divBdr>
    </w:div>
    <w:div w:id="273439341">
      <w:bodyDiv w:val="1"/>
      <w:marLeft w:val="0"/>
      <w:marRight w:val="0"/>
      <w:marTop w:val="0"/>
      <w:marBottom w:val="0"/>
      <w:divBdr>
        <w:top w:val="none" w:sz="0" w:space="0" w:color="auto"/>
        <w:left w:val="none" w:sz="0" w:space="0" w:color="auto"/>
        <w:bottom w:val="none" w:sz="0" w:space="0" w:color="auto"/>
        <w:right w:val="none" w:sz="0" w:space="0" w:color="auto"/>
      </w:divBdr>
    </w:div>
    <w:div w:id="298268427">
      <w:bodyDiv w:val="1"/>
      <w:marLeft w:val="0"/>
      <w:marRight w:val="0"/>
      <w:marTop w:val="0"/>
      <w:marBottom w:val="0"/>
      <w:divBdr>
        <w:top w:val="none" w:sz="0" w:space="0" w:color="auto"/>
        <w:left w:val="none" w:sz="0" w:space="0" w:color="auto"/>
        <w:bottom w:val="none" w:sz="0" w:space="0" w:color="auto"/>
        <w:right w:val="none" w:sz="0" w:space="0" w:color="auto"/>
      </w:divBdr>
    </w:div>
    <w:div w:id="316954053">
      <w:bodyDiv w:val="1"/>
      <w:marLeft w:val="0"/>
      <w:marRight w:val="0"/>
      <w:marTop w:val="0"/>
      <w:marBottom w:val="0"/>
      <w:divBdr>
        <w:top w:val="none" w:sz="0" w:space="0" w:color="auto"/>
        <w:left w:val="none" w:sz="0" w:space="0" w:color="auto"/>
        <w:bottom w:val="none" w:sz="0" w:space="0" w:color="auto"/>
        <w:right w:val="none" w:sz="0" w:space="0" w:color="auto"/>
      </w:divBdr>
    </w:div>
    <w:div w:id="378482657">
      <w:bodyDiv w:val="1"/>
      <w:marLeft w:val="0"/>
      <w:marRight w:val="0"/>
      <w:marTop w:val="0"/>
      <w:marBottom w:val="0"/>
      <w:divBdr>
        <w:top w:val="none" w:sz="0" w:space="0" w:color="auto"/>
        <w:left w:val="none" w:sz="0" w:space="0" w:color="auto"/>
        <w:bottom w:val="none" w:sz="0" w:space="0" w:color="auto"/>
        <w:right w:val="none" w:sz="0" w:space="0" w:color="auto"/>
      </w:divBdr>
    </w:div>
    <w:div w:id="432634647">
      <w:bodyDiv w:val="1"/>
      <w:marLeft w:val="0"/>
      <w:marRight w:val="0"/>
      <w:marTop w:val="0"/>
      <w:marBottom w:val="0"/>
      <w:divBdr>
        <w:top w:val="none" w:sz="0" w:space="0" w:color="auto"/>
        <w:left w:val="none" w:sz="0" w:space="0" w:color="auto"/>
        <w:bottom w:val="none" w:sz="0" w:space="0" w:color="auto"/>
        <w:right w:val="none" w:sz="0" w:space="0" w:color="auto"/>
      </w:divBdr>
    </w:div>
    <w:div w:id="599022588">
      <w:bodyDiv w:val="1"/>
      <w:marLeft w:val="0"/>
      <w:marRight w:val="0"/>
      <w:marTop w:val="0"/>
      <w:marBottom w:val="0"/>
      <w:divBdr>
        <w:top w:val="none" w:sz="0" w:space="0" w:color="auto"/>
        <w:left w:val="none" w:sz="0" w:space="0" w:color="auto"/>
        <w:bottom w:val="none" w:sz="0" w:space="0" w:color="auto"/>
        <w:right w:val="none" w:sz="0" w:space="0" w:color="auto"/>
      </w:divBdr>
    </w:div>
    <w:div w:id="636186002">
      <w:bodyDiv w:val="1"/>
      <w:marLeft w:val="0"/>
      <w:marRight w:val="0"/>
      <w:marTop w:val="0"/>
      <w:marBottom w:val="0"/>
      <w:divBdr>
        <w:top w:val="none" w:sz="0" w:space="0" w:color="auto"/>
        <w:left w:val="none" w:sz="0" w:space="0" w:color="auto"/>
        <w:bottom w:val="none" w:sz="0" w:space="0" w:color="auto"/>
        <w:right w:val="none" w:sz="0" w:space="0" w:color="auto"/>
      </w:divBdr>
      <w:divsChild>
        <w:div w:id="361245116">
          <w:marLeft w:val="0"/>
          <w:marRight w:val="0"/>
          <w:marTop w:val="0"/>
          <w:marBottom w:val="0"/>
          <w:divBdr>
            <w:top w:val="single" w:sz="2" w:space="0" w:color="E3E3E3"/>
            <w:left w:val="single" w:sz="2" w:space="0" w:color="E3E3E3"/>
            <w:bottom w:val="single" w:sz="2" w:space="0" w:color="E3E3E3"/>
            <w:right w:val="single" w:sz="2" w:space="0" w:color="E3E3E3"/>
          </w:divBdr>
          <w:divsChild>
            <w:div w:id="756753231">
              <w:marLeft w:val="0"/>
              <w:marRight w:val="0"/>
              <w:marTop w:val="0"/>
              <w:marBottom w:val="0"/>
              <w:divBdr>
                <w:top w:val="single" w:sz="2" w:space="0" w:color="E3E3E3"/>
                <w:left w:val="single" w:sz="2" w:space="0" w:color="E3E3E3"/>
                <w:bottom w:val="single" w:sz="2" w:space="0" w:color="E3E3E3"/>
                <w:right w:val="single" w:sz="2" w:space="0" w:color="E3E3E3"/>
              </w:divBdr>
              <w:divsChild>
                <w:div w:id="885676413">
                  <w:marLeft w:val="0"/>
                  <w:marRight w:val="0"/>
                  <w:marTop w:val="0"/>
                  <w:marBottom w:val="0"/>
                  <w:divBdr>
                    <w:top w:val="single" w:sz="2" w:space="2" w:color="E3E3E3"/>
                    <w:left w:val="single" w:sz="2" w:space="0" w:color="E3E3E3"/>
                    <w:bottom w:val="single" w:sz="2" w:space="0" w:color="E3E3E3"/>
                    <w:right w:val="single" w:sz="2" w:space="0" w:color="E3E3E3"/>
                  </w:divBdr>
                  <w:divsChild>
                    <w:div w:id="14213728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0430407">
      <w:bodyDiv w:val="1"/>
      <w:marLeft w:val="0"/>
      <w:marRight w:val="0"/>
      <w:marTop w:val="0"/>
      <w:marBottom w:val="0"/>
      <w:divBdr>
        <w:top w:val="none" w:sz="0" w:space="0" w:color="auto"/>
        <w:left w:val="none" w:sz="0" w:space="0" w:color="auto"/>
        <w:bottom w:val="none" w:sz="0" w:space="0" w:color="auto"/>
        <w:right w:val="none" w:sz="0" w:space="0" w:color="auto"/>
      </w:divBdr>
    </w:div>
    <w:div w:id="724987242">
      <w:bodyDiv w:val="1"/>
      <w:marLeft w:val="0"/>
      <w:marRight w:val="0"/>
      <w:marTop w:val="0"/>
      <w:marBottom w:val="0"/>
      <w:divBdr>
        <w:top w:val="none" w:sz="0" w:space="0" w:color="auto"/>
        <w:left w:val="none" w:sz="0" w:space="0" w:color="auto"/>
        <w:bottom w:val="none" w:sz="0" w:space="0" w:color="auto"/>
        <w:right w:val="none" w:sz="0" w:space="0" w:color="auto"/>
      </w:divBdr>
    </w:div>
    <w:div w:id="803737469">
      <w:bodyDiv w:val="1"/>
      <w:marLeft w:val="0"/>
      <w:marRight w:val="0"/>
      <w:marTop w:val="0"/>
      <w:marBottom w:val="0"/>
      <w:divBdr>
        <w:top w:val="none" w:sz="0" w:space="0" w:color="auto"/>
        <w:left w:val="none" w:sz="0" w:space="0" w:color="auto"/>
        <w:bottom w:val="none" w:sz="0" w:space="0" w:color="auto"/>
        <w:right w:val="none" w:sz="0" w:space="0" w:color="auto"/>
      </w:divBdr>
      <w:divsChild>
        <w:div w:id="471216750">
          <w:marLeft w:val="0"/>
          <w:marRight w:val="0"/>
          <w:marTop w:val="0"/>
          <w:marBottom w:val="0"/>
          <w:divBdr>
            <w:top w:val="none" w:sz="0" w:space="0" w:color="auto"/>
            <w:left w:val="none" w:sz="0" w:space="0" w:color="auto"/>
            <w:bottom w:val="none" w:sz="0" w:space="0" w:color="auto"/>
            <w:right w:val="none" w:sz="0" w:space="0" w:color="auto"/>
          </w:divBdr>
          <w:divsChild>
            <w:div w:id="1591624963">
              <w:marLeft w:val="0"/>
              <w:marRight w:val="0"/>
              <w:marTop w:val="0"/>
              <w:marBottom w:val="0"/>
              <w:divBdr>
                <w:top w:val="none" w:sz="0" w:space="0" w:color="auto"/>
                <w:left w:val="none" w:sz="0" w:space="0" w:color="auto"/>
                <w:bottom w:val="none" w:sz="0" w:space="0" w:color="auto"/>
                <w:right w:val="none" w:sz="0" w:space="0" w:color="auto"/>
              </w:divBdr>
              <w:divsChild>
                <w:div w:id="1103575172">
                  <w:marLeft w:val="0"/>
                  <w:marRight w:val="0"/>
                  <w:marTop w:val="0"/>
                  <w:marBottom w:val="0"/>
                  <w:divBdr>
                    <w:top w:val="none" w:sz="0" w:space="0" w:color="auto"/>
                    <w:left w:val="none" w:sz="0" w:space="0" w:color="auto"/>
                    <w:bottom w:val="none" w:sz="0" w:space="0" w:color="auto"/>
                    <w:right w:val="none" w:sz="0" w:space="0" w:color="auto"/>
                  </w:divBdr>
                  <w:divsChild>
                    <w:div w:id="380443166">
                      <w:marLeft w:val="0"/>
                      <w:marRight w:val="0"/>
                      <w:marTop w:val="0"/>
                      <w:marBottom w:val="0"/>
                      <w:divBdr>
                        <w:top w:val="none" w:sz="0" w:space="0" w:color="auto"/>
                        <w:left w:val="none" w:sz="0" w:space="0" w:color="auto"/>
                        <w:bottom w:val="none" w:sz="0" w:space="0" w:color="auto"/>
                        <w:right w:val="none" w:sz="0" w:space="0" w:color="auto"/>
                      </w:divBdr>
                      <w:divsChild>
                        <w:div w:id="2140806296">
                          <w:marLeft w:val="0"/>
                          <w:marRight w:val="0"/>
                          <w:marTop w:val="0"/>
                          <w:marBottom w:val="0"/>
                          <w:divBdr>
                            <w:top w:val="none" w:sz="0" w:space="0" w:color="auto"/>
                            <w:left w:val="none" w:sz="0" w:space="0" w:color="auto"/>
                            <w:bottom w:val="none" w:sz="0" w:space="0" w:color="auto"/>
                            <w:right w:val="none" w:sz="0" w:space="0" w:color="auto"/>
                          </w:divBdr>
                          <w:divsChild>
                            <w:div w:id="1482229230">
                              <w:marLeft w:val="0"/>
                              <w:marRight w:val="0"/>
                              <w:marTop w:val="0"/>
                              <w:marBottom w:val="0"/>
                              <w:divBdr>
                                <w:top w:val="none" w:sz="0" w:space="0" w:color="auto"/>
                                <w:left w:val="none" w:sz="0" w:space="0" w:color="auto"/>
                                <w:bottom w:val="none" w:sz="0" w:space="0" w:color="auto"/>
                                <w:right w:val="none" w:sz="0" w:space="0" w:color="auto"/>
                              </w:divBdr>
                              <w:divsChild>
                                <w:div w:id="2054772190">
                                  <w:marLeft w:val="0"/>
                                  <w:marRight w:val="0"/>
                                  <w:marTop w:val="75"/>
                                  <w:marBottom w:val="0"/>
                                  <w:divBdr>
                                    <w:top w:val="single" w:sz="6" w:space="0" w:color="BBBBBB"/>
                                    <w:left w:val="single" w:sz="6" w:space="0" w:color="BBBBBB"/>
                                    <w:bottom w:val="single" w:sz="6" w:space="0" w:color="BBBBBB"/>
                                    <w:right w:val="single" w:sz="6" w:space="0" w:color="BBBBBB"/>
                                  </w:divBdr>
                                  <w:divsChild>
                                    <w:div w:id="1109855982">
                                      <w:marLeft w:val="0"/>
                                      <w:marRight w:val="0"/>
                                      <w:marTop w:val="0"/>
                                      <w:marBottom w:val="0"/>
                                      <w:divBdr>
                                        <w:top w:val="none" w:sz="0" w:space="0" w:color="auto"/>
                                        <w:left w:val="none" w:sz="0" w:space="0" w:color="auto"/>
                                        <w:bottom w:val="none" w:sz="0" w:space="0" w:color="auto"/>
                                        <w:right w:val="none" w:sz="0" w:space="0" w:color="auto"/>
                                      </w:divBdr>
                                      <w:divsChild>
                                        <w:div w:id="1594124677">
                                          <w:marLeft w:val="0"/>
                                          <w:marRight w:val="0"/>
                                          <w:marTop w:val="0"/>
                                          <w:marBottom w:val="0"/>
                                          <w:divBdr>
                                            <w:top w:val="none" w:sz="0" w:space="0" w:color="auto"/>
                                            <w:left w:val="none" w:sz="0" w:space="0" w:color="auto"/>
                                            <w:bottom w:val="none" w:sz="0" w:space="0" w:color="auto"/>
                                            <w:right w:val="none" w:sz="0" w:space="0" w:color="auto"/>
                                          </w:divBdr>
                                          <w:divsChild>
                                            <w:div w:id="876503987">
                                              <w:marLeft w:val="0"/>
                                              <w:marRight w:val="0"/>
                                              <w:marTop w:val="0"/>
                                              <w:marBottom w:val="0"/>
                                              <w:divBdr>
                                                <w:top w:val="none" w:sz="0" w:space="0" w:color="auto"/>
                                                <w:left w:val="none" w:sz="0" w:space="0" w:color="auto"/>
                                                <w:bottom w:val="none" w:sz="0" w:space="0" w:color="auto"/>
                                                <w:right w:val="none" w:sz="0" w:space="0" w:color="auto"/>
                                              </w:divBdr>
                                            </w:div>
                                          </w:divsChild>
                                        </w:div>
                                        <w:div w:id="212352719">
                                          <w:marLeft w:val="0"/>
                                          <w:marRight w:val="0"/>
                                          <w:marTop w:val="0"/>
                                          <w:marBottom w:val="0"/>
                                          <w:divBdr>
                                            <w:top w:val="none" w:sz="0" w:space="0" w:color="auto"/>
                                            <w:left w:val="none" w:sz="0" w:space="0" w:color="auto"/>
                                            <w:bottom w:val="none" w:sz="0" w:space="0" w:color="auto"/>
                                            <w:right w:val="none" w:sz="0" w:space="0" w:color="auto"/>
                                          </w:divBdr>
                                        </w:div>
                                        <w:div w:id="593511073">
                                          <w:marLeft w:val="0"/>
                                          <w:marRight w:val="0"/>
                                          <w:marTop w:val="0"/>
                                          <w:marBottom w:val="195"/>
                                          <w:divBdr>
                                            <w:top w:val="none" w:sz="0" w:space="0" w:color="auto"/>
                                            <w:left w:val="none" w:sz="0" w:space="0" w:color="auto"/>
                                            <w:bottom w:val="none" w:sz="0" w:space="0" w:color="auto"/>
                                            <w:right w:val="none" w:sz="0" w:space="0" w:color="auto"/>
                                          </w:divBdr>
                                        </w:div>
                                      </w:divsChild>
                                    </w:div>
                                    <w:div w:id="128257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2060693">
                      <w:marLeft w:val="0"/>
                      <w:marRight w:val="0"/>
                      <w:marTop w:val="0"/>
                      <w:marBottom w:val="0"/>
                      <w:divBdr>
                        <w:top w:val="none" w:sz="0" w:space="0" w:color="auto"/>
                        <w:left w:val="none" w:sz="0" w:space="0" w:color="auto"/>
                        <w:bottom w:val="none" w:sz="0" w:space="0" w:color="auto"/>
                        <w:right w:val="none" w:sz="0" w:space="0" w:color="auto"/>
                      </w:divBdr>
                    </w:div>
                  </w:divsChild>
                </w:div>
                <w:div w:id="569316895">
                  <w:marLeft w:val="0"/>
                  <w:marRight w:val="0"/>
                  <w:marTop w:val="0"/>
                  <w:marBottom w:val="0"/>
                  <w:divBdr>
                    <w:top w:val="none" w:sz="0" w:space="0" w:color="auto"/>
                    <w:left w:val="none" w:sz="0" w:space="0" w:color="auto"/>
                    <w:bottom w:val="none" w:sz="0" w:space="0" w:color="auto"/>
                    <w:right w:val="none" w:sz="0" w:space="0" w:color="auto"/>
                  </w:divBdr>
                  <w:divsChild>
                    <w:div w:id="2023584677">
                      <w:marLeft w:val="0"/>
                      <w:marRight w:val="0"/>
                      <w:marTop w:val="0"/>
                      <w:marBottom w:val="0"/>
                      <w:divBdr>
                        <w:top w:val="none" w:sz="0" w:space="0" w:color="auto"/>
                        <w:left w:val="none" w:sz="0" w:space="0" w:color="auto"/>
                        <w:bottom w:val="none" w:sz="0" w:space="0" w:color="auto"/>
                        <w:right w:val="none" w:sz="0" w:space="0" w:color="auto"/>
                      </w:divBdr>
                      <w:divsChild>
                        <w:div w:id="69365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743876">
                  <w:marLeft w:val="0"/>
                  <w:marRight w:val="0"/>
                  <w:marTop w:val="0"/>
                  <w:marBottom w:val="0"/>
                  <w:divBdr>
                    <w:top w:val="none" w:sz="0" w:space="0" w:color="auto"/>
                    <w:left w:val="none" w:sz="0" w:space="0" w:color="auto"/>
                    <w:bottom w:val="none" w:sz="0" w:space="0" w:color="auto"/>
                    <w:right w:val="none" w:sz="0" w:space="0" w:color="auto"/>
                  </w:divBdr>
                  <w:divsChild>
                    <w:div w:id="1105615719">
                      <w:marLeft w:val="0"/>
                      <w:marRight w:val="0"/>
                      <w:marTop w:val="0"/>
                      <w:marBottom w:val="0"/>
                      <w:divBdr>
                        <w:top w:val="none" w:sz="0" w:space="0" w:color="auto"/>
                        <w:left w:val="none" w:sz="0" w:space="0" w:color="auto"/>
                        <w:bottom w:val="none" w:sz="0" w:space="0" w:color="auto"/>
                        <w:right w:val="none" w:sz="0" w:space="0" w:color="auto"/>
                      </w:divBdr>
                      <w:divsChild>
                        <w:div w:id="94156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8719584">
      <w:bodyDiv w:val="1"/>
      <w:marLeft w:val="0"/>
      <w:marRight w:val="0"/>
      <w:marTop w:val="0"/>
      <w:marBottom w:val="0"/>
      <w:divBdr>
        <w:top w:val="none" w:sz="0" w:space="0" w:color="auto"/>
        <w:left w:val="none" w:sz="0" w:space="0" w:color="auto"/>
        <w:bottom w:val="none" w:sz="0" w:space="0" w:color="auto"/>
        <w:right w:val="none" w:sz="0" w:space="0" w:color="auto"/>
      </w:divBdr>
    </w:div>
    <w:div w:id="882669643">
      <w:bodyDiv w:val="1"/>
      <w:marLeft w:val="0"/>
      <w:marRight w:val="0"/>
      <w:marTop w:val="0"/>
      <w:marBottom w:val="0"/>
      <w:divBdr>
        <w:top w:val="none" w:sz="0" w:space="0" w:color="auto"/>
        <w:left w:val="none" w:sz="0" w:space="0" w:color="auto"/>
        <w:bottom w:val="none" w:sz="0" w:space="0" w:color="auto"/>
        <w:right w:val="none" w:sz="0" w:space="0" w:color="auto"/>
      </w:divBdr>
    </w:div>
    <w:div w:id="887448779">
      <w:bodyDiv w:val="1"/>
      <w:marLeft w:val="0"/>
      <w:marRight w:val="0"/>
      <w:marTop w:val="0"/>
      <w:marBottom w:val="0"/>
      <w:divBdr>
        <w:top w:val="none" w:sz="0" w:space="0" w:color="auto"/>
        <w:left w:val="none" w:sz="0" w:space="0" w:color="auto"/>
        <w:bottom w:val="none" w:sz="0" w:space="0" w:color="auto"/>
        <w:right w:val="none" w:sz="0" w:space="0" w:color="auto"/>
      </w:divBdr>
    </w:div>
    <w:div w:id="911626130">
      <w:bodyDiv w:val="1"/>
      <w:marLeft w:val="0"/>
      <w:marRight w:val="0"/>
      <w:marTop w:val="0"/>
      <w:marBottom w:val="0"/>
      <w:divBdr>
        <w:top w:val="none" w:sz="0" w:space="0" w:color="auto"/>
        <w:left w:val="none" w:sz="0" w:space="0" w:color="auto"/>
        <w:bottom w:val="none" w:sz="0" w:space="0" w:color="auto"/>
        <w:right w:val="none" w:sz="0" w:space="0" w:color="auto"/>
      </w:divBdr>
      <w:divsChild>
        <w:div w:id="1260214698">
          <w:marLeft w:val="0"/>
          <w:marRight w:val="0"/>
          <w:marTop w:val="0"/>
          <w:marBottom w:val="0"/>
          <w:divBdr>
            <w:top w:val="single" w:sz="2" w:space="0" w:color="E3E3E3"/>
            <w:left w:val="single" w:sz="2" w:space="0" w:color="E3E3E3"/>
            <w:bottom w:val="single" w:sz="2" w:space="0" w:color="E3E3E3"/>
            <w:right w:val="single" w:sz="2" w:space="0" w:color="E3E3E3"/>
          </w:divBdr>
          <w:divsChild>
            <w:div w:id="1851219733">
              <w:marLeft w:val="0"/>
              <w:marRight w:val="0"/>
              <w:marTop w:val="100"/>
              <w:marBottom w:val="100"/>
              <w:divBdr>
                <w:top w:val="single" w:sz="2" w:space="0" w:color="E3E3E3"/>
                <w:left w:val="single" w:sz="2" w:space="0" w:color="E3E3E3"/>
                <w:bottom w:val="single" w:sz="2" w:space="0" w:color="E3E3E3"/>
                <w:right w:val="single" w:sz="2" w:space="0" w:color="E3E3E3"/>
              </w:divBdr>
              <w:divsChild>
                <w:div w:id="295109838">
                  <w:marLeft w:val="0"/>
                  <w:marRight w:val="0"/>
                  <w:marTop w:val="0"/>
                  <w:marBottom w:val="0"/>
                  <w:divBdr>
                    <w:top w:val="single" w:sz="2" w:space="0" w:color="E3E3E3"/>
                    <w:left w:val="single" w:sz="2" w:space="0" w:color="E3E3E3"/>
                    <w:bottom w:val="single" w:sz="2" w:space="0" w:color="E3E3E3"/>
                    <w:right w:val="single" w:sz="2" w:space="0" w:color="E3E3E3"/>
                  </w:divBdr>
                  <w:divsChild>
                    <w:div w:id="723331455">
                      <w:marLeft w:val="0"/>
                      <w:marRight w:val="0"/>
                      <w:marTop w:val="0"/>
                      <w:marBottom w:val="0"/>
                      <w:divBdr>
                        <w:top w:val="single" w:sz="2" w:space="0" w:color="E3E3E3"/>
                        <w:left w:val="single" w:sz="2" w:space="0" w:color="E3E3E3"/>
                        <w:bottom w:val="single" w:sz="2" w:space="0" w:color="E3E3E3"/>
                        <w:right w:val="single" w:sz="2" w:space="0" w:color="E3E3E3"/>
                      </w:divBdr>
                      <w:divsChild>
                        <w:div w:id="1781221332">
                          <w:marLeft w:val="0"/>
                          <w:marRight w:val="0"/>
                          <w:marTop w:val="0"/>
                          <w:marBottom w:val="0"/>
                          <w:divBdr>
                            <w:top w:val="single" w:sz="2" w:space="0" w:color="E3E3E3"/>
                            <w:left w:val="single" w:sz="2" w:space="0" w:color="E3E3E3"/>
                            <w:bottom w:val="single" w:sz="2" w:space="0" w:color="E3E3E3"/>
                            <w:right w:val="single" w:sz="2" w:space="0" w:color="E3E3E3"/>
                          </w:divBdr>
                          <w:divsChild>
                            <w:div w:id="394204317">
                              <w:marLeft w:val="0"/>
                              <w:marRight w:val="0"/>
                              <w:marTop w:val="0"/>
                              <w:marBottom w:val="0"/>
                              <w:divBdr>
                                <w:top w:val="single" w:sz="2" w:space="0" w:color="E3E3E3"/>
                                <w:left w:val="single" w:sz="2" w:space="0" w:color="E3E3E3"/>
                                <w:bottom w:val="single" w:sz="2" w:space="0" w:color="E3E3E3"/>
                                <w:right w:val="single" w:sz="2" w:space="0" w:color="E3E3E3"/>
                              </w:divBdr>
                              <w:divsChild>
                                <w:div w:id="1429233911">
                                  <w:marLeft w:val="0"/>
                                  <w:marRight w:val="0"/>
                                  <w:marTop w:val="0"/>
                                  <w:marBottom w:val="0"/>
                                  <w:divBdr>
                                    <w:top w:val="single" w:sz="2" w:space="0" w:color="E3E3E3"/>
                                    <w:left w:val="single" w:sz="2" w:space="0" w:color="E3E3E3"/>
                                    <w:bottom w:val="single" w:sz="2" w:space="0" w:color="E3E3E3"/>
                                    <w:right w:val="single" w:sz="2" w:space="0" w:color="E3E3E3"/>
                                  </w:divBdr>
                                  <w:divsChild>
                                    <w:div w:id="17238233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32845355">
          <w:marLeft w:val="0"/>
          <w:marRight w:val="0"/>
          <w:marTop w:val="0"/>
          <w:marBottom w:val="0"/>
          <w:divBdr>
            <w:top w:val="single" w:sz="2" w:space="0" w:color="E3E3E3"/>
            <w:left w:val="single" w:sz="2" w:space="0" w:color="E3E3E3"/>
            <w:bottom w:val="single" w:sz="2" w:space="0" w:color="E3E3E3"/>
            <w:right w:val="single" w:sz="2" w:space="0" w:color="E3E3E3"/>
          </w:divBdr>
          <w:divsChild>
            <w:div w:id="622351258">
              <w:marLeft w:val="0"/>
              <w:marRight w:val="0"/>
              <w:marTop w:val="100"/>
              <w:marBottom w:val="100"/>
              <w:divBdr>
                <w:top w:val="single" w:sz="2" w:space="0" w:color="E3E3E3"/>
                <w:left w:val="single" w:sz="2" w:space="0" w:color="E3E3E3"/>
                <w:bottom w:val="single" w:sz="2" w:space="0" w:color="E3E3E3"/>
                <w:right w:val="single" w:sz="2" w:space="0" w:color="E3E3E3"/>
              </w:divBdr>
              <w:divsChild>
                <w:div w:id="1889075298">
                  <w:marLeft w:val="0"/>
                  <w:marRight w:val="0"/>
                  <w:marTop w:val="0"/>
                  <w:marBottom w:val="0"/>
                  <w:divBdr>
                    <w:top w:val="single" w:sz="2" w:space="0" w:color="E3E3E3"/>
                    <w:left w:val="single" w:sz="2" w:space="0" w:color="E3E3E3"/>
                    <w:bottom w:val="single" w:sz="2" w:space="0" w:color="E3E3E3"/>
                    <w:right w:val="single" w:sz="2" w:space="0" w:color="E3E3E3"/>
                  </w:divBdr>
                  <w:divsChild>
                    <w:div w:id="1475953705">
                      <w:marLeft w:val="0"/>
                      <w:marRight w:val="0"/>
                      <w:marTop w:val="0"/>
                      <w:marBottom w:val="0"/>
                      <w:divBdr>
                        <w:top w:val="single" w:sz="2" w:space="0" w:color="E3E3E3"/>
                        <w:left w:val="single" w:sz="2" w:space="0" w:color="E3E3E3"/>
                        <w:bottom w:val="single" w:sz="2" w:space="0" w:color="E3E3E3"/>
                        <w:right w:val="single" w:sz="2" w:space="0" w:color="E3E3E3"/>
                      </w:divBdr>
                      <w:divsChild>
                        <w:div w:id="1304041459">
                          <w:marLeft w:val="0"/>
                          <w:marRight w:val="0"/>
                          <w:marTop w:val="0"/>
                          <w:marBottom w:val="0"/>
                          <w:divBdr>
                            <w:top w:val="single" w:sz="2" w:space="0" w:color="E3E3E3"/>
                            <w:left w:val="single" w:sz="2" w:space="0" w:color="E3E3E3"/>
                            <w:bottom w:val="single" w:sz="2" w:space="0" w:color="E3E3E3"/>
                            <w:right w:val="single" w:sz="2" w:space="0" w:color="E3E3E3"/>
                          </w:divBdr>
                          <w:divsChild>
                            <w:div w:id="1892302874">
                              <w:marLeft w:val="0"/>
                              <w:marRight w:val="0"/>
                              <w:marTop w:val="0"/>
                              <w:marBottom w:val="0"/>
                              <w:divBdr>
                                <w:top w:val="single" w:sz="2" w:space="0" w:color="E3E3E3"/>
                                <w:left w:val="single" w:sz="2" w:space="0" w:color="E3E3E3"/>
                                <w:bottom w:val="single" w:sz="2" w:space="0" w:color="E3E3E3"/>
                                <w:right w:val="single" w:sz="2" w:space="0" w:color="E3E3E3"/>
                              </w:divBdr>
                              <w:divsChild>
                                <w:div w:id="512261365">
                                  <w:marLeft w:val="0"/>
                                  <w:marRight w:val="0"/>
                                  <w:marTop w:val="0"/>
                                  <w:marBottom w:val="0"/>
                                  <w:divBdr>
                                    <w:top w:val="single" w:sz="2" w:space="0" w:color="E3E3E3"/>
                                    <w:left w:val="single" w:sz="2" w:space="0" w:color="E3E3E3"/>
                                    <w:bottom w:val="single" w:sz="2" w:space="0" w:color="E3E3E3"/>
                                    <w:right w:val="single" w:sz="2" w:space="0" w:color="E3E3E3"/>
                                  </w:divBdr>
                                  <w:divsChild>
                                    <w:div w:id="16371784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31641653">
                      <w:marLeft w:val="0"/>
                      <w:marRight w:val="0"/>
                      <w:marTop w:val="0"/>
                      <w:marBottom w:val="0"/>
                      <w:divBdr>
                        <w:top w:val="single" w:sz="2" w:space="0" w:color="E3E3E3"/>
                        <w:left w:val="single" w:sz="2" w:space="0" w:color="E3E3E3"/>
                        <w:bottom w:val="single" w:sz="2" w:space="0" w:color="E3E3E3"/>
                        <w:right w:val="single" w:sz="2" w:space="0" w:color="E3E3E3"/>
                      </w:divBdr>
                      <w:divsChild>
                        <w:div w:id="2101565593">
                          <w:marLeft w:val="0"/>
                          <w:marRight w:val="0"/>
                          <w:marTop w:val="0"/>
                          <w:marBottom w:val="0"/>
                          <w:divBdr>
                            <w:top w:val="single" w:sz="2" w:space="0" w:color="E3E3E3"/>
                            <w:left w:val="single" w:sz="2" w:space="0" w:color="E3E3E3"/>
                            <w:bottom w:val="single" w:sz="2" w:space="0" w:color="E3E3E3"/>
                            <w:right w:val="single" w:sz="2" w:space="0" w:color="E3E3E3"/>
                          </w:divBdr>
                        </w:div>
                        <w:div w:id="1546286979">
                          <w:marLeft w:val="0"/>
                          <w:marRight w:val="0"/>
                          <w:marTop w:val="0"/>
                          <w:marBottom w:val="0"/>
                          <w:divBdr>
                            <w:top w:val="single" w:sz="2" w:space="0" w:color="E3E3E3"/>
                            <w:left w:val="single" w:sz="2" w:space="0" w:color="E3E3E3"/>
                            <w:bottom w:val="single" w:sz="2" w:space="0" w:color="E3E3E3"/>
                            <w:right w:val="single" w:sz="2" w:space="0" w:color="E3E3E3"/>
                          </w:divBdr>
                          <w:divsChild>
                            <w:div w:id="563686621">
                              <w:marLeft w:val="0"/>
                              <w:marRight w:val="0"/>
                              <w:marTop w:val="0"/>
                              <w:marBottom w:val="0"/>
                              <w:divBdr>
                                <w:top w:val="single" w:sz="2" w:space="0" w:color="E3E3E3"/>
                                <w:left w:val="single" w:sz="2" w:space="0" w:color="E3E3E3"/>
                                <w:bottom w:val="single" w:sz="2" w:space="0" w:color="E3E3E3"/>
                                <w:right w:val="single" w:sz="2" w:space="0" w:color="E3E3E3"/>
                              </w:divBdr>
                              <w:divsChild>
                                <w:div w:id="1919513172">
                                  <w:marLeft w:val="0"/>
                                  <w:marRight w:val="0"/>
                                  <w:marTop w:val="0"/>
                                  <w:marBottom w:val="0"/>
                                  <w:divBdr>
                                    <w:top w:val="single" w:sz="2" w:space="0" w:color="E3E3E3"/>
                                    <w:left w:val="single" w:sz="2" w:space="0" w:color="E3E3E3"/>
                                    <w:bottom w:val="single" w:sz="2" w:space="0" w:color="E3E3E3"/>
                                    <w:right w:val="single" w:sz="2" w:space="0" w:color="E3E3E3"/>
                                  </w:divBdr>
                                  <w:divsChild>
                                    <w:div w:id="269551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294213792">
                              <w:marLeft w:val="0"/>
                              <w:marRight w:val="0"/>
                              <w:marTop w:val="0"/>
                              <w:marBottom w:val="0"/>
                              <w:divBdr>
                                <w:top w:val="single" w:sz="2" w:space="0" w:color="E3E3E3"/>
                                <w:left w:val="single" w:sz="2" w:space="0" w:color="E3E3E3"/>
                                <w:bottom w:val="single" w:sz="2" w:space="0" w:color="E3E3E3"/>
                                <w:right w:val="single" w:sz="2" w:space="0" w:color="E3E3E3"/>
                              </w:divBdr>
                              <w:divsChild>
                                <w:div w:id="6768568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889410220">
          <w:marLeft w:val="0"/>
          <w:marRight w:val="0"/>
          <w:marTop w:val="0"/>
          <w:marBottom w:val="0"/>
          <w:divBdr>
            <w:top w:val="single" w:sz="2" w:space="0" w:color="E3E3E3"/>
            <w:left w:val="single" w:sz="2" w:space="0" w:color="E3E3E3"/>
            <w:bottom w:val="single" w:sz="2" w:space="0" w:color="E3E3E3"/>
            <w:right w:val="single" w:sz="2" w:space="0" w:color="E3E3E3"/>
          </w:divBdr>
          <w:divsChild>
            <w:div w:id="1349913637">
              <w:marLeft w:val="0"/>
              <w:marRight w:val="0"/>
              <w:marTop w:val="100"/>
              <w:marBottom w:val="100"/>
              <w:divBdr>
                <w:top w:val="single" w:sz="2" w:space="0" w:color="E3E3E3"/>
                <w:left w:val="single" w:sz="2" w:space="0" w:color="E3E3E3"/>
                <w:bottom w:val="single" w:sz="2" w:space="0" w:color="E3E3E3"/>
                <w:right w:val="single" w:sz="2" w:space="0" w:color="E3E3E3"/>
              </w:divBdr>
              <w:divsChild>
                <w:div w:id="604114810">
                  <w:marLeft w:val="0"/>
                  <w:marRight w:val="0"/>
                  <w:marTop w:val="0"/>
                  <w:marBottom w:val="0"/>
                  <w:divBdr>
                    <w:top w:val="single" w:sz="2" w:space="0" w:color="E3E3E3"/>
                    <w:left w:val="single" w:sz="2" w:space="0" w:color="E3E3E3"/>
                    <w:bottom w:val="single" w:sz="2" w:space="0" w:color="E3E3E3"/>
                    <w:right w:val="single" w:sz="2" w:space="0" w:color="E3E3E3"/>
                  </w:divBdr>
                  <w:divsChild>
                    <w:div w:id="1667979460">
                      <w:marLeft w:val="0"/>
                      <w:marRight w:val="0"/>
                      <w:marTop w:val="0"/>
                      <w:marBottom w:val="0"/>
                      <w:divBdr>
                        <w:top w:val="single" w:sz="2" w:space="0" w:color="E3E3E3"/>
                        <w:left w:val="single" w:sz="2" w:space="0" w:color="E3E3E3"/>
                        <w:bottom w:val="single" w:sz="2" w:space="0" w:color="E3E3E3"/>
                        <w:right w:val="single" w:sz="2" w:space="0" w:color="E3E3E3"/>
                      </w:divBdr>
                      <w:divsChild>
                        <w:div w:id="1393307250">
                          <w:marLeft w:val="0"/>
                          <w:marRight w:val="0"/>
                          <w:marTop w:val="0"/>
                          <w:marBottom w:val="0"/>
                          <w:divBdr>
                            <w:top w:val="single" w:sz="2" w:space="0" w:color="E3E3E3"/>
                            <w:left w:val="single" w:sz="2" w:space="0" w:color="E3E3E3"/>
                            <w:bottom w:val="single" w:sz="2" w:space="0" w:color="E3E3E3"/>
                            <w:right w:val="single" w:sz="2" w:space="0" w:color="E3E3E3"/>
                          </w:divBdr>
                          <w:divsChild>
                            <w:div w:id="1377437749">
                              <w:marLeft w:val="0"/>
                              <w:marRight w:val="0"/>
                              <w:marTop w:val="0"/>
                              <w:marBottom w:val="0"/>
                              <w:divBdr>
                                <w:top w:val="single" w:sz="2" w:space="0" w:color="E3E3E3"/>
                                <w:left w:val="single" w:sz="2" w:space="0" w:color="E3E3E3"/>
                                <w:bottom w:val="single" w:sz="2" w:space="0" w:color="E3E3E3"/>
                                <w:right w:val="single" w:sz="2" w:space="0" w:color="E3E3E3"/>
                              </w:divBdr>
                              <w:divsChild>
                                <w:div w:id="575019145">
                                  <w:marLeft w:val="0"/>
                                  <w:marRight w:val="0"/>
                                  <w:marTop w:val="0"/>
                                  <w:marBottom w:val="0"/>
                                  <w:divBdr>
                                    <w:top w:val="single" w:sz="2" w:space="0" w:color="E3E3E3"/>
                                    <w:left w:val="single" w:sz="2" w:space="0" w:color="E3E3E3"/>
                                    <w:bottom w:val="single" w:sz="2" w:space="0" w:color="E3E3E3"/>
                                    <w:right w:val="single" w:sz="2" w:space="0" w:color="E3E3E3"/>
                                  </w:divBdr>
                                  <w:divsChild>
                                    <w:div w:id="1195801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01054890">
                      <w:marLeft w:val="0"/>
                      <w:marRight w:val="0"/>
                      <w:marTop w:val="0"/>
                      <w:marBottom w:val="0"/>
                      <w:divBdr>
                        <w:top w:val="single" w:sz="2" w:space="0" w:color="E3E3E3"/>
                        <w:left w:val="single" w:sz="2" w:space="0" w:color="E3E3E3"/>
                        <w:bottom w:val="single" w:sz="2" w:space="0" w:color="E3E3E3"/>
                        <w:right w:val="single" w:sz="2" w:space="0" w:color="E3E3E3"/>
                      </w:divBdr>
                      <w:divsChild>
                        <w:div w:id="79448002">
                          <w:marLeft w:val="0"/>
                          <w:marRight w:val="0"/>
                          <w:marTop w:val="0"/>
                          <w:marBottom w:val="0"/>
                          <w:divBdr>
                            <w:top w:val="single" w:sz="2" w:space="0" w:color="E3E3E3"/>
                            <w:left w:val="single" w:sz="2" w:space="0" w:color="E3E3E3"/>
                            <w:bottom w:val="single" w:sz="2" w:space="0" w:color="E3E3E3"/>
                            <w:right w:val="single" w:sz="2" w:space="0" w:color="E3E3E3"/>
                          </w:divBdr>
                        </w:div>
                        <w:div w:id="1691292876">
                          <w:marLeft w:val="0"/>
                          <w:marRight w:val="0"/>
                          <w:marTop w:val="0"/>
                          <w:marBottom w:val="0"/>
                          <w:divBdr>
                            <w:top w:val="single" w:sz="2" w:space="0" w:color="E3E3E3"/>
                            <w:left w:val="single" w:sz="2" w:space="0" w:color="E3E3E3"/>
                            <w:bottom w:val="single" w:sz="2" w:space="0" w:color="E3E3E3"/>
                            <w:right w:val="single" w:sz="2" w:space="0" w:color="E3E3E3"/>
                          </w:divBdr>
                          <w:divsChild>
                            <w:div w:id="1029843179">
                              <w:marLeft w:val="0"/>
                              <w:marRight w:val="0"/>
                              <w:marTop w:val="0"/>
                              <w:marBottom w:val="0"/>
                              <w:divBdr>
                                <w:top w:val="single" w:sz="2" w:space="0" w:color="E3E3E3"/>
                                <w:left w:val="single" w:sz="2" w:space="0" w:color="E3E3E3"/>
                                <w:bottom w:val="single" w:sz="2" w:space="0" w:color="E3E3E3"/>
                                <w:right w:val="single" w:sz="2" w:space="0" w:color="E3E3E3"/>
                              </w:divBdr>
                              <w:divsChild>
                                <w:div w:id="1874725787">
                                  <w:marLeft w:val="0"/>
                                  <w:marRight w:val="0"/>
                                  <w:marTop w:val="0"/>
                                  <w:marBottom w:val="0"/>
                                  <w:divBdr>
                                    <w:top w:val="single" w:sz="2" w:space="0" w:color="E3E3E3"/>
                                    <w:left w:val="single" w:sz="2" w:space="0" w:color="E3E3E3"/>
                                    <w:bottom w:val="single" w:sz="2" w:space="0" w:color="E3E3E3"/>
                                    <w:right w:val="single" w:sz="2" w:space="0" w:color="E3E3E3"/>
                                  </w:divBdr>
                                  <w:divsChild>
                                    <w:div w:id="3797469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96609674">
          <w:marLeft w:val="0"/>
          <w:marRight w:val="0"/>
          <w:marTop w:val="0"/>
          <w:marBottom w:val="0"/>
          <w:divBdr>
            <w:top w:val="single" w:sz="2" w:space="0" w:color="E3E3E3"/>
            <w:left w:val="single" w:sz="2" w:space="0" w:color="E3E3E3"/>
            <w:bottom w:val="single" w:sz="2" w:space="0" w:color="E3E3E3"/>
            <w:right w:val="single" w:sz="2" w:space="0" w:color="E3E3E3"/>
          </w:divBdr>
          <w:divsChild>
            <w:div w:id="1257247964">
              <w:marLeft w:val="0"/>
              <w:marRight w:val="0"/>
              <w:marTop w:val="100"/>
              <w:marBottom w:val="100"/>
              <w:divBdr>
                <w:top w:val="single" w:sz="2" w:space="0" w:color="E3E3E3"/>
                <w:left w:val="single" w:sz="2" w:space="0" w:color="E3E3E3"/>
                <w:bottom w:val="single" w:sz="2" w:space="0" w:color="E3E3E3"/>
                <w:right w:val="single" w:sz="2" w:space="0" w:color="E3E3E3"/>
              </w:divBdr>
              <w:divsChild>
                <w:div w:id="1667047675">
                  <w:marLeft w:val="0"/>
                  <w:marRight w:val="0"/>
                  <w:marTop w:val="0"/>
                  <w:marBottom w:val="0"/>
                  <w:divBdr>
                    <w:top w:val="single" w:sz="2" w:space="0" w:color="E3E3E3"/>
                    <w:left w:val="single" w:sz="2" w:space="0" w:color="E3E3E3"/>
                    <w:bottom w:val="single" w:sz="2" w:space="0" w:color="E3E3E3"/>
                    <w:right w:val="single" w:sz="2" w:space="0" w:color="E3E3E3"/>
                  </w:divBdr>
                  <w:divsChild>
                    <w:div w:id="1042753490">
                      <w:marLeft w:val="0"/>
                      <w:marRight w:val="0"/>
                      <w:marTop w:val="0"/>
                      <w:marBottom w:val="0"/>
                      <w:divBdr>
                        <w:top w:val="single" w:sz="2" w:space="0" w:color="E3E3E3"/>
                        <w:left w:val="single" w:sz="2" w:space="0" w:color="E3E3E3"/>
                        <w:bottom w:val="single" w:sz="2" w:space="0" w:color="E3E3E3"/>
                        <w:right w:val="single" w:sz="2" w:space="0" w:color="E3E3E3"/>
                      </w:divBdr>
                      <w:divsChild>
                        <w:div w:id="318657870">
                          <w:marLeft w:val="0"/>
                          <w:marRight w:val="0"/>
                          <w:marTop w:val="0"/>
                          <w:marBottom w:val="0"/>
                          <w:divBdr>
                            <w:top w:val="single" w:sz="2" w:space="0" w:color="E3E3E3"/>
                            <w:left w:val="single" w:sz="2" w:space="0" w:color="E3E3E3"/>
                            <w:bottom w:val="single" w:sz="2" w:space="0" w:color="E3E3E3"/>
                            <w:right w:val="single" w:sz="2" w:space="0" w:color="E3E3E3"/>
                          </w:divBdr>
                          <w:divsChild>
                            <w:div w:id="1129055987">
                              <w:marLeft w:val="0"/>
                              <w:marRight w:val="0"/>
                              <w:marTop w:val="0"/>
                              <w:marBottom w:val="0"/>
                              <w:divBdr>
                                <w:top w:val="single" w:sz="2" w:space="0" w:color="E3E3E3"/>
                                <w:left w:val="single" w:sz="2" w:space="0" w:color="E3E3E3"/>
                                <w:bottom w:val="single" w:sz="2" w:space="0" w:color="E3E3E3"/>
                                <w:right w:val="single" w:sz="2" w:space="0" w:color="E3E3E3"/>
                              </w:divBdr>
                              <w:divsChild>
                                <w:div w:id="1696617766">
                                  <w:marLeft w:val="0"/>
                                  <w:marRight w:val="0"/>
                                  <w:marTop w:val="0"/>
                                  <w:marBottom w:val="0"/>
                                  <w:divBdr>
                                    <w:top w:val="single" w:sz="2" w:space="0" w:color="E3E3E3"/>
                                    <w:left w:val="single" w:sz="2" w:space="0" w:color="E3E3E3"/>
                                    <w:bottom w:val="single" w:sz="2" w:space="0" w:color="E3E3E3"/>
                                    <w:right w:val="single" w:sz="2" w:space="0" w:color="E3E3E3"/>
                                  </w:divBdr>
                                  <w:divsChild>
                                    <w:div w:id="21414117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64652801">
                      <w:marLeft w:val="0"/>
                      <w:marRight w:val="0"/>
                      <w:marTop w:val="0"/>
                      <w:marBottom w:val="0"/>
                      <w:divBdr>
                        <w:top w:val="single" w:sz="2" w:space="0" w:color="E3E3E3"/>
                        <w:left w:val="single" w:sz="2" w:space="0" w:color="E3E3E3"/>
                        <w:bottom w:val="single" w:sz="2" w:space="0" w:color="E3E3E3"/>
                        <w:right w:val="single" w:sz="2" w:space="0" w:color="E3E3E3"/>
                      </w:divBdr>
                      <w:divsChild>
                        <w:div w:id="1006909651">
                          <w:marLeft w:val="0"/>
                          <w:marRight w:val="0"/>
                          <w:marTop w:val="0"/>
                          <w:marBottom w:val="0"/>
                          <w:divBdr>
                            <w:top w:val="single" w:sz="2" w:space="0" w:color="E3E3E3"/>
                            <w:left w:val="single" w:sz="2" w:space="0" w:color="E3E3E3"/>
                            <w:bottom w:val="single" w:sz="2" w:space="0" w:color="E3E3E3"/>
                            <w:right w:val="single" w:sz="2" w:space="0" w:color="E3E3E3"/>
                          </w:divBdr>
                        </w:div>
                        <w:div w:id="650989220">
                          <w:marLeft w:val="0"/>
                          <w:marRight w:val="0"/>
                          <w:marTop w:val="0"/>
                          <w:marBottom w:val="0"/>
                          <w:divBdr>
                            <w:top w:val="single" w:sz="2" w:space="0" w:color="E3E3E3"/>
                            <w:left w:val="single" w:sz="2" w:space="0" w:color="E3E3E3"/>
                            <w:bottom w:val="single" w:sz="2" w:space="0" w:color="E3E3E3"/>
                            <w:right w:val="single" w:sz="2" w:space="0" w:color="E3E3E3"/>
                          </w:divBdr>
                          <w:divsChild>
                            <w:div w:id="550923076">
                              <w:marLeft w:val="0"/>
                              <w:marRight w:val="0"/>
                              <w:marTop w:val="0"/>
                              <w:marBottom w:val="0"/>
                              <w:divBdr>
                                <w:top w:val="single" w:sz="2" w:space="0" w:color="E3E3E3"/>
                                <w:left w:val="single" w:sz="2" w:space="0" w:color="E3E3E3"/>
                                <w:bottom w:val="single" w:sz="2" w:space="0" w:color="E3E3E3"/>
                                <w:right w:val="single" w:sz="2" w:space="0" w:color="E3E3E3"/>
                              </w:divBdr>
                              <w:divsChild>
                                <w:div w:id="399790096">
                                  <w:marLeft w:val="0"/>
                                  <w:marRight w:val="0"/>
                                  <w:marTop w:val="0"/>
                                  <w:marBottom w:val="0"/>
                                  <w:divBdr>
                                    <w:top w:val="single" w:sz="2" w:space="0" w:color="E3E3E3"/>
                                    <w:left w:val="single" w:sz="2" w:space="0" w:color="E3E3E3"/>
                                    <w:bottom w:val="single" w:sz="2" w:space="0" w:color="E3E3E3"/>
                                    <w:right w:val="single" w:sz="2" w:space="0" w:color="E3E3E3"/>
                                  </w:divBdr>
                                  <w:divsChild>
                                    <w:div w:id="3267136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76055591">
          <w:marLeft w:val="0"/>
          <w:marRight w:val="0"/>
          <w:marTop w:val="0"/>
          <w:marBottom w:val="0"/>
          <w:divBdr>
            <w:top w:val="single" w:sz="2" w:space="0" w:color="E3E3E3"/>
            <w:left w:val="single" w:sz="2" w:space="0" w:color="E3E3E3"/>
            <w:bottom w:val="single" w:sz="2" w:space="0" w:color="E3E3E3"/>
            <w:right w:val="single" w:sz="2" w:space="0" w:color="E3E3E3"/>
          </w:divBdr>
          <w:divsChild>
            <w:div w:id="1073314844">
              <w:marLeft w:val="0"/>
              <w:marRight w:val="0"/>
              <w:marTop w:val="100"/>
              <w:marBottom w:val="100"/>
              <w:divBdr>
                <w:top w:val="single" w:sz="2" w:space="0" w:color="E3E3E3"/>
                <w:left w:val="single" w:sz="2" w:space="0" w:color="E3E3E3"/>
                <w:bottom w:val="single" w:sz="2" w:space="0" w:color="E3E3E3"/>
                <w:right w:val="single" w:sz="2" w:space="0" w:color="E3E3E3"/>
              </w:divBdr>
              <w:divsChild>
                <w:div w:id="1143499685">
                  <w:marLeft w:val="0"/>
                  <w:marRight w:val="0"/>
                  <w:marTop w:val="0"/>
                  <w:marBottom w:val="0"/>
                  <w:divBdr>
                    <w:top w:val="single" w:sz="2" w:space="0" w:color="E3E3E3"/>
                    <w:left w:val="single" w:sz="2" w:space="0" w:color="E3E3E3"/>
                    <w:bottom w:val="single" w:sz="2" w:space="0" w:color="E3E3E3"/>
                    <w:right w:val="single" w:sz="2" w:space="0" w:color="E3E3E3"/>
                  </w:divBdr>
                  <w:divsChild>
                    <w:div w:id="1747875963">
                      <w:marLeft w:val="0"/>
                      <w:marRight w:val="0"/>
                      <w:marTop w:val="0"/>
                      <w:marBottom w:val="0"/>
                      <w:divBdr>
                        <w:top w:val="single" w:sz="2" w:space="0" w:color="E3E3E3"/>
                        <w:left w:val="single" w:sz="2" w:space="0" w:color="E3E3E3"/>
                        <w:bottom w:val="single" w:sz="2" w:space="0" w:color="E3E3E3"/>
                        <w:right w:val="single" w:sz="2" w:space="0" w:color="E3E3E3"/>
                      </w:divBdr>
                      <w:divsChild>
                        <w:div w:id="1126311367">
                          <w:marLeft w:val="0"/>
                          <w:marRight w:val="0"/>
                          <w:marTop w:val="0"/>
                          <w:marBottom w:val="0"/>
                          <w:divBdr>
                            <w:top w:val="single" w:sz="2" w:space="0" w:color="E3E3E3"/>
                            <w:left w:val="single" w:sz="2" w:space="0" w:color="E3E3E3"/>
                            <w:bottom w:val="single" w:sz="2" w:space="0" w:color="E3E3E3"/>
                            <w:right w:val="single" w:sz="2" w:space="0" w:color="E3E3E3"/>
                          </w:divBdr>
                          <w:divsChild>
                            <w:div w:id="1361782228">
                              <w:marLeft w:val="0"/>
                              <w:marRight w:val="0"/>
                              <w:marTop w:val="0"/>
                              <w:marBottom w:val="0"/>
                              <w:divBdr>
                                <w:top w:val="single" w:sz="2" w:space="0" w:color="E3E3E3"/>
                                <w:left w:val="single" w:sz="2" w:space="0" w:color="E3E3E3"/>
                                <w:bottom w:val="single" w:sz="2" w:space="0" w:color="E3E3E3"/>
                                <w:right w:val="single" w:sz="2" w:space="0" w:color="E3E3E3"/>
                              </w:divBdr>
                              <w:divsChild>
                                <w:div w:id="1794980063">
                                  <w:marLeft w:val="0"/>
                                  <w:marRight w:val="0"/>
                                  <w:marTop w:val="0"/>
                                  <w:marBottom w:val="0"/>
                                  <w:divBdr>
                                    <w:top w:val="single" w:sz="2" w:space="0" w:color="E3E3E3"/>
                                    <w:left w:val="single" w:sz="2" w:space="0" w:color="E3E3E3"/>
                                    <w:bottom w:val="single" w:sz="2" w:space="0" w:color="E3E3E3"/>
                                    <w:right w:val="single" w:sz="2" w:space="0" w:color="E3E3E3"/>
                                  </w:divBdr>
                                  <w:divsChild>
                                    <w:div w:id="8494867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86352696">
                      <w:marLeft w:val="0"/>
                      <w:marRight w:val="0"/>
                      <w:marTop w:val="0"/>
                      <w:marBottom w:val="0"/>
                      <w:divBdr>
                        <w:top w:val="single" w:sz="2" w:space="0" w:color="E3E3E3"/>
                        <w:left w:val="single" w:sz="2" w:space="0" w:color="E3E3E3"/>
                        <w:bottom w:val="single" w:sz="2" w:space="0" w:color="E3E3E3"/>
                        <w:right w:val="single" w:sz="2" w:space="0" w:color="E3E3E3"/>
                      </w:divBdr>
                      <w:divsChild>
                        <w:div w:id="800656748">
                          <w:marLeft w:val="0"/>
                          <w:marRight w:val="0"/>
                          <w:marTop w:val="0"/>
                          <w:marBottom w:val="0"/>
                          <w:divBdr>
                            <w:top w:val="single" w:sz="2" w:space="0" w:color="E3E3E3"/>
                            <w:left w:val="single" w:sz="2" w:space="0" w:color="E3E3E3"/>
                            <w:bottom w:val="single" w:sz="2" w:space="0" w:color="E3E3E3"/>
                            <w:right w:val="single" w:sz="2" w:space="0" w:color="E3E3E3"/>
                          </w:divBdr>
                        </w:div>
                        <w:div w:id="1812945609">
                          <w:marLeft w:val="0"/>
                          <w:marRight w:val="0"/>
                          <w:marTop w:val="0"/>
                          <w:marBottom w:val="0"/>
                          <w:divBdr>
                            <w:top w:val="single" w:sz="2" w:space="0" w:color="E3E3E3"/>
                            <w:left w:val="single" w:sz="2" w:space="0" w:color="E3E3E3"/>
                            <w:bottom w:val="single" w:sz="2" w:space="0" w:color="E3E3E3"/>
                            <w:right w:val="single" w:sz="2" w:space="0" w:color="E3E3E3"/>
                          </w:divBdr>
                          <w:divsChild>
                            <w:div w:id="1254245654">
                              <w:marLeft w:val="0"/>
                              <w:marRight w:val="0"/>
                              <w:marTop w:val="0"/>
                              <w:marBottom w:val="0"/>
                              <w:divBdr>
                                <w:top w:val="single" w:sz="2" w:space="0" w:color="E3E3E3"/>
                                <w:left w:val="single" w:sz="2" w:space="0" w:color="E3E3E3"/>
                                <w:bottom w:val="single" w:sz="2" w:space="0" w:color="E3E3E3"/>
                                <w:right w:val="single" w:sz="2" w:space="0" w:color="E3E3E3"/>
                              </w:divBdr>
                              <w:divsChild>
                                <w:div w:id="1042051902">
                                  <w:marLeft w:val="0"/>
                                  <w:marRight w:val="0"/>
                                  <w:marTop w:val="0"/>
                                  <w:marBottom w:val="0"/>
                                  <w:divBdr>
                                    <w:top w:val="single" w:sz="2" w:space="0" w:color="E3E3E3"/>
                                    <w:left w:val="single" w:sz="2" w:space="0" w:color="E3E3E3"/>
                                    <w:bottom w:val="single" w:sz="2" w:space="0" w:color="E3E3E3"/>
                                    <w:right w:val="single" w:sz="2" w:space="0" w:color="E3E3E3"/>
                                  </w:divBdr>
                                  <w:divsChild>
                                    <w:div w:id="21104628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24174935">
          <w:marLeft w:val="0"/>
          <w:marRight w:val="0"/>
          <w:marTop w:val="0"/>
          <w:marBottom w:val="0"/>
          <w:divBdr>
            <w:top w:val="single" w:sz="2" w:space="0" w:color="E3E3E3"/>
            <w:left w:val="single" w:sz="2" w:space="0" w:color="E3E3E3"/>
            <w:bottom w:val="single" w:sz="2" w:space="0" w:color="E3E3E3"/>
            <w:right w:val="single" w:sz="2" w:space="0" w:color="E3E3E3"/>
          </w:divBdr>
          <w:divsChild>
            <w:div w:id="616789438">
              <w:marLeft w:val="0"/>
              <w:marRight w:val="0"/>
              <w:marTop w:val="100"/>
              <w:marBottom w:val="100"/>
              <w:divBdr>
                <w:top w:val="single" w:sz="2" w:space="0" w:color="E3E3E3"/>
                <w:left w:val="single" w:sz="2" w:space="0" w:color="E3E3E3"/>
                <w:bottom w:val="single" w:sz="2" w:space="0" w:color="E3E3E3"/>
                <w:right w:val="single" w:sz="2" w:space="0" w:color="E3E3E3"/>
              </w:divBdr>
              <w:divsChild>
                <w:div w:id="335545188">
                  <w:marLeft w:val="0"/>
                  <w:marRight w:val="0"/>
                  <w:marTop w:val="0"/>
                  <w:marBottom w:val="0"/>
                  <w:divBdr>
                    <w:top w:val="single" w:sz="2" w:space="0" w:color="E3E3E3"/>
                    <w:left w:val="single" w:sz="2" w:space="0" w:color="E3E3E3"/>
                    <w:bottom w:val="single" w:sz="2" w:space="0" w:color="E3E3E3"/>
                    <w:right w:val="single" w:sz="2" w:space="0" w:color="E3E3E3"/>
                  </w:divBdr>
                  <w:divsChild>
                    <w:div w:id="294605549">
                      <w:marLeft w:val="0"/>
                      <w:marRight w:val="0"/>
                      <w:marTop w:val="0"/>
                      <w:marBottom w:val="0"/>
                      <w:divBdr>
                        <w:top w:val="single" w:sz="2" w:space="0" w:color="E3E3E3"/>
                        <w:left w:val="single" w:sz="2" w:space="0" w:color="E3E3E3"/>
                        <w:bottom w:val="single" w:sz="2" w:space="0" w:color="E3E3E3"/>
                        <w:right w:val="single" w:sz="2" w:space="0" w:color="E3E3E3"/>
                      </w:divBdr>
                      <w:divsChild>
                        <w:div w:id="1017998464">
                          <w:marLeft w:val="0"/>
                          <w:marRight w:val="0"/>
                          <w:marTop w:val="0"/>
                          <w:marBottom w:val="0"/>
                          <w:divBdr>
                            <w:top w:val="single" w:sz="2" w:space="0" w:color="E3E3E3"/>
                            <w:left w:val="single" w:sz="2" w:space="0" w:color="E3E3E3"/>
                            <w:bottom w:val="single" w:sz="2" w:space="0" w:color="E3E3E3"/>
                            <w:right w:val="single" w:sz="2" w:space="0" w:color="E3E3E3"/>
                          </w:divBdr>
                          <w:divsChild>
                            <w:div w:id="1567914361">
                              <w:marLeft w:val="0"/>
                              <w:marRight w:val="0"/>
                              <w:marTop w:val="0"/>
                              <w:marBottom w:val="0"/>
                              <w:divBdr>
                                <w:top w:val="single" w:sz="2" w:space="0" w:color="E3E3E3"/>
                                <w:left w:val="single" w:sz="2" w:space="0" w:color="E3E3E3"/>
                                <w:bottom w:val="single" w:sz="2" w:space="0" w:color="E3E3E3"/>
                                <w:right w:val="single" w:sz="2" w:space="0" w:color="E3E3E3"/>
                              </w:divBdr>
                              <w:divsChild>
                                <w:div w:id="1975017895">
                                  <w:marLeft w:val="0"/>
                                  <w:marRight w:val="0"/>
                                  <w:marTop w:val="0"/>
                                  <w:marBottom w:val="0"/>
                                  <w:divBdr>
                                    <w:top w:val="single" w:sz="2" w:space="0" w:color="E3E3E3"/>
                                    <w:left w:val="single" w:sz="2" w:space="0" w:color="E3E3E3"/>
                                    <w:bottom w:val="single" w:sz="2" w:space="0" w:color="E3E3E3"/>
                                    <w:right w:val="single" w:sz="2" w:space="0" w:color="E3E3E3"/>
                                  </w:divBdr>
                                  <w:divsChild>
                                    <w:div w:id="1055900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86742238">
                      <w:marLeft w:val="0"/>
                      <w:marRight w:val="0"/>
                      <w:marTop w:val="0"/>
                      <w:marBottom w:val="0"/>
                      <w:divBdr>
                        <w:top w:val="single" w:sz="2" w:space="0" w:color="E3E3E3"/>
                        <w:left w:val="single" w:sz="2" w:space="0" w:color="E3E3E3"/>
                        <w:bottom w:val="single" w:sz="2" w:space="0" w:color="E3E3E3"/>
                        <w:right w:val="single" w:sz="2" w:space="0" w:color="E3E3E3"/>
                      </w:divBdr>
                      <w:divsChild>
                        <w:div w:id="1910067795">
                          <w:marLeft w:val="0"/>
                          <w:marRight w:val="0"/>
                          <w:marTop w:val="0"/>
                          <w:marBottom w:val="0"/>
                          <w:divBdr>
                            <w:top w:val="single" w:sz="2" w:space="0" w:color="E3E3E3"/>
                            <w:left w:val="single" w:sz="2" w:space="0" w:color="E3E3E3"/>
                            <w:bottom w:val="single" w:sz="2" w:space="0" w:color="E3E3E3"/>
                            <w:right w:val="single" w:sz="2" w:space="0" w:color="E3E3E3"/>
                          </w:divBdr>
                        </w:div>
                        <w:div w:id="577404347">
                          <w:marLeft w:val="0"/>
                          <w:marRight w:val="0"/>
                          <w:marTop w:val="0"/>
                          <w:marBottom w:val="0"/>
                          <w:divBdr>
                            <w:top w:val="single" w:sz="2" w:space="0" w:color="E3E3E3"/>
                            <w:left w:val="single" w:sz="2" w:space="0" w:color="E3E3E3"/>
                            <w:bottom w:val="single" w:sz="2" w:space="0" w:color="E3E3E3"/>
                            <w:right w:val="single" w:sz="2" w:space="0" w:color="E3E3E3"/>
                          </w:divBdr>
                          <w:divsChild>
                            <w:div w:id="1069571156">
                              <w:marLeft w:val="0"/>
                              <w:marRight w:val="0"/>
                              <w:marTop w:val="0"/>
                              <w:marBottom w:val="0"/>
                              <w:divBdr>
                                <w:top w:val="single" w:sz="2" w:space="0" w:color="E3E3E3"/>
                                <w:left w:val="single" w:sz="2" w:space="0" w:color="E3E3E3"/>
                                <w:bottom w:val="single" w:sz="2" w:space="0" w:color="E3E3E3"/>
                                <w:right w:val="single" w:sz="2" w:space="0" w:color="E3E3E3"/>
                              </w:divBdr>
                              <w:divsChild>
                                <w:div w:id="1103113754">
                                  <w:marLeft w:val="0"/>
                                  <w:marRight w:val="0"/>
                                  <w:marTop w:val="0"/>
                                  <w:marBottom w:val="0"/>
                                  <w:divBdr>
                                    <w:top w:val="single" w:sz="2" w:space="0" w:color="E3E3E3"/>
                                    <w:left w:val="single" w:sz="2" w:space="0" w:color="E3E3E3"/>
                                    <w:bottom w:val="single" w:sz="2" w:space="0" w:color="E3E3E3"/>
                                    <w:right w:val="single" w:sz="2" w:space="0" w:color="E3E3E3"/>
                                  </w:divBdr>
                                  <w:divsChild>
                                    <w:div w:id="17587497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22441946">
          <w:marLeft w:val="0"/>
          <w:marRight w:val="0"/>
          <w:marTop w:val="0"/>
          <w:marBottom w:val="0"/>
          <w:divBdr>
            <w:top w:val="single" w:sz="2" w:space="0" w:color="E3E3E3"/>
            <w:left w:val="single" w:sz="2" w:space="0" w:color="E3E3E3"/>
            <w:bottom w:val="single" w:sz="2" w:space="0" w:color="E3E3E3"/>
            <w:right w:val="single" w:sz="2" w:space="0" w:color="E3E3E3"/>
          </w:divBdr>
          <w:divsChild>
            <w:div w:id="160044797">
              <w:marLeft w:val="0"/>
              <w:marRight w:val="0"/>
              <w:marTop w:val="100"/>
              <w:marBottom w:val="100"/>
              <w:divBdr>
                <w:top w:val="single" w:sz="2" w:space="0" w:color="E3E3E3"/>
                <w:left w:val="single" w:sz="2" w:space="0" w:color="E3E3E3"/>
                <w:bottom w:val="single" w:sz="2" w:space="0" w:color="E3E3E3"/>
                <w:right w:val="single" w:sz="2" w:space="0" w:color="E3E3E3"/>
              </w:divBdr>
              <w:divsChild>
                <w:div w:id="627005176">
                  <w:marLeft w:val="0"/>
                  <w:marRight w:val="0"/>
                  <w:marTop w:val="0"/>
                  <w:marBottom w:val="0"/>
                  <w:divBdr>
                    <w:top w:val="single" w:sz="2" w:space="0" w:color="E3E3E3"/>
                    <w:left w:val="single" w:sz="2" w:space="0" w:color="E3E3E3"/>
                    <w:bottom w:val="single" w:sz="2" w:space="0" w:color="E3E3E3"/>
                    <w:right w:val="single" w:sz="2" w:space="0" w:color="E3E3E3"/>
                  </w:divBdr>
                  <w:divsChild>
                    <w:div w:id="1893421519">
                      <w:marLeft w:val="0"/>
                      <w:marRight w:val="0"/>
                      <w:marTop w:val="0"/>
                      <w:marBottom w:val="0"/>
                      <w:divBdr>
                        <w:top w:val="single" w:sz="2" w:space="0" w:color="E3E3E3"/>
                        <w:left w:val="single" w:sz="2" w:space="0" w:color="E3E3E3"/>
                        <w:bottom w:val="single" w:sz="2" w:space="0" w:color="E3E3E3"/>
                        <w:right w:val="single" w:sz="2" w:space="0" w:color="E3E3E3"/>
                      </w:divBdr>
                      <w:divsChild>
                        <w:div w:id="1110391461">
                          <w:marLeft w:val="0"/>
                          <w:marRight w:val="0"/>
                          <w:marTop w:val="0"/>
                          <w:marBottom w:val="0"/>
                          <w:divBdr>
                            <w:top w:val="single" w:sz="2" w:space="0" w:color="E3E3E3"/>
                            <w:left w:val="single" w:sz="2" w:space="0" w:color="E3E3E3"/>
                            <w:bottom w:val="single" w:sz="2" w:space="0" w:color="E3E3E3"/>
                            <w:right w:val="single" w:sz="2" w:space="0" w:color="E3E3E3"/>
                          </w:divBdr>
                          <w:divsChild>
                            <w:div w:id="1327202084">
                              <w:marLeft w:val="0"/>
                              <w:marRight w:val="0"/>
                              <w:marTop w:val="0"/>
                              <w:marBottom w:val="0"/>
                              <w:divBdr>
                                <w:top w:val="single" w:sz="2" w:space="0" w:color="E3E3E3"/>
                                <w:left w:val="single" w:sz="2" w:space="0" w:color="E3E3E3"/>
                                <w:bottom w:val="single" w:sz="2" w:space="0" w:color="E3E3E3"/>
                                <w:right w:val="single" w:sz="2" w:space="0" w:color="E3E3E3"/>
                              </w:divBdr>
                              <w:divsChild>
                                <w:div w:id="1948584202">
                                  <w:marLeft w:val="0"/>
                                  <w:marRight w:val="0"/>
                                  <w:marTop w:val="0"/>
                                  <w:marBottom w:val="0"/>
                                  <w:divBdr>
                                    <w:top w:val="single" w:sz="2" w:space="0" w:color="E3E3E3"/>
                                    <w:left w:val="single" w:sz="2" w:space="0" w:color="E3E3E3"/>
                                    <w:bottom w:val="single" w:sz="2" w:space="0" w:color="E3E3E3"/>
                                    <w:right w:val="single" w:sz="2" w:space="0" w:color="E3E3E3"/>
                                  </w:divBdr>
                                  <w:divsChild>
                                    <w:div w:id="3984844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96773421">
                      <w:marLeft w:val="0"/>
                      <w:marRight w:val="0"/>
                      <w:marTop w:val="0"/>
                      <w:marBottom w:val="0"/>
                      <w:divBdr>
                        <w:top w:val="single" w:sz="2" w:space="0" w:color="E3E3E3"/>
                        <w:left w:val="single" w:sz="2" w:space="0" w:color="E3E3E3"/>
                        <w:bottom w:val="single" w:sz="2" w:space="0" w:color="E3E3E3"/>
                        <w:right w:val="single" w:sz="2" w:space="0" w:color="E3E3E3"/>
                      </w:divBdr>
                      <w:divsChild>
                        <w:div w:id="33237491">
                          <w:marLeft w:val="0"/>
                          <w:marRight w:val="0"/>
                          <w:marTop w:val="0"/>
                          <w:marBottom w:val="0"/>
                          <w:divBdr>
                            <w:top w:val="single" w:sz="2" w:space="0" w:color="E3E3E3"/>
                            <w:left w:val="single" w:sz="2" w:space="0" w:color="E3E3E3"/>
                            <w:bottom w:val="single" w:sz="2" w:space="0" w:color="E3E3E3"/>
                            <w:right w:val="single" w:sz="2" w:space="0" w:color="E3E3E3"/>
                          </w:divBdr>
                        </w:div>
                        <w:div w:id="1836606485">
                          <w:marLeft w:val="0"/>
                          <w:marRight w:val="0"/>
                          <w:marTop w:val="0"/>
                          <w:marBottom w:val="0"/>
                          <w:divBdr>
                            <w:top w:val="single" w:sz="2" w:space="0" w:color="E3E3E3"/>
                            <w:left w:val="single" w:sz="2" w:space="0" w:color="E3E3E3"/>
                            <w:bottom w:val="single" w:sz="2" w:space="0" w:color="E3E3E3"/>
                            <w:right w:val="single" w:sz="2" w:space="0" w:color="E3E3E3"/>
                          </w:divBdr>
                          <w:divsChild>
                            <w:div w:id="59452235">
                              <w:marLeft w:val="0"/>
                              <w:marRight w:val="0"/>
                              <w:marTop w:val="0"/>
                              <w:marBottom w:val="0"/>
                              <w:divBdr>
                                <w:top w:val="single" w:sz="2" w:space="0" w:color="E3E3E3"/>
                                <w:left w:val="single" w:sz="2" w:space="0" w:color="E3E3E3"/>
                                <w:bottom w:val="single" w:sz="2" w:space="0" w:color="E3E3E3"/>
                                <w:right w:val="single" w:sz="2" w:space="0" w:color="E3E3E3"/>
                              </w:divBdr>
                              <w:divsChild>
                                <w:div w:id="1224752366">
                                  <w:marLeft w:val="0"/>
                                  <w:marRight w:val="0"/>
                                  <w:marTop w:val="0"/>
                                  <w:marBottom w:val="0"/>
                                  <w:divBdr>
                                    <w:top w:val="single" w:sz="2" w:space="0" w:color="E3E3E3"/>
                                    <w:left w:val="single" w:sz="2" w:space="0" w:color="E3E3E3"/>
                                    <w:bottom w:val="single" w:sz="2" w:space="0" w:color="E3E3E3"/>
                                    <w:right w:val="single" w:sz="2" w:space="0" w:color="E3E3E3"/>
                                  </w:divBdr>
                                  <w:divsChild>
                                    <w:div w:id="14153243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97794344">
          <w:marLeft w:val="0"/>
          <w:marRight w:val="0"/>
          <w:marTop w:val="0"/>
          <w:marBottom w:val="0"/>
          <w:divBdr>
            <w:top w:val="single" w:sz="2" w:space="0" w:color="E3E3E3"/>
            <w:left w:val="single" w:sz="2" w:space="0" w:color="E3E3E3"/>
            <w:bottom w:val="single" w:sz="2" w:space="0" w:color="E3E3E3"/>
            <w:right w:val="single" w:sz="2" w:space="0" w:color="E3E3E3"/>
          </w:divBdr>
          <w:divsChild>
            <w:div w:id="2019963837">
              <w:marLeft w:val="0"/>
              <w:marRight w:val="0"/>
              <w:marTop w:val="100"/>
              <w:marBottom w:val="100"/>
              <w:divBdr>
                <w:top w:val="single" w:sz="2" w:space="0" w:color="E3E3E3"/>
                <w:left w:val="single" w:sz="2" w:space="0" w:color="E3E3E3"/>
                <w:bottom w:val="single" w:sz="2" w:space="0" w:color="E3E3E3"/>
                <w:right w:val="single" w:sz="2" w:space="0" w:color="E3E3E3"/>
              </w:divBdr>
              <w:divsChild>
                <w:div w:id="939869265">
                  <w:marLeft w:val="0"/>
                  <w:marRight w:val="0"/>
                  <w:marTop w:val="0"/>
                  <w:marBottom w:val="0"/>
                  <w:divBdr>
                    <w:top w:val="single" w:sz="2" w:space="0" w:color="E3E3E3"/>
                    <w:left w:val="single" w:sz="2" w:space="0" w:color="E3E3E3"/>
                    <w:bottom w:val="single" w:sz="2" w:space="0" w:color="E3E3E3"/>
                    <w:right w:val="single" w:sz="2" w:space="0" w:color="E3E3E3"/>
                  </w:divBdr>
                  <w:divsChild>
                    <w:div w:id="372509213">
                      <w:marLeft w:val="0"/>
                      <w:marRight w:val="0"/>
                      <w:marTop w:val="0"/>
                      <w:marBottom w:val="0"/>
                      <w:divBdr>
                        <w:top w:val="single" w:sz="2" w:space="0" w:color="E3E3E3"/>
                        <w:left w:val="single" w:sz="2" w:space="0" w:color="E3E3E3"/>
                        <w:bottom w:val="single" w:sz="2" w:space="0" w:color="E3E3E3"/>
                        <w:right w:val="single" w:sz="2" w:space="0" w:color="E3E3E3"/>
                      </w:divBdr>
                      <w:divsChild>
                        <w:div w:id="251427599">
                          <w:marLeft w:val="0"/>
                          <w:marRight w:val="0"/>
                          <w:marTop w:val="0"/>
                          <w:marBottom w:val="0"/>
                          <w:divBdr>
                            <w:top w:val="single" w:sz="2" w:space="0" w:color="E3E3E3"/>
                            <w:left w:val="single" w:sz="2" w:space="0" w:color="E3E3E3"/>
                            <w:bottom w:val="single" w:sz="2" w:space="0" w:color="E3E3E3"/>
                            <w:right w:val="single" w:sz="2" w:space="0" w:color="E3E3E3"/>
                          </w:divBdr>
                          <w:divsChild>
                            <w:div w:id="1288007878">
                              <w:marLeft w:val="0"/>
                              <w:marRight w:val="0"/>
                              <w:marTop w:val="0"/>
                              <w:marBottom w:val="0"/>
                              <w:divBdr>
                                <w:top w:val="single" w:sz="2" w:space="0" w:color="E3E3E3"/>
                                <w:left w:val="single" w:sz="2" w:space="0" w:color="E3E3E3"/>
                                <w:bottom w:val="single" w:sz="2" w:space="0" w:color="E3E3E3"/>
                                <w:right w:val="single" w:sz="2" w:space="0" w:color="E3E3E3"/>
                              </w:divBdr>
                              <w:divsChild>
                                <w:div w:id="787554265">
                                  <w:marLeft w:val="0"/>
                                  <w:marRight w:val="0"/>
                                  <w:marTop w:val="0"/>
                                  <w:marBottom w:val="0"/>
                                  <w:divBdr>
                                    <w:top w:val="single" w:sz="2" w:space="0" w:color="E3E3E3"/>
                                    <w:left w:val="single" w:sz="2" w:space="0" w:color="E3E3E3"/>
                                    <w:bottom w:val="single" w:sz="2" w:space="0" w:color="E3E3E3"/>
                                    <w:right w:val="single" w:sz="2" w:space="0" w:color="E3E3E3"/>
                                  </w:divBdr>
                                  <w:divsChild>
                                    <w:div w:id="7584529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87263713">
                      <w:marLeft w:val="0"/>
                      <w:marRight w:val="0"/>
                      <w:marTop w:val="0"/>
                      <w:marBottom w:val="0"/>
                      <w:divBdr>
                        <w:top w:val="single" w:sz="2" w:space="0" w:color="E3E3E3"/>
                        <w:left w:val="single" w:sz="2" w:space="0" w:color="E3E3E3"/>
                        <w:bottom w:val="single" w:sz="2" w:space="0" w:color="E3E3E3"/>
                        <w:right w:val="single" w:sz="2" w:space="0" w:color="E3E3E3"/>
                      </w:divBdr>
                      <w:divsChild>
                        <w:div w:id="2080789422">
                          <w:marLeft w:val="0"/>
                          <w:marRight w:val="0"/>
                          <w:marTop w:val="0"/>
                          <w:marBottom w:val="0"/>
                          <w:divBdr>
                            <w:top w:val="single" w:sz="2" w:space="0" w:color="E3E3E3"/>
                            <w:left w:val="single" w:sz="2" w:space="0" w:color="E3E3E3"/>
                            <w:bottom w:val="single" w:sz="2" w:space="0" w:color="E3E3E3"/>
                            <w:right w:val="single" w:sz="2" w:space="0" w:color="E3E3E3"/>
                          </w:divBdr>
                        </w:div>
                        <w:div w:id="184368760">
                          <w:marLeft w:val="0"/>
                          <w:marRight w:val="0"/>
                          <w:marTop w:val="0"/>
                          <w:marBottom w:val="0"/>
                          <w:divBdr>
                            <w:top w:val="single" w:sz="2" w:space="0" w:color="E3E3E3"/>
                            <w:left w:val="single" w:sz="2" w:space="0" w:color="E3E3E3"/>
                            <w:bottom w:val="single" w:sz="2" w:space="0" w:color="E3E3E3"/>
                            <w:right w:val="single" w:sz="2" w:space="0" w:color="E3E3E3"/>
                          </w:divBdr>
                          <w:divsChild>
                            <w:div w:id="778253739">
                              <w:marLeft w:val="0"/>
                              <w:marRight w:val="0"/>
                              <w:marTop w:val="0"/>
                              <w:marBottom w:val="0"/>
                              <w:divBdr>
                                <w:top w:val="single" w:sz="2" w:space="0" w:color="E3E3E3"/>
                                <w:left w:val="single" w:sz="2" w:space="0" w:color="E3E3E3"/>
                                <w:bottom w:val="single" w:sz="2" w:space="0" w:color="E3E3E3"/>
                                <w:right w:val="single" w:sz="2" w:space="0" w:color="E3E3E3"/>
                              </w:divBdr>
                              <w:divsChild>
                                <w:div w:id="1282420016">
                                  <w:marLeft w:val="0"/>
                                  <w:marRight w:val="0"/>
                                  <w:marTop w:val="0"/>
                                  <w:marBottom w:val="0"/>
                                  <w:divBdr>
                                    <w:top w:val="single" w:sz="2" w:space="0" w:color="E3E3E3"/>
                                    <w:left w:val="single" w:sz="2" w:space="0" w:color="E3E3E3"/>
                                    <w:bottom w:val="single" w:sz="2" w:space="0" w:color="E3E3E3"/>
                                    <w:right w:val="single" w:sz="2" w:space="0" w:color="E3E3E3"/>
                                  </w:divBdr>
                                  <w:divsChild>
                                    <w:div w:id="17403283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75333963">
          <w:marLeft w:val="0"/>
          <w:marRight w:val="0"/>
          <w:marTop w:val="0"/>
          <w:marBottom w:val="0"/>
          <w:divBdr>
            <w:top w:val="single" w:sz="2" w:space="0" w:color="E3E3E3"/>
            <w:left w:val="single" w:sz="2" w:space="0" w:color="E3E3E3"/>
            <w:bottom w:val="single" w:sz="2" w:space="0" w:color="E3E3E3"/>
            <w:right w:val="single" w:sz="2" w:space="0" w:color="E3E3E3"/>
          </w:divBdr>
          <w:divsChild>
            <w:div w:id="1626613970">
              <w:marLeft w:val="0"/>
              <w:marRight w:val="0"/>
              <w:marTop w:val="100"/>
              <w:marBottom w:val="100"/>
              <w:divBdr>
                <w:top w:val="single" w:sz="2" w:space="0" w:color="E3E3E3"/>
                <w:left w:val="single" w:sz="2" w:space="0" w:color="E3E3E3"/>
                <w:bottom w:val="single" w:sz="2" w:space="0" w:color="E3E3E3"/>
                <w:right w:val="single" w:sz="2" w:space="0" w:color="E3E3E3"/>
              </w:divBdr>
              <w:divsChild>
                <w:div w:id="2107117254">
                  <w:marLeft w:val="0"/>
                  <w:marRight w:val="0"/>
                  <w:marTop w:val="0"/>
                  <w:marBottom w:val="0"/>
                  <w:divBdr>
                    <w:top w:val="single" w:sz="2" w:space="0" w:color="E3E3E3"/>
                    <w:left w:val="single" w:sz="2" w:space="0" w:color="E3E3E3"/>
                    <w:bottom w:val="single" w:sz="2" w:space="0" w:color="E3E3E3"/>
                    <w:right w:val="single" w:sz="2" w:space="0" w:color="E3E3E3"/>
                  </w:divBdr>
                  <w:divsChild>
                    <w:div w:id="1334458146">
                      <w:marLeft w:val="0"/>
                      <w:marRight w:val="0"/>
                      <w:marTop w:val="0"/>
                      <w:marBottom w:val="0"/>
                      <w:divBdr>
                        <w:top w:val="single" w:sz="2" w:space="0" w:color="E3E3E3"/>
                        <w:left w:val="single" w:sz="2" w:space="0" w:color="E3E3E3"/>
                        <w:bottom w:val="single" w:sz="2" w:space="0" w:color="E3E3E3"/>
                        <w:right w:val="single" w:sz="2" w:space="0" w:color="E3E3E3"/>
                      </w:divBdr>
                      <w:divsChild>
                        <w:div w:id="1781143149">
                          <w:marLeft w:val="0"/>
                          <w:marRight w:val="0"/>
                          <w:marTop w:val="0"/>
                          <w:marBottom w:val="0"/>
                          <w:divBdr>
                            <w:top w:val="single" w:sz="2" w:space="0" w:color="E3E3E3"/>
                            <w:left w:val="single" w:sz="2" w:space="0" w:color="E3E3E3"/>
                            <w:bottom w:val="single" w:sz="2" w:space="0" w:color="E3E3E3"/>
                            <w:right w:val="single" w:sz="2" w:space="0" w:color="E3E3E3"/>
                          </w:divBdr>
                          <w:divsChild>
                            <w:div w:id="1616591902">
                              <w:marLeft w:val="0"/>
                              <w:marRight w:val="0"/>
                              <w:marTop w:val="0"/>
                              <w:marBottom w:val="0"/>
                              <w:divBdr>
                                <w:top w:val="single" w:sz="2" w:space="0" w:color="E3E3E3"/>
                                <w:left w:val="single" w:sz="2" w:space="0" w:color="E3E3E3"/>
                                <w:bottom w:val="single" w:sz="2" w:space="0" w:color="E3E3E3"/>
                                <w:right w:val="single" w:sz="2" w:space="0" w:color="E3E3E3"/>
                              </w:divBdr>
                              <w:divsChild>
                                <w:div w:id="2023630903">
                                  <w:marLeft w:val="0"/>
                                  <w:marRight w:val="0"/>
                                  <w:marTop w:val="0"/>
                                  <w:marBottom w:val="0"/>
                                  <w:divBdr>
                                    <w:top w:val="single" w:sz="2" w:space="0" w:color="E3E3E3"/>
                                    <w:left w:val="single" w:sz="2" w:space="0" w:color="E3E3E3"/>
                                    <w:bottom w:val="single" w:sz="2" w:space="0" w:color="E3E3E3"/>
                                    <w:right w:val="single" w:sz="2" w:space="0" w:color="E3E3E3"/>
                                  </w:divBdr>
                                  <w:divsChild>
                                    <w:div w:id="16439252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6412469">
                      <w:marLeft w:val="0"/>
                      <w:marRight w:val="0"/>
                      <w:marTop w:val="0"/>
                      <w:marBottom w:val="0"/>
                      <w:divBdr>
                        <w:top w:val="single" w:sz="2" w:space="0" w:color="E3E3E3"/>
                        <w:left w:val="single" w:sz="2" w:space="0" w:color="E3E3E3"/>
                        <w:bottom w:val="single" w:sz="2" w:space="0" w:color="E3E3E3"/>
                        <w:right w:val="single" w:sz="2" w:space="0" w:color="E3E3E3"/>
                      </w:divBdr>
                      <w:divsChild>
                        <w:div w:id="480776812">
                          <w:marLeft w:val="0"/>
                          <w:marRight w:val="0"/>
                          <w:marTop w:val="0"/>
                          <w:marBottom w:val="0"/>
                          <w:divBdr>
                            <w:top w:val="single" w:sz="2" w:space="0" w:color="E3E3E3"/>
                            <w:left w:val="single" w:sz="2" w:space="0" w:color="E3E3E3"/>
                            <w:bottom w:val="single" w:sz="2" w:space="0" w:color="E3E3E3"/>
                            <w:right w:val="single" w:sz="2" w:space="0" w:color="E3E3E3"/>
                          </w:divBdr>
                        </w:div>
                        <w:div w:id="909271491">
                          <w:marLeft w:val="0"/>
                          <w:marRight w:val="0"/>
                          <w:marTop w:val="0"/>
                          <w:marBottom w:val="0"/>
                          <w:divBdr>
                            <w:top w:val="single" w:sz="2" w:space="0" w:color="E3E3E3"/>
                            <w:left w:val="single" w:sz="2" w:space="0" w:color="E3E3E3"/>
                            <w:bottom w:val="single" w:sz="2" w:space="0" w:color="E3E3E3"/>
                            <w:right w:val="single" w:sz="2" w:space="0" w:color="E3E3E3"/>
                          </w:divBdr>
                          <w:divsChild>
                            <w:div w:id="2034570109">
                              <w:marLeft w:val="0"/>
                              <w:marRight w:val="0"/>
                              <w:marTop w:val="0"/>
                              <w:marBottom w:val="0"/>
                              <w:divBdr>
                                <w:top w:val="single" w:sz="2" w:space="0" w:color="E3E3E3"/>
                                <w:left w:val="single" w:sz="2" w:space="0" w:color="E3E3E3"/>
                                <w:bottom w:val="single" w:sz="2" w:space="0" w:color="E3E3E3"/>
                                <w:right w:val="single" w:sz="2" w:space="0" w:color="E3E3E3"/>
                              </w:divBdr>
                              <w:divsChild>
                                <w:div w:id="1552425049">
                                  <w:marLeft w:val="0"/>
                                  <w:marRight w:val="0"/>
                                  <w:marTop w:val="0"/>
                                  <w:marBottom w:val="0"/>
                                  <w:divBdr>
                                    <w:top w:val="single" w:sz="2" w:space="0" w:color="E3E3E3"/>
                                    <w:left w:val="single" w:sz="2" w:space="0" w:color="E3E3E3"/>
                                    <w:bottom w:val="single" w:sz="2" w:space="0" w:color="E3E3E3"/>
                                    <w:right w:val="single" w:sz="2" w:space="0" w:color="E3E3E3"/>
                                  </w:divBdr>
                                  <w:divsChild>
                                    <w:div w:id="939458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23758334">
      <w:bodyDiv w:val="1"/>
      <w:marLeft w:val="0"/>
      <w:marRight w:val="0"/>
      <w:marTop w:val="0"/>
      <w:marBottom w:val="0"/>
      <w:divBdr>
        <w:top w:val="none" w:sz="0" w:space="0" w:color="auto"/>
        <w:left w:val="none" w:sz="0" w:space="0" w:color="auto"/>
        <w:bottom w:val="none" w:sz="0" w:space="0" w:color="auto"/>
        <w:right w:val="none" w:sz="0" w:space="0" w:color="auto"/>
      </w:divBdr>
      <w:divsChild>
        <w:div w:id="638459902">
          <w:marLeft w:val="0"/>
          <w:marRight w:val="0"/>
          <w:marTop w:val="0"/>
          <w:marBottom w:val="0"/>
          <w:divBdr>
            <w:top w:val="none" w:sz="0" w:space="0" w:color="auto"/>
            <w:left w:val="none" w:sz="0" w:space="0" w:color="auto"/>
            <w:bottom w:val="none" w:sz="0" w:space="0" w:color="auto"/>
            <w:right w:val="none" w:sz="0" w:space="0" w:color="auto"/>
          </w:divBdr>
        </w:div>
        <w:div w:id="1887063113">
          <w:marLeft w:val="0"/>
          <w:marRight w:val="0"/>
          <w:marTop w:val="0"/>
          <w:marBottom w:val="0"/>
          <w:divBdr>
            <w:top w:val="none" w:sz="0" w:space="0" w:color="auto"/>
            <w:left w:val="none" w:sz="0" w:space="0" w:color="auto"/>
            <w:bottom w:val="none" w:sz="0" w:space="0" w:color="auto"/>
            <w:right w:val="none" w:sz="0" w:space="0" w:color="auto"/>
          </w:divBdr>
        </w:div>
      </w:divsChild>
    </w:div>
    <w:div w:id="931931390">
      <w:bodyDiv w:val="1"/>
      <w:marLeft w:val="0"/>
      <w:marRight w:val="0"/>
      <w:marTop w:val="0"/>
      <w:marBottom w:val="0"/>
      <w:divBdr>
        <w:top w:val="none" w:sz="0" w:space="0" w:color="auto"/>
        <w:left w:val="none" w:sz="0" w:space="0" w:color="auto"/>
        <w:bottom w:val="none" w:sz="0" w:space="0" w:color="auto"/>
        <w:right w:val="none" w:sz="0" w:space="0" w:color="auto"/>
      </w:divBdr>
    </w:div>
    <w:div w:id="964119497">
      <w:bodyDiv w:val="1"/>
      <w:marLeft w:val="0"/>
      <w:marRight w:val="0"/>
      <w:marTop w:val="0"/>
      <w:marBottom w:val="0"/>
      <w:divBdr>
        <w:top w:val="none" w:sz="0" w:space="0" w:color="auto"/>
        <w:left w:val="none" w:sz="0" w:space="0" w:color="auto"/>
        <w:bottom w:val="none" w:sz="0" w:space="0" w:color="auto"/>
        <w:right w:val="none" w:sz="0" w:space="0" w:color="auto"/>
      </w:divBdr>
    </w:div>
    <w:div w:id="966425871">
      <w:bodyDiv w:val="1"/>
      <w:marLeft w:val="0"/>
      <w:marRight w:val="0"/>
      <w:marTop w:val="0"/>
      <w:marBottom w:val="0"/>
      <w:divBdr>
        <w:top w:val="none" w:sz="0" w:space="0" w:color="auto"/>
        <w:left w:val="none" w:sz="0" w:space="0" w:color="auto"/>
        <w:bottom w:val="none" w:sz="0" w:space="0" w:color="auto"/>
        <w:right w:val="none" w:sz="0" w:space="0" w:color="auto"/>
      </w:divBdr>
    </w:div>
    <w:div w:id="973759558">
      <w:bodyDiv w:val="1"/>
      <w:marLeft w:val="0"/>
      <w:marRight w:val="0"/>
      <w:marTop w:val="0"/>
      <w:marBottom w:val="0"/>
      <w:divBdr>
        <w:top w:val="none" w:sz="0" w:space="0" w:color="auto"/>
        <w:left w:val="none" w:sz="0" w:space="0" w:color="auto"/>
        <w:bottom w:val="none" w:sz="0" w:space="0" w:color="auto"/>
        <w:right w:val="none" w:sz="0" w:space="0" w:color="auto"/>
      </w:divBdr>
    </w:div>
    <w:div w:id="1044020981">
      <w:bodyDiv w:val="1"/>
      <w:marLeft w:val="0"/>
      <w:marRight w:val="0"/>
      <w:marTop w:val="0"/>
      <w:marBottom w:val="0"/>
      <w:divBdr>
        <w:top w:val="none" w:sz="0" w:space="0" w:color="auto"/>
        <w:left w:val="none" w:sz="0" w:space="0" w:color="auto"/>
        <w:bottom w:val="none" w:sz="0" w:space="0" w:color="auto"/>
        <w:right w:val="none" w:sz="0" w:space="0" w:color="auto"/>
      </w:divBdr>
    </w:div>
    <w:div w:id="1119565262">
      <w:bodyDiv w:val="1"/>
      <w:marLeft w:val="0"/>
      <w:marRight w:val="0"/>
      <w:marTop w:val="0"/>
      <w:marBottom w:val="0"/>
      <w:divBdr>
        <w:top w:val="none" w:sz="0" w:space="0" w:color="auto"/>
        <w:left w:val="none" w:sz="0" w:space="0" w:color="auto"/>
        <w:bottom w:val="none" w:sz="0" w:space="0" w:color="auto"/>
        <w:right w:val="none" w:sz="0" w:space="0" w:color="auto"/>
      </w:divBdr>
    </w:div>
    <w:div w:id="1149589984">
      <w:bodyDiv w:val="1"/>
      <w:marLeft w:val="0"/>
      <w:marRight w:val="0"/>
      <w:marTop w:val="0"/>
      <w:marBottom w:val="0"/>
      <w:divBdr>
        <w:top w:val="none" w:sz="0" w:space="0" w:color="auto"/>
        <w:left w:val="none" w:sz="0" w:space="0" w:color="auto"/>
        <w:bottom w:val="none" w:sz="0" w:space="0" w:color="auto"/>
        <w:right w:val="none" w:sz="0" w:space="0" w:color="auto"/>
      </w:divBdr>
    </w:div>
    <w:div w:id="1157652852">
      <w:bodyDiv w:val="1"/>
      <w:marLeft w:val="0"/>
      <w:marRight w:val="0"/>
      <w:marTop w:val="0"/>
      <w:marBottom w:val="0"/>
      <w:divBdr>
        <w:top w:val="none" w:sz="0" w:space="0" w:color="auto"/>
        <w:left w:val="none" w:sz="0" w:space="0" w:color="auto"/>
        <w:bottom w:val="none" w:sz="0" w:space="0" w:color="auto"/>
        <w:right w:val="none" w:sz="0" w:space="0" w:color="auto"/>
      </w:divBdr>
    </w:div>
    <w:div w:id="1183862299">
      <w:bodyDiv w:val="1"/>
      <w:marLeft w:val="0"/>
      <w:marRight w:val="0"/>
      <w:marTop w:val="0"/>
      <w:marBottom w:val="0"/>
      <w:divBdr>
        <w:top w:val="none" w:sz="0" w:space="0" w:color="auto"/>
        <w:left w:val="none" w:sz="0" w:space="0" w:color="auto"/>
        <w:bottom w:val="none" w:sz="0" w:space="0" w:color="auto"/>
        <w:right w:val="none" w:sz="0" w:space="0" w:color="auto"/>
      </w:divBdr>
    </w:div>
    <w:div w:id="1247379009">
      <w:bodyDiv w:val="1"/>
      <w:marLeft w:val="0"/>
      <w:marRight w:val="0"/>
      <w:marTop w:val="0"/>
      <w:marBottom w:val="0"/>
      <w:divBdr>
        <w:top w:val="none" w:sz="0" w:space="0" w:color="auto"/>
        <w:left w:val="none" w:sz="0" w:space="0" w:color="auto"/>
        <w:bottom w:val="none" w:sz="0" w:space="0" w:color="auto"/>
        <w:right w:val="none" w:sz="0" w:space="0" w:color="auto"/>
      </w:divBdr>
    </w:div>
    <w:div w:id="1256331167">
      <w:bodyDiv w:val="1"/>
      <w:marLeft w:val="0"/>
      <w:marRight w:val="0"/>
      <w:marTop w:val="0"/>
      <w:marBottom w:val="0"/>
      <w:divBdr>
        <w:top w:val="none" w:sz="0" w:space="0" w:color="auto"/>
        <w:left w:val="none" w:sz="0" w:space="0" w:color="auto"/>
        <w:bottom w:val="none" w:sz="0" w:space="0" w:color="auto"/>
        <w:right w:val="none" w:sz="0" w:space="0" w:color="auto"/>
      </w:divBdr>
    </w:div>
    <w:div w:id="1360428362">
      <w:bodyDiv w:val="1"/>
      <w:marLeft w:val="0"/>
      <w:marRight w:val="0"/>
      <w:marTop w:val="0"/>
      <w:marBottom w:val="0"/>
      <w:divBdr>
        <w:top w:val="none" w:sz="0" w:space="0" w:color="auto"/>
        <w:left w:val="none" w:sz="0" w:space="0" w:color="auto"/>
        <w:bottom w:val="none" w:sz="0" w:space="0" w:color="auto"/>
        <w:right w:val="none" w:sz="0" w:space="0" w:color="auto"/>
      </w:divBdr>
    </w:div>
    <w:div w:id="1395592101">
      <w:bodyDiv w:val="1"/>
      <w:marLeft w:val="0"/>
      <w:marRight w:val="0"/>
      <w:marTop w:val="0"/>
      <w:marBottom w:val="0"/>
      <w:divBdr>
        <w:top w:val="none" w:sz="0" w:space="0" w:color="auto"/>
        <w:left w:val="none" w:sz="0" w:space="0" w:color="auto"/>
        <w:bottom w:val="none" w:sz="0" w:space="0" w:color="auto"/>
        <w:right w:val="none" w:sz="0" w:space="0" w:color="auto"/>
      </w:divBdr>
    </w:div>
    <w:div w:id="1426263666">
      <w:bodyDiv w:val="1"/>
      <w:marLeft w:val="0"/>
      <w:marRight w:val="0"/>
      <w:marTop w:val="0"/>
      <w:marBottom w:val="0"/>
      <w:divBdr>
        <w:top w:val="none" w:sz="0" w:space="0" w:color="auto"/>
        <w:left w:val="none" w:sz="0" w:space="0" w:color="auto"/>
        <w:bottom w:val="none" w:sz="0" w:space="0" w:color="auto"/>
        <w:right w:val="none" w:sz="0" w:space="0" w:color="auto"/>
      </w:divBdr>
    </w:div>
    <w:div w:id="1449084436">
      <w:bodyDiv w:val="1"/>
      <w:marLeft w:val="0"/>
      <w:marRight w:val="0"/>
      <w:marTop w:val="0"/>
      <w:marBottom w:val="0"/>
      <w:divBdr>
        <w:top w:val="none" w:sz="0" w:space="0" w:color="auto"/>
        <w:left w:val="none" w:sz="0" w:space="0" w:color="auto"/>
        <w:bottom w:val="none" w:sz="0" w:space="0" w:color="auto"/>
        <w:right w:val="none" w:sz="0" w:space="0" w:color="auto"/>
      </w:divBdr>
    </w:div>
    <w:div w:id="1468279284">
      <w:bodyDiv w:val="1"/>
      <w:marLeft w:val="0"/>
      <w:marRight w:val="0"/>
      <w:marTop w:val="0"/>
      <w:marBottom w:val="0"/>
      <w:divBdr>
        <w:top w:val="none" w:sz="0" w:space="0" w:color="auto"/>
        <w:left w:val="none" w:sz="0" w:space="0" w:color="auto"/>
        <w:bottom w:val="none" w:sz="0" w:space="0" w:color="auto"/>
        <w:right w:val="none" w:sz="0" w:space="0" w:color="auto"/>
      </w:divBdr>
    </w:div>
    <w:div w:id="1469471112">
      <w:bodyDiv w:val="1"/>
      <w:marLeft w:val="0"/>
      <w:marRight w:val="0"/>
      <w:marTop w:val="0"/>
      <w:marBottom w:val="0"/>
      <w:divBdr>
        <w:top w:val="none" w:sz="0" w:space="0" w:color="auto"/>
        <w:left w:val="none" w:sz="0" w:space="0" w:color="auto"/>
        <w:bottom w:val="none" w:sz="0" w:space="0" w:color="auto"/>
        <w:right w:val="none" w:sz="0" w:space="0" w:color="auto"/>
      </w:divBdr>
    </w:div>
    <w:div w:id="1492714815">
      <w:bodyDiv w:val="1"/>
      <w:marLeft w:val="0"/>
      <w:marRight w:val="0"/>
      <w:marTop w:val="0"/>
      <w:marBottom w:val="0"/>
      <w:divBdr>
        <w:top w:val="none" w:sz="0" w:space="0" w:color="auto"/>
        <w:left w:val="none" w:sz="0" w:space="0" w:color="auto"/>
        <w:bottom w:val="none" w:sz="0" w:space="0" w:color="auto"/>
        <w:right w:val="none" w:sz="0" w:space="0" w:color="auto"/>
      </w:divBdr>
    </w:div>
    <w:div w:id="1507793643">
      <w:bodyDiv w:val="1"/>
      <w:marLeft w:val="0"/>
      <w:marRight w:val="0"/>
      <w:marTop w:val="0"/>
      <w:marBottom w:val="0"/>
      <w:divBdr>
        <w:top w:val="none" w:sz="0" w:space="0" w:color="auto"/>
        <w:left w:val="none" w:sz="0" w:space="0" w:color="auto"/>
        <w:bottom w:val="none" w:sz="0" w:space="0" w:color="auto"/>
        <w:right w:val="none" w:sz="0" w:space="0" w:color="auto"/>
      </w:divBdr>
    </w:div>
    <w:div w:id="1552308905">
      <w:bodyDiv w:val="1"/>
      <w:marLeft w:val="0"/>
      <w:marRight w:val="0"/>
      <w:marTop w:val="0"/>
      <w:marBottom w:val="0"/>
      <w:divBdr>
        <w:top w:val="none" w:sz="0" w:space="0" w:color="auto"/>
        <w:left w:val="none" w:sz="0" w:space="0" w:color="auto"/>
        <w:bottom w:val="none" w:sz="0" w:space="0" w:color="auto"/>
        <w:right w:val="none" w:sz="0" w:space="0" w:color="auto"/>
      </w:divBdr>
    </w:div>
    <w:div w:id="1616330505">
      <w:bodyDiv w:val="1"/>
      <w:marLeft w:val="0"/>
      <w:marRight w:val="0"/>
      <w:marTop w:val="0"/>
      <w:marBottom w:val="0"/>
      <w:divBdr>
        <w:top w:val="none" w:sz="0" w:space="0" w:color="auto"/>
        <w:left w:val="none" w:sz="0" w:space="0" w:color="auto"/>
        <w:bottom w:val="none" w:sz="0" w:space="0" w:color="auto"/>
        <w:right w:val="none" w:sz="0" w:space="0" w:color="auto"/>
      </w:divBdr>
    </w:div>
    <w:div w:id="1640500995">
      <w:bodyDiv w:val="1"/>
      <w:marLeft w:val="0"/>
      <w:marRight w:val="0"/>
      <w:marTop w:val="0"/>
      <w:marBottom w:val="0"/>
      <w:divBdr>
        <w:top w:val="none" w:sz="0" w:space="0" w:color="auto"/>
        <w:left w:val="none" w:sz="0" w:space="0" w:color="auto"/>
        <w:bottom w:val="none" w:sz="0" w:space="0" w:color="auto"/>
        <w:right w:val="none" w:sz="0" w:space="0" w:color="auto"/>
      </w:divBdr>
    </w:div>
    <w:div w:id="1673291475">
      <w:bodyDiv w:val="1"/>
      <w:marLeft w:val="0"/>
      <w:marRight w:val="0"/>
      <w:marTop w:val="0"/>
      <w:marBottom w:val="0"/>
      <w:divBdr>
        <w:top w:val="none" w:sz="0" w:space="0" w:color="auto"/>
        <w:left w:val="none" w:sz="0" w:space="0" w:color="auto"/>
        <w:bottom w:val="none" w:sz="0" w:space="0" w:color="auto"/>
        <w:right w:val="none" w:sz="0" w:space="0" w:color="auto"/>
      </w:divBdr>
      <w:divsChild>
        <w:div w:id="1031734455">
          <w:marLeft w:val="0"/>
          <w:marRight w:val="0"/>
          <w:marTop w:val="0"/>
          <w:marBottom w:val="0"/>
          <w:divBdr>
            <w:top w:val="none" w:sz="0" w:space="0" w:color="auto"/>
            <w:left w:val="none" w:sz="0" w:space="0" w:color="auto"/>
            <w:bottom w:val="none" w:sz="0" w:space="0" w:color="auto"/>
            <w:right w:val="none" w:sz="0" w:space="0" w:color="auto"/>
          </w:divBdr>
          <w:divsChild>
            <w:div w:id="968321099">
              <w:marLeft w:val="0"/>
              <w:marRight w:val="0"/>
              <w:marTop w:val="0"/>
              <w:marBottom w:val="0"/>
              <w:divBdr>
                <w:top w:val="none" w:sz="0" w:space="0" w:color="auto"/>
                <w:left w:val="none" w:sz="0" w:space="0" w:color="auto"/>
                <w:bottom w:val="none" w:sz="0" w:space="0" w:color="auto"/>
                <w:right w:val="none" w:sz="0" w:space="0" w:color="auto"/>
              </w:divBdr>
              <w:divsChild>
                <w:div w:id="1455321983">
                  <w:marLeft w:val="0"/>
                  <w:marRight w:val="0"/>
                  <w:marTop w:val="0"/>
                  <w:marBottom w:val="0"/>
                  <w:divBdr>
                    <w:top w:val="none" w:sz="0" w:space="0" w:color="auto"/>
                    <w:left w:val="none" w:sz="0" w:space="0" w:color="auto"/>
                    <w:bottom w:val="none" w:sz="0" w:space="0" w:color="auto"/>
                    <w:right w:val="none" w:sz="0" w:space="0" w:color="auto"/>
                  </w:divBdr>
                  <w:divsChild>
                    <w:div w:id="177282721">
                      <w:marLeft w:val="0"/>
                      <w:marRight w:val="0"/>
                      <w:marTop w:val="0"/>
                      <w:marBottom w:val="0"/>
                      <w:divBdr>
                        <w:top w:val="none" w:sz="0" w:space="0" w:color="auto"/>
                        <w:left w:val="none" w:sz="0" w:space="0" w:color="auto"/>
                        <w:bottom w:val="none" w:sz="0" w:space="0" w:color="auto"/>
                        <w:right w:val="none" w:sz="0" w:space="0" w:color="auto"/>
                      </w:divBdr>
                      <w:divsChild>
                        <w:div w:id="621225133">
                          <w:marLeft w:val="0"/>
                          <w:marRight w:val="0"/>
                          <w:marTop w:val="0"/>
                          <w:marBottom w:val="0"/>
                          <w:divBdr>
                            <w:top w:val="none" w:sz="0" w:space="0" w:color="auto"/>
                            <w:left w:val="none" w:sz="0" w:space="0" w:color="auto"/>
                            <w:bottom w:val="none" w:sz="0" w:space="0" w:color="auto"/>
                            <w:right w:val="none" w:sz="0" w:space="0" w:color="auto"/>
                          </w:divBdr>
                          <w:divsChild>
                            <w:div w:id="1117797695">
                              <w:marLeft w:val="0"/>
                              <w:marRight w:val="0"/>
                              <w:marTop w:val="0"/>
                              <w:marBottom w:val="0"/>
                              <w:divBdr>
                                <w:top w:val="none" w:sz="0" w:space="0" w:color="auto"/>
                                <w:left w:val="none" w:sz="0" w:space="0" w:color="auto"/>
                                <w:bottom w:val="none" w:sz="0" w:space="0" w:color="auto"/>
                                <w:right w:val="none" w:sz="0" w:space="0" w:color="auto"/>
                              </w:divBdr>
                              <w:divsChild>
                                <w:div w:id="1857227198">
                                  <w:marLeft w:val="0"/>
                                  <w:marRight w:val="0"/>
                                  <w:marTop w:val="75"/>
                                  <w:marBottom w:val="0"/>
                                  <w:divBdr>
                                    <w:top w:val="single" w:sz="6" w:space="0" w:color="BBBBBB"/>
                                    <w:left w:val="single" w:sz="6" w:space="0" w:color="BBBBBB"/>
                                    <w:bottom w:val="single" w:sz="6" w:space="0" w:color="BBBBBB"/>
                                    <w:right w:val="single" w:sz="6" w:space="0" w:color="BBBBBB"/>
                                  </w:divBdr>
                                  <w:divsChild>
                                    <w:div w:id="1439107915">
                                      <w:marLeft w:val="0"/>
                                      <w:marRight w:val="0"/>
                                      <w:marTop w:val="0"/>
                                      <w:marBottom w:val="0"/>
                                      <w:divBdr>
                                        <w:top w:val="none" w:sz="0" w:space="0" w:color="auto"/>
                                        <w:left w:val="none" w:sz="0" w:space="0" w:color="auto"/>
                                        <w:bottom w:val="none" w:sz="0" w:space="0" w:color="auto"/>
                                        <w:right w:val="none" w:sz="0" w:space="0" w:color="auto"/>
                                      </w:divBdr>
                                      <w:divsChild>
                                        <w:div w:id="1974945797">
                                          <w:marLeft w:val="0"/>
                                          <w:marRight w:val="0"/>
                                          <w:marTop w:val="0"/>
                                          <w:marBottom w:val="0"/>
                                          <w:divBdr>
                                            <w:top w:val="none" w:sz="0" w:space="0" w:color="auto"/>
                                            <w:left w:val="none" w:sz="0" w:space="0" w:color="auto"/>
                                            <w:bottom w:val="none" w:sz="0" w:space="0" w:color="auto"/>
                                            <w:right w:val="none" w:sz="0" w:space="0" w:color="auto"/>
                                          </w:divBdr>
                                          <w:divsChild>
                                            <w:div w:id="270822581">
                                              <w:marLeft w:val="0"/>
                                              <w:marRight w:val="0"/>
                                              <w:marTop w:val="0"/>
                                              <w:marBottom w:val="0"/>
                                              <w:divBdr>
                                                <w:top w:val="none" w:sz="0" w:space="0" w:color="auto"/>
                                                <w:left w:val="none" w:sz="0" w:space="0" w:color="auto"/>
                                                <w:bottom w:val="none" w:sz="0" w:space="0" w:color="auto"/>
                                                <w:right w:val="none" w:sz="0" w:space="0" w:color="auto"/>
                                              </w:divBdr>
                                            </w:div>
                                          </w:divsChild>
                                        </w:div>
                                        <w:div w:id="1679581653">
                                          <w:marLeft w:val="0"/>
                                          <w:marRight w:val="0"/>
                                          <w:marTop w:val="0"/>
                                          <w:marBottom w:val="0"/>
                                          <w:divBdr>
                                            <w:top w:val="none" w:sz="0" w:space="0" w:color="auto"/>
                                            <w:left w:val="none" w:sz="0" w:space="0" w:color="auto"/>
                                            <w:bottom w:val="none" w:sz="0" w:space="0" w:color="auto"/>
                                            <w:right w:val="none" w:sz="0" w:space="0" w:color="auto"/>
                                          </w:divBdr>
                                        </w:div>
                                        <w:div w:id="1187717098">
                                          <w:marLeft w:val="0"/>
                                          <w:marRight w:val="0"/>
                                          <w:marTop w:val="0"/>
                                          <w:marBottom w:val="195"/>
                                          <w:divBdr>
                                            <w:top w:val="none" w:sz="0" w:space="0" w:color="auto"/>
                                            <w:left w:val="none" w:sz="0" w:space="0" w:color="auto"/>
                                            <w:bottom w:val="none" w:sz="0" w:space="0" w:color="auto"/>
                                            <w:right w:val="none" w:sz="0" w:space="0" w:color="auto"/>
                                          </w:divBdr>
                                        </w:div>
                                      </w:divsChild>
                                    </w:div>
                                    <w:div w:id="147255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98715">
                      <w:marLeft w:val="0"/>
                      <w:marRight w:val="0"/>
                      <w:marTop w:val="0"/>
                      <w:marBottom w:val="0"/>
                      <w:divBdr>
                        <w:top w:val="none" w:sz="0" w:space="0" w:color="auto"/>
                        <w:left w:val="none" w:sz="0" w:space="0" w:color="auto"/>
                        <w:bottom w:val="none" w:sz="0" w:space="0" w:color="auto"/>
                        <w:right w:val="none" w:sz="0" w:space="0" w:color="auto"/>
                      </w:divBdr>
                    </w:div>
                  </w:divsChild>
                </w:div>
                <w:div w:id="1707608176">
                  <w:marLeft w:val="0"/>
                  <w:marRight w:val="0"/>
                  <w:marTop w:val="0"/>
                  <w:marBottom w:val="0"/>
                  <w:divBdr>
                    <w:top w:val="none" w:sz="0" w:space="0" w:color="auto"/>
                    <w:left w:val="none" w:sz="0" w:space="0" w:color="auto"/>
                    <w:bottom w:val="none" w:sz="0" w:space="0" w:color="auto"/>
                    <w:right w:val="none" w:sz="0" w:space="0" w:color="auto"/>
                  </w:divBdr>
                  <w:divsChild>
                    <w:div w:id="1180464322">
                      <w:marLeft w:val="0"/>
                      <w:marRight w:val="0"/>
                      <w:marTop w:val="0"/>
                      <w:marBottom w:val="0"/>
                      <w:divBdr>
                        <w:top w:val="none" w:sz="0" w:space="0" w:color="auto"/>
                        <w:left w:val="none" w:sz="0" w:space="0" w:color="auto"/>
                        <w:bottom w:val="none" w:sz="0" w:space="0" w:color="auto"/>
                        <w:right w:val="none" w:sz="0" w:space="0" w:color="auto"/>
                      </w:divBdr>
                      <w:divsChild>
                        <w:div w:id="212056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9991245">
      <w:bodyDiv w:val="1"/>
      <w:marLeft w:val="0"/>
      <w:marRight w:val="0"/>
      <w:marTop w:val="0"/>
      <w:marBottom w:val="0"/>
      <w:divBdr>
        <w:top w:val="none" w:sz="0" w:space="0" w:color="auto"/>
        <w:left w:val="none" w:sz="0" w:space="0" w:color="auto"/>
        <w:bottom w:val="none" w:sz="0" w:space="0" w:color="auto"/>
        <w:right w:val="none" w:sz="0" w:space="0" w:color="auto"/>
      </w:divBdr>
    </w:div>
    <w:div w:id="1697729702">
      <w:bodyDiv w:val="1"/>
      <w:marLeft w:val="0"/>
      <w:marRight w:val="0"/>
      <w:marTop w:val="0"/>
      <w:marBottom w:val="0"/>
      <w:divBdr>
        <w:top w:val="none" w:sz="0" w:space="0" w:color="auto"/>
        <w:left w:val="none" w:sz="0" w:space="0" w:color="auto"/>
        <w:bottom w:val="none" w:sz="0" w:space="0" w:color="auto"/>
        <w:right w:val="none" w:sz="0" w:space="0" w:color="auto"/>
      </w:divBdr>
    </w:div>
    <w:div w:id="1739160017">
      <w:bodyDiv w:val="1"/>
      <w:marLeft w:val="0"/>
      <w:marRight w:val="0"/>
      <w:marTop w:val="0"/>
      <w:marBottom w:val="0"/>
      <w:divBdr>
        <w:top w:val="none" w:sz="0" w:space="0" w:color="auto"/>
        <w:left w:val="none" w:sz="0" w:space="0" w:color="auto"/>
        <w:bottom w:val="none" w:sz="0" w:space="0" w:color="auto"/>
        <w:right w:val="none" w:sz="0" w:space="0" w:color="auto"/>
      </w:divBdr>
    </w:div>
    <w:div w:id="1752267882">
      <w:bodyDiv w:val="1"/>
      <w:marLeft w:val="0"/>
      <w:marRight w:val="0"/>
      <w:marTop w:val="0"/>
      <w:marBottom w:val="0"/>
      <w:divBdr>
        <w:top w:val="none" w:sz="0" w:space="0" w:color="auto"/>
        <w:left w:val="none" w:sz="0" w:space="0" w:color="auto"/>
        <w:bottom w:val="none" w:sz="0" w:space="0" w:color="auto"/>
        <w:right w:val="none" w:sz="0" w:space="0" w:color="auto"/>
      </w:divBdr>
    </w:div>
    <w:div w:id="1765304517">
      <w:bodyDiv w:val="1"/>
      <w:marLeft w:val="0"/>
      <w:marRight w:val="0"/>
      <w:marTop w:val="0"/>
      <w:marBottom w:val="0"/>
      <w:divBdr>
        <w:top w:val="none" w:sz="0" w:space="0" w:color="auto"/>
        <w:left w:val="none" w:sz="0" w:space="0" w:color="auto"/>
        <w:bottom w:val="none" w:sz="0" w:space="0" w:color="auto"/>
        <w:right w:val="none" w:sz="0" w:space="0" w:color="auto"/>
      </w:divBdr>
    </w:div>
    <w:div w:id="1790779230">
      <w:bodyDiv w:val="1"/>
      <w:marLeft w:val="0"/>
      <w:marRight w:val="0"/>
      <w:marTop w:val="0"/>
      <w:marBottom w:val="0"/>
      <w:divBdr>
        <w:top w:val="none" w:sz="0" w:space="0" w:color="auto"/>
        <w:left w:val="none" w:sz="0" w:space="0" w:color="auto"/>
        <w:bottom w:val="none" w:sz="0" w:space="0" w:color="auto"/>
        <w:right w:val="none" w:sz="0" w:space="0" w:color="auto"/>
      </w:divBdr>
      <w:divsChild>
        <w:div w:id="1320428227">
          <w:marLeft w:val="0"/>
          <w:marRight w:val="0"/>
          <w:marTop w:val="0"/>
          <w:marBottom w:val="0"/>
          <w:divBdr>
            <w:top w:val="single" w:sz="2" w:space="0" w:color="E3E3E3"/>
            <w:left w:val="single" w:sz="2" w:space="0" w:color="E3E3E3"/>
            <w:bottom w:val="single" w:sz="2" w:space="0" w:color="E3E3E3"/>
            <w:right w:val="single" w:sz="2" w:space="0" w:color="E3E3E3"/>
          </w:divBdr>
          <w:divsChild>
            <w:div w:id="896935567">
              <w:marLeft w:val="0"/>
              <w:marRight w:val="0"/>
              <w:marTop w:val="100"/>
              <w:marBottom w:val="100"/>
              <w:divBdr>
                <w:top w:val="single" w:sz="2" w:space="0" w:color="E3E3E3"/>
                <w:left w:val="single" w:sz="2" w:space="0" w:color="E3E3E3"/>
                <w:bottom w:val="single" w:sz="2" w:space="0" w:color="E3E3E3"/>
                <w:right w:val="single" w:sz="2" w:space="0" w:color="E3E3E3"/>
              </w:divBdr>
              <w:divsChild>
                <w:div w:id="843983025">
                  <w:marLeft w:val="0"/>
                  <w:marRight w:val="0"/>
                  <w:marTop w:val="0"/>
                  <w:marBottom w:val="0"/>
                  <w:divBdr>
                    <w:top w:val="single" w:sz="2" w:space="0" w:color="E3E3E3"/>
                    <w:left w:val="single" w:sz="2" w:space="0" w:color="E3E3E3"/>
                    <w:bottom w:val="single" w:sz="2" w:space="0" w:color="E3E3E3"/>
                    <w:right w:val="single" w:sz="2" w:space="0" w:color="E3E3E3"/>
                  </w:divBdr>
                  <w:divsChild>
                    <w:div w:id="1638873043">
                      <w:marLeft w:val="0"/>
                      <w:marRight w:val="0"/>
                      <w:marTop w:val="0"/>
                      <w:marBottom w:val="0"/>
                      <w:divBdr>
                        <w:top w:val="single" w:sz="2" w:space="0" w:color="E3E3E3"/>
                        <w:left w:val="single" w:sz="2" w:space="0" w:color="E3E3E3"/>
                        <w:bottom w:val="single" w:sz="2" w:space="0" w:color="E3E3E3"/>
                        <w:right w:val="single" w:sz="2" w:space="0" w:color="E3E3E3"/>
                      </w:divBdr>
                      <w:divsChild>
                        <w:div w:id="2073581563">
                          <w:marLeft w:val="0"/>
                          <w:marRight w:val="0"/>
                          <w:marTop w:val="0"/>
                          <w:marBottom w:val="0"/>
                          <w:divBdr>
                            <w:top w:val="single" w:sz="2" w:space="0" w:color="E3E3E3"/>
                            <w:left w:val="single" w:sz="2" w:space="0" w:color="E3E3E3"/>
                            <w:bottom w:val="single" w:sz="2" w:space="0" w:color="E3E3E3"/>
                            <w:right w:val="single" w:sz="2" w:space="0" w:color="E3E3E3"/>
                          </w:divBdr>
                          <w:divsChild>
                            <w:div w:id="430706032">
                              <w:marLeft w:val="0"/>
                              <w:marRight w:val="0"/>
                              <w:marTop w:val="0"/>
                              <w:marBottom w:val="0"/>
                              <w:divBdr>
                                <w:top w:val="single" w:sz="2" w:space="0" w:color="E3E3E3"/>
                                <w:left w:val="single" w:sz="2" w:space="0" w:color="E3E3E3"/>
                                <w:bottom w:val="single" w:sz="2" w:space="0" w:color="E3E3E3"/>
                                <w:right w:val="single" w:sz="2" w:space="0" w:color="E3E3E3"/>
                              </w:divBdr>
                              <w:divsChild>
                                <w:div w:id="219874165">
                                  <w:marLeft w:val="0"/>
                                  <w:marRight w:val="0"/>
                                  <w:marTop w:val="0"/>
                                  <w:marBottom w:val="0"/>
                                  <w:divBdr>
                                    <w:top w:val="single" w:sz="2" w:space="0" w:color="E3E3E3"/>
                                    <w:left w:val="single" w:sz="2" w:space="0" w:color="E3E3E3"/>
                                    <w:bottom w:val="single" w:sz="2" w:space="0" w:color="E3E3E3"/>
                                    <w:right w:val="single" w:sz="2" w:space="0" w:color="E3E3E3"/>
                                  </w:divBdr>
                                  <w:divsChild>
                                    <w:div w:id="646498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40367403">
          <w:marLeft w:val="0"/>
          <w:marRight w:val="0"/>
          <w:marTop w:val="0"/>
          <w:marBottom w:val="0"/>
          <w:divBdr>
            <w:top w:val="single" w:sz="2" w:space="0" w:color="E3E3E3"/>
            <w:left w:val="single" w:sz="2" w:space="0" w:color="E3E3E3"/>
            <w:bottom w:val="single" w:sz="2" w:space="0" w:color="E3E3E3"/>
            <w:right w:val="single" w:sz="2" w:space="0" w:color="E3E3E3"/>
          </w:divBdr>
          <w:divsChild>
            <w:div w:id="164442357">
              <w:marLeft w:val="0"/>
              <w:marRight w:val="0"/>
              <w:marTop w:val="100"/>
              <w:marBottom w:val="100"/>
              <w:divBdr>
                <w:top w:val="single" w:sz="2" w:space="0" w:color="E3E3E3"/>
                <w:left w:val="single" w:sz="2" w:space="0" w:color="E3E3E3"/>
                <w:bottom w:val="single" w:sz="2" w:space="0" w:color="E3E3E3"/>
                <w:right w:val="single" w:sz="2" w:space="0" w:color="E3E3E3"/>
              </w:divBdr>
              <w:divsChild>
                <w:div w:id="658769884">
                  <w:marLeft w:val="0"/>
                  <w:marRight w:val="0"/>
                  <w:marTop w:val="0"/>
                  <w:marBottom w:val="0"/>
                  <w:divBdr>
                    <w:top w:val="single" w:sz="2" w:space="0" w:color="E3E3E3"/>
                    <w:left w:val="single" w:sz="2" w:space="0" w:color="E3E3E3"/>
                    <w:bottom w:val="single" w:sz="2" w:space="0" w:color="E3E3E3"/>
                    <w:right w:val="single" w:sz="2" w:space="0" w:color="E3E3E3"/>
                  </w:divBdr>
                  <w:divsChild>
                    <w:div w:id="337074167">
                      <w:marLeft w:val="0"/>
                      <w:marRight w:val="0"/>
                      <w:marTop w:val="0"/>
                      <w:marBottom w:val="0"/>
                      <w:divBdr>
                        <w:top w:val="single" w:sz="2" w:space="0" w:color="E3E3E3"/>
                        <w:left w:val="single" w:sz="2" w:space="0" w:color="E3E3E3"/>
                        <w:bottom w:val="single" w:sz="2" w:space="0" w:color="E3E3E3"/>
                        <w:right w:val="single" w:sz="2" w:space="0" w:color="E3E3E3"/>
                      </w:divBdr>
                      <w:divsChild>
                        <w:div w:id="1795056317">
                          <w:marLeft w:val="0"/>
                          <w:marRight w:val="0"/>
                          <w:marTop w:val="0"/>
                          <w:marBottom w:val="0"/>
                          <w:divBdr>
                            <w:top w:val="single" w:sz="2" w:space="0" w:color="E3E3E3"/>
                            <w:left w:val="single" w:sz="2" w:space="0" w:color="E3E3E3"/>
                            <w:bottom w:val="single" w:sz="2" w:space="0" w:color="E3E3E3"/>
                            <w:right w:val="single" w:sz="2" w:space="0" w:color="E3E3E3"/>
                          </w:divBdr>
                          <w:divsChild>
                            <w:div w:id="785193331">
                              <w:marLeft w:val="0"/>
                              <w:marRight w:val="0"/>
                              <w:marTop w:val="0"/>
                              <w:marBottom w:val="0"/>
                              <w:divBdr>
                                <w:top w:val="single" w:sz="2" w:space="0" w:color="E3E3E3"/>
                                <w:left w:val="single" w:sz="2" w:space="0" w:color="E3E3E3"/>
                                <w:bottom w:val="single" w:sz="2" w:space="0" w:color="E3E3E3"/>
                                <w:right w:val="single" w:sz="2" w:space="0" w:color="E3E3E3"/>
                              </w:divBdr>
                              <w:divsChild>
                                <w:div w:id="950166776">
                                  <w:marLeft w:val="0"/>
                                  <w:marRight w:val="0"/>
                                  <w:marTop w:val="0"/>
                                  <w:marBottom w:val="0"/>
                                  <w:divBdr>
                                    <w:top w:val="single" w:sz="2" w:space="0" w:color="E3E3E3"/>
                                    <w:left w:val="single" w:sz="2" w:space="0" w:color="E3E3E3"/>
                                    <w:bottom w:val="single" w:sz="2" w:space="0" w:color="E3E3E3"/>
                                    <w:right w:val="single" w:sz="2" w:space="0" w:color="E3E3E3"/>
                                  </w:divBdr>
                                  <w:divsChild>
                                    <w:div w:id="6688715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9017433">
                      <w:marLeft w:val="0"/>
                      <w:marRight w:val="0"/>
                      <w:marTop w:val="0"/>
                      <w:marBottom w:val="0"/>
                      <w:divBdr>
                        <w:top w:val="single" w:sz="2" w:space="0" w:color="E3E3E3"/>
                        <w:left w:val="single" w:sz="2" w:space="0" w:color="E3E3E3"/>
                        <w:bottom w:val="single" w:sz="2" w:space="0" w:color="E3E3E3"/>
                        <w:right w:val="single" w:sz="2" w:space="0" w:color="E3E3E3"/>
                      </w:divBdr>
                      <w:divsChild>
                        <w:div w:id="1058624084">
                          <w:marLeft w:val="0"/>
                          <w:marRight w:val="0"/>
                          <w:marTop w:val="0"/>
                          <w:marBottom w:val="0"/>
                          <w:divBdr>
                            <w:top w:val="single" w:sz="2" w:space="0" w:color="E3E3E3"/>
                            <w:left w:val="single" w:sz="2" w:space="0" w:color="E3E3E3"/>
                            <w:bottom w:val="single" w:sz="2" w:space="0" w:color="E3E3E3"/>
                            <w:right w:val="single" w:sz="2" w:space="0" w:color="E3E3E3"/>
                          </w:divBdr>
                        </w:div>
                        <w:div w:id="1562132869">
                          <w:marLeft w:val="0"/>
                          <w:marRight w:val="0"/>
                          <w:marTop w:val="0"/>
                          <w:marBottom w:val="0"/>
                          <w:divBdr>
                            <w:top w:val="single" w:sz="2" w:space="0" w:color="E3E3E3"/>
                            <w:left w:val="single" w:sz="2" w:space="0" w:color="E3E3E3"/>
                            <w:bottom w:val="single" w:sz="2" w:space="0" w:color="E3E3E3"/>
                            <w:right w:val="single" w:sz="2" w:space="0" w:color="E3E3E3"/>
                          </w:divBdr>
                          <w:divsChild>
                            <w:div w:id="1224953041">
                              <w:marLeft w:val="0"/>
                              <w:marRight w:val="0"/>
                              <w:marTop w:val="0"/>
                              <w:marBottom w:val="0"/>
                              <w:divBdr>
                                <w:top w:val="single" w:sz="2" w:space="0" w:color="E3E3E3"/>
                                <w:left w:val="single" w:sz="2" w:space="0" w:color="E3E3E3"/>
                                <w:bottom w:val="single" w:sz="2" w:space="0" w:color="E3E3E3"/>
                                <w:right w:val="single" w:sz="2" w:space="0" w:color="E3E3E3"/>
                              </w:divBdr>
                              <w:divsChild>
                                <w:div w:id="4553421">
                                  <w:marLeft w:val="0"/>
                                  <w:marRight w:val="0"/>
                                  <w:marTop w:val="0"/>
                                  <w:marBottom w:val="0"/>
                                  <w:divBdr>
                                    <w:top w:val="single" w:sz="2" w:space="0" w:color="E3E3E3"/>
                                    <w:left w:val="single" w:sz="2" w:space="0" w:color="E3E3E3"/>
                                    <w:bottom w:val="single" w:sz="2" w:space="0" w:color="E3E3E3"/>
                                    <w:right w:val="single" w:sz="2" w:space="0" w:color="E3E3E3"/>
                                  </w:divBdr>
                                  <w:divsChild>
                                    <w:div w:id="1963418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976793476">
                              <w:marLeft w:val="0"/>
                              <w:marRight w:val="0"/>
                              <w:marTop w:val="0"/>
                              <w:marBottom w:val="0"/>
                              <w:divBdr>
                                <w:top w:val="single" w:sz="2" w:space="0" w:color="E3E3E3"/>
                                <w:left w:val="single" w:sz="2" w:space="0" w:color="E3E3E3"/>
                                <w:bottom w:val="single" w:sz="2" w:space="0" w:color="E3E3E3"/>
                                <w:right w:val="single" w:sz="2" w:space="0" w:color="E3E3E3"/>
                              </w:divBdr>
                              <w:divsChild>
                                <w:div w:id="903979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747262714">
          <w:marLeft w:val="0"/>
          <w:marRight w:val="0"/>
          <w:marTop w:val="0"/>
          <w:marBottom w:val="0"/>
          <w:divBdr>
            <w:top w:val="single" w:sz="2" w:space="0" w:color="E3E3E3"/>
            <w:left w:val="single" w:sz="2" w:space="0" w:color="E3E3E3"/>
            <w:bottom w:val="single" w:sz="2" w:space="0" w:color="E3E3E3"/>
            <w:right w:val="single" w:sz="2" w:space="0" w:color="E3E3E3"/>
          </w:divBdr>
          <w:divsChild>
            <w:div w:id="801969183">
              <w:marLeft w:val="0"/>
              <w:marRight w:val="0"/>
              <w:marTop w:val="100"/>
              <w:marBottom w:val="100"/>
              <w:divBdr>
                <w:top w:val="single" w:sz="2" w:space="0" w:color="E3E3E3"/>
                <w:left w:val="single" w:sz="2" w:space="0" w:color="E3E3E3"/>
                <w:bottom w:val="single" w:sz="2" w:space="0" w:color="E3E3E3"/>
                <w:right w:val="single" w:sz="2" w:space="0" w:color="E3E3E3"/>
              </w:divBdr>
              <w:divsChild>
                <w:div w:id="2068065841">
                  <w:marLeft w:val="0"/>
                  <w:marRight w:val="0"/>
                  <w:marTop w:val="0"/>
                  <w:marBottom w:val="0"/>
                  <w:divBdr>
                    <w:top w:val="single" w:sz="2" w:space="0" w:color="E3E3E3"/>
                    <w:left w:val="single" w:sz="2" w:space="0" w:color="E3E3E3"/>
                    <w:bottom w:val="single" w:sz="2" w:space="0" w:color="E3E3E3"/>
                    <w:right w:val="single" w:sz="2" w:space="0" w:color="E3E3E3"/>
                  </w:divBdr>
                  <w:divsChild>
                    <w:div w:id="1336886314">
                      <w:marLeft w:val="0"/>
                      <w:marRight w:val="0"/>
                      <w:marTop w:val="0"/>
                      <w:marBottom w:val="0"/>
                      <w:divBdr>
                        <w:top w:val="single" w:sz="2" w:space="0" w:color="E3E3E3"/>
                        <w:left w:val="single" w:sz="2" w:space="0" w:color="E3E3E3"/>
                        <w:bottom w:val="single" w:sz="2" w:space="0" w:color="E3E3E3"/>
                        <w:right w:val="single" w:sz="2" w:space="0" w:color="E3E3E3"/>
                      </w:divBdr>
                      <w:divsChild>
                        <w:div w:id="1009210152">
                          <w:marLeft w:val="0"/>
                          <w:marRight w:val="0"/>
                          <w:marTop w:val="0"/>
                          <w:marBottom w:val="0"/>
                          <w:divBdr>
                            <w:top w:val="single" w:sz="2" w:space="0" w:color="E3E3E3"/>
                            <w:left w:val="single" w:sz="2" w:space="0" w:color="E3E3E3"/>
                            <w:bottom w:val="single" w:sz="2" w:space="0" w:color="E3E3E3"/>
                            <w:right w:val="single" w:sz="2" w:space="0" w:color="E3E3E3"/>
                          </w:divBdr>
                          <w:divsChild>
                            <w:div w:id="1739278963">
                              <w:marLeft w:val="0"/>
                              <w:marRight w:val="0"/>
                              <w:marTop w:val="0"/>
                              <w:marBottom w:val="0"/>
                              <w:divBdr>
                                <w:top w:val="single" w:sz="2" w:space="0" w:color="E3E3E3"/>
                                <w:left w:val="single" w:sz="2" w:space="0" w:color="E3E3E3"/>
                                <w:bottom w:val="single" w:sz="2" w:space="0" w:color="E3E3E3"/>
                                <w:right w:val="single" w:sz="2" w:space="0" w:color="E3E3E3"/>
                              </w:divBdr>
                              <w:divsChild>
                                <w:div w:id="2076315225">
                                  <w:marLeft w:val="0"/>
                                  <w:marRight w:val="0"/>
                                  <w:marTop w:val="0"/>
                                  <w:marBottom w:val="0"/>
                                  <w:divBdr>
                                    <w:top w:val="single" w:sz="2" w:space="0" w:color="E3E3E3"/>
                                    <w:left w:val="single" w:sz="2" w:space="0" w:color="E3E3E3"/>
                                    <w:bottom w:val="single" w:sz="2" w:space="0" w:color="E3E3E3"/>
                                    <w:right w:val="single" w:sz="2" w:space="0" w:color="E3E3E3"/>
                                  </w:divBdr>
                                  <w:divsChild>
                                    <w:div w:id="5575224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0584706">
                      <w:marLeft w:val="0"/>
                      <w:marRight w:val="0"/>
                      <w:marTop w:val="0"/>
                      <w:marBottom w:val="0"/>
                      <w:divBdr>
                        <w:top w:val="single" w:sz="2" w:space="0" w:color="E3E3E3"/>
                        <w:left w:val="single" w:sz="2" w:space="0" w:color="E3E3E3"/>
                        <w:bottom w:val="single" w:sz="2" w:space="0" w:color="E3E3E3"/>
                        <w:right w:val="single" w:sz="2" w:space="0" w:color="E3E3E3"/>
                      </w:divBdr>
                      <w:divsChild>
                        <w:div w:id="725303673">
                          <w:marLeft w:val="0"/>
                          <w:marRight w:val="0"/>
                          <w:marTop w:val="0"/>
                          <w:marBottom w:val="0"/>
                          <w:divBdr>
                            <w:top w:val="single" w:sz="2" w:space="0" w:color="E3E3E3"/>
                            <w:left w:val="single" w:sz="2" w:space="0" w:color="E3E3E3"/>
                            <w:bottom w:val="single" w:sz="2" w:space="0" w:color="E3E3E3"/>
                            <w:right w:val="single" w:sz="2" w:space="0" w:color="E3E3E3"/>
                          </w:divBdr>
                        </w:div>
                        <w:div w:id="1088387676">
                          <w:marLeft w:val="0"/>
                          <w:marRight w:val="0"/>
                          <w:marTop w:val="0"/>
                          <w:marBottom w:val="0"/>
                          <w:divBdr>
                            <w:top w:val="single" w:sz="2" w:space="0" w:color="E3E3E3"/>
                            <w:left w:val="single" w:sz="2" w:space="0" w:color="E3E3E3"/>
                            <w:bottom w:val="single" w:sz="2" w:space="0" w:color="E3E3E3"/>
                            <w:right w:val="single" w:sz="2" w:space="0" w:color="E3E3E3"/>
                          </w:divBdr>
                          <w:divsChild>
                            <w:div w:id="2022388534">
                              <w:marLeft w:val="0"/>
                              <w:marRight w:val="0"/>
                              <w:marTop w:val="0"/>
                              <w:marBottom w:val="0"/>
                              <w:divBdr>
                                <w:top w:val="single" w:sz="2" w:space="0" w:color="E3E3E3"/>
                                <w:left w:val="single" w:sz="2" w:space="0" w:color="E3E3E3"/>
                                <w:bottom w:val="single" w:sz="2" w:space="0" w:color="E3E3E3"/>
                                <w:right w:val="single" w:sz="2" w:space="0" w:color="E3E3E3"/>
                              </w:divBdr>
                              <w:divsChild>
                                <w:div w:id="1708488051">
                                  <w:marLeft w:val="0"/>
                                  <w:marRight w:val="0"/>
                                  <w:marTop w:val="0"/>
                                  <w:marBottom w:val="0"/>
                                  <w:divBdr>
                                    <w:top w:val="single" w:sz="2" w:space="0" w:color="E3E3E3"/>
                                    <w:left w:val="single" w:sz="2" w:space="0" w:color="E3E3E3"/>
                                    <w:bottom w:val="single" w:sz="2" w:space="0" w:color="E3E3E3"/>
                                    <w:right w:val="single" w:sz="2" w:space="0" w:color="E3E3E3"/>
                                  </w:divBdr>
                                  <w:divsChild>
                                    <w:div w:id="13583097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86809518">
          <w:marLeft w:val="0"/>
          <w:marRight w:val="0"/>
          <w:marTop w:val="0"/>
          <w:marBottom w:val="0"/>
          <w:divBdr>
            <w:top w:val="single" w:sz="2" w:space="0" w:color="E3E3E3"/>
            <w:left w:val="single" w:sz="2" w:space="0" w:color="E3E3E3"/>
            <w:bottom w:val="single" w:sz="2" w:space="0" w:color="E3E3E3"/>
            <w:right w:val="single" w:sz="2" w:space="0" w:color="E3E3E3"/>
          </w:divBdr>
          <w:divsChild>
            <w:div w:id="661741806">
              <w:marLeft w:val="0"/>
              <w:marRight w:val="0"/>
              <w:marTop w:val="100"/>
              <w:marBottom w:val="100"/>
              <w:divBdr>
                <w:top w:val="single" w:sz="2" w:space="0" w:color="E3E3E3"/>
                <w:left w:val="single" w:sz="2" w:space="0" w:color="E3E3E3"/>
                <w:bottom w:val="single" w:sz="2" w:space="0" w:color="E3E3E3"/>
                <w:right w:val="single" w:sz="2" w:space="0" w:color="E3E3E3"/>
              </w:divBdr>
              <w:divsChild>
                <w:div w:id="707947475">
                  <w:marLeft w:val="0"/>
                  <w:marRight w:val="0"/>
                  <w:marTop w:val="0"/>
                  <w:marBottom w:val="0"/>
                  <w:divBdr>
                    <w:top w:val="single" w:sz="2" w:space="0" w:color="E3E3E3"/>
                    <w:left w:val="single" w:sz="2" w:space="0" w:color="E3E3E3"/>
                    <w:bottom w:val="single" w:sz="2" w:space="0" w:color="E3E3E3"/>
                    <w:right w:val="single" w:sz="2" w:space="0" w:color="E3E3E3"/>
                  </w:divBdr>
                  <w:divsChild>
                    <w:div w:id="549458816">
                      <w:marLeft w:val="0"/>
                      <w:marRight w:val="0"/>
                      <w:marTop w:val="0"/>
                      <w:marBottom w:val="0"/>
                      <w:divBdr>
                        <w:top w:val="single" w:sz="2" w:space="0" w:color="E3E3E3"/>
                        <w:left w:val="single" w:sz="2" w:space="0" w:color="E3E3E3"/>
                        <w:bottom w:val="single" w:sz="2" w:space="0" w:color="E3E3E3"/>
                        <w:right w:val="single" w:sz="2" w:space="0" w:color="E3E3E3"/>
                      </w:divBdr>
                      <w:divsChild>
                        <w:div w:id="1674139692">
                          <w:marLeft w:val="0"/>
                          <w:marRight w:val="0"/>
                          <w:marTop w:val="0"/>
                          <w:marBottom w:val="0"/>
                          <w:divBdr>
                            <w:top w:val="single" w:sz="2" w:space="0" w:color="E3E3E3"/>
                            <w:left w:val="single" w:sz="2" w:space="0" w:color="E3E3E3"/>
                            <w:bottom w:val="single" w:sz="2" w:space="0" w:color="E3E3E3"/>
                            <w:right w:val="single" w:sz="2" w:space="0" w:color="E3E3E3"/>
                          </w:divBdr>
                          <w:divsChild>
                            <w:div w:id="1195117598">
                              <w:marLeft w:val="0"/>
                              <w:marRight w:val="0"/>
                              <w:marTop w:val="0"/>
                              <w:marBottom w:val="0"/>
                              <w:divBdr>
                                <w:top w:val="single" w:sz="2" w:space="0" w:color="E3E3E3"/>
                                <w:left w:val="single" w:sz="2" w:space="0" w:color="E3E3E3"/>
                                <w:bottom w:val="single" w:sz="2" w:space="0" w:color="E3E3E3"/>
                                <w:right w:val="single" w:sz="2" w:space="0" w:color="E3E3E3"/>
                              </w:divBdr>
                              <w:divsChild>
                                <w:div w:id="1520585895">
                                  <w:marLeft w:val="0"/>
                                  <w:marRight w:val="0"/>
                                  <w:marTop w:val="0"/>
                                  <w:marBottom w:val="0"/>
                                  <w:divBdr>
                                    <w:top w:val="single" w:sz="2" w:space="0" w:color="E3E3E3"/>
                                    <w:left w:val="single" w:sz="2" w:space="0" w:color="E3E3E3"/>
                                    <w:bottom w:val="single" w:sz="2" w:space="0" w:color="E3E3E3"/>
                                    <w:right w:val="single" w:sz="2" w:space="0" w:color="E3E3E3"/>
                                  </w:divBdr>
                                  <w:divsChild>
                                    <w:div w:id="8280546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34976819">
                      <w:marLeft w:val="0"/>
                      <w:marRight w:val="0"/>
                      <w:marTop w:val="0"/>
                      <w:marBottom w:val="0"/>
                      <w:divBdr>
                        <w:top w:val="single" w:sz="2" w:space="0" w:color="E3E3E3"/>
                        <w:left w:val="single" w:sz="2" w:space="0" w:color="E3E3E3"/>
                        <w:bottom w:val="single" w:sz="2" w:space="0" w:color="E3E3E3"/>
                        <w:right w:val="single" w:sz="2" w:space="0" w:color="E3E3E3"/>
                      </w:divBdr>
                      <w:divsChild>
                        <w:div w:id="857811061">
                          <w:marLeft w:val="0"/>
                          <w:marRight w:val="0"/>
                          <w:marTop w:val="0"/>
                          <w:marBottom w:val="0"/>
                          <w:divBdr>
                            <w:top w:val="single" w:sz="2" w:space="0" w:color="E3E3E3"/>
                            <w:left w:val="single" w:sz="2" w:space="0" w:color="E3E3E3"/>
                            <w:bottom w:val="single" w:sz="2" w:space="0" w:color="E3E3E3"/>
                            <w:right w:val="single" w:sz="2" w:space="0" w:color="E3E3E3"/>
                          </w:divBdr>
                        </w:div>
                        <w:div w:id="753816091">
                          <w:marLeft w:val="0"/>
                          <w:marRight w:val="0"/>
                          <w:marTop w:val="0"/>
                          <w:marBottom w:val="0"/>
                          <w:divBdr>
                            <w:top w:val="single" w:sz="2" w:space="0" w:color="E3E3E3"/>
                            <w:left w:val="single" w:sz="2" w:space="0" w:color="E3E3E3"/>
                            <w:bottom w:val="single" w:sz="2" w:space="0" w:color="E3E3E3"/>
                            <w:right w:val="single" w:sz="2" w:space="0" w:color="E3E3E3"/>
                          </w:divBdr>
                          <w:divsChild>
                            <w:div w:id="863306">
                              <w:marLeft w:val="0"/>
                              <w:marRight w:val="0"/>
                              <w:marTop w:val="0"/>
                              <w:marBottom w:val="0"/>
                              <w:divBdr>
                                <w:top w:val="single" w:sz="2" w:space="0" w:color="E3E3E3"/>
                                <w:left w:val="single" w:sz="2" w:space="0" w:color="E3E3E3"/>
                                <w:bottom w:val="single" w:sz="2" w:space="0" w:color="E3E3E3"/>
                                <w:right w:val="single" w:sz="2" w:space="0" w:color="E3E3E3"/>
                              </w:divBdr>
                              <w:divsChild>
                                <w:div w:id="1105347058">
                                  <w:marLeft w:val="0"/>
                                  <w:marRight w:val="0"/>
                                  <w:marTop w:val="0"/>
                                  <w:marBottom w:val="0"/>
                                  <w:divBdr>
                                    <w:top w:val="single" w:sz="2" w:space="0" w:color="E3E3E3"/>
                                    <w:left w:val="single" w:sz="2" w:space="0" w:color="E3E3E3"/>
                                    <w:bottom w:val="single" w:sz="2" w:space="0" w:color="E3E3E3"/>
                                    <w:right w:val="single" w:sz="2" w:space="0" w:color="E3E3E3"/>
                                  </w:divBdr>
                                  <w:divsChild>
                                    <w:div w:id="7547445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55590428">
          <w:marLeft w:val="0"/>
          <w:marRight w:val="0"/>
          <w:marTop w:val="0"/>
          <w:marBottom w:val="0"/>
          <w:divBdr>
            <w:top w:val="single" w:sz="2" w:space="0" w:color="E3E3E3"/>
            <w:left w:val="single" w:sz="2" w:space="0" w:color="E3E3E3"/>
            <w:bottom w:val="single" w:sz="2" w:space="0" w:color="E3E3E3"/>
            <w:right w:val="single" w:sz="2" w:space="0" w:color="E3E3E3"/>
          </w:divBdr>
          <w:divsChild>
            <w:div w:id="231505560">
              <w:marLeft w:val="0"/>
              <w:marRight w:val="0"/>
              <w:marTop w:val="100"/>
              <w:marBottom w:val="100"/>
              <w:divBdr>
                <w:top w:val="single" w:sz="2" w:space="0" w:color="E3E3E3"/>
                <w:left w:val="single" w:sz="2" w:space="0" w:color="E3E3E3"/>
                <w:bottom w:val="single" w:sz="2" w:space="0" w:color="E3E3E3"/>
                <w:right w:val="single" w:sz="2" w:space="0" w:color="E3E3E3"/>
              </w:divBdr>
              <w:divsChild>
                <w:div w:id="1453477457">
                  <w:marLeft w:val="0"/>
                  <w:marRight w:val="0"/>
                  <w:marTop w:val="0"/>
                  <w:marBottom w:val="0"/>
                  <w:divBdr>
                    <w:top w:val="single" w:sz="2" w:space="0" w:color="E3E3E3"/>
                    <w:left w:val="single" w:sz="2" w:space="0" w:color="E3E3E3"/>
                    <w:bottom w:val="single" w:sz="2" w:space="0" w:color="E3E3E3"/>
                    <w:right w:val="single" w:sz="2" w:space="0" w:color="E3E3E3"/>
                  </w:divBdr>
                  <w:divsChild>
                    <w:div w:id="664238983">
                      <w:marLeft w:val="0"/>
                      <w:marRight w:val="0"/>
                      <w:marTop w:val="0"/>
                      <w:marBottom w:val="0"/>
                      <w:divBdr>
                        <w:top w:val="single" w:sz="2" w:space="0" w:color="E3E3E3"/>
                        <w:left w:val="single" w:sz="2" w:space="0" w:color="E3E3E3"/>
                        <w:bottom w:val="single" w:sz="2" w:space="0" w:color="E3E3E3"/>
                        <w:right w:val="single" w:sz="2" w:space="0" w:color="E3E3E3"/>
                      </w:divBdr>
                      <w:divsChild>
                        <w:div w:id="2094624583">
                          <w:marLeft w:val="0"/>
                          <w:marRight w:val="0"/>
                          <w:marTop w:val="0"/>
                          <w:marBottom w:val="0"/>
                          <w:divBdr>
                            <w:top w:val="single" w:sz="2" w:space="0" w:color="E3E3E3"/>
                            <w:left w:val="single" w:sz="2" w:space="0" w:color="E3E3E3"/>
                            <w:bottom w:val="single" w:sz="2" w:space="0" w:color="E3E3E3"/>
                            <w:right w:val="single" w:sz="2" w:space="0" w:color="E3E3E3"/>
                          </w:divBdr>
                          <w:divsChild>
                            <w:div w:id="740755426">
                              <w:marLeft w:val="0"/>
                              <w:marRight w:val="0"/>
                              <w:marTop w:val="0"/>
                              <w:marBottom w:val="0"/>
                              <w:divBdr>
                                <w:top w:val="single" w:sz="2" w:space="0" w:color="E3E3E3"/>
                                <w:left w:val="single" w:sz="2" w:space="0" w:color="E3E3E3"/>
                                <w:bottom w:val="single" w:sz="2" w:space="0" w:color="E3E3E3"/>
                                <w:right w:val="single" w:sz="2" w:space="0" w:color="E3E3E3"/>
                              </w:divBdr>
                              <w:divsChild>
                                <w:div w:id="1006712493">
                                  <w:marLeft w:val="0"/>
                                  <w:marRight w:val="0"/>
                                  <w:marTop w:val="0"/>
                                  <w:marBottom w:val="0"/>
                                  <w:divBdr>
                                    <w:top w:val="single" w:sz="2" w:space="0" w:color="E3E3E3"/>
                                    <w:left w:val="single" w:sz="2" w:space="0" w:color="E3E3E3"/>
                                    <w:bottom w:val="single" w:sz="2" w:space="0" w:color="E3E3E3"/>
                                    <w:right w:val="single" w:sz="2" w:space="0" w:color="E3E3E3"/>
                                  </w:divBdr>
                                  <w:divsChild>
                                    <w:div w:id="16020582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98849382">
                      <w:marLeft w:val="0"/>
                      <w:marRight w:val="0"/>
                      <w:marTop w:val="0"/>
                      <w:marBottom w:val="0"/>
                      <w:divBdr>
                        <w:top w:val="single" w:sz="2" w:space="0" w:color="E3E3E3"/>
                        <w:left w:val="single" w:sz="2" w:space="0" w:color="E3E3E3"/>
                        <w:bottom w:val="single" w:sz="2" w:space="0" w:color="E3E3E3"/>
                        <w:right w:val="single" w:sz="2" w:space="0" w:color="E3E3E3"/>
                      </w:divBdr>
                      <w:divsChild>
                        <w:div w:id="130173521">
                          <w:marLeft w:val="0"/>
                          <w:marRight w:val="0"/>
                          <w:marTop w:val="0"/>
                          <w:marBottom w:val="0"/>
                          <w:divBdr>
                            <w:top w:val="single" w:sz="2" w:space="0" w:color="E3E3E3"/>
                            <w:left w:val="single" w:sz="2" w:space="0" w:color="E3E3E3"/>
                            <w:bottom w:val="single" w:sz="2" w:space="0" w:color="E3E3E3"/>
                            <w:right w:val="single" w:sz="2" w:space="0" w:color="E3E3E3"/>
                          </w:divBdr>
                        </w:div>
                        <w:div w:id="471753543">
                          <w:marLeft w:val="0"/>
                          <w:marRight w:val="0"/>
                          <w:marTop w:val="0"/>
                          <w:marBottom w:val="0"/>
                          <w:divBdr>
                            <w:top w:val="single" w:sz="2" w:space="0" w:color="E3E3E3"/>
                            <w:left w:val="single" w:sz="2" w:space="0" w:color="E3E3E3"/>
                            <w:bottom w:val="single" w:sz="2" w:space="0" w:color="E3E3E3"/>
                            <w:right w:val="single" w:sz="2" w:space="0" w:color="E3E3E3"/>
                          </w:divBdr>
                          <w:divsChild>
                            <w:div w:id="1816948638">
                              <w:marLeft w:val="0"/>
                              <w:marRight w:val="0"/>
                              <w:marTop w:val="0"/>
                              <w:marBottom w:val="0"/>
                              <w:divBdr>
                                <w:top w:val="single" w:sz="2" w:space="0" w:color="E3E3E3"/>
                                <w:left w:val="single" w:sz="2" w:space="0" w:color="E3E3E3"/>
                                <w:bottom w:val="single" w:sz="2" w:space="0" w:color="E3E3E3"/>
                                <w:right w:val="single" w:sz="2" w:space="0" w:color="E3E3E3"/>
                              </w:divBdr>
                              <w:divsChild>
                                <w:div w:id="1283153522">
                                  <w:marLeft w:val="0"/>
                                  <w:marRight w:val="0"/>
                                  <w:marTop w:val="0"/>
                                  <w:marBottom w:val="0"/>
                                  <w:divBdr>
                                    <w:top w:val="single" w:sz="2" w:space="0" w:color="E3E3E3"/>
                                    <w:left w:val="single" w:sz="2" w:space="0" w:color="E3E3E3"/>
                                    <w:bottom w:val="single" w:sz="2" w:space="0" w:color="E3E3E3"/>
                                    <w:right w:val="single" w:sz="2" w:space="0" w:color="E3E3E3"/>
                                  </w:divBdr>
                                  <w:divsChild>
                                    <w:div w:id="4217296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33340558">
          <w:marLeft w:val="0"/>
          <w:marRight w:val="0"/>
          <w:marTop w:val="0"/>
          <w:marBottom w:val="0"/>
          <w:divBdr>
            <w:top w:val="single" w:sz="2" w:space="0" w:color="E3E3E3"/>
            <w:left w:val="single" w:sz="2" w:space="0" w:color="E3E3E3"/>
            <w:bottom w:val="single" w:sz="2" w:space="0" w:color="E3E3E3"/>
            <w:right w:val="single" w:sz="2" w:space="0" w:color="E3E3E3"/>
          </w:divBdr>
          <w:divsChild>
            <w:div w:id="1651205898">
              <w:marLeft w:val="0"/>
              <w:marRight w:val="0"/>
              <w:marTop w:val="100"/>
              <w:marBottom w:val="100"/>
              <w:divBdr>
                <w:top w:val="single" w:sz="2" w:space="0" w:color="E3E3E3"/>
                <w:left w:val="single" w:sz="2" w:space="0" w:color="E3E3E3"/>
                <w:bottom w:val="single" w:sz="2" w:space="0" w:color="E3E3E3"/>
                <w:right w:val="single" w:sz="2" w:space="0" w:color="E3E3E3"/>
              </w:divBdr>
              <w:divsChild>
                <w:div w:id="714810997">
                  <w:marLeft w:val="0"/>
                  <w:marRight w:val="0"/>
                  <w:marTop w:val="0"/>
                  <w:marBottom w:val="0"/>
                  <w:divBdr>
                    <w:top w:val="single" w:sz="2" w:space="0" w:color="E3E3E3"/>
                    <w:left w:val="single" w:sz="2" w:space="0" w:color="E3E3E3"/>
                    <w:bottom w:val="single" w:sz="2" w:space="0" w:color="E3E3E3"/>
                    <w:right w:val="single" w:sz="2" w:space="0" w:color="E3E3E3"/>
                  </w:divBdr>
                  <w:divsChild>
                    <w:div w:id="245767289">
                      <w:marLeft w:val="0"/>
                      <w:marRight w:val="0"/>
                      <w:marTop w:val="0"/>
                      <w:marBottom w:val="0"/>
                      <w:divBdr>
                        <w:top w:val="single" w:sz="2" w:space="0" w:color="E3E3E3"/>
                        <w:left w:val="single" w:sz="2" w:space="0" w:color="E3E3E3"/>
                        <w:bottom w:val="single" w:sz="2" w:space="0" w:color="E3E3E3"/>
                        <w:right w:val="single" w:sz="2" w:space="0" w:color="E3E3E3"/>
                      </w:divBdr>
                      <w:divsChild>
                        <w:div w:id="353389313">
                          <w:marLeft w:val="0"/>
                          <w:marRight w:val="0"/>
                          <w:marTop w:val="0"/>
                          <w:marBottom w:val="0"/>
                          <w:divBdr>
                            <w:top w:val="single" w:sz="2" w:space="0" w:color="E3E3E3"/>
                            <w:left w:val="single" w:sz="2" w:space="0" w:color="E3E3E3"/>
                            <w:bottom w:val="single" w:sz="2" w:space="0" w:color="E3E3E3"/>
                            <w:right w:val="single" w:sz="2" w:space="0" w:color="E3E3E3"/>
                          </w:divBdr>
                          <w:divsChild>
                            <w:div w:id="472020630">
                              <w:marLeft w:val="0"/>
                              <w:marRight w:val="0"/>
                              <w:marTop w:val="0"/>
                              <w:marBottom w:val="0"/>
                              <w:divBdr>
                                <w:top w:val="single" w:sz="2" w:space="0" w:color="E3E3E3"/>
                                <w:left w:val="single" w:sz="2" w:space="0" w:color="E3E3E3"/>
                                <w:bottom w:val="single" w:sz="2" w:space="0" w:color="E3E3E3"/>
                                <w:right w:val="single" w:sz="2" w:space="0" w:color="E3E3E3"/>
                              </w:divBdr>
                              <w:divsChild>
                                <w:div w:id="1367558927">
                                  <w:marLeft w:val="0"/>
                                  <w:marRight w:val="0"/>
                                  <w:marTop w:val="0"/>
                                  <w:marBottom w:val="0"/>
                                  <w:divBdr>
                                    <w:top w:val="single" w:sz="2" w:space="0" w:color="E3E3E3"/>
                                    <w:left w:val="single" w:sz="2" w:space="0" w:color="E3E3E3"/>
                                    <w:bottom w:val="single" w:sz="2" w:space="0" w:color="E3E3E3"/>
                                    <w:right w:val="single" w:sz="2" w:space="0" w:color="E3E3E3"/>
                                  </w:divBdr>
                                  <w:divsChild>
                                    <w:div w:id="5849988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75205972">
                      <w:marLeft w:val="0"/>
                      <w:marRight w:val="0"/>
                      <w:marTop w:val="0"/>
                      <w:marBottom w:val="0"/>
                      <w:divBdr>
                        <w:top w:val="single" w:sz="2" w:space="0" w:color="E3E3E3"/>
                        <w:left w:val="single" w:sz="2" w:space="0" w:color="E3E3E3"/>
                        <w:bottom w:val="single" w:sz="2" w:space="0" w:color="E3E3E3"/>
                        <w:right w:val="single" w:sz="2" w:space="0" w:color="E3E3E3"/>
                      </w:divBdr>
                      <w:divsChild>
                        <w:div w:id="1575582704">
                          <w:marLeft w:val="0"/>
                          <w:marRight w:val="0"/>
                          <w:marTop w:val="0"/>
                          <w:marBottom w:val="0"/>
                          <w:divBdr>
                            <w:top w:val="single" w:sz="2" w:space="0" w:color="E3E3E3"/>
                            <w:left w:val="single" w:sz="2" w:space="0" w:color="E3E3E3"/>
                            <w:bottom w:val="single" w:sz="2" w:space="0" w:color="E3E3E3"/>
                            <w:right w:val="single" w:sz="2" w:space="0" w:color="E3E3E3"/>
                          </w:divBdr>
                        </w:div>
                        <w:div w:id="2025092248">
                          <w:marLeft w:val="0"/>
                          <w:marRight w:val="0"/>
                          <w:marTop w:val="0"/>
                          <w:marBottom w:val="0"/>
                          <w:divBdr>
                            <w:top w:val="single" w:sz="2" w:space="0" w:color="E3E3E3"/>
                            <w:left w:val="single" w:sz="2" w:space="0" w:color="E3E3E3"/>
                            <w:bottom w:val="single" w:sz="2" w:space="0" w:color="E3E3E3"/>
                            <w:right w:val="single" w:sz="2" w:space="0" w:color="E3E3E3"/>
                          </w:divBdr>
                          <w:divsChild>
                            <w:div w:id="543373612">
                              <w:marLeft w:val="0"/>
                              <w:marRight w:val="0"/>
                              <w:marTop w:val="0"/>
                              <w:marBottom w:val="0"/>
                              <w:divBdr>
                                <w:top w:val="single" w:sz="2" w:space="0" w:color="E3E3E3"/>
                                <w:left w:val="single" w:sz="2" w:space="0" w:color="E3E3E3"/>
                                <w:bottom w:val="single" w:sz="2" w:space="0" w:color="E3E3E3"/>
                                <w:right w:val="single" w:sz="2" w:space="0" w:color="E3E3E3"/>
                              </w:divBdr>
                              <w:divsChild>
                                <w:div w:id="503594109">
                                  <w:marLeft w:val="0"/>
                                  <w:marRight w:val="0"/>
                                  <w:marTop w:val="0"/>
                                  <w:marBottom w:val="0"/>
                                  <w:divBdr>
                                    <w:top w:val="single" w:sz="2" w:space="0" w:color="E3E3E3"/>
                                    <w:left w:val="single" w:sz="2" w:space="0" w:color="E3E3E3"/>
                                    <w:bottom w:val="single" w:sz="2" w:space="0" w:color="E3E3E3"/>
                                    <w:right w:val="single" w:sz="2" w:space="0" w:color="E3E3E3"/>
                                  </w:divBdr>
                                  <w:divsChild>
                                    <w:div w:id="1097752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28541827">
          <w:marLeft w:val="0"/>
          <w:marRight w:val="0"/>
          <w:marTop w:val="0"/>
          <w:marBottom w:val="0"/>
          <w:divBdr>
            <w:top w:val="single" w:sz="2" w:space="0" w:color="E3E3E3"/>
            <w:left w:val="single" w:sz="2" w:space="0" w:color="E3E3E3"/>
            <w:bottom w:val="single" w:sz="2" w:space="0" w:color="E3E3E3"/>
            <w:right w:val="single" w:sz="2" w:space="0" w:color="E3E3E3"/>
          </w:divBdr>
          <w:divsChild>
            <w:div w:id="6646305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07364839">
                  <w:marLeft w:val="0"/>
                  <w:marRight w:val="0"/>
                  <w:marTop w:val="0"/>
                  <w:marBottom w:val="0"/>
                  <w:divBdr>
                    <w:top w:val="single" w:sz="2" w:space="0" w:color="E3E3E3"/>
                    <w:left w:val="single" w:sz="2" w:space="0" w:color="E3E3E3"/>
                    <w:bottom w:val="single" w:sz="2" w:space="0" w:color="E3E3E3"/>
                    <w:right w:val="single" w:sz="2" w:space="0" w:color="E3E3E3"/>
                  </w:divBdr>
                  <w:divsChild>
                    <w:div w:id="895623460">
                      <w:marLeft w:val="0"/>
                      <w:marRight w:val="0"/>
                      <w:marTop w:val="0"/>
                      <w:marBottom w:val="0"/>
                      <w:divBdr>
                        <w:top w:val="single" w:sz="2" w:space="0" w:color="E3E3E3"/>
                        <w:left w:val="single" w:sz="2" w:space="0" w:color="E3E3E3"/>
                        <w:bottom w:val="single" w:sz="2" w:space="0" w:color="E3E3E3"/>
                        <w:right w:val="single" w:sz="2" w:space="0" w:color="E3E3E3"/>
                      </w:divBdr>
                      <w:divsChild>
                        <w:div w:id="932081710">
                          <w:marLeft w:val="0"/>
                          <w:marRight w:val="0"/>
                          <w:marTop w:val="0"/>
                          <w:marBottom w:val="0"/>
                          <w:divBdr>
                            <w:top w:val="single" w:sz="2" w:space="0" w:color="E3E3E3"/>
                            <w:left w:val="single" w:sz="2" w:space="0" w:color="E3E3E3"/>
                            <w:bottom w:val="single" w:sz="2" w:space="0" w:color="E3E3E3"/>
                            <w:right w:val="single" w:sz="2" w:space="0" w:color="E3E3E3"/>
                          </w:divBdr>
                          <w:divsChild>
                            <w:div w:id="184827059">
                              <w:marLeft w:val="0"/>
                              <w:marRight w:val="0"/>
                              <w:marTop w:val="0"/>
                              <w:marBottom w:val="0"/>
                              <w:divBdr>
                                <w:top w:val="single" w:sz="2" w:space="0" w:color="E3E3E3"/>
                                <w:left w:val="single" w:sz="2" w:space="0" w:color="E3E3E3"/>
                                <w:bottom w:val="single" w:sz="2" w:space="0" w:color="E3E3E3"/>
                                <w:right w:val="single" w:sz="2" w:space="0" w:color="E3E3E3"/>
                              </w:divBdr>
                              <w:divsChild>
                                <w:div w:id="13846196">
                                  <w:marLeft w:val="0"/>
                                  <w:marRight w:val="0"/>
                                  <w:marTop w:val="0"/>
                                  <w:marBottom w:val="0"/>
                                  <w:divBdr>
                                    <w:top w:val="single" w:sz="2" w:space="0" w:color="E3E3E3"/>
                                    <w:left w:val="single" w:sz="2" w:space="0" w:color="E3E3E3"/>
                                    <w:bottom w:val="single" w:sz="2" w:space="0" w:color="E3E3E3"/>
                                    <w:right w:val="single" w:sz="2" w:space="0" w:color="E3E3E3"/>
                                  </w:divBdr>
                                  <w:divsChild>
                                    <w:div w:id="20465609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75539293">
                      <w:marLeft w:val="0"/>
                      <w:marRight w:val="0"/>
                      <w:marTop w:val="0"/>
                      <w:marBottom w:val="0"/>
                      <w:divBdr>
                        <w:top w:val="single" w:sz="2" w:space="0" w:color="E3E3E3"/>
                        <w:left w:val="single" w:sz="2" w:space="0" w:color="E3E3E3"/>
                        <w:bottom w:val="single" w:sz="2" w:space="0" w:color="E3E3E3"/>
                        <w:right w:val="single" w:sz="2" w:space="0" w:color="E3E3E3"/>
                      </w:divBdr>
                      <w:divsChild>
                        <w:div w:id="2140368340">
                          <w:marLeft w:val="0"/>
                          <w:marRight w:val="0"/>
                          <w:marTop w:val="0"/>
                          <w:marBottom w:val="0"/>
                          <w:divBdr>
                            <w:top w:val="single" w:sz="2" w:space="0" w:color="E3E3E3"/>
                            <w:left w:val="single" w:sz="2" w:space="0" w:color="E3E3E3"/>
                            <w:bottom w:val="single" w:sz="2" w:space="0" w:color="E3E3E3"/>
                            <w:right w:val="single" w:sz="2" w:space="0" w:color="E3E3E3"/>
                          </w:divBdr>
                        </w:div>
                        <w:div w:id="86922815">
                          <w:marLeft w:val="0"/>
                          <w:marRight w:val="0"/>
                          <w:marTop w:val="0"/>
                          <w:marBottom w:val="0"/>
                          <w:divBdr>
                            <w:top w:val="single" w:sz="2" w:space="0" w:color="E3E3E3"/>
                            <w:left w:val="single" w:sz="2" w:space="0" w:color="E3E3E3"/>
                            <w:bottom w:val="single" w:sz="2" w:space="0" w:color="E3E3E3"/>
                            <w:right w:val="single" w:sz="2" w:space="0" w:color="E3E3E3"/>
                          </w:divBdr>
                          <w:divsChild>
                            <w:div w:id="759638619">
                              <w:marLeft w:val="0"/>
                              <w:marRight w:val="0"/>
                              <w:marTop w:val="0"/>
                              <w:marBottom w:val="0"/>
                              <w:divBdr>
                                <w:top w:val="single" w:sz="2" w:space="0" w:color="E3E3E3"/>
                                <w:left w:val="single" w:sz="2" w:space="0" w:color="E3E3E3"/>
                                <w:bottom w:val="single" w:sz="2" w:space="0" w:color="E3E3E3"/>
                                <w:right w:val="single" w:sz="2" w:space="0" w:color="E3E3E3"/>
                              </w:divBdr>
                              <w:divsChild>
                                <w:div w:id="322466735">
                                  <w:marLeft w:val="0"/>
                                  <w:marRight w:val="0"/>
                                  <w:marTop w:val="0"/>
                                  <w:marBottom w:val="0"/>
                                  <w:divBdr>
                                    <w:top w:val="single" w:sz="2" w:space="0" w:color="E3E3E3"/>
                                    <w:left w:val="single" w:sz="2" w:space="0" w:color="E3E3E3"/>
                                    <w:bottom w:val="single" w:sz="2" w:space="0" w:color="E3E3E3"/>
                                    <w:right w:val="single" w:sz="2" w:space="0" w:color="E3E3E3"/>
                                  </w:divBdr>
                                  <w:divsChild>
                                    <w:div w:id="113009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32420413">
          <w:marLeft w:val="0"/>
          <w:marRight w:val="0"/>
          <w:marTop w:val="0"/>
          <w:marBottom w:val="0"/>
          <w:divBdr>
            <w:top w:val="single" w:sz="2" w:space="0" w:color="E3E3E3"/>
            <w:left w:val="single" w:sz="2" w:space="0" w:color="E3E3E3"/>
            <w:bottom w:val="single" w:sz="2" w:space="0" w:color="E3E3E3"/>
            <w:right w:val="single" w:sz="2" w:space="0" w:color="E3E3E3"/>
          </w:divBdr>
          <w:divsChild>
            <w:div w:id="724790694">
              <w:marLeft w:val="0"/>
              <w:marRight w:val="0"/>
              <w:marTop w:val="100"/>
              <w:marBottom w:val="100"/>
              <w:divBdr>
                <w:top w:val="single" w:sz="2" w:space="0" w:color="E3E3E3"/>
                <w:left w:val="single" w:sz="2" w:space="0" w:color="E3E3E3"/>
                <w:bottom w:val="single" w:sz="2" w:space="0" w:color="E3E3E3"/>
                <w:right w:val="single" w:sz="2" w:space="0" w:color="E3E3E3"/>
              </w:divBdr>
              <w:divsChild>
                <w:div w:id="2012558691">
                  <w:marLeft w:val="0"/>
                  <w:marRight w:val="0"/>
                  <w:marTop w:val="0"/>
                  <w:marBottom w:val="0"/>
                  <w:divBdr>
                    <w:top w:val="single" w:sz="2" w:space="0" w:color="E3E3E3"/>
                    <w:left w:val="single" w:sz="2" w:space="0" w:color="E3E3E3"/>
                    <w:bottom w:val="single" w:sz="2" w:space="0" w:color="E3E3E3"/>
                    <w:right w:val="single" w:sz="2" w:space="0" w:color="E3E3E3"/>
                  </w:divBdr>
                  <w:divsChild>
                    <w:div w:id="1753699706">
                      <w:marLeft w:val="0"/>
                      <w:marRight w:val="0"/>
                      <w:marTop w:val="0"/>
                      <w:marBottom w:val="0"/>
                      <w:divBdr>
                        <w:top w:val="single" w:sz="2" w:space="0" w:color="E3E3E3"/>
                        <w:left w:val="single" w:sz="2" w:space="0" w:color="E3E3E3"/>
                        <w:bottom w:val="single" w:sz="2" w:space="0" w:color="E3E3E3"/>
                        <w:right w:val="single" w:sz="2" w:space="0" w:color="E3E3E3"/>
                      </w:divBdr>
                      <w:divsChild>
                        <w:div w:id="1742210088">
                          <w:marLeft w:val="0"/>
                          <w:marRight w:val="0"/>
                          <w:marTop w:val="0"/>
                          <w:marBottom w:val="0"/>
                          <w:divBdr>
                            <w:top w:val="single" w:sz="2" w:space="0" w:color="E3E3E3"/>
                            <w:left w:val="single" w:sz="2" w:space="0" w:color="E3E3E3"/>
                            <w:bottom w:val="single" w:sz="2" w:space="0" w:color="E3E3E3"/>
                            <w:right w:val="single" w:sz="2" w:space="0" w:color="E3E3E3"/>
                          </w:divBdr>
                          <w:divsChild>
                            <w:div w:id="194735788">
                              <w:marLeft w:val="0"/>
                              <w:marRight w:val="0"/>
                              <w:marTop w:val="0"/>
                              <w:marBottom w:val="0"/>
                              <w:divBdr>
                                <w:top w:val="single" w:sz="2" w:space="0" w:color="E3E3E3"/>
                                <w:left w:val="single" w:sz="2" w:space="0" w:color="E3E3E3"/>
                                <w:bottom w:val="single" w:sz="2" w:space="0" w:color="E3E3E3"/>
                                <w:right w:val="single" w:sz="2" w:space="0" w:color="E3E3E3"/>
                              </w:divBdr>
                              <w:divsChild>
                                <w:div w:id="148639719">
                                  <w:marLeft w:val="0"/>
                                  <w:marRight w:val="0"/>
                                  <w:marTop w:val="0"/>
                                  <w:marBottom w:val="0"/>
                                  <w:divBdr>
                                    <w:top w:val="single" w:sz="2" w:space="0" w:color="E3E3E3"/>
                                    <w:left w:val="single" w:sz="2" w:space="0" w:color="E3E3E3"/>
                                    <w:bottom w:val="single" w:sz="2" w:space="0" w:color="E3E3E3"/>
                                    <w:right w:val="single" w:sz="2" w:space="0" w:color="E3E3E3"/>
                                  </w:divBdr>
                                  <w:divsChild>
                                    <w:div w:id="13986323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14664512">
                      <w:marLeft w:val="0"/>
                      <w:marRight w:val="0"/>
                      <w:marTop w:val="0"/>
                      <w:marBottom w:val="0"/>
                      <w:divBdr>
                        <w:top w:val="single" w:sz="2" w:space="0" w:color="E3E3E3"/>
                        <w:left w:val="single" w:sz="2" w:space="0" w:color="E3E3E3"/>
                        <w:bottom w:val="single" w:sz="2" w:space="0" w:color="E3E3E3"/>
                        <w:right w:val="single" w:sz="2" w:space="0" w:color="E3E3E3"/>
                      </w:divBdr>
                      <w:divsChild>
                        <w:div w:id="1493062700">
                          <w:marLeft w:val="0"/>
                          <w:marRight w:val="0"/>
                          <w:marTop w:val="0"/>
                          <w:marBottom w:val="0"/>
                          <w:divBdr>
                            <w:top w:val="single" w:sz="2" w:space="0" w:color="E3E3E3"/>
                            <w:left w:val="single" w:sz="2" w:space="0" w:color="E3E3E3"/>
                            <w:bottom w:val="single" w:sz="2" w:space="0" w:color="E3E3E3"/>
                            <w:right w:val="single" w:sz="2" w:space="0" w:color="E3E3E3"/>
                          </w:divBdr>
                        </w:div>
                        <w:div w:id="201065882">
                          <w:marLeft w:val="0"/>
                          <w:marRight w:val="0"/>
                          <w:marTop w:val="0"/>
                          <w:marBottom w:val="0"/>
                          <w:divBdr>
                            <w:top w:val="single" w:sz="2" w:space="0" w:color="E3E3E3"/>
                            <w:left w:val="single" w:sz="2" w:space="0" w:color="E3E3E3"/>
                            <w:bottom w:val="single" w:sz="2" w:space="0" w:color="E3E3E3"/>
                            <w:right w:val="single" w:sz="2" w:space="0" w:color="E3E3E3"/>
                          </w:divBdr>
                          <w:divsChild>
                            <w:div w:id="661931754">
                              <w:marLeft w:val="0"/>
                              <w:marRight w:val="0"/>
                              <w:marTop w:val="0"/>
                              <w:marBottom w:val="0"/>
                              <w:divBdr>
                                <w:top w:val="single" w:sz="2" w:space="0" w:color="E3E3E3"/>
                                <w:left w:val="single" w:sz="2" w:space="0" w:color="E3E3E3"/>
                                <w:bottom w:val="single" w:sz="2" w:space="0" w:color="E3E3E3"/>
                                <w:right w:val="single" w:sz="2" w:space="0" w:color="E3E3E3"/>
                              </w:divBdr>
                              <w:divsChild>
                                <w:div w:id="1120955040">
                                  <w:marLeft w:val="0"/>
                                  <w:marRight w:val="0"/>
                                  <w:marTop w:val="0"/>
                                  <w:marBottom w:val="0"/>
                                  <w:divBdr>
                                    <w:top w:val="single" w:sz="2" w:space="0" w:color="E3E3E3"/>
                                    <w:left w:val="single" w:sz="2" w:space="0" w:color="E3E3E3"/>
                                    <w:bottom w:val="single" w:sz="2" w:space="0" w:color="E3E3E3"/>
                                    <w:right w:val="single" w:sz="2" w:space="0" w:color="E3E3E3"/>
                                  </w:divBdr>
                                  <w:divsChild>
                                    <w:div w:id="10911993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52506563">
          <w:marLeft w:val="0"/>
          <w:marRight w:val="0"/>
          <w:marTop w:val="0"/>
          <w:marBottom w:val="0"/>
          <w:divBdr>
            <w:top w:val="single" w:sz="2" w:space="0" w:color="E3E3E3"/>
            <w:left w:val="single" w:sz="2" w:space="0" w:color="E3E3E3"/>
            <w:bottom w:val="single" w:sz="2" w:space="0" w:color="E3E3E3"/>
            <w:right w:val="single" w:sz="2" w:space="0" w:color="E3E3E3"/>
          </w:divBdr>
          <w:divsChild>
            <w:div w:id="1017850742">
              <w:marLeft w:val="0"/>
              <w:marRight w:val="0"/>
              <w:marTop w:val="100"/>
              <w:marBottom w:val="100"/>
              <w:divBdr>
                <w:top w:val="single" w:sz="2" w:space="0" w:color="E3E3E3"/>
                <w:left w:val="single" w:sz="2" w:space="0" w:color="E3E3E3"/>
                <w:bottom w:val="single" w:sz="2" w:space="0" w:color="E3E3E3"/>
                <w:right w:val="single" w:sz="2" w:space="0" w:color="E3E3E3"/>
              </w:divBdr>
              <w:divsChild>
                <w:div w:id="853346923">
                  <w:marLeft w:val="0"/>
                  <w:marRight w:val="0"/>
                  <w:marTop w:val="0"/>
                  <w:marBottom w:val="0"/>
                  <w:divBdr>
                    <w:top w:val="single" w:sz="2" w:space="0" w:color="E3E3E3"/>
                    <w:left w:val="single" w:sz="2" w:space="0" w:color="E3E3E3"/>
                    <w:bottom w:val="single" w:sz="2" w:space="0" w:color="E3E3E3"/>
                    <w:right w:val="single" w:sz="2" w:space="0" w:color="E3E3E3"/>
                  </w:divBdr>
                  <w:divsChild>
                    <w:div w:id="307638347">
                      <w:marLeft w:val="0"/>
                      <w:marRight w:val="0"/>
                      <w:marTop w:val="0"/>
                      <w:marBottom w:val="0"/>
                      <w:divBdr>
                        <w:top w:val="single" w:sz="2" w:space="0" w:color="E3E3E3"/>
                        <w:left w:val="single" w:sz="2" w:space="0" w:color="E3E3E3"/>
                        <w:bottom w:val="single" w:sz="2" w:space="0" w:color="E3E3E3"/>
                        <w:right w:val="single" w:sz="2" w:space="0" w:color="E3E3E3"/>
                      </w:divBdr>
                      <w:divsChild>
                        <w:div w:id="709035853">
                          <w:marLeft w:val="0"/>
                          <w:marRight w:val="0"/>
                          <w:marTop w:val="0"/>
                          <w:marBottom w:val="0"/>
                          <w:divBdr>
                            <w:top w:val="single" w:sz="2" w:space="0" w:color="E3E3E3"/>
                            <w:left w:val="single" w:sz="2" w:space="0" w:color="E3E3E3"/>
                            <w:bottom w:val="single" w:sz="2" w:space="0" w:color="E3E3E3"/>
                            <w:right w:val="single" w:sz="2" w:space="0" w:color="E3E3E3"/>
                          </w:divBdr>
                          <w:divsChild>
                            <w:div w:id="1341355541">
                              <w:marLeft w:val="0"/>
                              <w:marRight w:val="0"/>
                              <w:marTop w:val="0"/>
                              <w:marBottom w:val="0"/>
                              <w:divBdr>
                                <w:top w:val="single" w:sz="2" w:space="0" w:color="E3E3E3"/>
                                <w:left w:val="single" w:sz="2" w:space="0" w:color="E3E3E3"/>
                                <w:bottom w:val="single" w:sz="2" w:space="0" w:color="E3E3E3"/>
                                <w:right w:val="single" w:sz="2" w:space="0" w:color="E3E3E3"/>
                              </w:divBdr>
                              <w:divsChild>
                                <w:div w:id="298725815">
                                  <w:marLeft w:val="0"/>
                                  <w:marRight w:val="0"/>
                                  <w:marTop w:val="0"/>
                                  <w:marBottom w:val="0"/>
                                  <w:divBdr>
                                    <w:top w:val="single" w:sz="2" w:space="0" w:color="E3E3E3"/>
                                    <w:left w:val="single" w:sz="2" w:space="0" w:color="E3E3E3"/>
                                    <w:bottom w:val="single" w:sz="2" w:space="0" w:color="E3E3E3"/>
                                    <w:right w:val="single" w:sz="2" w:space="0" w:color="E3E3E3"/>
                                  </w:divBdr>
                                  <w:divsChild>
                                    <w:div w:id="915133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06025833">
                      <w:marLeft w:val="0"/>
                      <w:marRight w:val="0"/>
                      <w:marTop w:val="0"/>
                      <w:marBottom w:val="0"/>
                      <w:divBdr>
                        <w:top w:val="single" w:sz="2" w:space="0" w:color="E3E3E3"/>
                        <w:left w:val="single" w:sz="2" w:space="0" w:color="E3E3E3"/>
                        <w:bottom w:val="single" w:sz="2" w:space="0" w:color="E3E3E3"/>
                        <w:right w:val="single" w:sz="2" w:space="0" w:color="E3E3E3"/>
                      </w:divBdr>
                      <w:divsChild>
                        <w:div w:id="1053701015">
                          <w:marLeft w:val="0"/>
                          <w:marRight w:val="0"/>
                          <w:marTop w:val="0"/>
                          <w:marBottom w:val="0"/>
                          <w:divBdr>
                            <w:top w:val="single" w:sz="2" w:space="0" w:color="E3E3E3"/>
                            <w:left w:val="single" w:sz="2" w:space="0" w:color="E3E3E3"/>
                            <w:bottom w:val="single" w:sz="2" w:space="0" w:color="E3E3E3"/>
                            <w:right w:val="single" w:sz="2" w:space="0" w:color="E3E3E3"/>
                          </w:divBdr>
                        </w:div>
                        <w:div w:id="2144883172">
                          <w:marLeft w:val="0"/>
                          <w:marRight w:val="0"/>
                          <w:marTop w:val="0"/>
                          <w:marBottom w:val="0"/>
                          <w:divBdr>
                            <w:top w:val="single" w:sz="2" w:space="0" w:color="E3E3E3"/>
                            <w:left w:val="single" w:sz="2" w:space="0" w:color="E3E3E3"/>
                            <w:bottom w:val="single" w:sz="2" w:space="0" w:color="E3E3E3"/>
                            <w:right w:val="single" w:sz="2" w:space="0" w:color="E3E3E3"/>
                          </w:divBdr>
                          <w:divsChild>
                            <w:div w:id="1169491648">
                              <w:marLeft w:val="0"/>
                              <w:marRight w:val="0"/>
                              <w:marTop w:val="0"/>
                              <w:marBottom w:val="0"/>
                              <w:divBdr>
                                <w:top w:val="single" w:sz="2" w:space="0" w:color="E3E3E3"/>
                                <w:left w:val="single" w:sz="2" w:space="0" w:color="E3E3E3"/>
                                <w:bottom w:val="single" w:sz="2" w:space="0" w:color="E3E3E3"/>
                                <w:right w:val="single" w:sz="2" w:space="0" w:color="E3E3E3"/>
                              </w:divBdr>
                              <w:divsChild>
                                <w:div w:id="1968973198">
                                  <w:marLeft w:val="0"/>
                                  <w:marRight w:val="0"/>
                                  <w:marTop w:val="0"/>
                                  <w:marBottom w:val="0"/>
                                  <w:divBdr>
                                    <w:top w:val="single" w:sz="2" w:space="0" w:color="E3E3E3"/>
                                    <w:left w:val="single" w:sz="2" w:space="0" w:color="E3E3E3"/>
                                    <w:bottom w:val="single" w:sz="2" w:space="0" w:color="E3E3E3"/>
                                    <w:right w:val="single" w:sz="2" w:space="0" w:color="E3E3E3"/>
                                  </w:divBdr>
                                  <w:divsChild>
                                    <w:div w:id="17010066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15639293">
      <w:bodyDiv w:val="1"/>
      <w:marLeft w:val="0"/>
      <w:marRight w:val="0"/>
      <w:marTop w:val="0"/>
      <w:marBottom w:val="0"/>
      <w:divBdr>
        <w:top w:val="none" w:sz="0" w:space="0" w:color="auto"/>
        <w:left w:val="none" w:sz="0" w:space="0" w:color="auto"/>
        <w:bottom w:val="none" w:sz="0" w:space="0" w:color="auto"/>
        <w:right w:val="none" w:sz="0" w:space="0" w:color="auto"/>
      </w:divBdr>
    </w:div>
    <w:div w:id="1842619925">
      <w:bodyDiv w:val="1"/>
      <w:marLeft w:val="0"/>
      <w:marRight w:val="0"/>
      <w:marTop w:val="0"/>
      <w:marBottom w:val="0"/>
      <w:divBdr>
        <w:top w:val="none" w:sz="0" w:space="0" w:color="auto"/>
        <w:left w:val="none" w:sz="0" w:space="0" w:color="auto"/>
        <w:bottom w:val="none" w:sz="0" w:space="0" w:color="auto"/>
        <w:right w:val="none" w:sz="0" w:space="0" w:color="auto"/>
      </w:divBdr>
    </w:div>
    <w:div w:id="1848204306">
      <w:bodyDiv w:val="1"/>
      <w:marLeft w:val="0"/>
      <w:marRight w:val="0"/>
      <w:marTop w:val="0"/>
      <w:marBottom w:val="0"/>
      <w:divBdr>
        <w:top w:val="none" w:sz="0" w:space="0" w:color="auto"/>
        <w:left w:val="none" w:sz="0" w:space="0" w:color="auto"/>
        <w:bottom w:val="none" w:sz="0" w:space="0" w:color="auto"/>
        <w:right w:val="none" w:sz="0" w:space="0" w:color="auto"/>
      </w:divBdr>
    </w:div>
    <w:div w:id="1861119727">
      <w:bodyDiv w:val="1"/>
      <w:marLeft w:val="0"/>
      <w:marRight w:val="0"/>
      <w:marTop w:val="0"/>
      <w:marBottom w:val="0"/>
      <w:divBdr>
        <w:top w:val="none" w:sz="0" w:space="0" w:color="auto"/>
        <w:left w:val="none" w:sz="0" w:space="0" w:color="auto"/>
        <w:bottom w:val="none" w:sz="0" w:space="0" w:color="auto"/>
        <w:right w:val="none" w:sz="0" w:space="0" w:color="auto"/>
      </w:divBdr>
    </w:div>
    <w:div w:id="1899852214">
      <w:bodyDiv w:val="1"/>
      <w:marLeft w:val="0"/>
      <w:marRight w:val="0"/>
      <w:marTop w:val="0"/>
      <w:marBottom w:val="0"/>
      <w:divBdr>
        <w:top w:val="none" w:sz="0" w:space="0" w:color="auto"/>
        <w:left w:val="none" w:sz="0" w:space="0" w:color="auto"/>
        <w:bottom w:val="none" w:sz="0" w:space="0" w:color="auto"/>
        <w:right w:val="none" w:sz="0" w:space="0" w:color="auto"/>
      </w:divBdr>
      <w:divsChild>
        <w:div w:id="2103597396">
          <w:marLeft w:val="0"/>
          <w:marRight w:val="0"/>
          <w:marTop w:val="0"/>
          <w:marBottom w:val="0"/>
          <w:divBdr>
            <w:top w:val="none" w:sz="0" w:space="0" w:color="auto"/>
            <w:left w:val="none" w:sz="0" w:space="0" w:color="auto"/>
            <w:bottom w:val="none" w:sz="0" w:space="0" w:color="auto"/>
            <w:right w:val="none" w:sz="0" w:space="0" w:color="auto"/>
          </w:divBdr>
          <w:divsChild>
            <w:div w:id="657805998">
              <w:marLeft w:val="0"/>
              <w:marRight w:val="0"/>
              <w:marTop w:val="0"/>
              <w:marBottom w:val="0"/>
              <w:divBdr>
                <w:top w:val="none" w:sz="0" w:space="0" w:color="auto"/>
                <w:left w:val="none" w:sz="0" w:space="0" w:color="auto"/>
                <w:bottom w:val="none" w:sz="0" w:space="0" w:color="auto"/>
                <w:right w:val="none" w:sz="0" w:space="0" w:color="auto"/>
              </w:divBdr>
              <w:divsChild>
                <w:div w:id="2074616372">
                  <w:marLeft w:val="0"/>
                  <w:marRight w:val="0"/>
                  <w:marTop w:val="0"/>
                  <w:marBottom w:val="0"/>
                  <w:divBdr>
                    <w:top w:val="none" w:sz="0" w:space="0" w:color="auto"/>
                    <w:left w:val="none" w:sz="0" w:space="0" w:color="auto"/>
                    <w:bottom w:val="none" w:sz="0" w:space="0" w:color="auto"/>
                    <w:right w:val="none" w:sz="0" w:space="0" w:color="auto"/>
                  </w:divBdr>
                  <w:divsChild>
                    <w:div w:id="93999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817910">
          <w:marLeft w:val="0"/>
          <w:marRight w:val="0"/>
          <w:marTop w:val="0"/>
          <w:marBottom w:val="0"/>
          <w:divBdr>
            <w:top w:val="none" w:sz="0" w:space="0" w:color="auto"/>
            <w:left w:val="none" w:sz="0" w:space="0" w:color="auto"/>
            <w:bottom w:val="none" w:sz="0" w:space="0" w:color="auto"/>
            <w:right w:val="none" w:sz="0" w:space="0" w:color="auto"/>
          </w:divBdr>
          <w:divsChild>
            <w:div w:id="218831225">
              <w:marLeft w:val="0"/>
              <w:marRight w:val="0"/>
              <w:marTop w:val="0"/>
              <w:marBottom w:val="0"/>
              <w:divBdr>
                <w:top w:val="none" w:sz="0" w:space="0" w:color="auto"/>
                <w:left w:val="none" w:sz="0" w:space="0" w:color="auto"/>
                <w:bottom w:val="none" w:sz="0" w:space="0" w:color="auto"/>
                <w:right w:val="none" w:sz="0" w:space="0" w:color="auto"/>
              </w:divBdr>
              <w:divsChild>
                <w:div w:id="1809666457">
                  <w:marLeft w:val="0"/>
                  <w:marRight w:val="0"/>
                  <w:marTop w:val="0"/>
                  <w:marBottom w:val="0"/>
                  <w:divBdr>
                    <w:top w:val="none" w:sz="0" w:space="0" w:color="auto"/>
                    <w:left w:val="none" w:sz="0" w:space="0" w:color="auto"/>
                    <w:bottom w:val="none" w:sz="0" w:space="0" w:color="auto"/>
                    <w:right w:val="none" w:sz="0" w:space="0" w:color="auto"/>
                  </w:divBdr>
                  <w:divsChild>
                    <w:div w:id="5207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1650159">
      <w:bodyDiv w:val="1"/>
      <w:marLeft w:val="0"/>
      <w:marRight w:val="0"/>
      <w:marTop w:val="0"/>
      <w:marBottom w:val="0"/>
      <w:divBdr>
        <w:top w:val="none" w:sz="0" w:space="0" w:color="auto"/>
        <w:left w:val="none" w:sz="0" w:space="0" w:color="auto"/>
        <w:bottom w:val="none" w:sz="0" w:space="0" w:color="auto"/>
        <w:right w:val="none" w:sz="0" w:space="0" w:color="auto"/>
      </w:divBdr>
    </w:div>
    <w:div w:id="1933463798">
      <w:bodyDiv w:val="1"/>
      <w:marLeft w:val="0"/>
      <w:marRight w:val="0"/>
      <w:marTop w:val="0"/>
      <w:marBottom w:val="0"/>
      <w:divBdr>
        <w:top w:val="none" w:sz="0" w:space="0" w:color="auto"/>
        <w:left w:val="none" w:sz="0" w:space="0" w:color="auto"/>
        <w:bottom w:val="none" w:sz="0" w:space="0" w:color="auto"/>
        <w:right w:val="none" w:sz="0" w:space="0" w:color="auto"/>
      </w:divBdr>
    </w:div>
    <w:div w:id="1953896157">
      <w:bodyDiv w:val="1"/>
      <w:marLeft w:val="0"/>
      <w:marRight w:val="0"/>
      <w:marTop w:val="0"/>
      <w:marBottom w:val="0"/>
      <w:divBdr>
        <w:top w:val="none" w:sz="0" w:space="0" w:color="auto"/>
        <w:left w:val="none" w:sz="0" w:space="0" w:color="auto"/>
        <w:bottom w:val="none" w:sz="0" w:space="0" w:color="auto"/>
        <w:right w:val="none" w:sz="0" w:space="0" w:color="auto"/>
      </w:divBdr>
    </w:div>
    <w:div w:id="1957829121">
      <w:bodyDiv w:val="1"/>
      <w:marLeft w:val="0"/>
      <w:marRight w:val="0"/>
      <w:marTop w:val="0"/>
      <w:marBottom w:val="0"/>
      <w:divBdr>
        <w:top w:val="none" w:sz="0" w:space="0" w:color="auto"/>
        <w:left w:val="none" w:sz="0" w:space="0" w:color="auto"/>
        <w:bottom w:val="none" w:sz="0" w:space="0" w:color="auto"/>
        <w:right w:val="none" w:sz="0" w:space="0" w:color="auto"/>
      </w:divBdr>
    </w:div>
    <w:div w:id="1958103503">
      <w:bodyDiv w:val="1"/>
      <w:marLeft w:val="0"/>
      <w:marRight w:val="0"/>
      <w:marTop w:val="0"/>
      <w:marBottom w:val="0"/>
      <w:divBdr>
        <w:top w:val="none" w:sz="0" w:space="0" w:color="auto"/>
        <w:left w:val="none" w:sz="0" w:space="0" w:color="auto"/>
        <w:bottom w:val="none" w:sz="0" w:space="0" w:color="auto"/>
        <w:right w:val="none" w:sz="0" w:space="0" w:color="auto"/>
      </w:divBdr>
    </w:div>
    <w:div w:id="1972974607">
      <w:bodyDiv w:val="1"/>
      <w:marLeft w:val="0"/>
      <w:marRight w:val="0"/>
      <w:marTop w:val="0"/>
      <w:marBottom w:val="0"/>
      <w:divBdr>
        <w:top w:val="none" w:sz="0" w:space="0" w:color="auto"/>
        <w:left w:val="none" w:sz="0" w:space="0" w:color="auto"/>
        <w:bottom w:val="none" w:sz="0" w:space="0" w:color="auto"/>
        <w:right w:val="none" w:sz="0" w:space="0" w:color="auto"/>
      </w:divBdr>
    </w:div>
    <w:div w:id="2000189523">
      <w:bodyDiv w:val="1"/>
      <w:marLeft w:val="0"/>
      <w:marRight w:val="0"/>
      <w:marTop w:val="0"/>
      <w:marBottom w:val="0"/>
      <w:divBdr>
        <w:top w:val="none" w:sz="0" w:space="0" w:color="auto"/>
        <w:left w:val="none" w:sz="0" w:space="0" w:color="auto"/>
        <w:bottom w:val="none" w:sz="0" w:space="0" w:color="auto"/>
        <w:right w:val="none" w:sz="0" w:space="0" w:color="auto"/>
      </w:divBdr>
      <w:divsChild>
        <w:div w:id="646860512">
          <w:marLeft w:val="0"/>
          <w:marRight w:val="0"/>
          <w:marTop w:val="0"/>
          <w:marBottom w:val="0"/>
          <w:divBdr>
            <w:top w:val="single" w:sz="2" w:space="0" w:color="E3E3E3"/>
            <w:left w:val="single" w:sz="2" w:space="0" w:color="E3E3E3"/>
            <w:bottom w:val="single" w:sz="2" w:space="0" w:color="E3E3E3"/>
            <w:right w:val="single" w:sz="2" w:space="0" w:color="E3E3E3"/>
          </w:divBdr>
          <w:divsChild>
            <w:div w:id="968632904">
              <w:marLeft w:val="0"/>
              <w:marRight w:val="0"/>
              <w:marTop w:val="100"/>
              <w:marBottom w:val="100"/>
              <w:divBdr>
                <w:top w:val="single" w:sz="2" w:space="0" w:color="E3E3E3"/>
                <w:left w:val="single" w:sz="2" w:space="0" w:color="E3E3E3"/>
                <w:bottom w:val="single" w:sz="2" w:space="0" w:color="E3E3E3"/>
                <w:right w:val="single" w:sz="2" w:space="0" w:color="E3E3E3"/>
              </w:divBdr>
              <w:divsChild>
                <w:div w:id="622158059">
                  <w:marLeft w:val="0"/>
                  <w:marRight w:val="0"/>
                  <w:marTop w:val="0"/>
                  <w:marBottom w:val="0"/>
                  <w:divBdr>
                    <w:top w:val="single" w:sz="2" w:space="0" w:color="E3E3E3"/>
                    <w:left w:val="single" w:sz="2" w:space="0" w:color="E3E3E3"/>
                    <w:bottom w:val="single" w:sz="2" w:space="0" w:color="E3E3E3"/>
                    <w:right w:val="single" w:sz="2" w:space="0" w:color="E3E3E3"/>
                  </w:divBdr>
                  <w:divsChild>
                    <w:div w:id="1195117827">
                      <w:marLeft w:val="0"/>
                      <w:marRight w:val="0"/>
                      <w:marTop w:val="0"/>
                      <w:marBottom w:val="0"/>
                      <w:divBdr>
                        <w:top w:val="single" w:sz="2" w:space="0" w:color="E3E3E3"/>
                        <w:left w:val="single" w:sz="2" w:space="0" w:color="E3E3E3"/>
                        <w:bottom w:val="single" w:sz="2" w:space="0" w:color="E3E3E3"/>
                        <w:right w:val="single" w:sz="2" w:space="0" w:color="E3E3E3"/>
                      </w:divBdr>
                      <w:divsChild>
                        <w:div w:id="643434912">
                          <w:marLeft w:val="0"/>
                          <w:marRight w:val="0"/>
                          <w:marTop w:val="0"/>
                          <w:marBottom w:val="0"/>
                          <w:divBdr>
                            <w:top w:val="single" w:sz="2" w:space="0" w:color="E3E3E3"/>
                            <w:left w:val="single" w:sz="2" w:space="0" w:color="E3E3E3"/>
                            <w:bottom w:val="single" w:sz="2" w:space="0" w:color="E3E3E3"/>
                            <w:right w:val="single" w:sz="2" w:space="0" w:color="E3E3E3"/>
                          </w:divBdr>
                          <w:divsChild>
                            <w:div w:id="259796846">
                              <w:marLeft w:val="0"/>
                              <w:marRight w:val="0"/>
                              <w:marTop w:val="0"/>
                              <w:marBottom w:val="0"/>
                              <w:divBdr>
                                <w:top w:val="single" w:sz="2" w:space="0" w:color="E3E3E3"/>
                                <w:left w:val="single" w:sz="2" w:space="0" w:color="E3E3E3"/>
                                <w:bottom w:val="single" w:sz="2" w:space="0" w:color="E3E3E3"/>
                                <w:right w:val="single" w:sz="2" w:space="0" w:color="E3E3E3"/>
                              </w:divBdr>
                              <w:divsChild>
                                <w:div w:id="1810829243">
                                  <w:marLeft w:val="0"/>
                                  <w:marRight w:val="0"/>
                                  <w:marTop w:val="0"/>
                                  <w:marBottom w:val="0"/>
                                  <w:divBdr>
                                    <w:top w:val="single" w:sz="2" w:space="0" w:color="E3E3E3"/>
                                    <w:left w:val="single" w:sz="2" w:space="0" w:color="E3E3E3"/>
                                    <w:bottom w:val="single" w:sz="2" w:space="0" w:color="E3E3E3"/>
                                    <w:right w:val="single" w:sz="2" w:space="0" w:color="E3E3E3"/>
                                  </w:divBdr>
                                  <w:divsChild>
                                    <w:div w:id="15980561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3472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9" Type="http://schemas.openxmlformats.org/officeDocument/2006/relationships/hyperlink" Target="https://scholar.dominican.edu/barowsky-school-of-business-faculty-scholarship/9/" TargetMode="External"/><Relationship Id="rId21" Type="http://schemas.openxmlformats.org/officeDocument/2006/relationships/chart" Target="charts/chart14.xml"/><Relationship Id="rId34" Type="http://schemas.openxmlformats.org/officeDocument/2006/relationships/hyperlink" Target="https://miastoprzyszlosci.com.pl/index.php/mp/article/download/70/68" TargetMode="External"/><Relationship Id="rId42" Type="http://schemas.openxmlformats.org/officeDocument/2006/relationships/hyperlink" Target="https://static.heritage.org/index/pdf/2024/2024_indexofeconomicfreedom_twelvefreedoms.pdf" TargetMode="External"/><Relationship Id="rId47" Type="http://schemas.openxmlformats.org/officeDocument/2006/relationships/hyperlink" Target="https://www.econstor.eu/handle/10419/148120" TargetMode="External"/><Relationship Id="rId50" Type="http://schemas.openxmlformats.org/officeDocument/2006/relationships/hyperlink" Target="https://www.businessperspectives.org/journals/economics-of-development/issue-363/analyzing-the-fdi-dynamics-and-the-investment-climate-impacting-the-economic-development-of-bsec" TargetMode="External"/><Relationship Id="rId55" Type="http://schemas.openxmlformats.org/officeDocument/2006/relationships/hyperlink" Target="https://www.investopedia.com/terms/u/unemploymentrate.asp" TargetMode="External"/><Relationship Id="rId63" Type="http://schemas.openxmlformats.org/officeDocument/2006/relationships/hyperlink" Target="https://www.oecd-ilibrary.org/sites/3bb97646-en/index.html?itemId=%2Fcontent%2Fcomponent%2F3bb97646-en" TargetMode="External"/><Relationship Id="rId68" Type="http://schemas.openxmlformats.org/officeDocument/2006/relationships/hyperlink" Target="https://index.minfin.com.ua/ua/economy/fdi/" TargetMode="External"/><Relationship Id="rId76" Type="http://schemas.openxmlformats.org/officeDocument/2006/relationships/hyperlink" Target="https://city.diia.gov.ua/" TargetMode="External"/><Relationship Id="rId7" Type="http://schemas.openxmlformats.org/officeDocument/2006/relationships/endnotes" Target="endnotes.xml"/><Relationship Id="rId71" Type="http://schemas.openxmlformats.org/officeDocument/2006/relationships/hyperlink" Target="https://eba.com.ua/biznes-pokrashhuye-prognozy-finansovyh-pokaznykiv-na-2024-rik/" TargetMode="External"/><Relationship Id="rId2" Type="http://schemas.openxmlformats.org/officeDocument/2006/relationships/numbering" Target="numbering.xml"/><Relationship Id="rId16" Type="http://schemas.openxmlformats.org/officeDocument/2006/relationships/chart" Target="charts/chart9.xml"/><Relationship Id="rId29" Type="http://schemas.openxmlformats.org/officeDocument/2006/relationships/hyperlink" Target="https://doi.org/10.3390/a13120336" TargetMode="External"/><Relationship Id="rId11" Type="http://schemas.openxmlformats.org/officeDocument/2006/relationships/chart" Target="charts/chart4.xml"/><Relationship Id="rId24" Type="http://schemas.openxmlformats.org/officeDocument/2006/relationships/chart" Target="charts/chart17.xml"/><Relationship Id="rId32" Type="http://schemas.openxmlformats.org/officeDocument/2006/relationships/hyperlink" Target="https://doi.org/10.1007/s44232-022-00003-x" TargetMode="External"/><Relationship Id="rId37" Type="http://schemas.openxmlformats.org/officeDocument/2006/relationships/hyperlink" Target="https://www.ceeol.com/search/article-detail?id=570258" TargetMode="External"/><Relationship Id="rId40" Type="http://schemas.openxmlformats.org/officeDocument/2006/relationships/hyperlink" Target="https://growingscience.com/beta/ac/4043-building-favorable-investment-climate-for-economic-development.html" TargetMode="External"/><Relationship Id="rId45" Type="http://schemas.openxmlformats.org/officeDocument/2006/relationships/hyperlink" Target="https://www.heritage.org/index/pages/about" TargetMode="External"/><Relationship Id="rId53" Type="http://schemas.openxmlformats.org/officeDocument/2006/relationships/hyperlink" Target="https://www.sciencedirect.com/science/article/abs/pii/S0313592621001909" TargetMode="External"/><Relationship Id="rId58" Type="http://schemas.openxmlformats.org/officeDocument/2006/relationships/hyperlink" Target="https://data.worldbank.org/indicator/SL.UEM.TOTL.NE.ZS?cid=ECR_GA_worldbank_EN_EXTP_search&amp;gad_source=1&amp;gclid=CjwKCAjw0YGyBhByEiwAQmBEWu-NqwWf-_AiOyXJXi3ejyk2PXiNf-i-v6-6SGyDbQCGOGg97rqzwBoCe60QAvD_BwE&amp;locations=UA&amp;s_kwcid=AL%2118468%213%21665425039372%21b%21%21g%21%21world+bank+projects" TargetMode="External"/><Relationship Id="rId66" Type="http://schemas.openxmlformats.org/officeDocument/2006/relationships/hyperlink" Target="https://oecd-development-matters.org/2023/10/09/currency-risk-is-stifling-climate-finance-for-developing-countries-it-should-and-can-be-mitigated/" TargetMode="External"/><Relationship Id="rId74" Type="http://schemas.openxmlformats.org/officeDocument/2006/relationships/hyperlink" Target="https://analytics.intsecurity.org/wp-content/uploads/2024/01/Ukr_EPravda_12_Recovery.pdf"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ata.imf.org/?sk=7a51304b-6426-40c0-83dd-ca473ca1fd52&amp;sid=1390030341854" TargetMode="External"/><Relationship Id="rId10" Type="http://schemas.openxmlformats.org/officeDocument/2006/relationships/chart" Target="charts/chart3.xml"/><Relationship Id="rId19" Type="http://schemas.openxmlformats.org/officeDocument/2006/relationships/chart" Target="charts/chart12.xml"/><Relationship Id="rId31" Type="http://schemas.openxmlformats.org/officeDocument/2006/relationships/hyperlink" Target="https://south.euneighbours.eu/wp-content/uploads/2022/07/handbook-en-1.pdf" TargetMode="External"/><Relationship Id="rId44" Type="http://schemas.openxmlformats.org/officeDocument/2006/relationships/hyperlink" Target="https://www.heritage.org/index/pages/all-country-scores" TargetMode="External"/><Relationship Id="rId52" Type="http://schemas.openxmlformats.org/officeDocument/2006/relationships/hyperlink" Target="https://www.tandfonline.com/doi/full/10.1080/1331677X.2017.1305803" TargetMode="External"/><Relationship Id="rId60" Type="http://schemas.openxmlformats.org/officeDocument/2006/relationships/hyperlink" Target="https://www.macrotrends.net/global-metrics/countries/UKR/ukraine/external-debt-stock" TargetMode="External"/><Relationship Id="rId65" Type="http://schemas.openxmlformats.org/officeDocument/2006/relationships/hyperlink" Target="https://www.imf.org/en/Blogs/Articles/2024/03/28/the-fiscal-and-financial-risks-of-a-high-debt-slow-growth-world" TargetMode="External"/><Relationship Id="rId73" Type="http://schemas.openxmlformats.org/officeDocument/2006/relationships/hyperlink" Target="https://www.jstor.org/stable/resrep44882?seq=8" TargetMode="External"/><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hyperlink" Target="https://www.un.org/esa/ffd/wp-content/uploads/2016/01/The-Investment-Climate_IFC-World-Bank-Group_IATF-Issue-Brief.pdf" TargetMode="External"/><Relationship Id="rId35" Type="http://schemas.openxmlformats.org/officeDocument/2006/relationships/hyperlink" Target="https://drum.lib.umd.edu/items/68808b47-a27a-4cd8-bfff-0c47eec31583" TargetMode="External"/><Relationship Id="rId43" Type="http://schemas.openxmlformats.org/officeDocument/2006/relationships/hyperlink" Target="https://www.heritage.org/index/pages/report" TargetMode="External"/><Relationship Id="rId48" Type="http://schemas.openxmlformats.org/officeDocument/2006/relationships/hyperlink" Target="https://pravo.org.ua/wp-content/uploads/2022/10/Matrix_2022_eng.pdf" TargetMode="External"/><Relationship Id="rId56" Type="http://schemas.openxmlformats.org/officeDocument/2006/relationships/hyperlink" Target="https://www.investopedia.com/terms/n/net-international-investment-position-niip.asp" TargetMode="External"/><Relationship Id="rId64" Type="http://schemas.openxmlformats.org/officeDocument/2006/relationships/hyperlink" Target="https://www.clevelandfed.org/publications/economic-commentary/2011/ec-201117-unemployment-labor-costs-and-recessions-implications-for-the-inflation-outlook" TargetMode="External"/><Relationship Id="rId69" Type="http://schemas.openxmlformats.org/officeDocument/2006/relationships/hyperlink" Target="https://www.ebrd.com/ebrd-rep-successful-ukraine-reconstruction-scenario-ukr" TargetMode="External"/><Relationship Id="rId77" Type="http://schemas.openxmlformats.org/officeDocument/2006/relationships/hyperlink" Target="https://advantageukraine.com/" TargetMode="External"/><Relationship Id="rId8" Type="http://schemas.openxmlformats.org/officeDocument/2006/relationships/chart" Target="charts/chart1.xml"/><Relationship Id="rId51" Type="http://schemas.openxmlformats.org/officeDocument/2006/relationships/hyperlink" Target="https://web.archive.org/web/20170923003811id_/http:/ccsenet.org/journal/index.php/ijef/article/viewFile/59976/34417" TargetMode="External"/><Relationship Id="rId72" Type="http://schemas.openxmlformats.org/officeDocument/2006/relationships/hyperlink" Target="https://eba.com.ua/wp-content/uploads/2023/09/forecast-ukr.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33" Type="http://schemas.openxmlformats.org/officeDocument/2006/relationships/hyperlink" Target="https://zienjournals.com/index.php/tjm/article/view/4455" TargetMode="External"/><Relationship Id="rId38" Type="http://schemas.openxmlformats.org/officeDocument/2006/relationships/hyperlink" Target="https://intapi.sciendo.com/pdf/10.2478/revecp-2020-0004" TargetMode="External"/><Relationship Id="rId46" Type="http://schemas.openxmlformats.org/officeDocument/2006/relationships/hyperlink" Target="https://www.researchgate.net/publication/44298419_Intellectual_Property_Rights_Investment_Climate_and_FDI_in_Developing_Countries" TargetMode="External"/><Relationship Id="rId59" Type="http://schemas.openxmlformats.org/officeDocument/2006/relationships/hyperlink" Target="https://www.ilo.org/resource/news/how-did-war-impact-ukrainian-labour-market" TargetMode="External"/><Relationship Id="rId67" Type="http://schemas.openxmlformats.org/officeDocument/2006/relationships/hyperlink" Target="https://bank.gov.ua/ua/statistic/sector-external" TargetMode="External"/><Relationship Id="rId20" Type="http://schemas.openxmlformats.org/officeDocument/2006/relationships/chart" Target="charts/chart13.xml"/><Relationship Id="rId41" Type="http://schemas.openxmlformats.org/officeDocument/2006/relationships/hyperlink" Target="https://www.heritage.org/index/pages/about" TargetMode="External"/><Relationship Id="rId54" Type="http://schemas.openxmlformats.org/officeDocument/2006/relationships/hyperlink" Target="https://www.investopedia.com/terms/e/external-debt.asp" TargetMode="External"/><Relationship Id="rId62" Type="http://schemas.openxmlformats.org/officeDocument/2006/relationships/hyperlink" Target="https://www.oecd.org/daf/inv/investment-policy/42446942.pdf" TargetMode="External"/><Relationship Id="rId70" Type="http://schemas.openxmlformats.org/officeDocument/2006/relationships/hyperlink" Target="https://mind.ua/publications/20271636-inozemni-investori-vzhe-povertayutsya-yak-ukrayina-otrimala-42-mlrd-u-2023-roci" TargetMode="External"/><Relationship Id="rId75" Type="http://schemas.openxmlformats.org/officeDocument/2006/relationships/hyperlink" Target="https://www.me.gov.ua/Documents/Detail?lang=uk-UA&amp;id=62bfd716-8665-4a4c-9e2d-6325ba53b3c8&amp;title=InvestitsiiVUkrainuTaVidnovlenniaEkonomiki&amp;isSpecial=tru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hyperlink" Target="https://doi.org/10.19275/RSEPCONFERENCES280" TargetMode="External"/><Relationship Id="rId36" Type="http://schemas.openxmlformats.org/officeDocument/2006/relationships/hyperlink" Target="https://doi.org/10.1108/reps-09-2020-0138" TargetMode="External"/><Relationship Id="rId49" Type="http://schemas.openxmlformats.org/officeDocument/2006/relationships/hyperlink" Target="http://www.baltijapublishing.lv/index.php/issue/article/view/280/pdf" TargetMode="External"/><Relationship Id="rId57" Type="http://schemas.openxmlformats.org/officeDocument/2006/relationships/hyperlink" Target="https://corporatefinanceinstitute.com/resources/economics/net-international-investment-position-niip/"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Індекс економічної свободи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Латинська Америка</c:v>
                </c:pt>
                <c:pt idx="2">
                  <c:v>Азіатсько-Тихоокеанський регіон</c:v>
                </c:pt>
                <c:pt idx="3">
                  <c:v>Близький Схід / Північна Африка</c:v>
                </c:pt>
                <c:pt idx="4">
                  <c:v>Європа</c:v>
                </c:pt>
                <c:pt idx="5">
                  <c:v>Північна Америка</c:v>
                </c:pt>
              </c:strCache>
            </c:strRef>
          </c:cat>
          <c:val>
            <c:numRef>
              <c:f>Лист1!$B$2:$B$7</c:f>
              <c:numCache>
                <c:formatCode>General</c:formatCode>
                <c:ptCount val="6"/>
                <c:pt idx="0">
                  <c:v>52.4</c:v>
                </c:pt>
                <c:pt idx="1">
                  <c:v>57.1</c:v>
                </c:pt>
                <c:pt idx="2">
                  <c:v>57.4</c:v>
                </c:pt>
                <c:pt idx="3">
                  <c:v>57.4</c:v>
                </c:pt>
                <c:pt idx="4">
                  <c:v>67.2</c:v>
                </c:pt>
                <c:pt idx="5" formatCode="_-* #,##0.0\ _₴_-;\-* #,##0.0\ _₴_-;_-* &quot;-&quot;??\ _₴_-;_-@_-">
                  <c:v>71.3</c:v>
                </c:pt>
              </c:numCache>
            </c:numRef>
          </c:val>
          <c:extLst xmlns:c16r2="http://schemas.microsoft.com/office/drawing/2015/06/chart">
            <c:ext xmlns:c16="http://schemas.microsoft.com/office/drawing/2014/chart" uri="{C3380CC4-5D6E-409C-BE32-E72D297353CC}">
              <c16:uniqueId val="{00000000-63AA-4A12-9E6C-23DC8F609EB3}"/>
            </c:ext>
          </c:extLst>
        </c:ser>
        <c:dLbls>
          <c:showLegendKey val="0"/>
          <c:showVal val="1"/>
          <c:showCatName val="0"/>
          <c:showSerName val="0"/>
          <c:showPercent val="0"/>
          <c:showBubbleSize val="0"/>
        </c:dLbls>
        <c:gapWidth val="75"/>
        <c:axId val="598319080"/>
        <c:axId val="598317120"/>
      </c:barChart>
      <c:catAx>
        <c:axId val="598319080"/>
        <c:scaling>
          <c:orientation val="minMax"/>
        </c:scaling>
        <c:delete val="0"/>
        <c:axPos val="l"/>
        <c:numFmt formatCode="General" sourceLinked="0"/>
        <c:majorTickMark val="none"/>
        <c:minorTickMark val="none"/>
        <c:tickLblPos val="nextTo"/>
        <c:txPr>
          <a:bodyPr/>
          <a:lstStyle/>
          <a:p>
            <a:pPr>
              <a:defRPr sz="1200"/>
            </a:pPr>
            <a:endParaRPr lang="ru-RU"/>
          </a:p>
        </c:txPr>
        <c:crossAx val="598317120"/>
        <c:crosses val="autoZero"/>
        <c:auto val="1"/>
        <c:lblAlgn val="ctr"/>
        <c:lblOffset val="100"/>
        <c:noMultiLvlLbl val="0"/>
      </c:catAx>
      <c:valAx>
        <c:axId val="598317120"/>
        <c:scaling>
          <c:orientation val="minMax"/>
          <c:max val="100"/>
        </c:scaling>
        <c:delete val="0"/>
        <c:axPos val="b"/>
        <c:numFmt formatCode="General" sourceLinked="1"/>
        <c:majorTickMark val="none"/>
        <c:minorTickMark val="none"/>
        <c:tickLblPos val="low"/>
        <c:txPr>
          <a:bodyPr/>
          <a:lstStyle/>
          <a:p>
            <a:pPr>
              <a:defRPr sz="900"/>
            </a:pPr>
            <a:endParaRPr lang="ru-RU"/>
          </a:p>
        </c:txPr>
        <c:crossAx val="598319080"/>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Монетарна свобода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Латинська Америка</c:v>
                </c:pt>
                <c:pt idx="1">
                  <c:v>Субсахарна Африка</c:v>
                </c:pt>
                <c:pt idx="2">
                  <c:v>Близький Схід / Північна Африка</c:v>
                </c:pt>
                <c:pt idx="3">
                  <c:v>Азіатсько-Тихоокеанський регіон</c:v>
                </c:pt>
                <c:pt idx="4">
                  <c:v>Європа</c:v>
                </c:pt>
                <c:pt idx="5">
                  <c:v>Північна Америка</c:v>
                </c:pt>
              </c:strCache>
            </c:strRef>
          </c:cat>
          <c:val>
            <c:numRef>
              <c:f>Лист1!$B$2:$B$7</c:f>
              <c:numCache>
                <c:formatCode>0.0</c:formatCode>
                <c:ptCount val="6"/>
                <c:pt idx="0">
                  <c:v>64.949999999999989</c:v>
                </c:pt>
                <c:pt idx="1">
                  <c:v>66.423404255319127</c:v>
                </c:pt>
                <c:pt idx="2">
                  <c:v>67.985714285714295</c:v>
                </c:pt>
                <c:pt idx="3">
                  <c:v>68.646153846153837</c:v>
                </c:pt>
                <c:pt idx="4">
                  <c:v>69.375</c:v>
                </c:pt>
                <c:pt idx="5">
                  <c:v>72.05</c:v>
                </c:pt>
              </c:numCache>
            </c:numRef>
          </c:val>
          <c:extLst xmlns:c16r2="http://schemas.microsoft.com/office/drawing/2015/06/chart">
            <c:ext xmlns:c16="http://schemas.microsoft.com/office/drawing/2014/chart" uri="{C3380CC4-5D6E-409C-BE32-E72D297353CC}">
              <c16:uniqueId val="{00000000-B1EC-45C0-B08C-9F2D8BA2848A}"/>
            </c:ext>
          </c:extLst>
        </c:ser>
        <c:dLbls>
          <c:showLegendKey val="0"/>
          <c:showVal val="1"/>
          <c:showCatName val="0"/>
          <c:showSerName val="0"/>
          <c:showPercent val="0"/>
          <c:showBubbleSize val="0"/>
        </c:dLbls>
        <c:gapWidth val="75"/>
        <c:axId val="663683584"/>
        <c:axId val="663680840"/>
      </c:barChart>
      <c:catAx>
        <c:axId val="663683584"/>
        <c:scaling>
          <c:orientation val="minMax"/>
        </c:scaling>
        <c:delete val="0"/>
        <c:axPos val="l"/>
        <c:numFmt formatCode="General" sourceLinked="0"/>
        <c:majorTickMark val="none"/>
        <c:minorTickMark val="none"/>
        <c:tickLblPos val="nextTo"/>
        <c:txPr>
          <a:bodyPr/>
          <a:lstStyle/>
          <a:p>
            <a:pPr>
              <a:defRPr sz="1200"/>
            </a:pPr>
            <a:endParaRPr lang="ru-RU"/>
          </a:p>
        </c:txPr>
        <c:crossAx val="663680840"/>
        <c:crosses val="autoZero"/>
        <c:auto val="1"/>
        <c:lblAlgn val="ctr"/>
        <c:lblOffset val="100"/>
        <c:noMultiLvlLbl val="0"/>
      </c:catAx>
      <c:valAx>
        <c:axId val="663680840"/>
        <c:scaling>
          <c:orientation val="minMax"/>
          <c:max val="100"/>
        </c:scaling>
        <c:delete val="0"/>
        <c:axPos val="b"/>
        <c:numFmt formatCode="0.0" sourceLinked="1"/>
        <c:majorTickMark val="none"/>
        <c:minorTickMark val="none"/>
        <c:tickLblPos val="low"/>
        <c:txPr>
          <a:bodyPr/>
          <a:lstStyle/>
          <a:p>
            <a:pPr>
              <a:defRPr sz="900"/>
            </a:pPr>
            <a:endParaRPr lang="ru-RU"/>
          </a:p>
        </c:txPr>
        <c:crossAx val="663683584"/>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Свобода торгівлі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Латинська Америка</c:v>
                </c:pt>
                <c:pt idx="2">
                  <c:v>Близький Схід / Північна Африка</c:v>
                </c:pt>
                <c:pt idx="3">
                  <c:v>Азіатсько-Тихоокеанський регіон</c:v>
                </c:pt>
                <c:pt idx="4">
                  <c:v>Європа</c:v>
                </c:pt>
                <c:pt idx="5">
                  <c:v>Північна Америка</c:v>
                </c:pt>
              </c:strCache>
            </c:strRef>
          </c:cat>
          <c:val>
            <c:numRef>
              <c:f>Лист1!$B$2:$B$7</c:f>
              <c:numCache>
                <c:formatCode>0.0</c:formatCode>
                <c:ptCount val="6"/>
                <c:pt idx="0">
                  <c:v>62.11914893617022</c:v>
                </c:pt>
                <c:pt idx="1">
                  <c:v>66.180000000000007</c:v>
                </c:pt>
                <c:pt idx="2">
                  <c:v>70.757142857142867</c:v>
                </c:pt>
                <c:pt idx="3">
                  <c:v>71.005128205128202</c:v>
                </c:pt>
                <c:pt idx="4">
                  <c:v>78.752173913043464</c:v>
                </c:pt>
                <c:pt idx="5">
                  <c:v>79.599999999999994</c:v>
                </c:pt>
              </c:numCache>
            </c:numRef>
          </c:val>
          <c:extLst xmlns:c16r2="http://schemas.microsoft.com/office/drawing/2015/06/chart">
            <c:ext xmlns:c16="http://schemas.microsoft.com/office/drawing/2014/chart" uri="{C3380CC4-5D6E-409C-BE32-E72D297353CC}">
              <c16:uniqueId val="{00000000-D32E-4E61-A5EF-6446C1BC023D}"/>
            </c:ext>
          </c:extLst>
        </c:ser>
        <c:dLbls>
          <c:showLegendKey val="0"/>
          <c:showVal val="1"/>
          <c:showCatName val="0"/>
          <c:showSerName val="0"/>
          <c:showPercent val="0"/>
          <c:showBubbleSize val="0"/>
        </c:dLbls>
        <c:gapWidth val="75"/>
        <c:axId val="663683976"/>
        <c:axId val="663684368"/>
      </c:barChart>
      <c:catAx>
        <c:axId val="663683976"/>
        <c:scaling>
          <c:orientation val="minMax"/>
        </c:scaling>
        <c:delete val="0"/>
        <c:axPos val="l"/>
        <c:numFmt formatCode="General" sourceLinked="0"/>
        <c:majorTickMark val="none"/>
        <c:minorTickMark val="none"/>
        <c:tickLblPos val="nextTo"/>
        <c:txPr>
          <a:bodyPr/>
          <a:lstStyle/>
          <a:p>
            <a:pPr>
              <a:defRPr sz="1200"/>
            </a:pPr>
            <a:endParaRPr lang="ru-RU"/>
          </a:p>
        </c:txPr>
        <c:crossAx val="663684368"/>
        <c:crosses val="autoZero"/>
        <c:auto val="1"/>
        <c:lblAlgn val="ctr"/>
        <c:lblOffset val="100"/>
        <c:noMultiLvlLbl val="0"/>
      </c:catAx>
      <c:valAx>
        <c:axId val="663684368"/>
        <c:scaling>
          <c:orientation val="minMax"/>
          <c:max val="100"/>
        </c:scaling>
        <c:delete val="0"/>
        <c:axPos val="b"/>
        <c:numFmt formatCode="0.0" sourceLinked="1"/>
        <c:majorTickMark val="none"/>
        <c:minorTickMark val="none"/>
        <c:tickLblPos val="low"/>
        <c:txPr>
          <a:bodyPr/>
          <a:lstStyle/>
          <a:p>
            <a:pPr>
              <a:defRPr sz="900"/>
            </a:pPr>
            <a:endParaRPr lang="ru-RU"/>
          </a:p>
        </c:txPr>
        <c:crossAx val="663683976"/>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Інвестиційна свобода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Азіатсько-Тихоокеанський регіон</c:v>
                </c:pt>
                <c:pt idx="1">
                  <c:v>Субсахарна Африка</c:v>
                </c:pt>
                <c:pt idx="2">
                  <c:v>Близький Схід / Північна Африка</c:v>
                </c:pt>
                <c:pt idx="3">
                  <c:v>Латинська Америка</c:v>
                </c:pt>
                <c:pt idx="4">
                  <c:v>Європа</c:v>
                </c:pt>
                <c:pt idx="5">
                  <c:v>Північна Америка</c:v>
                </c:pt>
              </c:strCache>
            </c:strRef>
          </c:cat>
          <c:val>
            <c:numRef>
              <c:f>Лист1!$B$2:$B$7</c:f>
              <c:numCache>
                <c:formatCode>0.0</c:formatCode>
                <c:ptCount val="6"/>
                <c:pt idx="0">
                  <c:v>45.256410256410255</c:v>
                </c:pt>
                <c:pt idx="1">
                  <c:v>50.212765957446805</c:v>
                </c:pt>
                <c:pt idx="2">
                  <c:v>51.785714285714285</c:v>
                </c:pt>
                <c:pt idx="3">
                  <c:v>55.166666666666664</c:v>
                </c:pt>
                <c:pt idx="4">
                  <c:v>73.888888888888886</c:v>
                </c:pt>
                <c:pt idx="5">
                  <c:v>80</c:v>
                </c:pt>
              </c:numCache>
            </c:numRef>
          </c:val>
          <c:extLst xmlns:c16r2="http://schemas.microsoft.com/office/drawing/2015/06/chart">
            <c:ext xmlns:c16="http://schemas.microsoft.com/office/drawing/2014/chart" uri="{C3380CC4-5D6E-409C-BE32-E72D297353CC}">
              <c16:uniqueId val="{00000000-0AAF-4F86-B922-FD14451A9D54}"/>
            </c:ext>
          </c:extLst>
        </c:ser>
        <c:dLbls>
          <c:showLegendKey val="0"/>
          <c:showVal val="1"/>
          <c:showCatName val="0"/>
          <c:showSerName val="0"/>
          <c:showPercent val="0"/>
          <c:showBubbleSize val="0"/>
        </c:dLbls>
        <c:gapWidth val="75"/>
        <c:axId val="663680448"/>
        <c:axId val="663685936"/>
      </c:barChart>
      <c:catAx>
        <c:axId val="663680448"/>
        <c:scaling>
          <c:orientation val="minMax"/>
        </c:scaling>
        <c:delete val="0"/>
        <c:axPos val="l"/>
        <c:numFmt formatCode="General" sourceLinked="0"/>
        <c:majorTickMark val="none"/>
        <c:minorTickMark val="none"/>
        <c:tickLblPos val="nextTo"/>
        <c:txPr>
          <a:bodyPr/>
          <a:lstStyle/>
          <a:p>
            <a:pPr>
              <a:defRPr sz="1200"/>
            </a:pPr>
            <a:endParaRPr lang="ru-RU"/>
          </a:p>
        </c:txPr>
        <c:crossAx val="663685936"/>
        <c:crosses val="autoZero"/>
        <c:auto val="1"/>
        <c:lblAlgn val="ctr"/>
        <c:lblOffset val="100"/>
        <c:noMultiLvlLbl val="0"/>
      </c:catAx>
      <c:valAx>
        <c:axId val="663685936"/>
        <c:scaling>
          <c:orientation val="minMax"/>
          <c:max val="100"/>
        </c:scaling>
        <c:delete val="0"/>
        <c:axPos val="b"/>
        <c:numFmt formatCode="0.0" sourceLinked="1"/>
        <c:majorTickMark val="none"/>
        <c:minorTickMark val="none"/>
        <c:tickLblPos val="low"/>
        <c:txPr>
          <a:bodyPr/>
          <a:lstStyle/>
          <a:p>
            <a:pPr>
              <a:defRPr sz="900"/>
            </a:pPr>
            <a:endParaRPr lang="ru-RU"/>
          </a:p>
        </c:txPr>
        <c:crossAx val="663680448"/>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Фінансова свобода</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Азіатсько-Тихоокеанський регіон</c:v>
                </c:pt>
                <c:pt idx="2">
                  <c:v>Латинська Америка</c:v>
                </c:pt>
                <c:pt idx="3">
                  <c:v>Близький Схід / Північна Африка</c:v>
                </c:pt>
                <c:pt idx="4">
                  <c:v>Європа</c:v>
                </c:pt>
                <c:pt idx="5">
                  <c:v>Північна Америка</c:v>
                </c:pt>
              </c:strCache>
            </c:strRef>
          </c:cat>
          <c:val>
            <c:numRef>
              <c:f>Лист1!$B$2:$B$7</c:f>
              <c:numCache>
                <c:formatCode>0.0</c:formatCode>
                <c:ptCount val="6"/>
                <c:pt idx="0">
                  <c:v>39.361702127659576</c:v>
                </c:pt>
                <c:pt idx="1">
                  <c:v>41.794871794871796</c:v>
                </c:pt>
                <c:pt idx="2">
                  <c:v>47.333333333333336</c:v>
                </c:pt>
                <c:pt idx="3">
                  <c:v>50.714285714285715</c:v>
                </c:pt>
                <c:pt idx="4">
                  <c:v>63.555555555555557</c:v>
                </c:pt>
                <c:pt idx="5">
                  <c:v>80</c:v>
                </c:pt>
              </c:numCache>
            </c:numRef>
          </c:val>
          <c:extLst xmlns:c16r2="http://schemas.microsoft.com/office/drawing/2015/06/chart">
            <c:ext xmlns:c16="http://schemas.microsoft.com/office/drawing/2014/chart" uri="{C3380CC4-5D6E-409C-BE32-E72D297353CC}">
              <c16:uniqueId val="{00000000-5B46-4D04-B9EF-7B6D55ED8341}"/>
            </c:ext>
          </c:extLst>
        </c:ser>
        <c:dLbls>
          <c:showLegendKey val="0"/>
          <c:showVal val="1"/>
          <c:showCatName val="0"/>
          <c:showSerName val="0"/>
          <c:showPercent val="0"/>
          <c:showBubbleSize val="0"/>
        </c:dLbls>
        <c:gapWidth val="75"/>
        <c:axId val="663680056"/>
        <c:axId val="412337568"/>
      </c:barChart>
      <c:catAx>
        <c:axId val="663680056"/>
        <c:scaling>
          <c:orientation val="minMax"/>
        </c:scaling>
        <c:delete val="0"/>
        <c:axPos val="l"/>
        <c:numFmt formatCode="General" sourceLinked="0"/>
        <c:majorTickMark val="none"/>
        <c:minorTickMark val="none"/>
        <c:tickLblPos val="nextTo"/>
        <c:txPr>
          <a:bodyPr/>
          <a:lstStyle/>
          <a:p>
            <a:pPr>
              <a:defRPr sz="1200"/>
            </a:pPr>
            <a:endParaRPr lang="ru-RU"/>
          </a:p>
        </c:txPr>
        <c:crossAx val="412337568"/>
        <c:crosses val="autoZero"/>
        <c:auto val="1"/>
        <c:lblAlgn val="ctr"/>
        <c:lblOffset val="100"/>
        <c:noMultiLvlLbl val="0"/>
      </c:catAx>
      <c:valAx>
        <c:axId val="412337568"/>
        <c:scaling>
          <c:orientation val="minMax"/>
          <c:max val="100"/>
        </c:scaling>
        <c:delete val="0"/>
        <c:axPos val="b"/>
        <c:numFmt formatCode="0.0" sourceLinked="1"/>
        <c:majorTickMark val="none"/>
        <c:minorTickMark val="none"/>
        <c:tickLblPos val="low"/>
        <c:txPr>
          <a:bodyPr/>
          <a:lstStyle/>
          <a:p>
            <a:pPr>
              <a:defRPr sz="900"/>
            </a:pPr>
            <a:endParaRPr lang="ru-RU"/>
          </a:p>
        </c:txPr>
        <c:crossAx val="663680056"/>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1770022829986493"/>
        </c:manualLayout>
      </c:layout>
      <c:lineChart>
        <c:grouping val="standard"/>
        <c:varyColors val="0"/>
        <c:ser>
          <c:idx val="0"/>
          <c:order val="0"/>
          <c:tx>
            <c:strRef>
              <c:f>Лист1!$B$1</c:f>
              <c:strCache>
                <c:ptCount val="1"/>
                <c:pt idx="0">
                  <c:v>Міжнародна інвестиційна позиція України, млрд. дол. США</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General</c:formatCode>
                <c:ptCount val="23"/>
                <c:pt idx="0">
                  <c:v>-12.7910669551305</c:v>
                </c:pt>
                <c:pt idx="1">
                  <c:v>-12.240067403445401</c:v>
                </c:pt>
                <c:pt idx="2">
                  <c:v>-12.118842149841202</c:v>
                </c:pt>
                <c:pt idx="3">
                  <c:v>-11.7216726600799</c:v>
                </c:pt>
                <c:pt idx="4">
                  <c:v>-12.1191419091429</c:v>
                </c:pt>
                <c:pt idx="5">
                  <c:v>-14.1575000543121</c:v>
                </c:pt>
                <c:pt idx="6">
                  <c:v>-19.918756987946701</c:v>
                </c:pt>
                <c:pt idx="7">
                  <c:v>-26.699429301277501</c:v>
                </c:pt>
                <c:pt idx="8">
                  <c:v>-40.1994037785893</c:v>
                </c:pt>
                <c:pt idx="9">
                  <c:v>-34.972028357953903</c:v>
                </c:pt>
                <c:pt idx="10">
                  <c:v>-35.0829182872966</c:v>
                </c:pt>
                <c:pt idx="11">
                  <c:v>-41.8356126723912</c:v>
                </c:pt>
                <c:pt idx="12">
                  <c:v>-51.173746720212996</c:v>
                </c:pt>
                <c:pt idx="13">
                  <c:v>-66.880994465242992</c:v>
                </c:pt>
                <c:pt idx="14">
                  <c:v>-49.990702780546599</c:v>
                </c:pt>
                <c:pt idx="15">
                  <c:v>-38.051877466773597</c:v>
                </c:pt>
                <c:pt idx="16">
                  <c:v>-34.9035271555015</c:v>
                </c:pt>
                <c:pt idx="17">
                  <c:v>-32.275630994002896</c:v>
                </c:pt>
                <c:pt idx="18">
                  <c:v>-26.438361843633302</c:v>
                </c:pt>
                <c:pt idx="19">
                  <c:v>-27.727185524028599</c:v>
                </c:pt>
                <c:pt idx="20">
                  <c:v>-21.902552178766097</c:v>
                </c:pt>
                <c:pt idx="21">
                  <c:v>-26.194247290036401</c:v>
                </c:pt>
                <c:pt idx="22">
                  <c:v>-2.8057374218628102</c:v>
                </c:pt>
              </c:numCache>
            </c:numRef>
          </c:val>
          <c:smooth val="0"/>
          <c:extLst xmlns:c16r2="http://schemas.microsoft.com/office/drawing/2015/06/chart">
            <c:ext xmlns:c16="http://schemas.microsoft.com/office/drawing/2014/chart" uri="{C3380CC4-5D6E-409C-BE32-E72D297353CC}">
              <c16:uniqueId val="{00000000-87D2-4285-9320-DE8E7F35062E}"/>
            </c:ext>
          </c:extLst>
        </c:ser>
        <c:dLbls>
          <c:showLegendKey val="0"/>
          <c:showVal val="0"/>
          <c:showCatName val="0"/>
          <c:showSerName val="0"/>
          <c:showPercent val="0"/>
          <c:showBubbleSize val="0"/>
        </c:dLbls>
        <c:smooth val="0"/>
        <c:axId val="412334040"/>
        <c:axId val="412334432"/>
      </c:lineChart>
      <c:catAx>
        <c:axId val="412334040"/>
        <c:scaling>
          <c:orientation val="minMax"/>
        </c:scaling>
        <c:delete val="0"/>
        <c:axPos val="b"/>
        <c:numFmt formatCode="General" sourceLinked="1"/>
        <c:majorTickMark val="none"/>
        <c:minorTickMark val="none"/>
        <c:tickLblPos val="low"/>
        <c:crossAx val="412334432"/>
        <c:crosses val="autoZero"/>
        <c:auto val="1"/>
        <c:lblAlgn val="ctr"/>
        <c:lblOffset val="100"/>
        <c:noMultiLvlLbl val="0"/>
      </c:catAx>
      <c:valAx>
        <c:axId val="412334432"/>
        <c:scaling>
          <c:orientation val="minMax"/>
        </c:scaling>
        <c:delete val="0"/>
        <c:axPos val="l"/>
        <c:majorGridlines/>
        <c:numFmt formatCode="General" sourceLinked="1"/>
        <c:majorTickMark val="none"/>
        <c:minorTickMark val="none"/>
        <c:tickLblPos val="nextTo"/>
        <c:crossAx val="412334040"/>
        <c:crosses val="autoZero"/>
        <c:crossBetween val="between"/>
      </c:valAx>
    </c:plotArea>
    <c:legend>
      <c:legendPos val="r"/>
      <c:layout>
        <c:manualLayout>
          <c:xMode val="edge"/>
          <c:yMode val="edge"/>
          <c:x val="0"/>
          <c:y val="0.87665513401733874"/>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7095456817897758"/>
        </c:manualLayout>
      </c:layout>
      <c:lineChart>
        <c:grouping val="standard"/>
        <c:varyColors val="0"/>
        <c:ser>
          <c:idx val="0"/>
          <c:order val="0"/>
          <c:tx>
            <c:strRef>
              <c:f>Лист1!$B$1</c:f>
              <c:strCache>
                <c:ptCount val="1"/>
                <c:pt idx="0">
                  <c:v>Індекс доброчесності уряду України</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0.00</c:formatCode>
                <c:ptCount val="23"/>
                <c:pt idx="0">
                  <c:v>28</c:v>
                </c:pt>
                <c:pt idx="1">
                  <c:v>26</c:v>
                </c:pt>
                <c:pt idx="2">
                  <c:v>15</c:v>
                </c:pt>
                <c:pt idx="3">
                  <c:v>21</c:v>
                </c:pt>
                <c:pt idx="4">
                  <c:v>24</c:v>
                </c:pt>
                <c:pt idx="5">
                  <c:v>23</c:v>
                </c:pt>
                <c:pt idx="6">
                  <c:v>22</c:v>
                </c:pt>
                <c:pt idx="7">
                  <c:v>26</c:v>
                </c:pt>
                <c:pt idx="8">
                  <c:v>28</c:v>
                </c:pt>
                <c:pt idx="9">
                  <c:v>27</c:v>
                </c:pt>
                <c:pt idx="10">
                  <c:v>25</c:v>
                </c:pt>
                <c:pt idx="11">
                  <c:v>22</c:v>
                </c:pt>
                <c:pt idx="12">
                  <c:v>24</c:v>
                </c:pt>
                <c:pt idx="13">
                  <c:v>23</c:v>
                </c:pt>
                <c:pt idx="14">
                  <c:v>21.9</c:v>
                </c:pt>
                <c:pt idx="15">
                  <c:v>25</c:v>
                </c:pt>
                <c:pt idx="16">
                  <c:v>26</c:v>
                </c:pt>
                <c:pt idx="17">
                  <c:v>29.2</c:v>
                </c:pt>
                <c:pt idx="18">
                  <c:v>29</c:v>
                </c:pt>
                <c:pt idx="19">
                  <c:v>29.6</c:v>
                </c:pt>
                <c:pt idx="20">
                  <c:v>37.9</c:v>
                </c:pt>
                <c:pt idx="21">
                  <c:v>37.9</c:v>
                </c:pt>
                <c:pt idx="22">
                  <c:v>33.799999999999997</c:v>
                </c:pt>
              </c:numCache>
            </c:numRef>
          </c:val>
          <c:smooth val="0"/>
          <c:extLst xmlns:c16r2="http://schemas.microsoft.com/office/drawing/2015/06/chart">
            <c:ext xmlns:c16="http://schemas.microsoft.com/office/drawing/2014/chart" uri="{C3380CC4-5D6E-409C-BE32-E72D297353CC}">
              <c16:uniqueId val="{00000000-BDCB-455E-9B95-8D58926E4231}"/>
            </c:ext>
          </c:extLst>
        </c:ser>
        <c:dLbls>
          <c:showLegendKey val="0"/>
          <c:showVal val="0"/>
          <c:showCatName val="0"/>
          <c:showSerName val="0"/>
          <c:showPercent val="0"/>
          <c:showBubbleSize val="0"/>
        </c:dLbls>
        <c:smooth val="0"/>
        <c:axId val="412325808"/>
        <c:axId val="412334824"/>
      </c:lineChart>
      <c:catAx>
        <c:axId val="412325808"/>
        <c:scaling>
          <c:orientation val="minMax"/>
        </c:scaling>
        <c:delete val="0"/>
        <c:axPos val="b"/>
        <c:numFmt formatCode="General" sourceLinked="1"/>
        <c:majorTickMark val="none"/>
        <c:minorTickMark val="none"/>
        <c:tickLblPos val="nextTo"/>
        <c:crossAx val="412334824"/>
        <c:crosses val="autoZero"/>
        <c:auto val="1"/>
        <c:lblAlgn val="ctr"/>
        <c:lblOffset val="100"/>
        <c:noMultiLvlLbl val="0"/>
      </c:catAx>
      <c:valAx>
        <c:axId val="412334824"/>
        <c:scaling>
          <c:orientation val="minMax"/>
          <c:max val="50"/>
          <c:min val="0"/>
        </c:scaling>
        <c:delete val="0"/>
        <c:axPos val="l"/>
        <c:majorGridlines/>
        <c:numFmt formatCode="0.00" sourceLinked="1"/>
        <c:majorTickMark val="none"/>
        <c:minorTickMark val="none"/>
        <c:tickLblPos val="nextTo"/>
        <c:crossAx val="412325808"/>
        <c:crosses val="autoZero"/>
        <c:crossBetween val="between"/>
      </c:valAx>
    </c:plotArea>
    <c:legend>
      <c:legendPos val="r"/>
      <c:layout>
        <c:manualLayout>
          <c:xMode val="edge"/>
          <c:yMode val="edge"/>
          <c:x val="0"/>
          <c:y val="0.87665510561179849"/>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7095456817897758"/>
        </c:manualLayout>
      </c:layout>
      <c:lineChart>
        <c:grouping val="standard"/>
        <c:varyColors val="0"/>
        <c:ser>
          <c:idx val="0"/>
          <c:order val="0"/>
          <c:tx>
            <c:strRef>
              <c:f>Лист1!$B$1</c:f>
              <c:strCache>
                <c:ptCount val="1"/>
                <c:pt idx="0">
                  <c:v>Індекс державних витрат України</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0.00</c:formatCode>
                <c:ptCount val="23"/>
                <c:pt idx="0">
                  <c:v>41.9</c:v>
                </c:pt>
                <c:pt idx="1">
                  <c:v>49.6</c:v>
                </c:pt>
                <c:pt idx="2">
                  <c:v>58.9</c:v>
                </c:pt>
                <c:pt idx="3">
                  <c:v>68.099999999999994</c:v>
                </c:pt>
                <c:pt idx="4">
                  <c:v>77.8</c:v>
                </c:pt>
                <c:pt idx="5">
                  <c:v>78.599999999999994</c:v>
                </c:pt>
                <c:pt idx="6">
                  <c:v>75.8</c:v>
                </c:pt>
                <c:pt idx="7">
                  <c:v>53.2</c:v>
                </c:pt>
                <c:pt idx="8">
                  <c:v>43</c:v>
                </c:pt>
                <c:pt idx="9">
                  <c:v>39</c:v>
                </c:pt>
                <c:pt idx="10">
                  <c:v>41.1</c:v>
                </c:pt>
                <c:pt idx="11">
                  <c:v>32.9</c:v>
                </c:pt>
                <c:pt idx="12">
                  <c:v>29.4</c:v>
                </c:pt>
                <c:pt idx="13">
                  <c:v>29.4</c:v>
                </c:pt>
                <c:pt idx="14">
                  <c:v>37.5</c:v>
                </c:pt>
                <c:pt idx="15">
                  <c:v>28</c:v>
                </c:pt>
                <c:pt idx="16">
                  <c:v>30.6</c:v>
                </c:pt>
                <c:pt idx="17">
                  <c:v>38.200000000000003</c:v>
                </c:pt>
                <c:pt idx="18">
                  <c:v>45</c:v>
                </c:pt>
                <c:pt idx="19">
                  <c:v>46.9</c:v>
                </c:pt>
                <c:pt idx="20">
                  <c:v>47.2</c:v>
                </c:pt>
                <c:pt idx="21">
                  <c:v>48.2</c:v>
                </c:pt>
                <c:pt idx="22">
                  <c:v>44.5</c:v>
                </c:pt>
              </c:numCache>
            </c:numRef>
          </c:val>
          <c:smooth val="0"/>
          <c:extLst xmlns:c16r2="http://schemas.microsoft.com/office/drawing/2015/06/chart">
            <c:ext xmlns:c16="http://schemas.microsoft.com/office/drawing/2014/chart" uri="{C3380CC4-5D6E-409C-BE32-E72D297353CC}">
              <c16:uniqueId val="{00000000-4C5B-4CB7-BF3A-728609DEA888}"/>
            </c:ext>
          </c:extLst>
        </c:ser>
        <c:dLbls>
          <c:showLegendKey val="0"/>
          <c:showVal val="0"/>
          <c:showCatName val="0"/>
          <c:showSerName val="0"/>
          <c:showPercent val="0"/>
          <c:showBubbleSize val="0"/>
        </c:dLbls>
        <c:smooth val="0"/>
        <c:axId val="412327768"/>
        <c:axId val="412335608"/>
      </c:lineChart>
      <c:catAx>
        <c:axId val="412327768"/>
        <c:scaling>
          <c:orientation val="minMax"/>
        </c:scaling>
        <c:delete val="0"/>
        <c:axPos val="b"/>
        <c:numFmt formatCode="General" sourceLinked="1"/>
        <c:majorTickMark val="none"/>
        <c:minorTickMark val="none"/>
        <c:tickLblPos val="nextTo"/>
        <c:crossAx val="412335608"/>
        <c:crosses val="autoZero"/>
        <c:auto val="1"/>
        <c:lblAlgn val="ctr"/>
        <c:lblOffset val="100"/>
        <c:noMultiLvlLbl val="0"/>
      </c:catAx>
      <c:valAx>
        <c:axId val="412335608"/>
        <c:scaling>
          <c:orientation val="minMax"/>
        </c:scaling>
        <c:delete val="0"/>
        <c:axPos val="l"/>
        <c:majorGridlines/>
        <c:numFmt formatCode="0.00" sourceLinked="1"/>
        <c:majorTickMark val="none"/>
        <c:minorTickMark val="none"/>
        <c:tickLblPos val="nextTo"/>
        <c:crossAx val="412327768"/>
        <c:crosses val="autoZero"/>
        <c:crossBetween val="between"/>
      </c:valAx>
    </c:plotArea>
    <c:legend>
      <c:legendPos val="r"/>
      <c:layout>
        <c:manualLayout>
          <c:xMode val="edge"/>
          <c:yMode val="edge"/>
          <c:x val="0"/>
          <c:y val="0.87665510561179849"/>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7095456817897758"/>
        </c:manualLayout>
      </c:layout>
      <c:lineChart>
        <c:grouping val="standard"/>
        <c:varyColors val="0"/>
        <c:ser>
          <c:idx val="0"/>
          <c:order val="0"/>
          <c:tx>
            <c:strRef>
              <c:f>Лист1!$B$1</c:f>
              <c:strCache>
                <c:ptCount val="1"/>
                <c:pt idx="0">
                  <c:v>Індекс монетарної свободи України</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0.00</c:formatCode>
                <c:ptCount val="23"/>
                <c:pt idx="0">
                  <c:v>63</c:v>
                </c:pt>
                <c:pt idx="1">
                  <c:v>62.3</c:v>
                </c:pt>
                <c:pt idx="2">
                  <c:v>58.2</c:v>
                </c:pt>
                <c:pt idx="3">
                  <c:v>64</c:v>
                </c:pt>
                <c:pt idx="4">
                  <c:v>74.5</c:v>
                </c:pt>
                <c:pt idx="5">
                  <c:v>76.2</c:v>
                </c:pt>
                <c:pt idx="6">
                  <c:v>72.900000000000006</c:v>
                </c:pt>
                <c:pt idx="7">
                  <c:v>68.400000000000006</c:v>
                </c:pt>
                <c:pt idx="8">
                  <c:v>69.900000000000006</c:v>
                </c:pt>
                <c:pt idx="9">
                  <c:v>68.099999999999994</c:v>
                </c:pt>
                <c:pt idx="10">
                  <c:v>61.2</c:v>
                </c:pt>
                <c:pt idx="11">
                  <c:v>63.2</c:v>
                </c:pt>
                <c:pt idx="12">
                  <c:v>67.7</c:v>
                </c:pt>
                <c:pt idx="13">
                  <c:v>71</c:v>
                </c:pt>
                <c:pt idx="14">
                  <c:v>78.7</c:v>
                </c:pt>
                <c:pt idx="15">
                  <c:v>78.599999999999994</c:v>
                </c:pt>
                <c:pt idx="16">
                  <c:v>66.900000000000006</c:v>
                </c:pt>
                <c:pt idx="17">
                  <c:v>47.4</c:v>
                </c:pt>
                <c:pt idx="18">
                  <c:v>60.1</c:v>
                </c:pt>
                <c:pt idx="19">
                  <c:v>58.6</c:v>
                </c:pt>
                <c:pt idx="20">
                  <c:v>63</c:v>
                </c:pt>
                <c:pt idx="21">
                  <c:v>65.8</c:v>
                </c:pt>
                <c:pt idx="22">
                  <c:v>71.2</c:v>
                </c:pt>
              </c:numCache>
            </c:numRef>
          </c:val>
          <c:smooth val="0"/>
          <c:extLst xmlns:c16r2="http://schemas.microsoft.com/office/drawing/2015/06/chart">
            <c:ext xmlns:c16="http://schemas.microsoft.com/office/drawing/2014/chart" uri="{C3380CC4-5D6E-409C-BE32-E72D297353CC}">
              <c16:uniqueId val="{00000000-F8A8-46D8-8C70-3ECFA7BA1F6D}"/>
            </c:ext>
          </c:extLst>
        </c:ser>
        <c:dLbls>
          <c:showLegendKey val="0"/>
          <c:showVal val="0"/>
          <c:showCatName val="0"/>
          <c:showSerName val="0"/>
          <c:showPercent val="0"/>
          <c:showBubbleSize val="0"/>
        </c:dLbls>
        <c:smooth val="0"/>
        <c:axId val="412332472"/>
        <c:axId val="412328160"/>
      </c:lineChart>
      <c:catAx>
        <c:axId val="412332472"/>
        <c:scaling>
          <c:orientation val="minMax"/>
        </c:scaling>
        <c:delete val="0"/>
        <c:axPos val="b"/>
        <c:numFmt formatCode="General" sourceLinked="1"/>
        <c:majorTickMark val="none"/>
        <c:minorTickMark val="none"/>
        <c:tickLblPos val="nextTo"/>
        <c:crossAx val="412328160"/>
        <c:crosses val="autoZero"/>
        <c:auto val="1"/>
        <c:lblAlgn val="ctr"/>
        <c:lblOffset val="100"/>
        <c:noMultiLvlLbl val="0"/>
      </c:catAx>
      <c:valAx>
        <c:axId val="412328160"/>
        <c:scaling>
          <c:orientation val="minMax"/>
        </c:scaling>
        <c:delete val="0"/>
        <c:axPos val="l"/>
        <c:majorGridlines/>
        <c:numFmt formatCode="0.00" sourceLinked="1"/>
        <c:majorTickMark val="none"/>
        <c:minorTickMark val="none"/>
        <c:tickLblPos val="nextTo"/>
        <c:crossAx val="412332472"/>
        <c:crosses val="autoZero"/>
        <c:crossBetween val="between"/>
      </c:valAx>
    </c:plotArea>
    <c:legend>
      <c:legendPos val="r"/>
      <c:layout>
        <c:manualLayout>
          <c:xMode val="edge"/>
          <c:yMode val="edge"/>
          <c:x val="0"/>
          <c:y val="0.87665510561179849"/>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7095456817897758"/>
        </c:manualLayout>
      </c:layout>
      <c:lineChart>
        <c:grouping val="standard"/>
        <c:varyColors val="0"/>
        <c:ser>
          <c:idx val="0"/>
          <c:order val="0"/>
          <c:tx>
            <c:strRef>
              <c:f>Лист1!$B$1</c:f>
              <c:strCache>
                <c:ptCount val="1"/>
                <c:pt idx="0">
                  <c:v>Рівень безробіття України, %</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General</c:formatCode>
                <c:ptCount val="23"/>
                <c:pt idx="0">
                  <c:v>11.71</c:v>
                </c:pt>
                <c:pt idx="1">
                  <c:v>11.06</c:v>
                </c:pt>
                <c:pt idx="2">
                  <c:v>10.14</c:v>
                </c:pt>
                <c:pt idx="3">
                  <c:v>9.06</c:v>
                </c:pt>
                <c:pt idx="4">
                  <c:v>8.59</c:v>
                </c:pt>
                <c:pt idx="5">
                  <c:v>7.18</c:v>
                </c:pt>
                <c:pt idx="6">
                  <c:v>6.81</c:v>
                </c:pt>
                <c:pt idx="7">
                  <c:v>6.35</c:v>
                </c:pt>
                <c:pt idx="8">
                  <c:v>6.36</c:v>
                </c:pt>
                <c:pt idx="9">
                  <c:v>8.84</c:v>
                </c:pt>
                <c:pt idx="10">
                  <c:v>8.1</c:v>
                </c:pt>
                <c:pt idx="11">
                  <c:v>7.85</c:v>
                </c:pt>
                <c:pt idx="12">
                  <c:v>7.53</c:v>
                </c:pt>
                <c:pt idx="13">
                  <c:v>7.17</c:v>
                </c:pt>
                <c:pt idx="14">
                  <c:v>9.27</c:v>
                </c:pt>
                <c:pt idx="15">
                  <c:v>9.14</c:v>
                </c:pt>
                <c:pt idx="16">
                  <c:v>9.35</c:v>
                </c:pt>
                <c:pt idx="17">
                  <c:v>9.5</c:v>
                </c:pt>
                <c:pt idx="18">
                  <c:v>8.8000000000000007</c:v>
                </c:pt>
                <c:pt idx="19">
                  <c:v>8.19</c:v>
                </c:pt>
                <c:pt idx="20">
                  <c:v>9.48</c:v>
                </c:pt>
                <c:pt idx="21">
                  <c:v>9.83</c:v>
                </c:pt>
                <c:pt idx="22">
                  <c:v>21</c:v>
                </c:pt>
              </c:numCache>
            </c:numRef>
          </c:val>
          <c:smooth val="0"/>
          <c:extLst xmlns:c16r2="http://schemas.microsoft.com/office/drawing/2015/06/chart">
            <c:ext xmlns:c16="http://schemas.microsoft.com/office/drawing/2014/chart" uri="{C3380CC4-5D6E-409C-BE32-E72D297353CC}">
              <c16:uniqueId val="{00000000-429E-4B3A-87F4-C4B86F082827}"/>
            </c:ext>
          </c:extLst>
        </c:ser>
        <c:dLbls>
          <c:showLegendKey val="0"/>
          <c:showVal val="0"/>
          <c:showCatName val="0"/>
          <c:showSerName val="0"/>
          <c:showPercent val="0"/>
          <c:showBubbleSize val="0"/>
        </c:dLbls>
        <c:smooth val="0"/>
        <c:axId val="412336000"/>
        <c:axId val="412336392"/>
      </c:lineChart>
      <c:catAx>
        <c:axId val="412336000"/>
        <c:scaling>
          <c:orientation val="minMax"/>
        </c:scaling>
        <c:delete val="0"/>
        <c:axPos val="b"/>
        <c:numFmt formatCode="General" sourceLinked="1"/>
        <c:majorTickMark val="none"/>
        <c:minorTickMark val="none"/>
        <c:tickLblPos val="nextTo"/>
        <c:crossAx val="412336392"/>
        <c:crosses val="autoZero"/>
        <c:auto val="1"/>
        <c:lblAlgn val="ctr"/>
        <c:lblOffset val="100"/>
        <c:noMultiLvlLbl val="0"/>
      </c:catAx>
      <c:valAx>
        <c:axId val="412336392"/>
        <c:scaling>
          <c:orientation val="minMax"/>
        </c:scaling>
        <c:delete val="0"/>
        <c:axPos val="l"/>
        <c:majorGridlines/>
        <c:numFmt formatCode="General" sourceLinked="1"/>
        <c:majorTickMark val="none"/>
        <c:minorTickMark val="none"/>
        <c:tickLblPos val="nextTo"/>
        <c:crossAx val="412336000"/>
        <c:crosses val="autoZero"/>
        <c:crossBetween val="between"/>
      </c:valAx>
    </c:plotArea>
    <c:legend>
      <c:legendPos val="r"/>
      <c:layout>
        <c:manualLayout>
          <c:xMode val="edge"/>
          <c:yMode val="edge"/>
          <c:x val="0"/>
          <c:y val="0.87665510561179849"/>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3566049096804078"/>
        </c:manualLayout>
      </c:layout>
      <c:lineChart>
        <c:grouping val="standard"/>
        <c:varyColors val="0"/>
        <c:ser>
          <c:idx val="0"/>
          <c:order val="0"/>
          <c:tx>
            <c:strRef>
              <c:f>Лист1!$B$1</c:f>
              <c:strCache>
                <c:ptCount val="1"/>
                <c:pt idx="0">
                  <c:v>Зовнішній борг України, млрд. дол. США</c:v>
                </c:pt>
              </c:strCache>
            </c:strRef>
          </c:tx>
          <c:marker>
            <c:symbol val="none"/>
          </c:marker>
          <c:cat>
            <c:numRef>
              <c:f>Лист1!$A$2:$A$24</c:f>
              <c:numCache>
                <c:formatCode>General</c:formatCode>
                <c:ptCount val="23"/>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numCache>
            </c:numRef>
          </c:cat>
          <c:val>
            <c:numRef>
              <c:f>Лист1!$B$2:$B$24</c:f>
              <c:numCache>
                <c:formatCode>General</c:formatCode>
                <c:ptCount val="23"/>
                <c:pt idx="0">
                  <c:v>13.915483184999999</c:v>
                </c:pt>
                <c:pt idx="1">
                  <c:v>22.209140729000001</c:v>
                </c:pt>
                <c:pt idx="2">
                  <c:v>23.485797434999999</c:v>
                </c:pt>
                <c:pt idx="3">
                  <c:v>25.866011946</c:v>
                </c:pt>
                <c:pt idx="4">
                  <c:v>32.109497693999998</c:v>
                </c:pt>
                <c:pt idx="5">
                  <c:v>35.100157138999997</c:v>
                </c:pt>
                <c:pt idx="6">
                  <c:v>54.269247858</c:v>
                </c:pt>
                <c:pt idx="7">
                  <c:v>80.811501426999996</c:v>
                </c:pt>
                <c:pt idx="8">
                  <c:v>99.522725086999998</c:v>
                </c:pt>
                <c:pt idx="9">
                  <c:v>105.305698734</c:v>
                </c:pt>
                <c:pt idx="10">
                  <c:v>124.526897804</c:v>
                </c:pt>
                <c:pt idx="11">
                  <c:v>137.13397594700001</c:v>
                </c:pt>
                <c:pt idx="12">
                  <c:v>133.74712543300001</c:v>
                </c:pt>
                <c:pt idx="13">
                  <c:v>146.93624716100001</c:v>
                </c:pt>
                <c:pt idx="14">
                  <c:v>127.65736009600001</c:v>
                </c:pt>
                <c:pt idx="15">
                  <c:v>118.566228266</c:v>
                </c:pt>
                <c:pt idx="16">
                  <c:v>116.191600304</c:v>
                </c:pt>
                <c:pt idx="17">
                  <c:v>123.875842328</c:v>
                </c:pt>
                <c:pt idx="18">
                  <c:v>121.887133092</c:v>
                </c:pt>
                <c:pt idx="19">
                  <c:v>124.90021492</c:v>
                </c:pt>
                <c:pt idx="20">
                  <c:v>132.410358175</c:v>
                </c:pt>
                <c:pt idx="21">
                  <c:v>135.72940246499999</c:v>
                </c:pt>
                <c:pt idx="22">
                  <c:v>139.33094218900001</c:v>
                </c:pt>
              </c:numCache>
            </c:numRef>
          </c:val>
          <c:smooth val="0"/>
          <c:extLst xmlns:c16r2="http://schemas.microsoft.com/office/drawing/2015/06/chart">
            <c:ext xmlns:c16="http://schemas.microsoft.com/office/drawing/2014/chart" uri="{C3380CC4-5D6E-409C-BE32-E72D297353CC}">
              <c16:uniqueId val="{00000000-BFC7-47D6-87EA-D3A7064A3EA9}"/>
            </c:ext>
          </c:extLst>
        </c:ser>
        <c:dLbls>
          <c:showLegendKey val="0"/>
          <c:showVal val="0"/>
          <c:showCatName val="0"/>
          <c:showSerName val="0"/>
          <c:showPercent val="0"/>
          <c:showBubbleSize val="0"/>
        </c:dLbls>
        <c:smooth val="0"/>
        <c:axId val="412336784"/>
        <c:axId val="412330120"/>
      </c:lineChart>
      <c:catAx>
        <c:axId val="412336784"/>
        <c:scaling>
          <c:orientation val="minMax"/>
        </c:scaling>
        <c:delete val="0"/>
        <c:axPos val="b"/>
        <c:numFmt formatCode="General" sourceLinked="1"/>
        <c:majorTickMark val="none"/>
        <c:minorTickMark val="none"/>
        <c:tickLblPos val="nextTo"/>
        <c:crossAx val="412330120"/>
        <c:crosses val="autoZero"/>
        <c:auto val="1"/>
        <c:lblAlgn val="ctr"/>
        <c:lblOffset val="100"/>
        <c:noMultiLvlLbl val="0"/>
      </c:catAx>
      <c:valAx>
        <c:axId val="412330120"/>
        <c:scaling>
          <c:orientation val="minMax"/>
        </c:scaling>
        <c:delete val="0"/>
        <c:axPos val="l"/>
        <c:majorGridlines/>
        <c:numFmt formatCode="General" sourceLinked="1"/>
        <c:majorTickMark val="none"/>
        <c:minorTickMark val="none"/>
        <c:tickLblPos val="nextTo"/>
        <c:crossAx val="412336784"/>
        <c:crosses val="autoZero"/>
        <c:crossBetween val="between"/>
      </c:valAx>
    </c:plotArea>
    <c:legend>
      <c:legendPos val="r"/>
      <c:layout>
        <c:manualLayout>
          <c:xMode val="edge"/>
          <c:yMode val="edge"/>
          <c:x val="0"/>
          <c:y val="0.87665510561179849"/>
          <c:w val="0.99865980599796889"/>
          <c:h val="0.11970566179227597"/>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Права власності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Близький Схід / Північна Африка</c:v>
                </c:pt>
                <c:pt idx="2">
                  <c:v>Латинська Америка</c:v>
                </c:pt>
                <c:pt idx="3">
                  <c:v>Азіатсько-Тихоокеанський регіон</c:v>
                </c:pt>
                <c:pt idx="4">
                  <c:v>Європа</c:v>
                </c:pt>
                <c:pt idx="5">
                  <c:v>Північна Америка</c:v>
                </c:pt>
              </c:strCache>
            </c:strRef>
          </c:cat>
          <c:val>
            <c:numRef>
              <c:f>Лист1!$B$2:$B$7</c:f>
              <c:numCache>
                <c:formatCode>0.0</c:formatCode>
                <c:ptCount val="6"/>
                <c:pt idx="0">
                  <c:v>38.853191489361699</c:v>
                </c:pt>
                <c:pt idx="1">
                  <c:v>45.035294117647062</c:v>
                </c:pt>
                <c:pt idx="2">
                  <c:v>47.46</c:v>
                </c:pt>
                <c:pt idx="3">
                  <c:v>51.852500000000006</c:v>
                </c:pt>
                <c:pt idx="4">
                  <c:v>75.684782608695627</c:v>
                </c:pt>
                <c:pt idx="5">
                  <c:v>91.85</c:v>
                </c:pt>
              </c:numCache>
            </c:numRef>
          </c:val>
          <c:extLst xmlns:c16r2="http://schemas.microsoft.com/office/drawing/2015/06/chart">
            <c:ext xmlns:c16="http://schemas.microsoft.com/office/drawing/2014/chart" uri="{C3380CC4-5D6E-409C-BE32-E72D297353CC}">
              <c16:uniqueId val="{00000000-AF0A-45BD-9ED5-E4C160A586AF}"/>
            </c:ext>
          </c:extLst>
        </c:ser>
        <c:dLbls>
          <c:showLegendKey val="0"/>
          <c:showVal val="1"/>
          <c:showCatName val="0"/>
          <c:showSerName val="0"/>
          <c:showPercent val="0"/>
          <c:showBubbleSize val="0"/>
        </c:dLbls>
        <c:gapWidth val="75"/>
        <c:axId val="598318688"/>
        <c:axId val="598324176"/>
      </c:barChart>
      <c:catAx>
        <c:axId val="598318688"/>
        <c:scaling>
          <c:orientation val="minMax"/>
        </c:scaling>
        <c:delete val="0"/>
        <c:axPos val="l"/>
        <c:numFmt formatCode="General" sourceLinked="0"/>
        <c:majorTickMark val="none"/>
        <c:minorTickMark val="none"/>
        <c:tickLblPos val="nextTo"/>
        <c:txPr>
          <a:bodyPr/>
          <a:lstStyle/>
          <a:p>
            <a:pPr>
              <a:defRPr sz="1200"/>
            </a:pPr>
            <a:endParaRPr lang="ru-RU"/>
          </a:p>
        </c:txPr>
        <c:crossAx val="598324176"/>
        <c:crosses val="autoZero"/>
        <c:auto val="1"/>
        <c:lblAlgn val="ctr"/>
        <c:lblOffset val="100"/>
        <c:noMultiLvlLbl val="0"/>
      </c:catAx>
      <c:valAx>
        <c:axId val="598324176"/>
        <c:scaling>
          <c:orientation val="minMax"/>
          <c:max val="100"/>
        </c:scaling>
        <c:delete val="0"/>
        <c:axPos val="b"/>
        <c:numFmt formatCode="0.0" sourceLinked="1"/>
        <c:majorTickMark val="none"/>
        <c:minorTickMark val="none"/>
        <c:tickLblPos val="low"/>
        <c:txPr>
          <a:bodyPr/>
          <a:lstStyle/>
          <a:p>
            <a:pPr>
              <a:defRPr sz="900"/>
            </a:pPr>
            <a:endParaRPr lang="ru-RU"/>
          </a:p>
        </c:txPr>
        <c:crossAx val="598318688"/>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923811606882473E-2"/>
          <c:y val="4.4057617797775277E-2"/>
          <c:w val="0.88830180081656462"/>
          <c:h val="0.65541247728649299"/>
        </c:manualLayout>
      </c:layout>
      <c:barChart>
        <c:barDir val="col"/>
        <c:grouping val="clustered"/>
        <c:varyColors val="0"/>
        <c:ser>
          <c:idx val="0"/>
          <c:order val="0"/>
          <c:tx>
            <c:strRef>
              <c:f>Лист1!$B$1</c:f>
              <c:strCache>
                <c:ptCount val="1"/>
                <c:pt idx="0">
                  <c:v>Приплив прямих іноземних інвестицій в Україну, млн. дол. США</c:v>
                </c:pt>
              </c:strCache>
            </c:strRef>
          </c:tx>
          <c:invertIfNegative val="0"/>
          <c:cat>
            <c:numRef>
              <c:f>Лист1!$A$2:$A$23</c:f>
              <c:numCache>
                <c:formatCode>General</c:formatCode>
                <c:ptCount val="22"/>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pt idx="14">
                  <c:v>2016</c:v>
                </c:pt>
                <c:pt idx="15">
                  <c:v>2017</c:v>
                </c:pt>
                <c:pt idx="16">
                  <c:v>2018</c:v>
                </c:pt>
                <c:pt idx="17">
                  <c:v>2019</c:v>
                </c:pt>
                <c:pt idx="18">
                  <c:v>2020</c:v>
                </c:pt>
                <c:pt idx="19">
                  <c:v>2021</c:v>
                </c:pt>
                <c:pt idx="20">
                  <c:v>2022</c:v>
                </c:pt>
                <c:pt idx="21">
                  <c:v>2023</c:v>
                </c:pt>
              </c:numCache>
            </c:numRef>
          </c:cat>
          <c:val>
            <c:numRef>
              <c:f>Лист1!$B$2:$B$23</c:f>
              <c:numCache>
                <c:formatCode>General</c:formatCode>
                <c:ptCount val="22"/>
                <c:pt idx="0">
                  <c:v>693</c:v>
                </c:pt>
                <c:pt idx="1">
                  <c:v>1424</c:v>
                </c:pt>
                <c:pt idx="2">
                  <c:v>1715</c:v>
                </c:pt>
                <c:pt idx="3">
                  <c:v>7808</c:v>
                </c:pt>
                <c:pt idx="4">
                  <c:v>5604</c:v>
                </c:pt>
                <c:pt idx="5">
                  <c:v>9891</c:v>
                </c:pt>
                <c:pt idx="6">
                  <c:v>10913</c:v>
                </c:pt>
                <c:pt idx="7">
                  <c:v>4816</c:v>
                </c:pt>
                <c:pt idx="8">
                  <c:v>6495</c:v>
                </c:pt>
                <c:pt idx="9">
                  <c:v>7207</c:v>
                </c:pt>
                <c:pt idx="10">
                  <c:v>8401</c:v>
                </c:pt>
                <c:pt idx="11">
                  <c:v>4499</c:v>
                </c:pt>
                <c:pt idx="12">
                  <c:v>410</c:v>
                </c:pt>
                <c:pt idx="13">
                  <c:v>-458</c:v>
                </c:pt>
                <c:pt idx="14">
                  <c:v>3810</c:v>
                </c:pt>
                <c:pt idx="15">
                  <c:v>3692</c:v>
                </c:pt>
                <c:pt idx="16">
                  <c:v>4455</c:v>
                </c:pt>
                <c:pt idx="17">
                  <c:v>5860</c:v>
                </c:pt>
                <c:pt idx="18">
                  <c:v>-868</c:v>
                </c:pt>
                <c:pt idx="19">
                  <c:v>6687</c:v>
                </c:pt>
                <c:pt idx="20">
                  <c:v>1152</c:v>
                </c:pt>
                <c:pt idx="21">
                  <c:v>4247</c:v>
                </c:pt>
              </c:numCache>
            </c:numRef>
          </c:val>
          <c:extLst xmlns:c16r2="http://schemas.microsoft.com/office/drawing/2015/06/chart">
            <c:ext xmlns:c16="http://schemas.microsoft.com/office/drawing/2014/chart" uri="{C3380CC4-5D6E-409C-BE32-E72D297353CC}">
              <c16:uniqueId val="{00000000-0CF9-4DA2-97E6-4A14CAF75F09}"/>
            </c:ext>
          </c:extLst>
        </c:ser>
        <c:dLbls>
          <c:showLegendKey val="0"/>
          <c:showVal val="0"/>
          <c:showCatName val="0"/>
          <c:showSerName val="0"/>
          <c:showPercent val="0"/>
          <c:showBubbleSize val="0"/>
        </c:dLbls>
        <c:gapWidth val="150"/>
        <c:axId val="412327376"/>
        <c:axId val="412332864"/>
      </c:barChart>
      <c:catAx>
        <c:axId val="412327376"/>
        <c:scaling>
          <c:orientation val="minMax"/>
        </c:scaling>
        <c:delete val="0"/>
        <c:axPos val="b"/>
        <c:numFmt formatCode="General" sourceLinked="1"/>
        <c:majorTickMark val="none"/>
        <c:minorTickMark val="none"/>
        <c:tickLblPos val="low"/>
        <c:crossAx val="412332864"/>
        <c:crosses val="autoZero"/>
        <c:auto val="1"/>
        <c:lblAlgn val="ctr"/>
        <c:lblOffset val="100"/>
        <c:noMultiLvlLbl val="0"/>
      </c:catAx>
      <c:valAx>
        <c:axId val="412332864"/>
        <c:scaling>
          <c:orientation val="minMax"/>
        </c:scaling>
        <c:delete val="0"/>
        <c:axPos val="l"/>
        <c:majorGridlines/>
        <c:numFmt formatCode="General" sourceLinked="1"/>
        <c:majorTickMark val="none"/>
        <c:minorTickMark val="none"/>
        <c:tickLblPos val="nextTo"/>
        <c:crossAx val="412327376"/>
        <c:crosses val="autoZero"/>
        <c:crossBetween val="between"/>
      </c:valAx>
    </c:plotArea>
    <c:legend>
      <c:legendPos val="r"/>
      <c:layout>
        <c:manualLayout>
          <c:xMode val="edge"/>
          <c:yMode val="edge"/>
          <c:x val="0"/>
          <c:y val="0.87665510561179849"/>
          <c:w val="1"/>
          <c:h val="0.12334489551129901"/>
        </c:manualLayout>
      </c:layout>
      <c:overlay val="0"/>
      <c:spPr>
        <a:ln>
          <a:noFill/>
        </a:ln>
      </c:spPr>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Доброчесність уряду</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Близький Схід / Північна Африка</c:v>
                </c:pt>
                <c:pt idx="2">
                  <c:v>Латинська Америка</c:v>
                </c:pt>
                <c:pt idx="3">
                  <c:v>Азіатсько-Тихоокеанський регіон</c:v>
                </c:pt>
                <c:pt idx="4">
                  <c:v>Європа</c:v>
                </c:pt>
                <c:pt idx="5">
                  <c:v>Північна Америка</c:v>
                </c:pt>
              </c:strCache>
            </c:strRef>
          </c:cat>
          <c:val>
            <c:numRef>
              <c:f>Лист1!$B$2:$B$7</c:f>
              <c:numCache>
                <c:formatCode>0.0</c:formatCode>
                <c:ptCount val="6"/>
                <c:pt idx="0">
                  <c:v>31.28723404255318</c:v>
                </c:pt>
                <c:pt idx="1">
                  <c:v>35.40588235294117</c:v>
                </c:pt>
                <c:pt idx="2">
                  <c:v>40.759999999999991</c:v>
                </c:pt>
                <c:pt idx="3">
                  <c:v>43.042500000000004</c:v>
                </c:pt>
                <c:pt idx="4">
                  <c:v>61.371739130434797</c:v>
                </c:pt>
                <c:pt idx="5">
                  <c:v>73.949999999999989</c:v>
                </c:pt>
              </c:numCache>
            </c:numRef>
          </c:val>
          <c:extLst xmlns:c16r2="http://schemas.microsoft.com/office/drawing/2015/06/chart">
            <c:ext xmlns:c16="http://schemas.microsoft.com/office/drawing/2014/chart" uri="{C3380CC4-5D6E-409C-BE32-E72D297353CC}">
              <c16:uniqueId val="{00000000-36C9-4B4E-8837-EC321E3BB1BF}"/>
            </c:ext>
          </c:extLst>
        </c:ser>
        <c:dLbls>
          <c:showLegendKey val="0"/>
          <c:showVal val="1"/>
          <c:showCatName val="0"/>
          <c:showSerName val="0"/>
          <c:showPercent val="0"/>
          <c:showBubbleSize val="0"/>
        </c:dLbls>
        <c:gapWidth val="75"/>
        <c:axId val="598323784"/>
        <c:axId val="598319864"/>
      </c:barChart>
      <c:catAx>
        <c:axId val="598323784"/>
        <c:scaling>
          <c:orientation val="minMax"/>
        </c:scaling>
        <c:delete val="0"/>
        <c:axPos val="l"/>
        <c:numFmt formatCode="General" sourceLinked="0"/>
        <c:majorTickMark val="none"/>
        <c:minorTickMark val="none"/>
        <c:tickLblPos val="nextTo"/>
        <c:txPr>
          <a:bodyPr/>
          <a:lstStyle/>
          <a:p>
            <a:pPr>
              <a:defRPr sz="1200"/>
            </a:pPr>
            <a:endParaRPr lang="ru-RU"/>
          </a:p>
        </c:txPr>
        <c:crossAx val="598319864"/>
        <c:crosses val="autoZero"/>
        <c:auto val="1"/>
        <c:lblAlgn val="ctr"/>
        <c:lblOffset val="100"/>
        <c:noMultiLvlLbl val="0"/>
      </c:catAx>
      <c:valAx>
        <c:axId val="598319864"/>
        <c:scaling>
          <c:orientation val="minMax"/>
          <c:max val="100"/>
        </c:scaling>
        <c:delete val="0"/>
        <c:axPos val="b"/>
        <c:numFmt formatCode="0.0" sourceLinked="1"/>
        <c:majorTickMark val="none"/>
        <c:minorTickMark val="none"/>
        <c:tickLblPos val="low"/>
        <c:txPr>
          <a:bodyPr/>
          <a:lstStyle/>
          <a:p>
            <a:pPr>
              <a:defRPr sz="900"/>
            </a:pPr>
            <a:endParaRPr lang="ru-RU"/>
          </a:p>
        </c:txPr>
        <c:crossAx val="598323784"/>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Ефективність судової системи</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Близький Схід / Північна Африка</c:v>
                </c:pt>
                <c:pt idx="1">
                  <c:v>Субсахарна Африка</c:v>
                </c:pt>
                <c:pt idx="2">
                  <c:v>Азіатсько-Тихоокеанський регіон</c:v>
                </c:pt>
                <c:pt idx="3">
                  <c:v>Латинська Америка</c:v>
                </c:pt>
                <c:pt idx="4">
                  <c:v>Європа</c:v>
                </c:pt>
                <c:pt idx="5">
                  <c:v>Північна Америка</c:v>
                </c:pt>
              </c:strCache>
            </c:strRef>
          </c:cat>
          <c:val>
            <c:numRef>
              <c:f>Лист1!$B$2:$B$7</c:f>
              <c:numCache>
                <c:formatCode>0.0</c:formatCode>
                <c:ptCount val="6"/>
                <c:pt idx="0">
                  <c:v>30.829411764705878</c:v>
                </c:pt>
                <c:pt idx="1">
                  <c:v>34.495744680851061</c:v>
                </c:pt>
                <c:pt idx="2">
                  <c:v>47.06</c:v>
                </c:pt>
                <c:pt idx="3">
                  <c:v>51.250000000000007</c:v>
                </c:pt>
                <c:pt idx="4">
                  <c:v>68.910869565217396</c:v>
                </c:pt>
                <c:pt idx="5">
                  <c:v>85.7</c:v>
                </c:pt>
              </c:numCache>
            </c:numRef>
          </c:val>
          <c:extLst xmlns:c16r2="http://schemas.microsoft.com/office/drawing/2015/06/chart">
            <c:ext xmlns:c16="http://schemas.microsoft.com/office/drawing/2014/chart" uri="{C3380CC4-5D6E-409C-BE32-E72D297353CC}">
              <c16:uniqueId val="{00000000-EE14-49C5-97BB-8F96C3F8A004}"/>
            </c:ext>
          </c:extLst>
        </c:ser>
        <c:dLbls>
          <c:showLegendKey val="0"/>
          <c:showVal val="1"/>
          <c:showCatName val="0"/>
          <c:showSerName val="0"/>
          <c:showPercent val="0"/>
          <c:showBubbleSize val="0"/>
        </c:dLbls>
        <c:gapWidth val="75"/>
        <c:axId val="598320256"/>
        <c:axId val="598320648"/>
      </c:barChart>
      <c:catAx>
        <c:axId val="598320256"/>
        <c:scaling>
          <c:orientation val="minMax"/>
        </c:scaling>
        <c:delete val="0"/>
        <c:axPos val="l"/>
        <c:numFmt formatCode="General" sourceLinked="0"/>
        <c:majorTickMark val="none"/>
        <c:minorTickMark val="none"/>
        <c:tickLblPos val="nextTo"/>
        <c:txPr>
          <a:bodyPr/>
          <a:lstStyle/>
          <a:p>
            <a:pPr>
              <a:defRPr sz="1200"/>
            </a:pPr>
            <a:endParaRPr lang="ru-RU"/>
          </a:p>
        </c:txPr>
        <c:crossAx val="598320648"/>
        <c:crosses val="autoZero"/>
        <c:auto val="1"/>
        <c:lblAlgn val="ctr"/>
        <c:lblOffset val="100"/>
        <c:noMultiLvlLbl val="0"/>
      </c:catAx>
      <c:valAx>
        <c:axId val="598320648"/>
        <c:scaling>
          <c:orientation val="minMax"/>
          <c:max val="100"/>
        </c:scaling>
        <c:delete val="0"/>
        <c:axPos val="b"/>
        <c:numFmt formatCode="0.0" sourceLinked="1"/>
        <c:majorTickMark val="none"/>
        <c:minorTickMark val="none"/>
        <c:tickLblPos val="low"/>
        <c:txPr>
          <a:bodyPr/>
          <a:lstStyle/>
          <a:p>
            <a:pPr>
              <a:defRPr sz="900"/>
            </a:pPr>
            <a:endParaRPr lang="ru-RU"/>
          </a:p>
        </c:txPr>
        <c:crossAx val="598320256"/>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Податкове навантаження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Європа</c:v>
                </c:pt>
                <c:pt idx="1">
                  <c:v>Північна Америка</c:v>
                </c:pt>
                <c:pt idx="2">
                  <c:v>Латинська Америка</c:v>
                </c:pt>
                <c:pt idx="3">
                  <c:v>Субсахарна Африка</c:v>
                </c:pt>
                <c:pt idx="4">
                  <c:v>Азіатсько-Тихоокеанський регіон</c:v>
                </c:pt>
                <c:pt idx="5">
                  <c:v>Близький Схід / Північна Африка</c:v>
                </c:pt>
              </c:strCache>
            </c:strRef>
          </c:cat>
          <c:val>
            <c:numRef>
              <c:f>Лист1!$B$2:$B$7</c:f>
              <c:numCache>
                <c:formatCode>0.0</c:formatCode>
                <c:ptCount val="6"/>
                <c:pt idx="0">
                  <c:v>73.709090909090904</c:v>
                </c:pt>
                <c:pt idx="1">
                  <c:v>75.3</c:v>
                </c:pt>
                <c:pt idx="2">
                  <c:v>78.013333333333335</c:v>
                </c:pt>
                <c:pt idx="3">
                  <c:v>78.021276595744666</c:v>
                </c:pt>
                <c:pt idx="4">
                  <c:v>80.21025641025642</c:v>
                </c:pt>
                <c:pt idx="5">
                  <c:v>87.346666666666678</c:v>
                </c:pt>
              </c:numCache>
            </c:numRef>
          </c:val>
          <c:extLst xmlns:c16r2="http://schemas.microsoft.com/office/drawing/2015/06/chart">
            <c:ext xmlns:c16="http://schemas.microsoft.com/office/drawing/2014/chart" uri="{C3380CC4-5D6E-409C-BE32-E72D297353CC}">
              <c16:uniqueId val="{00000000-1BF2-4217-B537-C5AC871FAA92}"/>
            </c:ext>
          </c:extLst>
        </c:ser>
        <c:dLbls>
          <c:showLegendKey val="0"/>
          <c:showVal val="1"/>
          <c:showCatName val="0"/>
          <c:showSerName val="0"/>
          <c:showPercent val="0"/>
          <c:showBubbleSize val="0"/>
        </c:dLbls>
        <c:gapWidth val="75"/>
        <c:axId val="598321040"/>
        <c:axId val="598323000"/>
      </c:barChart>
      <c:catAx>
        <c:axId val="598321040"/>
        <c:scaling>
          <c:orientation val="minMax"/>
        </c:scaling>
        <c:delete val="0"/>
        <c:axPos val="l"/>
        <c:numFmt formatCode="General" sourceLinked="0"/>
        <c:majorTickMark val="none"/>
        <c:minorTickMark val="none"/>
        <c:tickLblPos val="nextTo"/>
        <c:txPr>
          <a:bodyPr/>
          <a:lstStyle/>
          <a:p>
            <a:pPr>
              <a:defRPr sz="1200"/>
            </a:pPr>
            <a:endParaRPr lang="ru-RU"/>
          </a:p>
        </c:txPr>
        <c:crossAx val="598323000"/>
        <c:crosses val="autoZero"/>
        <c:auto val="1"/>
        <c:lblAlgn val="ctr"/>
        <c:lblOffset val="100"/>
        <c:noMultiLvlLbl val="0"/>
      </c:catAx>
      <c:valAx>
        <c:axId val="598323000"/>
        <c:scaling>
          <c:orientation val="minMax"/>
          <c:max val="100"/>
        </c:scaling>
        <c:delete val="0"/>
        <c:axPos val="b"/>
        <c:numFmt formatCode="0.0" sourceLinked="1"/>
        <c:majorTickMark val="none"/>
        <c:minorTickMark val="none"/>
        <c:tickLblPos val="low"/>
        <c:txPr>
          <a:bodyPr/>
          <a:lstStyle/>
          <a:p>
            <a:pPr>
              <a:defRPr sz="900"/>
            </a:pPr>
            <a:endParaRPr lang="ru-RU"/>
          </a:p>
        </c:txPr>
        <c:crossAx val="598321040"/>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Державні витрати</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Європа</c:v>
                </c:pt>
                <c:pt idx="1">
                  <c:v>Північна Америка</c:v>
                </c:pt>
                <c:pt idx="2">
                  <c:v>Азіатсько-Тихоокеанський регіон</c:v>
                </c:pt>
                <c:pt idx="3">
                  <c:v>Близький Схід / Північна Африка</c:v>
                </c:pt>
                <c:pt idx="4">
                  <c:v>Латинська Америка</c:v>
                </c:pt>
                <c:pt idx="5">
                  <c:v>Субсахарна Африка</c:v>
                </c:pt>
              </c:strCache>
            </c:strRef>
          </c:cat>
          <c:val>
            <c:numRef>
              <c:f>Лист1!$B$2:$B$7</c:f>
              <c:numCache>
                <c:formatCode>0.0</c:formatCode>
                <c:ptCount val="6"/>
                <c:pt idx="0">
                  <c:v>41.424999999999997</c:v>
                </c:pt>
                <c:pt idx="1">
                  <c:v>41.7</c:v>
                </c:pt>
                <c:pt idx="2">
                  <c:v>66.541025641025655</c:v>
                </c:pt>
                <c:pt idx="3">
                  <c:v>66.850000000000009</c:v>
                </c:pt>
                <c:pt idx="4">
                  <c:v>69.20999999999998</c:v>
                </c:pt>
                <c:pt idx="5">
                  <c:v>79.938297872340399</c:v>
                </c:pt>
              </c:numCache>
            </c:numRef>
          </c:val>
          <c:extLst xmlns:c16r2="http://schemas.microsoft.com/office/drawing/2015/06/chart">
            <c:ext xmlns:c16="http://schemas.microsoft.com/office/drawing/2014/chart" uri="{C3380CC4-5D6E-409C-BE32-E72D297353CC}">
              <c16:uniqueId val="{00000000-CD68-498C-9634-AF5D6453270E}"/>
            </c:ext>
          </c:extLst>
        </c:ser>
        <c:dLbls>
          <c:showLegendKey val="0"/>
          <c:showVal val="1"/>
          <c:showCatName val="0"/>
          <c:showSerName val="0"/>
          <c:showPercent val="0"/>
          <c:showBubbleSize val="0"/>
        </c:dLbls>
        <c:gapWidth val="75"/>
        <c:axId val="598317512"/>
        <c:axId val="598317904"/>
      </c:barChart>
      <c:catAx>
        <c:axId val="598317512"/>
        <c:scaling>
          <c:orientation val="minMax"/>
        </c:scaling>
        <c:delete val="0"/>
        <c:axPos val="l"/>
        <c:numFmt formatCode="General" sourceLinked="0"/>
        <c:majorTickMark val="none"/>
        <c:minorTickMark val="none"/>
        <c:tickLblPos val="nextTo"/>
        <c:txPr>
          <a:bodyPr/>
          <a:lstStyle/>
          <a:p>
            <a:pPr>
              <a:defRPr sz="1200"/>
            </a:pPr>
            <a:endParaRPr lang="ru-RU"/>
          </a:p>
        </c:txPr>
        <c:crossAx val="598317904"/>
        <c:crosses val="autoZero"/>
        <c:auto val="1"/>
        <c:lblAlgn val="ctr"/>
        <c:lblOffset val="100"/>
        <c:noMultiLvlLbl val="0"/>
      </c:catAx>
      <c:valAx>
        <c:axId val="598317904"/>
        <c:scaling>
          <c:orientation val="minMax"/>
          <c:max val="100"/>
        </c:scaling>
        <c:delete val="0"/>
        <c:axPos val="b"/>
        <c:numFmt formatCode="0.0" sourceLinked="1"/>
        <c:majorTickMark val="none"/>
        <c:minorTickMark val="none"/>
        <c:tickLblPos val="low"/>
        <c:txPr>
          <a:bodyPr/>
          <a:lstStyle/>
          <a:p>
            <a:pPr>
              <a:defRPr sz="900"/>
            </a:pPr>
            <a:endParaRPr lang="ru-RU"/>
          </a:p>
        </c:txPr>
        <c:crossAx val="598317512"/>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Фіскальне здоров'я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Північна Америка</c:v>
                </c:pt>
                <c:pt idx="1">
                  <c:v>Латинська Америка</c:v>
                </c:pt>
                <c:pt idx="2">
                  <c:v>Близький Схід / Північна Африка</c:v>
                </c:pt>
                <c:pt idx="3">
                  <c:v>Субсахарна Африка</c:v>
                </c:pt>
                <c:pt idx="4">
                  <c:v>Азіатсько-Тихоокеанський регіон</c:v>
                </c:pt>
                <c:pt idx="5">
                  <c:v>Європа</c:v>
                </c:pt>
              </c:strCache>
            </c:strRef>
          </c:cat>
          <c:val>
            <c:numRef>
              <c:f>Лист1!$B$2:$B$7</c:f>
              <c:numCache>
                <c:formatCode>0.0</c:formatCode>
                <c:ptCount val="6"/>
                <c:pt idx="0">
                  <c:v>16.95</c:v>
                </c:pt>
                <c:pt idx="1">
                  <c:v>45.313333333333318</c:v>
                </c:pt>
                <c:pt idx="2">
                  <c:v>50.228571428571421</c:v>
                </c:pt>
                <c:pt idx="3">
                  <c:v>50.936170212765958</c:v>
                </c:pt>
                <c:pt idx="4">
                  <c:v>52.67948717948719</c:v>
                </c:pt>
                <c:pt idx="5">
                  <c:v>59.972727272727269</c:v>
                </c:pt>
              </c:numCache>
            </c:numRef>
          </c:val>
          <c:extLst xmlns:c16r2="http://schemas.microsoft.com/office/drawing/2015/06/chart">
            <c:ext xmlns:c16="http://schemas.microsoft.com/office/drawing/2014/chart" uri="{C3380CC4-5D6E-409C-BE32-E72D297353CC}">
              <c16:uniqueId val="{00000000-9569-4E5D-9F61-0B6FF0B881FF}"/>
            </c:ext>
          </c:extLst>
        </c:ser>
        <c:dLbls>
          <c:showLegendKey val="0"/>
          <c:showVal val="1"/>
          <c:showCatName val="0"/>
          <c:showSerName val="0"/>
          <c:showPercent val="0"/>
          <c:showBubbleSize val="0"/>
        </c:dLbls>
        <c:gapWidth val="75"/>
        <c:axId val="663678880"/>
        <c:axId val="663681232"/>
      </c:barChart>
      <c:catAx>
        <c:axId val="663678880"/>
        <c:scaling>
          <c:orientation val="minMax"/>
        </c:scaling>
        <c:delete val="0"/>
        <c:axPos val="l"/>
        <c:numFmt formatCode="General" sourceLinked="0"/>
        <c:majorTickMark val="none"/>
        <c:minorTickMark val="none"/>
        <c:tickLblPos val="nextTo"/>
        <c:txPr>
          <a:bodyPr/>
          <a:lstStyle/>
          <a:p>
            <a:pPr>
              <a:defRPr sz="1200"/>
            </a:pPr>
            <a:endParaRPr lang="ru-RU"/>
          </a:p>
        </c:txPr>
        <c:crossAx val="663681232"/>
        <c:crosses val="autoZero"/>
        <c:auto val="1"/>
        <c:lblAlgn val="ctr"/>
        <c:lblOffset val="100"/>
        <c:noMultiLvlLbl val="0"/>
      </c:catAx>
      <c:valAx>
        <c:axId val="663681232"/>
        <c:scaling>
          <c:orientation val="minMax"/>
          <c:max val="100"/>
        </c:scaling>
        <c:delete val="0"/>
        <c:axPos val="b"/>
        <c:numFmt formatCode="0.0" sourceLinked="1"/>
        <c:majorTickMark val="none"/>
        <c:minorTickMark val="none"/>
        <c:tickLblPos val="low"/>
        <c:txPr>
          <a:bodyPr/>
          <a:lstStyle/>
          <a:p>
            <a:pPr>
              <a:defRPr sz="900"/>
            </a:pPr>
            <a:endParaRPr lang="ru-RU"/>
          </a:p>
        </c:txPr>
        <c:crossAx val="663678880"/>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Свобода бізнесу</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Близький Схід / Північна Африка</c:v>
                </c:pt>
                <c:pt idx="2">
                  <c:v>Азіатсько-Тихоокеанський регіон</c:v>
                </c:pt>
                <c:pt idx="3">
                  <c:v>Латинська Америка</c:v>
                </c:pt>
                <c:pt idx="4">
                  <c:v>Європа</c:v>
                </c:pt>
                <c:pt idx="5">
                  <c:v>Північна Америка</c:v>
                </c:pt>
              </c:strCache>
            </c:strRef>
          </c:cat>
          <c:val>
            <c:numRef>
              <c:f>Лист1!$B$2:$B$7</c:f>
              <c:numCache>
                <c:formatCode>0.0</c:formatCode>
                <c:ptCount val="6"/>
                <c:pt idx="0">
                  <c:v>45.846808510638304</c:v>
                </c:pt>
                <c:pt idx="1">
                  <c:v>61.785714285714285</c:v>
                </c:pt>
                <c:pt idx="2">
                  <c:v>62.017948717948734</c:v>
                </c:pt>
                <c:pt idx="3">
                  <c:v>64.636666666666684</c:v>
                </c:pt>
                <c:pt idx="4">
                  <c:v>77.437777777777768</c:v>
                </c:pt>
                <c:pt idx="5">
                  <c:v>84.449999999999989</c:v>
                </c:pt>
              </c:numCache>
            </c:numRef>
          </c:val>
          <c:extLst xmlns:c16r2="http://schemas.microsoft.com/office/drawing/2015/06/chart">
            <c:ext xmlns:c16="http://schemas.microsoft.com/office/drawing/2014/chart" uri="{C3380CC4-5D6E-409C-BE32-E72D297353CC}">
              <c16:uniqueId val="{00000000-5C2F-4AA3-95F8-AC0B8B175159}"/>
            </c:ext>
          </c:extLst>
        </c:ser>
        <c:dLbls>
          <c:showLegendKey val="0"/>
          <c:showVal val="1"/>
          <c:showCatName val="0"/>
          <c:showSerName val="0"/>
          <c:showPercent val="0"/>
          <c:showBubbleSize val="0"/>
        </c:dLbls>
        <c:gapWidth val="75"/>
        <c:axId val="663682800"/>
        <c:axId val="663682016"/>
      </c:barChart>
      <c:catAx>
        <c:axId val="663682800"/>
        <c:scaling>
          <c:orientation val="minMax"/>
        </c:scaling>
        <c:delete val="0"/>
        <c:axPos val="l"/>
        <c:numFmt formatCode="General" sourceLinked="0"/>
        <c:majorTickMark val="none"/>
        <c:minorTickMark val="none"/>
        <c:tickLblPos val="nextTo"/>
        <c:txPr>
          <a:bodyPr/>
          <a:lstStyle/>
          <a:p>
            <a:pPr>
              <a:defRPr sz="1200"/>
            </a:pPr>
            <a:endParaRPr lang="ru-RU"/>
          </a:p>
        </c:txPr>
        <c:crossAx val="663682016"/>
        <c:crosses val="autoZero"/>
        <c:auto val="1"/>
        <c:lblAlgn val="ctr"/>
        <c:lblOffset val="100"/>
        <c:noMultiLvlLbl val="0"/>
      </c:catAx>
      <c:valAx>
        <c:axId val="663682016"/>
        <c:scaling>
          <c:orientation val="minMax"/>
          <c:max val="100"/>
        </c:scaling>
        <c:delete val="0"/>
        <c:axPos val="b"/>
        <c:numFmt formatCode="0.0" sourceLinked="1"/>
        <c:majorTickMark val="none"/>
        <c:minorTickMark val="none"/>
        <c:tickLblPos val="low"/>
        <c:txPr>
          <a:bodyPr/>
          <a:lstStyle/>
          <a:p>
            <a:pPr>
              <a:defRPr sz="900"/>
            </a:pPr>
            <a:endParaRPr lang="ru-RU"/>
          </a:p>
        </c:txPr>
        <c:crossAx val="663682800"/>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Свобода праці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Субсахарна Африка</c:v>
                </c:pt>
                <c:pt idx="1">
                  <c:v>Близький Схід / Північна Африка</c:v>
                </c:pt>
                <c:pt idx="2">
                  <c:v>Латинська Америка</c:v>
                </c:pt>
                <c:pt idx="3">
                  <c:v>Азіатсько-Тихоокеанський регіон</c:v>
                </c:pt>
                <c:pt idx="4">
                  <c:v>Європа</c:v>
                </c:pt>
                <c:pt idx="5">
                  <c:v>Північна Америка</c:v>
                </c:pt>
              </c:strCache>
            </c:strRef>
          </c:cat>
          <c:val>
            <c:numRef>
              <c:f>Лист1!$B$2:$B$7</c:f>
              <c:numCache>
                <c:formatCode>0.0</c:formatCode>
                <c:ptCount val="6"/>
                <c:pt idx="0">
                  <c:v>51.902127659574461</c:v>
                </c:pt>
                <c:pt idx="1">
                  <c:v>52.48571428571428</c:v>
                </c:pt>
                <c:pt idx="2">
                  <c:v>55.133333333333333</c:v>
                </c:pt>
                <c:pt idx="3">
                  <c:v>56.228205128205133</c:v>
                </c:pt>
                <c:pt idx="4">
                  <c:v>61.50454545454545</c:v>
                </c:pt>
                <c:pt idx="5">
                  <c:v>73.599999999999994</c:v>
                </c:pt>
              </c:numCache>
            </c:numRef>
          </c:val>
          <c:extLst xmlns:c16r2="http://schemas.microsoft.com/office/drawing/2015/06/chart">
            <c:ext xmlns:c16="http://schemas.microsoft.com/office/drawing/2014/chart" uri="{C3380CC4-5D6E-409C-BE32-E72D297353CC}">
              <c16:uniqueId val="{00000000-94C5-4EAF-B54D-1FC608E532FE}"/>
            </c:ext>
          </c:extLst>
        </c:ser>
        <c:dLbls>
          <c:showLegendKey val="0"/>
          <c:showVal val="1"/>
          <c:showCatName val="0"/>
          <c:showSerName val="0"/>
          <c:showPercent val="0"/>
          <c:showBubbleSize val="0"/>
        </c:dLbls>
        <c:gapWidth val="75"/>
        <c:axId val="663683192"/>
        <c:axId val="663681624"/>
      </c:barChart>
      <c:catAx>
        <c:axId val="663683192"/>
        <c:scaling>
          <c:orientation val="minMax"/>
        </c:scaling>
        <c:delete val="0"/>
        <c:axPos val="l"/>
        <c:numFmt formatCode="General" sourceLinked="0"/>
        <c:majorTickMark val="none"/>
        <c:minorTickMark val="none"/>
        <c:tickLblPos val="nextTo"/>
        <c:txPr>
          <a:bodyPr/>
          <a:lstStyle/>
          <a:p>
            <a:pPr>
              <a:defRPr sz="1200"/>
            </a:pPr>
            <a:endParaRPr lang="ru-RU"/>
          </a:p>
        </c:txPr>
        <c:crossAx val="663681624"/>
        <c:crosses val="autoZero"/>
        <c:auto val="1"/>
        <c:lblAlgn val="ctr"/>
        <c:lblOffset val="100"/>
        <c:noMultiLvlLbl val="0"/>
      </c:catAx>
      <c:valAx>
        <c:axId val="663681624"/>
        <c:scaling>
          <c:orientation val="minMax"/>
          <c:max val="100"/>
        </c:scaling>
        <c:delete val="0"/>
        <c:axPos val="b"/>
        <c:numFmt formatCode="0.0" sourceLinked="1"/>
        <c:majorTickMark val="none"/>
        <c:minorTickMark val="none"/>
        <c:tickLblPos val="low"/>
        <c:txPr>
          <a:bodyPr/>
          <a:lstStyle/>
          <a:p>
            <a:pPr>
              <a:defRPr sz="900"/>
            </a:pPr>
            <a:endParaRPr lang="ru-RU"/>
          </a:p>
        </c:txPr>
        <c:crossAx val="663683192"/>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5D5520-2015-47CC-82D3-526BB9891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16838</Words>
  <Characters>95980</Characters>
  <Application>Microsoft Office Word</Application>
  <DocSecurity>0</DocSecurity>
  <Lines>799</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Учетная запись Майкрософт</cp:lastModifiedBy>
  <cp:revision>4</cp:revision>
  <dcterms:created xsi:type="dcterms:W3CDTF">2024-06-11T17:35:00Z</dcterms:created>
  <dcterms:modified xsi:type="dcterms:W3CDTF">2024-06-12T07:48:00Z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0e8d20d645779ccd6325456d90e7aa98c3190a741fb0c92ea59c72e7d0f23c48</vt:lpwstr>
  </property>
</Properties>
</file>